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6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66" w:lineRule="exact"/>
        <w:rPr>
          <w:sz w:val="24"/>
          <w:szCs w:val="24"/>
          <w:color w:val="auto"/>
        </w:rPr>
      </w:pPr>
    </w:p>
    <w:p>
      <w:pPr>
        <w:ind w:left="4080" w:right="2560" w:hanging="4045"/>
        <w:spacing w:after="0" w:line="309" w:lineRule="auto"/>
        <w:tabs>
          <w:tab w:leader="none" w:pos="517" w:val="left"/>
        </w:tabs>
        <w:numPr>
          <w:ilvl w:val="0"/>
          <w:numId w:val="1"/>
        </w:numPr>
        <w:rPr>
          <w:rFonts w:ascii="MS PGothic" w:cs="MS PGothic" w:eastAsia="MS PGothic" w:hAnsi="MS PGothic"/>
          <w:sz w:val="18"/>
          <w:szCs w:val="18"/>
          <w:color w:val="auto"/>
        </w:rPr>
      </w:pPr>
      <w:r>
        <w:rPr>
          <w:rFonts w:ascii="Arial" w:cs="Arial" w:eastAsia="Arial" w:hAnsi="Arial"/>
          <w:sz w:val="17"/>
          <w:szCs w:val="17"/>
          <w:b w:val="1"/>
          <w:bCs w:val="1"/>
          <w:color w:val="auto"/>
        </w:rPr>
        <w:t xml:space="preserve">ANNUAL REPORT PURSUANT TO SECTION 13 OR 15(d) OF THE SECURITIES EXCHANGE ACT OF 1934 </w:t>
      </w:r>
      <w:r>
        <w:rPr>
          <w:rFonts w:ascii="Arial" w:cs="Arial" w:eastAsia="Arial" w:hAnsi="Arial"/>
          <w:sz w:val="18"/>
          <w:szCs w:val="18"/>
          <w:b w:val="1"/>
          <w:bCs w:val="1"/>
          <w:color w:val="auto"/>
        </w:rPr>
        <w:t>For the fiscal year ended February 3, 2018</w:t>
      </w:r>
    </w:p>
    <w:p>
      <w:pPr>
        <w:ind w:left="562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or</w:t>
      </w:r>
    </w:p>
    <w:p>
      <w:pPr>
        <w:spacing w:after="0" w:line="220" w:lineRule="exact"/>
        <w:rPr>
          <w:sz w:val="24"/>
          <w:szCs w:val="24"/>
          <w:color w:val="auto"/>
        </w:rPr>
      </w:pPr>
    </w:p>
    <w:p>
      <w:pPr>
        <w:ind w:left="520" w:hanging="485"/>
        <w:spacing w:after="0"/>
        <w:tabs>
          <w:tab w:leader="none" w:pos="520" w:val="left"/>
        </w:tabs>
        <w:numPr>
          <w:ilvl w:val="0"/>
          <w:numId w:val="2"/>
        </w:numPr>
        <w:rPr>
          <w:rFonts w:ascii="MS PGothic" w:cs="MS PGothic" w:eastAsia="MS PGothic" w:hAnsi="MS PGothic"/>
          <w:sz w:val="18"/>
          <w:szCs w:val="18"/>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107" w:lineRule="exact"/>
        <w:rPr>
          <w:sz w:val="24"/>
          <w:szCs w:val="24"/>
          <w:color w:val="auto"/>
        </w:rPr>
      </w:pPr>
    </w:p>
    <w:p>
      <w:pPr>
        <w:ind w:left="3440"/>
        <w:spacing w:after="0"/>
        <w:rPr>
          <w:sz w:val="20"/>
          <w:szCs w:val="20"/>
          <w:color w:val="auto"/>
        </w:rPr>
      </w:pPr>
      <w:r>
        <w:rPr>
          <w:rFonts w:ascii="Arial" w:cs="Arial" w:eastAsia="Arial" w:hAnsi="Arial"/>
          <w:sz w:val="18"/>
          <w:szCs w:val="18"/>
          <w:b w:val="1"/>
          <w:bCs w:val="1"/>
          <w:color w:val="auto"/>
        </w:rPr>
        <w:t>For the transition period from ___________ to___________</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001-15059</w:t>
      </w:r>
    </w:p>
    <w:p>
      <w:pPr>
        <w:spacing w:after="0" w:line="47"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NORDSTROM, INC.</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1240" w:type="dxa"/>
        <w:tblCellMar>
          <w:top w:w="0" w:type="dxa"/>
          <w:left w:w="0" w:type="dxa"/>
          <w:bottom w:w="0" w:type="dxa"/>
          <w:right w:w="0" w:type="dxa"/>
        </w:tblCellMar>
      </w:tblPr>
      <w:tr>
        <w:trPr>
          <w:trHeight w:val="234"/>
        </w:trPr>
        <w:tc>
          <w:tcPr>
            <w:tcW w:w="4900" w:type="dxa"/>
            <w:vAlign w:val="bottom"/>
          </w:tcPr>
          <w:p>
            <w:pPr>
              <w:jc w:val="center"/>
              <w:ind w:right="1810"/>
              <w:spacing w:after="0"/>
              <w:rPr>
                <w:sz w:val="20"/>
                <w:szCs w:val="20"/>
                <w:color w:val="auto"/>
              </w:rPr>
            </w:pPr>
            <w:r>
              <w:rPr>
                <w:rFonts w:ascii="Arial" w:cs="Arial" w:eastAsia="Arial" w:hAnsi="Arial"/>
                <w:sz w:val="18"/>
                <w:szCs w:val="18"/>
                <w:b w:val="1"/>
                <w:bCs w:val="1"/>
                <w:color w:val="auto"/>
                <w:w w:val="89"/>
              </w:rPr>
              <w:t>Washington</w:t>
            </w:r>
          </w:p>
        </w:tc>
        <w:tc>
          <w:tcPr>
            <w:tcW w:w="3220" w:type="dxa"/>
            <w:vAlign w:val="bottom"/>
          </w:tcPr>
          <w:p>
            <w:pPr>
              <w:jc w:val="right"/>
              <w:ind w:right="150"/>
              <w:spacing w:after="0"/>
              <w:rPr>
                <w:sz w:val="20"/>
                <w:szCs w:val="20"/>
                <w:color w:val="auto"/>
              </w:rPr>
            </w:pPr>
            <w:r>
              <w:rPr>
                <w:rFonts w:ascii="Arial" w:cs="Arial" w:eastAsia="Arial" w:hAnsi="Arial"/>
                <w:sz w:val="18"/>
                <w:szCs w:val="18"/>
                <w:b w:val="1"/>
                <w:bCs w:val="1"/>
                <w:color w:val="auto"/>
              </w:rPr>
              <w:t>91-0515058</w:t>
            </w:r>
          </w:p>
        </w:tc>
      </w:tr>
      <w:tr>
        <w:trPr>
          <w:trHeight w:val="256"/>
        </w:trPr>
        <w:tc>
          <w:tcPr>
            <w:tcW w:w="4900" w:type="dxa"/>
            <w:vAlign w:val="bottom"/>
          </w:tcPr>
          <w:p>
            <w:pPr>
              <w:jc w:val="center"/>
              <w:ind w:right="1790"/>
              <w:spacing w:after="0"/>
              <w:rPr>
                <w:sz w:val="20"/>
                <w:szCs w:val="20"/>
                <w:color w:val="auto"/>
              </w:rPr>
            </w:pPr>
            <w:r>
              <w:rPr>
                <w:rFonts w:ascii="Arial" w:cs="Arial" w:eastAsia="Arial" w:hAnsi="Arial"/>
                <w:sz w:val="18"/>
                <w:szCs w:val="18"/>
                <w:color w:val="auto"/>
                <w:w w:val="93"/>
              </w:rPr>
              <w:t>(State or other jurisdiction of</w:t>
            </w:r>
          </w:p>
        </w:tc>
        <w:tc>
          <w:tcPr>
            <w:tcW w:w="3220" w:type="dxa"/>
            <w:vAlign w:val="bottom"/>
          </w:tcPr>
          <w:p>
            <w:pPr>
              <w:jc w:val="center"/>
              <w:ind w:left="1790"/>
              <w:spacing w:after="0"/>
              <w:rPr>
                <w:sz w:val="20"/>
                <w:szCs w:val="20"/>
                <w:color w:val="auto"/>
              </w:rPr>
            </w:pPr>
            <w:r>
              <w:rPr>
                <w:rFonts w:ascii="Arial" w:cs="Arial" w:eastAsia="Arial" w:hAnsi="Arial"/>
                <w:sz w:val="18"/>
                <w:szCs w:val="18"/>
                <w:color w:val="auto"/>
                <w:w w:val="92"/>
              </w:rPr>
              <w:t>(I.R.S. Employer</w:t>
            </w:r>
          </w:p>
        </w:tc>
      </w:tr>
      <w:tr>
        <w:trPr>
          <w:trHeight w:val="230"/>
        </w:trPr>
        <w:tc>
          <w:tcPr>
            <w:tcW w:w="4900" w:type="dxa"/>
            <w:vAlign w:val="bottom"/>
          </w:tcPr>
          <w:p>
            <w:pPr>
              <w:jc w:val="center"/>
              <w:ind w:right="1790"/>
              <w:spacing w:after="0"/>
              <w:rPr>
                <w:sz w:val="20"/>
                <w:szCs w:val="20"/>
                <w:color w:val="auto"/>
              </w:rPr>
            </w:pPr>
            <w:r>
              <w:rPr>
                <w:rFonts w:ascii="Arial" w:cs="Arial" w:eastAsia="Arial" w:hAnsi="Arial"/>
                <w:sz w:val="18"/>
                <w:szCs w:val="18"/>
                <w:color w:val="auto"/>
                <w:w w:val="93"/>
              </w:rPr>
              <w:t>incorporation or organization)</w:t>
            </w:r>
          </w:p>
        </w:tc>
        <w:tc>
          <w:tcPr>
            <w:tcW w:w="3220" w:type="dxa"/>
            <w:vAlign w:val="bottom"/>
          </w:tcPr>
          <w:p>
            <w:pPr>
              <w:jc w:val="center"/>
              <w:ind w:left="1790"/>
              <w:spacing w:after="0"/>
              <w:rPr>
                <w:sz w:val="20"/>
                <w:szCs w:val="20"/>
                <w:color w:val="auto"/>
              </w:rPr>
            </w:pPr>
            <w:r>
              <w:rPr>
                <w:rFonts w:ascii="Arial" w:cs="Arial" w:eastAsia="Arial" w:hAnsi="Arial"/>
                <w:sz w:val="18"/>
                <w:szCs w:val="18"/>
                <w:color w:val="auto"/>
                <w:w w:val="95"/>
              </w:rPr>
              <w:t>Identification No.)</w:t>
            </w:r>
          </w:p>
        </w:tc>
      </w:tr>
      <w:tr>
        <w:trPr>
          <w:trHeight w:val="392"/>
        </w:trPr>
        <w:tc>
          <w:tcPr>
            <w:tcW w:w="4900" w:type="dxa"/>
            <w:vAlign w:val="bottom"/>
          </w:tcPr>
          <w:p>
            <w:pPr>
              <w:jc w:val="center"/>
              <w:ind w:right="1790"/>
              <w:spacing w:after="0"/>
              <w:rPr>
                <w:sz w:val="20"/>
                <w:szCs w:val="20"/>
                <w:color w:val="auto"/>
              </w:rPr>
            </w:pPr>
            <w:r>
              <w:rPr>
                <w:rFonts w:ascii="Arial" w:cs="Arial" w:eastAsia="Arial" w:hAnsi="Arial"/>
                <w:sz w:val="18"/>
                <w:szCs w:val="18"/>
                <w:b w:val="1"/>
                <w:bCs w:val="1"/>
                <w:color w:val="auto"/>
                <w:w w:val="88"/>
              </w:rPr>
              <w:t>1617 Sixth Avenue, Seattle, Washington</w:t>
            </w:r>
          </w:p>
        </w:tc>
        <w:tc>
          <w:tcPr>
            <w:tcW w:w="3220" w:type="dxa"/>
            <w:vAlign w:val="bottom"/>
          </w:tcPr>
          <w:p>
            <w:pPr>
              <w:jc w:val="right"/>
              <w:ind w:right="350"/>
              <w:spacing w:after="0"/>
              <w:rPr>
                <w:sz w:val="20"/>
                <w:szCs w:val="20"/>
                <w:color w:val="auto"/>
              </w:rPr>
            </w:pPr>
            <w:r>
              <w:rPr>
                <w:rFonts w:ascii="Arial" w:cs="Arial" w:eastAsia="Arial" w:hAnsi="Arial"/>
                <w:sz w:val="18"/>
                <w:szCs w:val="18"/>
                <w:b w:val="1"/>
                <w:bCs w:val="1"/>
                <w:color w:val="auto"/>
              </w:rPr>
              <w:t>98101</w:t>
            </w:r>
          </w:p>
        </w:tc>
      </w:tr>
      <w:tr>
        <w:trPr>
          <w:trHeight w:val="270"/>
        </w:trPr>
        <w:tc>
          <w:tcPr>
            <w:tcW w:w="4900" w:type="dxa"/>
            <w:vAlign w:val="bottom"/>
          </w:tcPr>
          <w:p>
            <w:pPr>
              <w:jc w:val="center"/>
              <w:ind w:right="1790"/>
              <w:spacing w:after="0"/>
              <w:rPr>
                <w:sz w:val="20"/>
                <w:szCs w:val="20"/>
                <w:color w:val="auto"/>
              </w:rPr>
            </w:pPr>
            <w:r>
              <w:rPr>
                <w:rFonts w:ascii="Arial" w:cs="Arial" w:eastAsia="Arial" w:hAnsi="Arial"/>
                <w:sz w:val="18"/>
                <w:szCs w:val="18"/>
                <w:color w:val="auto"/>
                <w:w w:val="92"/>
              </w:rPr>
              <w:t>(Address of principal executive offices)</w:t>
            </w:r>
          </w:p>
        </w:tc>
        <w:tc>
          <w:tcPr>
            <w:tcW w:w="3220" w:type="dxa"/>
            <w:vAlign w:val="bottom"/>
          </w:tcPr>
          <w:p>
            <w:pPr>
              <w:jc w:val="center"/>
              <w:ind w:left="1770"/>
              <w:spacing w:after="0"/>
              <w:rPr>
                <w:sz w:val="20"/>
                <w:szCs w:val="20"/>
                <w:color w:val="auto"/>
              </w:rPr>
            </w:pPr>
            <w:r>
              <w:rPr>
                <w:rFonts w:ascii="Arial" w:cs="Arial" w:eastAsia="Arial" w:hAnsi="Arial"/>
                <w:sz w:val="18"/>
                <w:szCs w:val="18"/>
                <w:color w:val="auto"/>
                <w:w w:val="94"/>
              </w:rPr>
              <w:t>(Zip Code)</w:t>
            </w:r>
          </w:p>
        </w:tc>
      </w:tr>
    </w:tbl>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 (</w:t>
      </w:r>
      <w:r>
        <w:rPr>
          <w:rFonts w:ascii="Arial" w:cs="Arial" w:eastAsia="Arial" w:hAnsi="Arial"/>
          <w:sz w:val="18"/>
          <w:szCs w:val="18"/>
          <w:b w:val="1"/>
          <w:bCs w:val="1"/>
          <w:color w:val="auto"/>
        </w:rPr>
        <w:t>206) 628-2111</w:t>
      </w:r>
    </w:p>
    <w:p>
      <w:pPr>
        <w:spacing w:after="0" w:line="6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54" w:lineRule="exact"/>
        <w:rPr>
          <w:sz w:val="24"/>
          <w:szCs w:val="24"/>
          <w:color w:val="auto"/>
        </w:rPr>
      </w:pPr>
    </w:p>
    <w:tbl>
      <w:tblPr>
        <w:tblLayout w:type="fixed"/>
        <w:tblInd w:w="1440" w:type="dxa"/>
        <w:tblCellMar>
          <w:top w:w="0" w:type="dxa"/>
          <w:left w:w="0" w:type="dxa"/>
          <w:bottom w:w="0" w:type="dxa"/>
          <w:right w:w="0" w:type="dxa"/>
        </w:tblCellMar>
      </w:tblPr>
      <w:tr>
        <w:trPr>
          <w:trHeight w:val="207"/>
        </w:trPr>
        <w:tc>
          <w:tcPr>
            <w:tcW w:w="66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Title of each class</w:t>
            </w:r>
          </w:p>
        </w:tc>
        <w:tc>
          <w:tcPr>
            <w:tcW w:w="2180" w:type="dxa"/>
            <w:vAlign w:val="bottom"/>
          </w:tcPr>
          <w:p>
            <w:pPr>
              <w:spacing w:after="0"/>
              <w:rPr>
                <w:sz w:val="18"/>
                <w:szCs w:val="18"/>
                <w:color w:val="auto"/>
              </w:rPr>
            </w:pPr>
          </w:p>
        </w:tc>
        <w:tc>
          <w:tcPr>
            <w:tcW w:w="4700" w:type="dxa"/>
            <w:vAlign w:val="bottom"/>
            <w:gridSpan w:val="2"/>
          </w:tcPr>
          <w:p>
            <w:pPr>
              <w:jc w:val="center"/>
              <w:ind w:left="1430"/>
              <w:spacing w:after="0"/>
              <w:rPr>
                <w:sz w:val="20"/>
                <w:szCs w:val="20"/>
                <w:color w:val="auto"/>
              </w:rPr>
            </w:pPr>
            <w:r>
              <w:rPr>
                <w:rFonts w:ascii="Arial" w:cs="Arial" w:eastAsia="Arial" w:hAnsi="Arial"/>
                <w:sz w:val="18"/>
                <w:szCs w:val="18"/>
                <w:color w:val="auto"/>
                <w:w w:val="89"/>
              </w:rPr>
              <w:t>Name of each exchange on which registered</w:t>
            </w:r>
          </w:p>
        </w:tc>
      </w:tr>
      <w:tr>
        <w:trPr>
          <w:trHeight w:val="20"/>
        </w:trPr>
        <w:tc>
          <w:tcPr>
            <w:tcW w:w="6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91"/>
        </w:trPr>
        <w:tc>
          <w:tcPr>
            <w:tcW w:w="4140" w:type="dxa"/>
            <w:vAlign w:val="bottom"/>
            <w:gridSpan w:val="3"/>
          </w:tcPr>
          <w:p>
            <w:pPr>
              <w:jc w:val="center"/>
              <w:ind w:right="1520"/>
              <w:spacing w:after="0"/>
              <w:rPr>
                <w:sz w:val="20"/>
                <w:szCs w:val="20"/>
                <w:color w:val="auto"/>
              </w:rPr>
            </w:pPr>
            <w:r>
              <w:rPr>
                <w:rFonts w:ascii="Arial" w:cs="Arial" w:eastAsia="Arial" w:hAnsi="Arial"/>
                <w:sz w:val="18"/>
                <w:szCs w:val="18"/>
                <w:b w:val="1"/>
                <w:bCs w:val="1"/>
                <w:color w:val="auto"/>
                <w:w w:val="90"/>
              </w:rPr>
              <w:t>Common stock, without par value</w:t>
            </w:r>
          </w:p>
        </w:tc>
        <w:tc>
          <w:tcPr>
            <w:tcW w:w="1520" w:type="dxa"/>
            <w:vAlign w:val="bottom"/>
          </w:tcPr>
          <w:p>
            <w:pPr>
              <w:spacing w:after="0"/>
              <w:rPr>
                <w:sz w:val="24"/>
                <w:szCs w:val="24"/>
                <w:color w:val="auto"/>
              </w:rPr>
            </w:pPr>
          </w:p>
        </w:tc>
        <w:tc>
          <w:tcPr>
            <w:tcW w:w="318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r>
    </w:tbl>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color w:val="auto"/>
        </w:rPr>
        <w:t>None</w:t>
      </w:r>
    </w:p>
    <w:p>
      <w:pPr>
        <w:spacing w:after="0" w:line="34" w:lineRule="exact"/>
        <w:rPr>
          <w:sz w:val="24"/>
          <w:szCs w:val="24"/>
          <w:color w:val="auto"/>
        </w:rPr>
      </w:pPr>
    </w:p>
    <w:p>
      <w:pPr>
        <w:ind w:right="1700"/>
        <w:spacing w:after="0" w:line="276"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1"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jc w:val="both"/>
        <w:ind w:right="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right="60"/>
        <w:spacing w:after="0" w:line="221"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2" w:lineRule="exact"/>
        <w:rPr>
          <w:sz w:val="24"/>
          <w:szCs w:val="24"/>
          <w:color w:val="auto"/>
        </w:rPr>
      </w:pPr>
    </w:p>
    <w:p>
      <w:pPr>
        <w:ind w:right="40"/>
        <w:spacing w:after="0" w:line="25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pacing w:after="0" w:line="104" w:lineRule="exact"/>
        <w:rPr>
          <w:sz w:val="24"/>
          <w:szCs w:val="24"/>
          <w:color w:val="auto"/>
        </w:rPr>
      </w:pPr>
    </w:p>
    <w:p>
      <w:pPr>
        <w:ind w:left="40"/>
        <w:spacing w:after="0" w:line="207" w:lineRule="exact"/>
        <w:tabs>
          <w:tab w:leader="none" w:pos="744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76" w:lineRule="exact"/>
        <w:rPr>
          <w:sz w:val="24"/>
          <w:szCs w:val="24"/>
          <w:color w:val="auto"/>
        </w:rPr>
      </w:pPr>
    </w:p>
    <w:p>
      <w:pPr>
        <w:ind w:left="40"/>
        <w:spacing w:after="0" w:line="207" w:lineRule="exact"/>
        <w:tabs>
          <w:tab w:leader="none" w:pos="7440" w:val="left"/>
        </w:tabs>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63" w:lineRule="exact"/>
        <w:rPr>
          <w:sz w:val="24"/>
          <w:szCs w:val="24"/>
          <w:color w:val="auto"/>
        </w:rPr>
      </w:pPr>
    </w:p>
    <w:p>
      <w:pPr>
        <w:ind w:left="74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10"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3" w:lineRule="exact"/>
        <w:rPr>
          <w:sz w:val="24"/>
          <w:szCs w:val="24"/>
          <w:color w:val="auto"/>
        </w:rPr>
      </w:pPr>
    </w:p>
    <w:p>
      <w:pPr>
        <w:ind w:right="340"/>
        <w:spacing w:after="0" w:line="314" w:lineRule="auto"/>
        <w:rPr>
          <w:sz w:val="20"/>
          <w:szCs w:val="20"/>
          <w:color w:val="auto"/>
        </w:rPr>
      </w:pPr>
      <w:r>
        <w:rPr>
          <w:rFonts w:ascii="Arial" w:cs="Arial" w:eastAsia="Arial" w:hAnsi="Arial"/>
          <w:sz w:val="16"/>
          <w:szCs w:val="16"/>
          <w:color w:val="auto"/>
        </w:rPr>
        <w:t>As of July 28, 2017 the aggregate market value of the Registrant’s voting and non-voting stock held by non-affiliates of the Registrant was approximately $6.4 billion using the closing sales price on that day of $48.56. On March 12, 2018, 167,790,511 shares of common stock were outstanding.</w:t>
      </w:r>
    </w:p>
    <w:p>
      <w:pPr>
        <w:spacing w:after="0" w:line="1"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DOCUMENTS INCORPORATED BY REFERENCE</w:t>
      </w:r>
    </w:p>
    <w:p>
      <w:pPr>
        <w:spacing w:after="0" w:line="27" w:lineRule="exact"/>
        <w:rPr>
          <w:sz w:val="24"/>
          <w:szCs w:val="24"/>
          <w:color w:val="auto"/>
        </w:rPr>
      </w:pPr>
    </w:p>
    <w:p>
      <w:pPr>
        <w:spacing w:after="0"/>
        <w:rPr>
          <w:sz w:val="20"/>
          <w:szCs w:val="20"/>
          <w:color w:val="auto"/>
        </w:rPr>
      </w:pPr>
      <w:r>
        <w:rPr>
          <w:rFonts w:ascii="Arial" w:cs="Arial" w:eastAsia="Arial" w:hAnsi="Arial"/>
          <w:sz w:val="17"/>
          <w:szCs w:val="17"/>
          <w:color w:val="auto"/>
        </w:rPr>
        <w:t>Portions of the Proxy Statement for the 2018 Annual Meeting of Shareholders scheduled to be held on May 29, 2018 are incorporated into Part III.</w:t>
      </w:r>
    </w:p>
    <w:p>
      <w:pPr>
        <w:sectPr>
          <w:pgSz w:w="11900" w:h="16838" w:orient="portrait"/>
          <w:cols w:equalWidth="0" w:num="1">
            <w:col w:w="11420"/>
          </w:cols>
          <w:pgMar w:left="240" w:top="234" w:right="239" w:bottom="1440" w:gutter="0" w:footer="0" w:header="0"/>
        </w:sectPr>
      </w:pPr>
    </w:p>
    <w:p>
      <w:pPr>
        <w:spacing w:after="0" w:line="200" w:lineRule="exact"/>
        <w:rPr>
          <w:sz w:val="24"/>
          <w:szCs w:val="24"/>
          <w:color w:val="auto"/>
        </w:rPr>
      </w:pPr>
    </w:p>
    <w:p>
      <w:pPr>
        <w:spacing w:after="0" w:line="216" w:lineRule="exact"/>
        <w:rPr>
          <w:sz w:val="24"/>
          <w:szCs w:val="24"/>
          <w:color w:val="auto"/>
        </w:rPr>
      </w:pPr>
    </w:p>
    <w:p>
      <w:pPr>
        <w:ind w:left="9660"/>
        <w:spacing w:after="0"/>
        <w:rPr>
          <w:sz w:val="20"/>
          <w:szCs w:val="20"/>
          <w:color w:val="auto"/>
        </w:rPr>
      </w:pPr>
      <w:r>
        <w:rPr>
          <w:rFonts w:ascii="Arial" w:cs="Arial" w:eastAsia="Arial" w:hAnsi="Arial"/>
          <w:sz w:val="11"/>
          <w:szCs w:val="11"/>
          <w:color w:val="auto"/>
        </w:rPr>
        <w:t xml:space="preserve">Nordstrom, Inc. and subsidiaries </w:t>
      </w:r>
      <w:r>
        <w:rPr>
          <w:rFonts w:ascii="Arial" w:cs="Arial" w:eastAsia="Arial" w:hAnsi="Arial"/>
          <w:sz w:val="14"/>
          <w:szCs w:val="14"/>
          <w:color w:val="auto"/>
        </w:rPr>
        <w:t>1</w:t>
      </w:r>
    </w:p>
    <w:p>
      <w:pPr>
        <w:sectPr>
          <w:pgSz w:w="11900" w:h="16838" w:orient="portrait"/>
          <w:cols w:equalWidth="0" w:num="1">
            <w:col w:w="11420"/>
          </w:cols>
          <w:pgMar w:left="240" w:top="234" w:right="239" w:bottom="1440" w:gutter="0" w:footer="0" w:header="0"/>
          <w:type w:val="continuous"/>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[This page intentionally left blank.]</w:t>
      </w:r>
    </w:p>
    <w:p>
      <w:pPr>
        <w:sectPr>
          <w:pgSz w:w="11900" w:h="16838" w:orient="portrait"/>
          <w:cols w:equalWidth="0" w:num="1">
            <w:col w:w="9019"/>
          </w:cols>
          <w:pgMar w:left="1440" w:top="1440" w:right="1440" w:bottom="1440" w:gutter="0" w:footer="0" w:header="0"/>
        </w:sectPr>
      </w:pPr>
    </w:p>
    <w:bookmarkStart w:id="2" w:name="page3"/>
    <w:bookmarkEnd w:id="2"/>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TABLE OF CONTENTS</w:t>
      </w:r>
    </w:p>
    <w:p>
      <w:pPr>
        <w:spacing w:after="0" w:line="5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b w:val="1"/>
                <w:bCs w:val="1"/>
                <w:color w:val="auto"/>
              </w:rPr>
              <w:t>Page</w:t>
            </w:r>
          </w:p>
        </w:tc>
      </w:tr>
      <w:tr>
        <w:trPr>
          <w:trHeight w:val="230"/>
        </w:trPr>
        <w:tc>
          <w:tcPr>
            <w:tcW w:w="1060" w:type="dxa"/>
            <w:vAlign w:val="bottom"/>
            <w:gridSpan w:val="6"/>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w:t>
              </w:r>
            </w:hyperlink>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060" w:type="dxa"/>
            <w:vAlign w:val="bottom"/>
            <w:gridSpan w:val="6"/>
          </w:tcPr>
          <w:p>
            <w:pPr>
              <w:ind w:left="140"/>
              <w:spacing w:after="0"/>
              <w:rPr>
                <w:sz w:val="20"/>
                <w:szCs w:val="20"/>
                <w:color w:val="auto"/>
              </w:rPr>
            </w:pPr>
            <w:r>
              <w:rPr>
                <w:rFonts w:ascii="Arial" w:cs="Arial" w:eastAsia="Arial" w:hAnsi="Arial"/>
                <w:sz w:val="18"/>
                <w:szCs w:val="18"/>
                <w:color w:val="auto"/>
              </w:rPr>
              <w:t>Item 1.</w:t>
            </w:r>
          </w:p>
        </w:tc>
        <w:tc>
          <w:tcPr>
            <w:tcW w:w="8940" w:type="dxa"/>
            <w:vAlign w:val="bottom"/>
            <w:gridSpan w:val="2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1220" w:type="dxa"/>
            <w:vAlign w:val="bottom"/>
            <w:gridSpan w:val="3"/>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1060" w:type="dxa"/>
            <w:vAlign w:val="bottom"/>
            <w:gridSpan w:val="6"/>
          </w:tcPr>
          <w:p>
            <w:pPr>
              <w:ind w:left="140"/>
              <w:spacing w:after="0"/>
              <w:rPr>
                <w:sz w:val="20"/>
                <w:szCs w:val="20"/>
                <w:color w:val="auto"/>
              </w:rPr>
            </w:pPr>
            <w:r>
              <w:rPr>
                <w:rFonts w:ascii="Arial" w:cs="Arial" w:eastAsia="Arial" w:hAnsi="Arial"/>
                <w:sz w:val="18"/>
                <w:szCs w:val="18"/>
                <w:color w:val="auto"/>
              </w:rPr>
              <w:t>Item 1A.</w:t>
            </w:r>
          </w:p>
        </w:tc>
        <w:tc>
          <w:tcPr>
            <w:tcW w:w="920" w:type="dxa"/>
            <w:vAlign w:val="bottom"/>
            <w:tcBorders>
              <w:bottom w:val="single" w:sz="8" w:color="0000EE"/>
            </w:tcBorders>
            <w:gridSpan w:val="3"/>
          </w:tcPr>
          <w:p>
            <w:pPr>
              <w:spacing w:after="0"/>
              <w:rPr>
                <w:rFonts w:ascii="Arial" w:cs="Arial" w:eastAsia="Arial" w:hAnsi="Arial"/>
                <w:sz w:val="18"/>
                <w:szCs w:val="18"/>
                <w:color w:val="0000EE"/>
                <w:w w:val="85"/>
              </w:rPr>
            </w:pPr>
            <w:hyperlink w:anchor="page7">
              <w:r>
                <w:rPr>
                  <w:rFonts w:ascii="Arial" w:cs="Arial" w:eastAsia="Arial" w:hAnsi="Arial"/>
                  <w:sz w:val="18"/>
                  <w:szCs w:val="18"/>
                  <w:color w:val="0000EE"/>
                  <w:w w:val="85"/>
                </w:rPr>
                <w:t>Risk Factors.</w:t>
              </w:r>
            </w:hyperlink>
          </w:p>
        </w:tc>
        <w:tc>
          <w:tcPr>
            <w:tcW w:w="8020" w:type="dxa"/>
            <w:vAlign w:val="bottom"/>
            <w:gridSpan w:val="17"/>
          </w:tcPr>
          <w:p>
            <w:pPr>
              <w:spacing w:after="0"/>
              <w:rPr>
                <w:sz w:val="21"/>
                <w:szCs w:val="21"/>
                <w:color w:val="auto"/>
              </w:rPr>
            </w:pPr>
          </w:p>
        </w:tc>
        <w:tc>
          <w:tcPr>
            <w:tcW w:w="112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r>
      <w:tr>
        <w:trPr>
          <w:trHeight w:val="250"/>
        </w:trPr>
        <w:tc>
          <w:tcPr>
            <w:tcW w:w="1060" w:type="dxa"/>
            <w:vAlign w:val="bottom"/>
            <w:gridSpan w:val="6"/>
          </w:tcPr>
          <w:p>
            <w:pPr>
              <w:ind w:left="140"/>
              <w:spacing w:after="0"/>
              <w:rPr>
                <w:sz w:val="20"/>
                <w:szCs w:val="20"/>
                <w:color w:val="auto"/>
              </w:rPr>
            </w:pPr>
            <w:r>
              <w:rPr>
                <w:rFonts w:ascii="Arial" w:cs="Arial" w:eastAsia="Arial" w:hAnsi="Arial"/>
                <w:sz w:val="18"/>
                <w:szCs w:val="18"/>
                <w:color w:val="auto"/>
              </w:rPr>
              <w:t>Item 1B.</w:t>
            </w:r>
          </w:p>
        </w:tc>
        <w:tc>
          <w:tcPr>
            <w:tcW w:w="206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11">
              <w:r>
                <w:rPr>
                  <w:rFonts w:ascii="Arial" w:cs="Arial" w:eastAsia="Arial" w:hAnsi="Arial"/>
                  <w:sz w:val="18"/>
                  <w:szCs w:val="18"/>
                  <w:color w:val="0000EE"/>
                  <w:w w:val="88"/>
                </w:rPr>
                <w:t>Unresolved Staff Comments.</w:t>
              </w:r>
            </w:hyperlink>
          </w:p>
        </w:tc>
        <w:tc>
          <w:tcPr>
            <w:tcW w:w="6880" w:type="dxa"/>
            <w:vAlign w:val="bottom"/>
            <w:gridSpan w:val="12"/>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1">
              <w:r>
                <w:rPr>
                  <w:rFonts w:ascii="Arial" w:cs="Arial" w:eastAsia="Arial" w:hAnsi="Arial"/>
                  <w:sz w:val="18"/>
                  <w:szCs w:val="18"/>
                  <w:color w:val="0000EE"/>
                  <w:w w:val="79"/>
                </w:rPr>
                <w:t>11</w:t>
              </w:r>
            </w:hyperlink>
          </w:p>
        </w:tc>
      </w:tr>
      <w:tr>
        <w:trPr>
          <w:trHeight w:val="250"/>
        </w:trPr>
        <w:tc>
          <w:tcPr>
            <w:tcW w:w="1060" w:type="dxa"/>
            <w:vAlign w:val="bottom"/>
            <w:gridSpan w:val="6"/>
          </w:tcPr>
          <w:p>
            <w:pPr>
              <w:ind w:left="140"/>
              <w:spacing w:after="0"/>
              <w:rPr>
                <w:sz w:val="20"/>
                <w:szCs w:val="20"/>
                <w:color w:val="auto"/>
              </w:rPr>
            </w:pPr>
            <w:r>
              <w:rPr>
                <w:rFonts w:ascii="Arial" w:cs="Arial" w:eastAsia="Arial" w:hAnsi="Arial"/>
                <w:sz w:val="18"/>
                <w:szCs w:val="18"/>
                <w:color w:val="auto"/>
              </w:rPr>
              <w:t>Item 2.</w:t>
            </w:r>
          </w:p>
        </w:tc>
        <w:tc>
          <w:tcPr>
            <w:tcW w:w="740" w:type="dxa"/>
            <w:vAlign w:val="bottom"/>
            <w:gridSpan w:val="2"/>
          </w:tcPr>
          <w:p>
            <w:pPr>
              <w:spacing w:after="0"/>
              <w:rPr>
                <w:rFonts w:ascii="Arial" w:cs="Arial" w:eastAsia="Arial" w:hAnsi="Arial"/>
                <w:sz w:val="18"/>
                <w:szCs w:val="18"/>
                <w:color w:val="0000EE"/>
                <w:w w:val="82"/>
              </w:rPr>
            </w:pPr>
            <w:hyperlink w:anchor="page12">
              <w:r>
                <w:rPr>
                  <w:rFonts w:ascii="Arial" w:cs="Arial" w:eastAsia="Arial" w:hAnsi="Arial"/>
                  <w:sz w:val="18"/>
                  <w:szCs w:val="18"/>
                  <w:color w:val="0000EE"/>
                  <w:w w:val="82"/>
                </w:rPr>
                <w:t>Properties.</w:t>
              </w:r>
            </w:hyperlink>
          </w:p>
        </w:tc>
        <w:tc>
          <w:tcPr>
            <w:tcW w:w="8200" w:type="dxa"/>
            <w:vAlign w:val="bottom"/>
            <w:gridSpan w:val="18"/>
          </w:tcPr>
          <w:p>
            <w:pPr>
              <w:spacing w:after="0"/>
              <w:rPr>
                <w:sz w:val="21"/>
                <w:szCs w:val="21"/>
                <w:color w:val="auto"/>
              </w:rPr>
            </w:pPr>
          </w:p>
        </w:tc>
        <w:tc>
          <w:tcPr>
            <w:tcW w:w="1220" w:type="dxa"/>
            <w:vAlign w:val="bottom"/>
            <w:gridSpan w:val="3"/>
          </w:tcPr>
          <w:p>
            <w:pPr>
              <w:jc w:val="right"/>
              <w:spacing w:after="0"/>
              <w:rPr>
                <w:rFonts w:ascii="Arial" w:cs="Arial" w:eastAsia="Arial" w:hAnsi="Arial"/>
                <w:sz w:val="18"/>
                <w:szCs w:val="18"/>
                <w:color w:val="0000EE"/>
              </w:rPr>
            </w:pPr>
            <w:hyperlink w:anchor="page12">
              <w:r>
                <w:rPr>
                  <w:rFonts w:ascii="Arial" w:cs="Arial" w:eastAsia="Arial" w:hAnsi="Arial"/>
                  <w:sz w:val="18"/>
                  <w:szCs w:val="18"/>
                  <w:color w:val="0000EE"/>
                </w:rPr>
                <w:t>12</w:t>
              </w:r>
            </w:hyperlink>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60" w:type="dxa"/>
            <w:vAlign w:val="bottom"/>
            <w:gridSpan w:val="6"/>
          </w:tcPr>
          <w:p>
            <w:pPr>
              <w:ind w:left="140"/>
              <w:spacing w:after="0"/>
              <w:rPr>
                <w:sz w:val="20"/>
                <w:szCs w:val="20"/>
                <w:color w:val="auto"/>
              </w:rPr>
            </w:pPr>
            <w:r>
              <w:rPr>
                <w:rFonts w:ascii="Arial" w:cs="Arial" w:eastAsia="Arial" w:hAnsi="Arial"/>
                <w:sz w:val="18"/>
                <w:szCs w:val="18"/>
                <w:color w:val="auto"/>
              </w:rPr>
              <w:t>Item 3.</w:t>
            </w:r>
          </w:p>
        </w:tc>
        <w:tc>
          <w:tcPr>
            <w:tcW w:w="8940" w:type="dxa"/>
            <w:vAlign w:val="bottom"/>
            <w:gridSpan w:val="20"/>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Legal Proceedings.</w:t>
              </w:r>
            </w:hyperlink>
          </w:p>
        </w:tc>
        <w:tc>
          <w:tcPr>
            <w:tcW w:w="1220" w:type="dxa"/>
            <w:vAlign w:val="bottom"/>
            <w:gridSpan w:val="3"/>
          </w:tcPr>
          <w:p>
            <w:pPr>
              <w:jc w:val="right"/>
              <w:spacing w:after="0"/>
              <w:rPr>
                <w:rFonts w:ascii="Arial" w:cs="Arial" w:eastAsia="Arial" w:hAnsi="Arial"/>
                <w:sz w:val="18"/>
                <w:szCs w:val="18"/>
                <w:color w:val="0000EE"/>
              </w:rPr>
            </w:pPr>
            <w:hyperlink w:anchor="page14">
              <w:r>
                <w:rPr>
                  <w:rFonts w:ascii="Arial" w:cs="Arial" w:eastAsia="Arial" w:hAnsi="Arial"/>
                  <w:sz w:val="18"/>
                  <w:szCs w:val="18"/>
                  <w:color w:val="0000EE"/>
                </w:rPr>
                <w:t>14</w:t>
              </w:r>
            </w:hyperlink>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60" w:type="dxa"/>
            <w:vAlign w:val="bottom"/>
            <w:gridSpan w:val="6"/>
          </w:tcPr>
          <w:p>
            <w:pPr>
              <w:ind w:left="140"/>
              <w:spacing w:after="0"/>
              <w:rPr>
                <w:sz w:val="20"/>
                <w:szCs w:val="20"/>
                <w:color w:val="auto"/>
              </w:rPr>
            </w:pPr>
            <w:r>
              <w:rPr>
                <w:rFonts w:ascii="Arial" w:cs="Arial" w:eastAsia="Arial" w:hAnsi="Arial"/>
                <w:sz w:val="18"/>
                <w:szCs w:val="18"/>
                <w:color w:val="auto"/>
              </w:rPr>
              <w:t>Item 4.</w:t>
            </w:r>
          </w:p>
        </w:tc>
        <w:tc>
          <w:tcPr>
            <w:tcW w:w="8940" w:type="dxa"/>
            <w:vAlign w:val="bottom"/>
            <w:gridSpan w:val="20"/>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Mine Safety Disclosures.</w:t>
              </w:r>
            </w:hyperlink>
          </w:p>
        </w:tc>
        <w:tc>
          <w:tcPr>
            <w:tcW w:w="1220" w:type="dxa"/>
            <w:vAlign w:val="bottom"/>
            <w:gridSpan w:val="3"/>
          </w:tcPr>
          <w:p>
            <w:pPr>
              <w:jc w:val="right"/>
              <w:spacing w:after="0"/>
              <w:rPr>
                <w:rFonts w:ascii="Arial" w:cs="Arial" w:eastAsia="Arial" w:hAnsi="Arial"/>
                <w:sz w:val="18"/>
                <w:szCs w:val="18"/>
                <w:color w:val="0000EE"/>
              </w:rPr>
            </w:pPr>
            <w:hyperlink w:anchor="page14">
              <w:r>
                <w:rPr>
                  <w:rFonts w:ascii="Arial" w:cs="Arial" w:eastAsia="Arial" w:hAnsi="Arial"/>
                  <w:sz w:val="18"/>
                  <w:szCs w:val="18"/>
                  <w:color w:val="0000EE"/>
                </w:rPr>
                <w:t>14</w:t>
              </w:r>
            </w:hyperlink>
          </w:p>
        </w:tc>
      </w:tr>
      <w:tr>
        <w:trPr>
          <w:trHeight w:val="547"/>
        </w:trPr>
        <w:tc>
          <w:tcPr>
            <w:tcW w:w="660" w:type="dxa"/>
            <w:vAlign w:val="bottom"/>
            <w:tcBorders>
              <w:bottom w:val="single" w:sz="8" w:color="0000EE"/>
            </w:tcBorders>
            <w:gridSpan w:val="2"/>
          </w:tcPr>
          <w:p>
            <w:pPr>
              <w:spacing w:after="0"/>
              <w:rPr>
                <w:rFonts w:ascii="Arial" w:cs="Arial" w:eastAsia="Arial" w:hAnsi="Arial"/>
                <w:sz w:val="18"/>
                <w:szCs w:val="18"/>
                <w:b w:val="1"/>
                <w:bCs w:val="1"/>
                <w:color w:val="0000EE"/>
                <w:w w:val="99"/>
              </w:rPr>
            </w:pPr>
            <w:hyperlink w:anchor="page15">
              <w:r>
                <w:rPr>
                  <w:rFonts w:ascii="Arial" w:cs="Arial" w:eastAsia="Arial" w:hAnsi="Arial"/>
                  <w:sz w:val="18"/>
                  <w:szCs w:val="18"/>
                  <w:b w:val="1"/>
                  <w:bCs w:val="1"/>
                  <w:color w:val="0000EE"/>
                  <w:w w:val="99"/>
                </w:rPr>
                <w:t>PART II</w:t>
              </w:r>
            </w:hyperlink>
          </w:p>
        </w:tc>
        <w:tc>
          <w:tcPr>
            <w:tcW w:w="400" w:type="dxa"/>
            <w:vAlign w:val="bottom"/>
            <w:gridSpan w:val="4"/>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250"/>
        </w:trPr>
        <w:tc>
          <w:tcPr>
            <w:tcW w:w="1060" w:type="dxa"/>
            <w:vAlign w:val="bottom"/>
            <w:gridSpan w:val="6"/>
          </w:tcPr>
          <w:p>
            <w:pPr>
              <w:ind w:left="140"/>
              <w:spacing w:after="0"/>
              <w:rPr>
                <w:sz w:val="20"/>
                <w:szCs w:val="20"/>
                <w:color w:val="auto"/>
              </w:rPr>
            </w:pPr>
            <w:r>
              <w:rPr>
                <w:rFonts w:ascii="Arial" w:cs="Arial" w:eastAsia="Arial" w:hAnsi="Arial"/>
                <w:sz w:val="18"/>
                <w:szCs w:val="18"/>
                <w:color w:val="auto"/>
              </w:rPr>
              <w:t>Item 5.</w:t>
            </w:r>
          </w:p>
        </w:tc>
        <w:tc>
          <w:tcPr>
            <w:tcW w:w="8940" w:type="dxa"/>
            <w:vAlign w:val="bottom"/>
            <w:gridSpan w:val="20"/>
          </w:tcPr>
          <w:p>
            <w:pPr>
              <w:spacing w:after="0"/>
              <w:rPr>
                <w:rFonts w:ascii="Arial" w:cs="Arial" w:eastAsia="Arial" w:hAnsi="Arial"/>
                <w:sz w:val="18"/>
                <w:szCs w:val="18"/>
                <w:color w:val="0000EE"/>
                <w:w w:val="99"/>
              </w:rPr>
            </w:pPr>
            <w:hyperlink w:anchor="page15">
              <w:r>
                <w:rPr>
                  <w:rFonts w:ascii="Arial" w:cs="Arial" w:eastAsia="Arial" w:hAnsi="Arial"/>
                  <w:sz w:val="18"/>
                  <w:szCs w:val="18"/>
                  <w:color w:val="0000EE"/>
                  <w:w w:val="99"/>
                </w:rPr>
                <w:t>Market for Registrant’s Common Equity, Related Shareholder Matters and Issuer Purchases of Equity Securities.</w:t>
              </w:r>
            </w:hyperlink>
          </w:p>
        </w:tc>
        <w:tc>
          <w:tcPr>
            <w:tcW w:w="1220" w:type="dxa"/>
            <w:vAlign w:val="bottom"/>
            <w:gridSpan w:val="3"/>
          </w:tcPr>
          <w:p>
            <w:pPr>
              <w:jc w:val="right"/>
              <w:spacing w:after="0"/>
              <w:rPr>
                <w:rFonts w:ascii="Arial" w:cs="Arial" w:eastAsia="Arial" w:hAnsi="Arial"/>
                <w:sz w:val="18"/>
                <w:szCs w:val="18"/>
                <w:color w:val="0000EE"/>
              </w:rPr>
            </w:pPr>
            <w:hyperlink w:anchor="page15">
              <w:r>
                <w:rPr>
                  <w:rFonts w:ascii="Arial" w:cs="Arial" w:eastAsia="Arial" w:hAnsi="Arial"/>
                  <w:sz w:val="18"/>
                  <w:szCs w:val="18"/>
                  <w:color w:val="0000EE"/>
                </w:rPr>
                <w:t>15</w:t>
              </w:r>
            </w:hyperlink>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60" w:type="dxa"/>
            <w:vAlign w:val="bottom"/>
            <w:gridSpan w:val="6"/>
          </w:tcPr>
          <w:p>
            <w:pPr>
              <w:ind w:left="140"/>
              <w:spacing w:after="0"/>
              <w:rPr>
                <w:sz w:val="20"/>
                <w:szCs w:val="20"/>
                <w:color w:val="auto"/>
              </w:rPr>
            </w:pPr>
            <w:r>
              <w:rPr>
                <w:rFonts w:ascii="Arial" w:cs="Arial" w:eastAsia="Arial" w:hAnsi="Arial"/>
                <w:sz w:val="18"/>
                <w:szCs w:val="18"/>
                <w:color w:val="auto"/>
              </w:rPr>
              <w:t>Item 6.</w:t>
            </w:r>
          </w:p>
        </w:tc>
        <w:tc>
          <w:tcPr>
            <w:tcW w:w="1720" w:type="dxa"/>
            <w:vAlign w:val="bottom"/>
            <w:gridSpan w:val="5"/>
          </w:tcPr>
          <w:p>
            <w:pPr>
              <w:spacing w:after="0"/>
              <w:rPr>
                <w:rFonts w:ascii="Arial" w:cs="Arial" w:eastAsia="Arial" w:hAnsi="Arial"/>
                <w:sz w:val="18"/>
                <w:szCs w:val="18"/>
                <w:color w:val="0000EE"/>
                <w:w w:val="87"/>
              </w:rPr>
            </w:pPr>
            <w:hyperlink w:anchor="page17">
              <w:r>
                <w:rPr>
                  <w:rFonts w:ascii="Arial" w:cs="Arial" w:eastAsia="Arial" w:hAnsi="Arial"/>
                  <w:sz w:val="18"/>
                  <w:szCs w:val="18"/>
                  <w:color w:val="0000EE"/>
                  <w:w w:val="87"/>
                </w:rPr>
                <w:t>Selected Financial Data.</w:t>
              </w:r>
            </w:hyperlink>
          </w:p>
        </w:tc>
        <w:tc>
          <w:tcPr>
            <w:tcW w:w="6360" w:type="dxa"/>
            <w:vAlign w:val="bottom"/>
            <w:gridSpan w:val="14"/>
          </w:tcPr>
          <w:p>
            <w:pPr>
              <w:spacing w:after="0"/>
              <w:rPr>
                <w:sz w:val="21"/>
                <w:szCs w:val="21"/>
                <w:color w:val="auto"/>
              </w:rPr>
            </w:pPr>
          </w:p>
        </w:tc>
        <w:tc>
          <w:tcPr>
            <w:tcW w:w="860" w:type="dxa"/>
            <w:vAlign w:val="bottom"/>
          </w:tcPr>
          <w:p>
            <w:pPr>
              <w:spacing w:after="0"/>
              <w:rPr>
                <w:sz w:val="21"/>
                <w:szCs w:val="21"/>
                <w:color w:val="auto"/>
              </w:rPr>
            </w:pPr>
          </w:p>
        </w:tc>
        <w:tc>
          <w:tcPr>
            <w:tcW w:w="1220" w:type="dxa"/>
            <w:vAlign w:val="bottom"/>
            <w:gridSpan w:val="3"/>
          </w:tcPr>
          <w:p>
            <w:pPr>
              <w:jc w:val="right"/>
              <w:spacing w:after="0"/>
              <w:rPr>
                <w:rFonts w:ascii="Arial" w:cs="Arial" w:eastAsia="Arial" w:hAnsi="Arial"/>
                <w:sz w:val="18"/>
                <w:szCs w:val="18"/>
                <w:color w:val="0000EE"/>
              </w:rPr>
            </w:pPr>
            <w:hyperlink w:anchor="page17">
              <w:r>
                <w:rPr>
                  <w:rFonts w:ascii="Arial" w:cs="Arial" w:eastAsia="Arial" w:hAnsi="Arial"/>
                  <w:sz w:val="18"/>
                  <w:szCs w:val="18"/>
                  <w:color w:val="0000EE"/>
                </w:rPr>
                <w:t>17</w:t>
              </w:r>
            </w:hyperlink>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60" w:type="dxa"/>
            <w:vAlign w:val="bottom"/>
            <w:gridSpan w:val="6"/>
          </w:tcPr>
          <w:p>
            <w:pPr>
              <w:ind w:left="140"/>
              <w:spacing w:after="0"/>
              <w:rPr>
                <w:sz w:val="20"/>
                <w:szCs w:val="20"/>
                <w:color w:val="auto"/>
              </w:rPr>
            </w:pPr>
            <w:r>
              <w:rPr>
                <w:rFonts w:ascii="Arial" w:cs="Arial" w:eastAsia="Arial" w:hAnsi="Arial"/>
                <w:sz w:val="18"/>
                <w:szCs w:val="18"/>
                <w:color w:val="auto"/>
              </w:rPr>
              <w:t>Item 7.</w:t>
            </w:r>
          </w:p>
        </w:tc>
        <w:tc>
          <w:tcPr>
            <w:tcW w:w="8940" w:type="dxa"/>
            <w:vAlign w:val="bottom"/>
            <w:gridSpan w:val="20"/>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Management’s Discussion and Analysis of Financial Condition and Results of Operations.</w:t>
              </w:r>
            </w:hyperlink>
          </w:p>
        </w:tc>
        <w:tc>
          <w:tcPr>
            <w:tcW w:w="1220" w:type="dxa"/>
            <w:vAlign w:val="bottom"/>
            <w:gridSpan w:val="3"/>
          </w:tcPr>
          <w:p>
            <w:pPr>
              <w:jc w:val="right"/>
              <w:spacing w:after="0"/>
              <w:rPr>
                <w:rFonts w:ascii="Arial" w:cs="Arial" w:eastAsia="Arial" w:hAnsi="Arial"/>
                <w:sz w:val="18"/>
                <w:szCs w:val="18"/>
                <w:color w:val="0000EE"/>
              </w:rPr>
            </w:pPr>
            <w:hyperlink w:anchor="page18">
              <w:r>
                <w:rPr>
                  <w:rFonts w:ascii="Arial" w:cs="Arial" w:eastAsia="Arial" w:hAnsi="Arial"/>
                  <w:sz w:val="18"/>
                  <w:szCs w:val="18"/>
                  <w:color w:val="0000EE"/>
                </w:rPr>
                <w:t>18</w:t>
              </w:r>
            </w:hyperlink>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60" w:type="dxa"/>
            <w:vAlign w:val="bottom"/>
            <w:gridSpan w:val="6"/>
          </w:tcPr>
          <w:p>
            <w:pPr>
              <w:ind w:left="140"/>
              <w:spacing w:after="0"/>
              <w:rPr>
                <w:sz w:val="20"/>
                <w:szCs w:val="20"/>
                <w:color w:val="auto"/>
              </w:rPr>
            </w:pPr>
            <w:r>
              <w:rPr>
                <w:rFonts w:ascii="Arial" w:cs="Arial" w:eastAsia="Arial" w:hAnsi="Arial"/>
                <w:sz w:val="18"/>
                <w:szCs w:val="18"/>
                <w:color w:val="auto"/>
              </w:rPr>
              <w:t>Item 7A.</w:t>
            </w:r>
          </w:p>
        </w:tc>
        <w:tc>
          <w:tcPr>
            <w:tcW w:w="6460" w:type="dxa"/>
            <w:vAlign w:val="bottom"/>
            <w:gridSpan w:val="16"/>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Quantitative and Qualitative Disclosures About Market Risk.</w:t>
              </w:r>
            </w:hyperlink>
          </w:p>
        </w:tc>
        <w:tc>
          <w:tcPr>
            <w:tcW w:w="2480" w:type="dxa"/>
            <w:vAlign w:val="bottom"/>
            <w:gridSpan w:val="4"/>
          </w:tcPr>
          <w:p>
            <w:pPr>
              <w:spacing w:after="0"/>
              <w:rPr>
                <w:sz w:val="21"/>
                <w:szCs w:val="21"/>
                <w:color w:val="auto"/>
              </w:rPr>
            </w:pPr>
          </w:p>
        </w:tc>
        <w:tc>
          <w:tcPr>
            <w:tcW w:w="1220" w:type="dxa"/>
            <w:vAlign w:val="bottom"/>
            <w:gridSpan w:val="3"/>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35</w:t>
              </w:r>
            </w:hyperlink>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60" w:type="dxa"/>
            <w:vAlign w:val="bottom"/>
            <w:gridSpan w:val="6"/>
          </w:tcPr>
          <w:p>
            <w:pPr>
              <w:ind w:left="140"/>
              <w:spacing w:after="0"/>
              <w:rPr>
                <w:sz w:val="20"/>
                <w:szCs w:val="20"/>
                <w:color w:val="auto"/>
              </w:rPr>
            </w:pPr>
            <w:r>
              <w:rPr>
                <w:rFonts w:ascii="Arial" w:cs="Arial" w:eastAsia="Arial" w:hAnsi="Arial"/>
                <w:sz w:val="18"/>
                <w:szCs w:val="18"/>
                <w:color w:val="auto"/>
              </w:rPr>
              <w:t>Item 8.</w:t>
            </w:r>
          </w:p>
        </w:tc>
        <w:tc>
          <w:tcPr>
            <w:tcW w:w="3340" w:type="dxa"/>
            <w:vAlign w:val="bottom"/>
            <w:gridSpan w:val="11"/>
          </w:tcPr>
          <w:p>
            <w:pPr>
              <w:spacing w:after="0"/>
              <w:rPr>
                <w:rFonts w:ascii="Arial" w:cs="Arial" w:eastAsia="Arial" w:hAnsi="Arial"/>
                <w:sz w:val="18"/>
                <w:szCs w:val="18"/>
                <w:color w:val="0000EE"/>
                <w:w w:val="88"/>
              </w:rPr>
            </w:pPr>
            <w:hyperlink w:anchor="page36">
              <w:r>
                <w:rPr>
                  <w:rFonts w:ascii="Arial" w:cs="Arial" w:eastAsia="Arial" w:hAnsi="Arial"/>
                  <w:sz w:val="18"/>
                  <w:szCs w:val="18"/>
                  <w:color w:val="0000EE"/>
                  <w:w w:val="88"/>
                </w:rPr>
                <w:t>Financial Statements and Supplementary Data.</w:t>
              </w:r>
            </w:hyperlink>
          </w:p>
        </w:tc>
        <w:tc>
          <w:tcPr>
            <w:tcW w:w="1020" w:type="dxa"/>
            <w:vAlign w:val="bottom"/>
            <w:gridSpan w:val="3"/>
          </w:tcPr>
          <w:p>
            <w:pPr>
              <w:spacing w:after="0"/>
              <w:rPr>
                <w:sz w:val="21"/>
                <w:szCs w:val="21"/>
                <w:color w:val="auto"/>
              </w:rPr>
            </w:pPr>
          </w:p>
        </w:tc>
        <w:tc>
          <w:tcPr>
            <w:tcW w:w="4580" w:type="dxa"/>
            <w:vAlign w:val="bottom"/>
            <w:gridSpan w:val="6"/>
          </w:tcPr>
          <w:p>
            <w:pPr>
              <w:spacing w:after="0"/>
              <w:rPr>
                <w:sz w:val="21"/>
                <w:szCs w:val="21"/>
                <w:color w:val="auto"/>
              </w:rPr>
            </w:pPr>
          </w:p>
        </w:tc>
        <w:tc>
          <w:tcPr>
            <w:tcW w:w="1220" w:type="dxa"/>
            <w:vAlign w:val="bottom"/>
            <w:gridSpan w:val="3"/>
          </w:tcPr>
          <w:p>
            <w:pPr>
              <w:jc w:val="right"/>
              <w:spacing w:after="0"/>
              <w:rPr>
                <w:rFonts w:ascii="Arial" w:cs="Arial" w:eastAsia="Arial" w:hAnsi="Arial"/>
                <w:sz w:val="18"/>
                <w:szCs w:val="18"/>
                <w:color w:val="0000EE"/>
              </w:rPr>
            </w:pPr>
            <w:hyperlink w:anchor="page36">
              <w:r>
                <w:rPr>
                  <w:rFonts w:ascii="Arial" w:cs="Arial" w:eastAsia="Arial" w:hAnsi="Arial"/>
                  <w:sz w:val="18"/>
                  <w:szCs w:val="18"/>
                  <w:color w:val="0000EE"/>
                </w:rPr>
                <w:t>36</w:t>
              </w:r>
            </w:hyperlink>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60" w:type="dxa"/>
            <w:vAlign w:val="bottom"/>
            <w:gridSpan w:val="6"/>
          </w:tcPr>
          <w:p>
            <w:pPr>
              <w:ind w:left="140"/>
              <w:spacing w:after="0"/>
              <w:rPr>
                <w:sz w:val="20"/>
                <w:szCs w:val="20"/>
                <w:color w:val="auto"/>
              </w:rPr>
            </w:pPr>
            <w:r>
              <w:rPr>
                <w:rFonts w:ascii="Arial" w:cs="Arial" w:eastAsia="Arial" w:hAnsi="Arial"/>
                <w:sz w:val="18"/>
                <w:szCs w:val="18"/>
                <w:color w:val="auto"/>
              </w:rPr>
              <w:t>Item 9.</w:t>
            </w:r>
          </w:p>
        </w:tc>
        <w:tc>
          <w:tcPr>
            <w:tcW w:w="6520" w:type="dxa"/>
            <w:vAlign w:val="bottom"/>
            <w:gridSpan w:val="17"/>
          </w:tcPr>
          <w:p>
            <w:pPr>
              <w:spacing w:after="0"/>
              <w:rPr>
                <w:rFonts w:ascii="Arial" w:cs="Arial" w:eastAsia="Arial" w:hAnsi="Arial"/>
                <w:sz w:val="18"/>
                <w:szCs w:val="18"/>
                <w:color w:val="0000EE"/>
                <w:w w:val="89"/>
              </w:rPr>
            </w:pPr>
            <w:hyperlink w:anchor="page65">
              <w:r>
                <w:rPr>
                  <w:rFonts w:ascii="Arial" w:cs="Arial" w:eastAsia="Arial" w:hAnsi="Arial"/>
                  <w:sz w:val="18"/>
                  <w:szCs w:val="18"/>
                  <w:color w:val="0000EE"/>
                  <w:w w:val="89"/>
                </w:rPr>
                <w:t>Changes in and Disagreements With Accountants on Accounting and Financial Disclosure.</w:t>
              </w:r>
            </w:hyperlink>
          </w:p>
        </w:tc>
        <w:tc>
          <w:tcPr>
            <w:tcW w:w="2420" w:type="dxa"/>
            <w:vAlign w:val="bottom"/>
            <w:gridSpan w:val="3"/>
          </w:tcPr>
          <w:p>
            <w:pPr>
              <w:spacing w:after="0"/>
              <w:rPr>
                <w:sz w:val="21"/>
                <w:szCs w:val="21"/>
                <w:color w:val="auto"/>
              </w:rPr>
            </w:pPr>
          </w:p>
        </w:tc>
        <w:tc>
          <w:tcPr>
            <w:tcW w:w="1220" w:type="dxa"/>
            <w:vAlign w:val="bottom"/>
            <w:gridSpan w:val="3"/>
          </w:tcPr>
          <w:p>
            <w:pPr>
              <w:jc w:val="right"/>
              <w:spacing w:after="0"/>
              <w:rPr>
                <w:rFonts w:ascii="Arial" w:cs="Arial" w:eastAsia="Arial" w:hAnsi="Arial"/>
                <w:sz w:val="18"/>
                <w:szCs w:val="18"/>
                <w:color w:val="0000EE"/>
              </w:rPr>
            </w:pPr>
            <w:hyperlink w:anchor="page65">
              <w:r>
                <w:rPr>
                  <w:rFonts w:ascii="Arial" w:cs="Arial" w:eastAsia="Arial" w:hAnsi="Arial"/>
                  <w:sz w:val="18"/>
                  <w:szCs w:val="18"/>
                  <w:color w:val="0000EE"/>
                </w:rPr>
                <w:t>64</w:t>
              </w:r>
            </w:hyperlink>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60" w:type="dxa"/>
            <w:vAlign w:val="bottom"/>
            <w:gridSpan w:val="6"/>
          </w:tcPr>
          <w:p>
            <w:pPr>
              <w:ind w:left="140"/>
              <w:spacing w:after="0"/>
              <w:rPr>
                <w:sz w:val="20"/>
                <w:szCs w:val="20"/>
                <w:color w:val="auto"/>
              </w:rPr>
            </w:pPr>
            <w:r>
              <w:rPr>
                <w:rFonts w:ascii="Arial" w:cs="Arial" w:eastAsia="Arial" w:hAnsi="Arial"/>
                <w:sz w:val="18"/>
                <w:szCs w:val="18"/>
                <w:color w:val="auto"/>
              </w:rPr>
              <w:t>Item 9A.</w:t>
            </w:r>
          </w:p>
        </w:tc>
        <w:tc>
          <w:tcPr>
            <w:tcW w:w="1780" w:type="dxa"/>
            <w:vAlign w:val="bottom"/>
            <w:gridSpan w:val="6"/>
          </w:tcPr>
          <w:p>
            <w:pPr>
              <w:spacing w:after="0"/>
              <w:rPr>
                <w:rFonts w:ascii="Arial" w:cs="Arial" w:eastAsia="Arial" w:hAnsi="Arial"/>
                <w:sz w:val="18"/>
                <w:szCs w:val="18"/>
                <w:color w:val="0000EE"/>
                <w:w w:val="86"/>
              </w:rPr>
            </w:pPr>
            <w:hyperlink w:anchor="page65">
              <w:r>
                <w:rPr>
                  <w:rFonts w:ascii="Arial" w:cs="Arial" w:eastAsia="Arial" w:hAnsi="Arial"/>
                  <w:sz w:val="18"/>
                  <w:szCs w:val="18"/>
                  <w:color w:val="0000EE"/>
                  <w:w w:val="86"/>
                </w:rPr>
                <w:t>Controls and Procedures.</w:t>
              </w:r>
            </w:hyperlink>
          </w:p>
        </w:tc>
        <w:tc>
          <w:tcPr>
            <w:tcW w:w="4740" w:type="dxa"/>
            <w:vAlign w:val="bottom"/>
            <w:gridSpan w:val="11"/>
          </w:tcPr>
          <w:p>
            <w:pPr>
              <w:spacing w:after="0"/>
              <w:rPr>
                <w:sz w:val="21"/>
                <w:szCs w:val="21"/>
                <w:color w:val="auto"/>
              </w:rPr>
            </w:pPr>
          </w:p>
        </w:tc>
        <w:tc>
          <w:tcPr>
            <w:tcW w:w="2420" w:type="dxa"/>
            <w:vAlign w:val="bottom"/>
            <w:gridSpan w:val="3"/>
          </w:tcPr>
          <w:p>
            <w:pPr>
              <w:spacing w:after="0"/>
              <w:rPr>
                <w:sz w:val="21"/>
                <w:szCs w:val="21"/>
                <w:color w:val="auto"/>
              </w:rPr>
            </w:pPr>
          </w:p>
        </w:tc>
        <w:tc>
          <w:tcPr>
            <w:tcW w:w="1220" w:type="dxa"/>
            <w:vAlign w:val="bottom"/>
            <w:gridSpan w:val="3"/>
          </w:tcPr>
          <w:p>
            <w:pPr>
              <w:jc w:val="right"/>
              <w:spacing w:after="0"/>
              <w:rPr>
                <w:rFonts w:ascii="Arial" w:cs="Arial" w:eastAsia="Arial" w:hAnsi="Arial"/>
                <w:sz w:val="18"/>
                <w:szCs w:val="18"/>
                <w:color w:val="0000EE"/>
              </w:rPr>
            </w:pPr>
            <w:hyperlink w:anchor="page65">
              <w:r>
                <w:rPr>
                  <w:rFonts w:ascii="Arial" w:cs="Arial" w:eastAsia="Arial" w:hAnsi="Arial"/>
                  <w:sz w:val="18"/>
                  <w:szCs w:val="18"/>
                  <w:color w:val="0000EE"/>
                </w:rPr>
                <w:t>64</w:t>
              </w:r>
            </w:hyperlink>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60" w:type="dxa"/>
            <w:vAlign w:val="bottom"/>
            <w:gridSpan w:val="6"/>
          </w:tcPr>
          <w:p>
            <w:pPr>
              <w:ind w:left="140"/>
              <w:spacing w:after="0"/>
              <w:rPr>
                <w:sz w:val="20"/>
                <w:szCs w:val="20"/>
                <w:color w:val="auto"/>
              </w:rPr>
            </w:pPr>
            <w:r>
              <w:rPr>
                <w:rFonts w:ascii="Arial" w:cs="Arial" w:eastAsia="Arial" w:hAnsi="Arial"/>
                <w:sz w:val="18"/>
                <w:szCs w:val="18"/>
                <w:color w:val="auto"/>
              </w:rPr>
              <w:t>Item 9B.</w:t>
            </w:r>
          </w:p>
        </w:tc>
        <w:tc>
          <w:tcPr>
            <w:tcW w:w="1780" w:type="dxa"/>
            <w:vAlign w:val="bottom"/>
            <w:gridSpan w:val="6"/>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Other Information.</w:t>
              </w:r>
            </w:hyperlink>
          </w:p>
        </w:tc>
        <w:tc>
          <w:tcPr>
            <w:tcW w:w="7160" w:type="dxa"/>
            <w:vAlign w:val="bottom"/>
            <w:gridSpan w:val="14"/>
          </w:tcPr>
          <w:p>
            <w:pPr>
              <w:spacing w:after="0"/>
              <w:rPr>
                <w:sz w:val="21"/>
                <w:szCs w:val="21"/>
                <w:color w:val="auto"/>
              </w:rPr>
            </w:pPr>
          </w:p>
        </w:tc>
        <w:tc>
          <w:tcPr>
            <w:tcW w:w="1220" w:type="dxa"/>
            <w:vAlign w:val="bottom"/>
            <w:gridSpan w:val="3"/>
          </w:tcPr>
          <w:p>
            <w:pPr>
              <w:jc w:val="right"/>
              <w:spacing w:after="0"/>
              <w:rPr>
                <w:rFonts w:ascii="Arial" w:cs="Arial" w:eastAsia="Arial" w:hAnsi="Arial"/>
                <w:sz w:val="18"/>
                <w:szCs w:val="18"/>
                <w:color w:val="0000EE"/>
              </w:rPr>
            </w:pPr>
            <w:hyperlink w:anchor="page67">
              <w:r>
                <w:rPr>
                  <w:rFonts w:ascii="Arial" w:cs="Arial" w:eastAsia="Arial" w:hAnsi="Arial"/>
                  <w:sz w:val="18"/>
                  <w:szCs w:val="18"/>
                  <w:color w:val="0000EE"/>
                </w:rPr>
                <w:t>66</w:t>
              </w:r>
            </w:hyperlink>
          </w:p>
        </w:tc>
      </w:tr>
      <w:tr>
        <w:trPr>
          <w:trHeight w:val="547"/>
        </w:trPr>
        <w:tc>
          <w:tcPr>
            <w:tcW w:w="74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67">
              <w:r>
                <w:rPr>
                  <w:rFonts w:ascii="Arial" w:cs="Arial" w:eastAsia="Arial" w:hAnsi="Arial"/>
                  <w:sz w:val="18"/>
                  <w:szCs w:val="18"/>
                  <w:b w:val="1"/>
                  <w:bCs w:val="1"/>
                  <w:color w:val="0000EE"/>
                </w:rPr>
                <w:t>PART III</w:t>
              </w:r>
            </w:hyperlink>
          </w:p>
        </w:tc>
        <w:tc>
          <w:tcPr>
            <w:tcW w:w="320" w:type="dxa"/>
            <w:vAlign w:val="bottom"/>
            <w:gridSpan w:val="2"/>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250"/>
        </w:trPr>
        <w:tc>
          <w:tcPr>
            <w:tcW w:w="1060" w:type="dxa"/>
            <w:vAlign w:val="bottom"/>
            <w:gridSpan w:val="6"/>
          </w:tcPr>
          <w:p>
            <w:pPr>
              <w:ind w:left="140"/>
              <w:spacing w:after="0"/>
              <w:rPr>
                <w:sz w:val="20"/>
                <w:szCs w:val="20"/>
                <w:color w:val="auto"/>
              </w:rPr>
            </w:pPr>
            <w:r>
              <w:rPr>
                <w:rFonts w:ascii="Arial" w:cs="Arial" w:eastAsia="Arial" w:hAnsi="Arial"/>
                <w:sz w:val="18"/>
                <w:szCs w:val="18"/>
                <w:color w:val="auto"/>
              </w:rPr>
              <w:t>Item 10.</w:t>
            </w:r>
          </w:p>
        </w:tc>
        <w:tc>
          <w:tcPr>
            <w:tcW w:w="8940" w:type="dxa"/>
            <w:vAlign w:val="bottom"/>
            <w:gridSpan w:val="20"/>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Directors, Executive Officers and Corporate Governance.</w:t>
              </w:r>
            </w:hyperlink>
          </w:p>
        </w:tc>
        <w:tc>
          <w:tcPr>
            <w:tcW w:w="1220" w:type="dxa"/>
            <w:vAlign w:val="bottom"/>
            <w:gridSpan w:val="3"/>
          </w:tcPr>
          <w:p>
            <w:pPr>
              <w:jc w:val="right"/>
              <w:spacing w:after="0"/>
              <w:rPr>
                <w:rFonts w:ascii="Arial" w:cs="Arial" w:eastAsia="Arial" w:hAnsi="Arial"/>
                <w:sz w:val="18"/>
                <w:szCs w:val="18"/>
                <w:color w:val="0000EE"/>
              </w:rPr>
            </w:pPr>
            <w:hyperlink w:anchor="page67">
              <w:r>
                <w:rPr>
                  <w:rFonts w:ascii="Arial" w:cs="Arial" w:eastAsia="Arial" w:hAnsi="Arial"/>
                  <w:sz w:val="18"/>
                  <w:szCs w:val="18"/>
                  <w:color w:val="0000EE"/>
                </w:rPr>
                <w:t>66</w:t>
              </w:r>
            </w:hyperlink>
          </w:p>
        </w:tc>
      </w:tr>
      <w:tr>
        <w:trPr>
          <w:trHeight w:val="20"/>
        </w:trPr>
        <w:tc>
          <w:tcPr>
            <w:tcW w:w="7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820" w:type="dxa"/>
            <w:vAlign w:val="bottom"/>
            <w:gridSpan w:val="7"/>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60" w:type="dxa"/>
            <w:vAlign w:val="bottom"/>
            <w:gridSpan w:val="6"/>
          </w:tcPr>
          <w:p>
            <w:pPr>
              <w:ind w:left="140"/>
              <w:spacing w:after="0"/>
              <w:rPr>
                <w:sz w:val="20"/>
                <w:szCs w:val="20"/>
                <w:color w:val="auto"/>
              </w:rPr>
            </w:pPr>
            <w:r>
              <w:rPr>
                <w:rFonts w:ascii="Arial" w:cs="Arial" w:eastAsia="Arial" w:hAnsi="Arial"/>
                <w:sz w:val="18"/>
                <w:szCs w:val="18"/>
                <w:color w:val="auto"/>
              </w:rPr>
              <w:t>Item 11.</w:t>
            </w:r>
          </w:p>
        </w:tc>
        <w:tc>
          <w:tcPr>
            <w:tcW w:w="1820" w:type="dxa"/>
            <w:vAlign w:val="bottom"/>
            <w:gridSpan w:val="7"/>
          </w:tcPr>
          <w:p>
            <w:pPr>
              <w:spacing w:after="0"/>
              <w:rPr>
                <w:rFonts w:ascii="Arial" w:cs="Arial" w:eastAsia="Arial" w:hAnsi="Arial"/>
                <w:sz w:val="18"/>
                <w:szCs w:val="18"/>
                <w:color w:val="0000EE"/>
                <w:w w:val="88"/>
              </w:rPr>
            </w:pPr>
            <w:hyperlink w:anchor="page67">
              <w:r>
                <w:rPr>
                  <w:rFonts w:ascii="Arial" w:cs="Arial" w:eastAsia="Arial" w:hAnsi="Arial"/>
                  <w:sz w:val="18"/>
                  <w:szCs w:val="18"/>
                  <w:color w:val="0000EE"/>
                  <w:w w:val="88"/>
                </w:rPr>
                <w:t>Executive Compensation.</w:t>
              </w:r>
            </w:hyperlink>
          </w:p>
        </w:tc>
        <w:tc>
          <w:tcPr>
            <w:tcW w:w="2280" w:type="dxa"/>
            <w:vAlign w:val="bottom"/>
            <w:gridSpan w:val="6"/>
          </w:tcPr>
          <w:p>
            <w:pPr>
              <w:spacing w:after="0"/>
              <w:rPr>
                <w:sz w:val="21"/>
                <w:szCs w:val="21"/>
                <w:color w:val="auto"/>
              </w:rPr>
            </w:pPr>
          </w:p>
        </w:tc>
        <w:tc>
          <w:tcPr>
            <w:tcW w:w="4840" w:type="dxa"/>
            <w:vAlign w:val="bottom"/>
            <w:gridSpan w:val="7"/>
          </w:tcPr>
          <w:p>
            <w:pPr>
              <w:spacing w:after="0"/>
              <w:rPr>
                <w:sz w:val="21"/>
                <w:szCs w:val="21"/>
                <w:color w:val="auto"/>
              </w:rPr>
            </w:pPr>
          </w:p>
        </w:tc>
        <w:tc>
          <w:tcPr>
            <w:tcW w:w="1220" w:type="dxa"/>
            <w:vAlign w:val="bottom"/>
            <w:gridSpan w:val="3"/>
          </w:tcPr>
          <w:p>
            <w:pPr>
              <w:jc w:val="right"/>
              <w:spacing w:after="0"/>
              <w:rPr>
                <w:rFonts w:ascii="Arial" w:cs="Arial" w:eastAsia="Arial" w:hAnsi="Arial"/>
                <w:sz w:val="18"/>
                <w:szCs w:val="18"/>
                <w:color w:val="0000EE"/>
              </w:rPr>
            </w:pPr>
            <w:hyperlink w:anchor="page67">
              <w:r>
                <w:rPr>
                  <w:rFonts w:ascii="Arial" w:cs="Arial" w:eastAsia="Arial" w:hAnsi="Arial"/>
                  <w:sz w:val="18"/>
                  <w:szCs w:val="18"/>
                  <w:color w:val="0000EE"/>
                </w:rPr>
                <w:t>66</w:t>
              </w:r>
            </w:hyperlink>
          </w:p>
        </w:tc>
      </w:tr>
      <w:tr>
        <w:trPr>
          <w:trHeight w:val="20"/>
        </w:trPr>
        <w:tc>
          <w:tcPr>
            <w:tcW w:w="7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820" w:type="dxa"/>
            <w:vAlign w:val="bottom"/>
            <w:gridSpan w:val="7"/>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60" w:type="dxa"/>
            <w:vAlign w:val="bottom"/>
            <w:gridSpan w:val="6"/>
          </w:tcPr>
          <w:p>
            <w:pPr>
              <w:ind w:left="140"/>
              <w:spacing w:after="0"/>
              <w:rPr>
                <w:sz w:val="20"/>
                <w:szCs w:val="20"/>
                <w:color w:val="auto"/>
              </w:rPr>
            </w:pPr>
            <w:r>
              <w:rPr>
                <w:rFonts w:ascii="Arial" w:cs="Arial" w:eastAsia="Arial" w:hAnsi="Arial"/>
                <w:sz w:val="18"/>
                <w:szCs w:val="18"/>
                <w:color w:val="auto"/>
              </w:rPr>
              <w:t>Item 12.</w:t>
            </w:r>
          </w:p>
        </w:tc>
        <w:tc>
          <w:tcPr>
            <w:tcW w:w="7300" w:type="dxa"/>
            <w:vAlign w:val="bottom"/>
            <w:gridSpan w:val="18"/>
          </w:tcPr>
          <w:p>
            <w:pPr>
              <w:spacing w:after="0"/>
              <w:rPr>
                <w:rFonts w:ascii="Arial" w:cs="Arial" w:eastAsia="Arial" w:hAnsi="Arial"/>
                <w:sz w:val="18"/>
                <w:szCs w:val="18"/>
                <w:color w:val="0000EE"/>
                <w:w w:val="89"/>
              </w:rPr>
            </w:pPr>
            <w:hyperlink w:anchor="page67">
              <w:r>
                <w:rPr>
                  <w:rFonts w:ascii="Arial" w:cs="Arial" w:eastAsia="Arial" w:hAnsi="Arial"/>
                  <w:sz w:val="18"/>
                  <w:szCs w:val="18"/>
                  <w:color w:val="0000EE"/>
                  <w:w w:val="89"/>
                </w:rPr>
                <w:t>Security Ownership of Certain Beneficial Owners and Management and Related Shareholder Matters.</w:t>
              </w:r>
            </w:hyperlink>
          </w:p>
        </w:tc>
        <w:tc>
          <w:tcPr>
            <w:tcW w:w="1640" w:type="dxa"/>
            <w:vAlign w:val="bottom"/>
            <w:gridSpan w:val="2"/>
          </w:tcPr>
          <w:p>
            <w:pPr>
              <w:spacing w:after="0"/>
              <w:rPr>
                <w:sz w:val="21"/>
                <w:szCs w:val="21"/>
                <w:color w:val="auto"/>
              </w:rPr>
            </w:pPr>
          </w:p>
        </w:tc>
        <w:tc>
          <w:tcPr>
            <w:tcW w:w="1220" w:type="dxa"/>
            <w:vAlign w:val="bottom"/>
            <w:gridSpan w:val="3"/>
          </w:tcPr>
          <w:p>
            <w:pPr>
              <w:jc w:val="right"/>
              <w:spacing w:after="0"/>
              <w:rPr>
                <w:rFonts w:ascii="Arial" w:cs="Arial" w:eastAsia="Arial" w:hAnsi="Arial"/>
                <w:sz w:val="18"/>
                <w:szCs w:val="18"/>
                <w:color w:val="0000EE"/>
              </w:rPr>
            </w:pPr>
            <w:hyperlink w:anchor="page67">
              <w:r>
                <w:rPr>
                  <w:rFonts w:ascii="Arial" w:cs="Arial" w:eastAsia="Arial" w:hAnsi="Arial"/>
                  <w:sz w:val="18"/>
                  <w:szCs w:val="18"/>
                  <w:color w:val="0000EE"/>
                </w:rPr>
                <w:t>66</w:t>
              </w:r>
            </w:hyperlink>
          </w:p>
        </w:tc>
      </w:tr>
      <w:tr>
        <w:trPr>
          <w:trHeight w:val="20"/>
        </w:trPr>
        <w:tc>
          <w:tcPr>
            <w:tcW w:w="7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2880" w:type="dxa"/>
            <w:vAlign w:val="bottom"/>
            <w:gridSpan w:val="9"/>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920" w:type="dxa"/>
            <w:vAlign w:val="bottom"/>
            <w:gridSpan w:val="3"/>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60" w:type="dxa"/>
            <w:vAlign w:val="bottom"/>
            <w:gridSpan w:val="6"/>
          </w:tcPr>
          <w:p>
            <w:pPr>
              <w:ind w:left="140"/>
              <w:spacing w:after="0"/>
              <w:rPr>
                <w:sz w:val="20"/>
                <w:szCs w:val="20"/>
                <w:color w:val="auto"/>
              </w:rPr>
            </w:pPr>
            <w:r>
              <w:rPr>
                <w:rFonts w:ascii="Arial" w:cs="Arial" w:eastAsia="Arial" w:hAnsi="Arial"/>
                <w:sz w:val="18"/>
                <w:szCs w:val="18"/>
                <w:color w:val="auto"/>
              </w:rPr>
              <w:t>Item 13.</w:t>
            </w:r>
          </w:p>
        </w:tc>
        <w:tc>
          <w:tcPr>
            <w:tcW w:w="5460" w:type="dxa"/>
            <w:vAlign w:val="bottom"/>
            <w:gridSpan w:val="15"/>
          </w:tcPr>
          <w:p>
            <w:pPr>
              <w:spacing w:after="0"/>
              <w:rPr>
                <w:rFonts w:ascii="Arial" w:cs="Arial" w:eastAsia="Arial" w:hAnsi="Arial"/>
                <w:sz w:val="18"/>
                <w:szCs w:val="18"/>
                <w:color w:val="0000EE"/>
                <w:w w:val="88"/>
              </w:rPr>
            </w:pPr>
            <w:hyperlink w:anchor="page67">
              <w:r>
                <w:rPr>
                  <w:rFonts w:ascii="Arial" w:cs="Arial" w:eastAsia="Arial" w:hAnsi="Arial"/>
                  <w:sz w:val="18"/>
                  <w:szCs w:val="18"/>
                  <w:color w:val="0000EE"/>
                  <w:w w:val="88"/>
                </w:rPr>
                <w:t>Certain Relationships and Related Transactions, and Director Independence.</w:t>
              </w:r>
            </w:hyperlink>
          </w:p>
        </w:tc>
        <w:tc>
          <w:tcPr>
            <w:tcW w:w="1840" w:type="dxa"/>
            <w:vAlign w:val="bottom"/>
            <w:gridSpan w:val="3"/>
          </w:tcPr>
          <w:p>
            <w:pPr>
              <w:spacing w:after="0"/>
              <w:rPr>
                <w:sz w:val="21"/>
                <w:szCs w:val="21"/>
                <w:color w:val="auto"/>
              </w:rPr>
            </w:pPr>
          </w:p>
        </w:tc>
        <w:tc>
          <w:tcPr>
            <w:tcW w:w="1640" w:type="dxa"/>
            <w:vAlign w:val="bottom"/>
            <w:gridSpan w:val="2"/>
          </w:tcPr>
          <w:p>
            <w:pPr>
              <w:spacing w:after="0"/>
              <w:rPr>
                <w:sz w:val="21"/>
                <w:szCs w:val="21"/>
                <w:color w:val="auto"/>
              </w:rPr>
            </w:pPr>
          </w:p>
        </w:tc>
        <w:tc>
          <w:tcPr>
            <w:tcW w:w="1220" w:type="dxa"/>
            <w:vAlign w:val="bottom"/>
            <w:gridSpan w:val="3"/>
          </w:tcPr>
          <w:p>
            <w:pPr>
              <w:jc w:val="right"/>
              <w:spacing w:after="0"/>
              <w:rPr>
                <w:rFonts w:ascii="Arial" w:cs="Arial" w:eastAsia="Arial" w:hAnsi="Arial"/>
                <w:sz w:val="18"/>
                <w:szCs w:val="18"/>
                <w:color w:val="0000EE"/>
              </w:rPr>
            </w:pPr>
            <w:hyperlink w:anchor="page67">
              <w:r>
                <w:rPr>
                  <w:rFonts w:ascii="Arial" w:cs="Arial" w:eastAsia="Arial" w:hAnsi="Arial"/>
                  <w:sz w:val="18"/>
                  <w:szCs w:val="18"/>
                  <w:color w:val="0000EE"/>
                </w:rPr>
                <w:t>66</w:t>
              </w:r>
            </w:hyperlink>
          </w:p>
        </w:tc>
      </w:tr>
      <w:tr>
        <w:trPr>
          <w:trHeight w:val="20"/>
        </w:trPr>
        <w:tc>
          <w:tcPr>
            <w:tcW w:w="7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2880" w:type="dxa"/>
            <w:vAlign w:val="bottom"/>
            <w:gridSpan w:val="9"/>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920" w:type="dxa"/>
            <w:vAlign w:val="bottom"/>
            <w:gridSpan w:val="3"/>
            <w:shd w:val="clear" w:color="auto" w:fill="0000EE"/>
          </w:tcPr>
          <w:p>
            <w:pPr>
              <w:spacing w:after="0" w:line="20" w:lineRule="exact"/>
              <w:rPr>
                <w:sz w:val="1"/>
                <w:szCs w:val="1"/>
                <w:color w:val="auto"/>
              </w:rPr>
            </w:pPr>
          </w:p>
        </w:tc>
        <w:tc>
          <w:tcPr>
            <w:tcW w:w="3480" w:type="dxa"/>
            <w:vAlign w:val="bottom"/>
            <w:gridSpan w:val="5"/>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60" w:type="dxa"/>
            <w:vAlign w:val="bottom"/>
            <w:gridSpan w:val="6"/>
          </w:tcPr>
          <w:p>
            <w:pPr>
              <w:ind w:left="140"/>
              <w:spacing w:after="0"/>
              <w:rPr>
                <w:sz w:val="20"/>
                <w:szCs w:val="20"/>
                <w:color w:val="auto"/>
              </w:rPr>
            </w:pPr>
            <w:r>
              <w:rPr>
                <w:rFonts w:ascii="Arial" w:cs="Arial" w:eastAsia="Arial" w:hAnsi="Arial"/>
                <w:sz w:val="18"/>
                <w:szCs w:val="18"/>
                <w:color w:val="auto"/>
              </w:rPr>
              <w:t>Item 14.</w:t>
            </w:r>
          </w:p>
        </w:tc>
        <w:tc>
          <w:tcPr>
            <w:tcW w:w="5460" w:type="dxa"/>
            <w:vAlign w:val="bottom"/>
            <w:gridSpan w:val="15"/>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Principal Accounting Fees and Services.</w:t>
              </w:r>
            </w:hyperlink>
          </w:p>
        </w:tc>
        <w:tc>
          <w:tcPr>
            <w:tcW w:w="3480" w:type="dxa"/>
            <w:vAlign w:val="bottom"/>
            <w:gridSpan w:val="5"/>
          </w:tcPr>
          <w:p>
            <w:pPr>
              <w:spacing w:after="0"/>
              <w:rPr>
                <w:sz w:val="21"/>
                <w:szCs w:val="21"/>
                <w:color w:val="auto"/>
              </w:rPr>
            </w:pPr>
          </w:p>
        </w:tc>
        <w:tc>
          <w:tcPr>
            <w:tcW w:w="1220" w:type="dxa"/>
            <w:vAlign w:val="bottom"/>
            <w:gridSpan w:val="3"/>
          </w:tcPr>
          <w:p>
            <w:pPr>
              <w:jc w:val="right"/>
              <w:spacing w:after="0"/>
              <w:rPr>
                <w:rFonts w:ascii="Arial" w:cs="Arial" w:eastAsia="Arial" w:hAnsi="Arial"/>
                <w:sz w:val="18"/>
                <w:szCs w:val="18"/>
                <w:color w:val="0000EE"/>
              </w:rPr>
            </w:pPr>
            <w:hyperlink w:anchor="page67">
              <w:r>
                <w:rPr>
                  <w:rFonts w:ascii="Arial" w:cs="Arial" w:eastAsia="Arial" w:hAnsi="Arial"/>
                  <w:sz w:val="18"/>
                  <w:szCs w:val="18"/>
                  <w:color w:val="0000EE"/>
                </w:rPr>
                <w:t>66</w:t>
              </w:r>
            </w:hyperlink>
          </w:p>
        </w:tc>
      </w:tr>
      <w:tr>
        <w:trPr>
          <w:trHeight w:val="547"/>
        </w:trPr>
        <w:tc>
          <w:tcPr>
            <w:tcW w:w="720" w:type="dxa"/>
            <w:vAlign w:val="bottom"/>
            <w:tcBorders>
              <w:bottom w:val="single" w:sz="8" w:color="0000EE"/>
            </w:tcBorders>
            <w:gridSpan w:val="3"/>
          </w:tcPr>
          <w:p>
            <w:pPr>
              <w:spacing w:after="0"/>
              <w:rPr>
                <w:rFonts w:ascii="Arial" w:cs="Arial" w:eastAsia="Arial" w:hAnsi="Arial"/>
                <w:sz w:val="18"/>
                <w:szCs w:val="18"/>
                <w:b w:val="1"/>
                <w:bCs w:val="1"/>
                <w:color w:val="0000EE"/>
                <w:w w:val="98"/>
              </w:rPr>
            </w:pPr>
            <w:hyperlink w:anchor="page68">
              <w:r>
                <w:rPr>
                  <w:rFonts w:ascii="Arial" w:cs="Arial" w:eastAsia="Arial" w:hAnsi="Arial"/>
                  <w:sz w:val="18"/>
                  <w:szCs w:val="18"/>
                  <w:b w:val="1"/>
                  <w:bCs w:val="1"/>
                  <w:color w:val="0000EE"/>
                  <w:w w:val="98"/>
                </w:rPr>
                <w:t>PART IV</w:t>
              </w:r>
            </w:hyperlink>
          </w:p>
        </w:tc>
        <w:tc>
          <w:tcPr>
            <w:tcW w:w="340" w:type="dxa"/>
            <w:vAlign w:val="bottom"/>
            <w:gridSpan w:val="3"/>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250"/>
        </w:trPr>
        <w:tc>
          <w:tcPr>
            <w:tcW w:w="1060" w:type="dxa"/>
            <w:vAlign w:val="bottom"/>
            <w:gridSpan w:val="6"/>
          </w:tcPr>
          <w:p>
            <w:pPr>
              <w:ind w:left="140"/>
              <w:spacing w:after="0"/>
              <w:rPr>
                <w:sz w:val="20"/>
                <w:szCs w:val="20"/>
                <w:color w:val="auto"/>
              </w:rPr>
            </w:pPr>
            <w:r>
              <w:rPr>
                <w:rFonts w:ascii="Arial" w:cs="Arial" w:eastAsia="Arial" w:hAnsi="Arial"/>
                <w:sz w:val="18"/>
                <w:szCs w:val="18"/>
                <w:color w:val="auto"/>
              </w:rPr>
              <w:t>Item 15.</w:t>
            </w:r>
          </w:p>
        </w:tc>
        <w:tc>
          <w:tcPr>
            <w:tcW w:w="8940" w:type="dxa"/>
            <w:vAlign w:val="bottom"/>
            <w:gridSpan w:val="20"/>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Exhibits, Financial Statement Schedules.</w:t>
              </w:r>
            </w:hyperlink>
          </w:p>
        </w:tc>
        <w:tc>
          <w:tcPr>
            <w:tcW w:w="1220" w:type="dxa"/>
            <w:vAlign w:val="bottom"/>
            <w:gridSpan w:val="3"/>
          </w:tcPr>
          <w:p>
            <w:pPr>
              <w:jc w:val="right"/>
              <w:spacing w:after="0"/>
              <w:rPr>
                <w:rFonts w:ascii="Arial" w:cs="Arial" w:eastAsia="Arial" w:hAnsi="Arial"/>
                <w:sz w:val="18"/>
                <w:szCs w:val="18"/>
                <w:color w:val="0000EE"/>
              </w:rPr>
            </w:pPr>
            <w:hyperlink w:anchor="page68">
              <w:r>
                <w:rPr>
                  <w:rFonts w:ascii="Arial" w:cs="Arial" w:eastAsia="Arial" w:hAnsi="Arial"/>
                  <w:sz w:val="18"/>
                  <w:szCs w:val="18"/>
                  <w:color w:val="0000EE"/>
                </w:rPr>
                <w:t>67</w:t>
              </w:r>
            </w:hyperlink>
          </w:p>
        </w:tc>
      </w:tr>
      <w:tr>
        <w:trPr>
          <w:trHeight w:val="20"/>
        </w:trPr>
        <w:tc>
          <w:tcPr>
            <w:tcW w:w="820" w:type="dxa"/>
            <w:vAlign w:val="bottom"/>
            <w:gridSpan w:val="5"/>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2900" w:type="dxa"/>
            <w:vAlign w:val="bottom"/>
            <w:gridSpan w:val="10"/>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400" w:type="dxa"/>
            <w:vAlign w:val="bottom"/>
            <w:gridSpan w:val="8"/>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47"/>
        </w:trPr>
        <w:tc>
          <w:tcPr>
            <w:tcW w:w="1060" w:type="dxa"/>
            <w:vAlign w:val="bottom"/>
            <w:gridSpan w:val="6"/>
          </w:tcPr>
          <w:p>
            <w:pPr>
              <w:spacing w:after="0"/>
              <w:rPr>
                <w:rFonts w:ascii="Arial" w:cs="Arial" w:eastAsia="Arial" w:hAnsi="Arial"/>
                <w:sz w:val="18"/>
                <w:szCs w:val="18"/>
                <w:b w:val="1"/>
                <w:bCs w:val="1"/>
                <w:color w:val="0000EE"/>
                <w:w w:val="90"/>
              </w:rPr>
            </w:pPr>
            <w:hyperlink w:anchor="page69">
              <w:r>
                <w:rPr>
                  <w:rFonts w:ascii="Arial" w:cs="Arial" w:eastAsia="Arial" w:hAnsi="Arial"/>
                  <w:sz w:val="18"/>
                  <w:szCs w:val="18"/>
                  <w:b w:val="1"/>
                  <w:bCs w:val="1"/>
                  <w:color w:val="0000EE"/>
                  <w:w w:val="90"/>
                </w:rPr>
                <w:t>Exhibit Index</w:t>
              </w:r>
            </w:hyperlink>
          </w:p>
        </w:tc>
        <w:tc>
          <w:tcPr>
            <w:tcW w:w="8940" w:type="dxa"/>
            <w:vAlign w:val="bottom"/>
            <w:gridSpan w:val="20"/>
          </w:tcPr>
          <w:p>
            <w:pPr>
              <w:spacing w:after="0"/>
              <w:rPr>
                <w:sz w:val="24"/>
                <w:szCs w:val="24"/>
                <w:color w:val="auto"/>
              </w:rPr>
            </w:pPr>
          </w:p>
        </w:tc>
        <w:tc>
          <w:tcPr>
            <w:tcW w:w="1220" w:type="dxa"/>
            <w:vAlign w:val="bottom"/>
            <w:gridSpan w:val="3"/>
          </w:tcPr>
          <w:p>
            <w:pPr>
              <w:jc w:val="right"/>
              <w:spacing w:after="0"/>
              <w:rPr>
                <w:rFonts w:ascii="Arial" w:cs="Arial" w:eastAsia="Arial" w:hAnsi="Arial"/>
                <w:sz w:val="18"/>
                <w:szCs w:val="18"/>
                <w:color w:val="0000EE"/>
              </w:rPr>
            </w:pPr>
            <w:hyperlink w:anchor="page69">
              <w:r>
                <w:rPr>
                  <w:rFonts w:ascii="Arial" w:cs="Arial" w:eastAsia="Arial" w:hAnsi="Arial"/>
                  <w:sz w:val="18"/>
                  <w:szCs w:val="18"/>
                  <w:color w:val="0000EE"/>
                </w:rPr>
                <w:t>68</w:t>
              </w:r>
            </w:hyperlink>
          </w:p>
        </w:tc>
      </w:tr>
      <w:tr>
        <w:trPr>
          <w:trHeight w:val="20"/>
        </w:trPr>
        <w:tc>
          <w:tcPr>
            <w:tcW w:w="820" w:type="dxa"/>
            <w:vAlign w:val="bottom"/>
            <w:gridSpan w:val="5"/>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820" w:type="dxa"/>
            <w:vAlign w:val="bottom"/>
            <w:gridSpan w:val="5"/>
          </w:tcPr>
          <w:p>
            <w:pPr>
              <w:spacing w:after="0"/>
              <w:rPr>
                <w:rFonts w:ascii="Arial" w:cs="Arial" w:eastAsia="Arial" w:hAnsi="Arial"/>
                <w:sz w:val="18"/>
                <w:szCs w:val="18"/>
                <w:b w:val="1"/>
                <w:bCs w:val="1"/>
                <w:color w:val="0000EE"/>
                <w:w w:val="85"/>
              </w:rPr>
            </w:pPr>
            <w:hyperlink w:anchor="page75">
              <w:r>
                <w:rPr>
                  <w:rFonts w:ascii="Arial" w:cs="Arial" w:eastAsia="Arial" w:hAnsi="Arial"/>
                  <w:sz w:val="18"/>
                  <w:szCs w:val="18"/>
                  <w:b w:val="1"/>
                  <w:bCs w:val="1"/>
                  <w:color w:val="0000EE"/>
                  <w:w w:val="85"/>
                </w:rPr>
                <w:t>Signatures</w:t>
              </w:r>
            </w:hyperlink>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20" w:type="dxa"/>
            <w:vAlign w:val="bottom"/>
            <w:gridSpan w:val="3"/>
          </w:tcPr>
          <w:p>
            <w:pPr>
              <w:jc w:val="right"/>
              <w:spacing w:after="0"/>
              <w:rPr>
                <w:rFonts w:ascii="Arial" w:cs="Arial" w:eastAsia="Arial" w:hAnsi="Arial"/>
                <w:sz w:val="18"/>
                <w:szCs w:val="18"/>
                <w:color w:val="0000EE"/>
              </w:rPr>
            </w:pPr>
            <w:hyperlink w:anchor="page75">
              <w:r>
                <w:rPr>
                  <w:rFonts w:ascii="Arial" w:cs="Arial" w:eastAsia="Arial" w:hAnsi="Arial"/>
                  <w:sz w:val="18"/>
                  <w:szCs w:val="18"/>
                  <w:color w:val="0000EE"/>
                </w:rPr>
                <w:t>74</w:t>
              </w:r>
            </w:hyperlink>
          </w:p>
        </w:tc>
      </w:tr>
      <w:tr>
        <w:trPr>
          <w:trHeight w:val="20"/>
        </w:trPr>
        <w:tc>
          <w:tcPr>
            <w:tcW w:w="820" w:type="dxa"/>
            <w:vAlign w:val="bottom"/>
            <w:gridSpan w:val="5"/>
            <w:shd w:val="clear" w:color="auto" w:fill="0000EE"/>
          </w:tcPr>
          <w:p>
            <w:pPr>
              <w:spacing w:after="0" w:line="20" w:lineRule="exact"/>
              <w:rPr>
                <w:sz w:val="1"/>
                <w:szCs w:val="1"/>
                <w:color w:val="auto"/>
              </w:rPr>
            </w:pPr>
          </w:p>
        </w:tc>
        <w:tc>
          <w:tcPr>
            <w:tcW w:w="3780" w:type="dxa"/>
            <w:vAlign w:val="bottom"/>
            <w:gridSpan w:val="13"/>
          </w:tcPr>
          <w:p>
            <w:pPr>
              <w:spacing w:after="0" w:line="20" w:lineRule="exact"/>
              <w:rPr>
                <w:sz w:val="1"/>
                <w:szCs w:val="1"/>
                <w:color w:val="auto"/>
              </w:rPr>
            </w:pPr>
          </w:p>
        </w:tc>
        <w:tc>
          <w:tcPr>
            <w:tcW w:w="5400" w:type="dxa"/>
            <w:vAlign w:val="bottom"/>
            <w:gridSpan w:val="8"/>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600" w:type="dxa"/>
            <w:vAlign w:val="bottom"/>
            <w:gridSpan w:val="18"/>
          </w:tcPr>
          <w:p>
            <w:pPr>
              <w:spacing w:after="0"/>
              <w:rPr>
                <w:rFonts w:ascii="Arial" w:cs="Arial" w:eastAsia="Arial" w:hAnsi="Arial"/>
                <w:sz w:val="18"/>
                <w:szCs w:val="18"/>
                <w:b w:val="1"/>
                <w:bCs w:val="1"/>
                <w:color w:val="0000EE"/>
                <w:w w:val="89"/>
              </w:rPr>
            </w:pPr>
            <w:hyperlink w:anchor="page76">
              <w:r>
                <w:rPr>
                  <w:rFonts w:ascii="Arial" w:cs="Arial" w:eastAsia="Arial" w:hAnsi="Arial"/>
                  <w:sz w:val="18"/>
                  <w:szCs w:val="18"/>
                  <w:b w:val="1"/>
                  <w:bCs w:val="1"/>
                  <w:color w:val="0000EE"/>
                  <w:w w:val="89"/>
                </w:rPr>
                <w:t>Consent of Independent Registered Public Accounting Firm</w:t>
              </w:r>
            </w:hyperlink>
          </w:p>
        </w:tc>
        <w:tc>
          <w:tcPr>
            <w:tcW w:w="5400" w:type="dxa"/>
            <w:vAlign w:val="bottom"/>
            <w:gridSpan w:val="8"/>
          </w:tcPr>
          <w:p>
            <w:pPr>
              <w:spacing w:after="0"/>
              <w:rPr>
                <w:sz w:val="21"/>
                <w:szCs w:val="21"/>
                <w:color w:val="auto"/>
              </w:rPr>
            </w:pPr>
          </w:p>
        </w:tc>
        <w:tc>
          <w:tcPr>
            <w:tcW w:w="1220" w:type="dxa"/>
            <w:vAlign w:val="bottom"/>
            <w:gridSpan w:val="3"/>
          </w:tcPr>
          <w:p>
            <w:pPr>
              <w:jc w:val="right"/>
              <w:spacing w:after="0"/>
              <w:rPr>
                <w:rFonts w:ascii="Arial" w:cs="Arial" w:eastAsia="Arial" w:hAnsi="Arial"/>
                <w:sz w:val="18"/>
                <w:szCs w:val="18"/>
                <w:color w:val="0000EE"/>
              </w:rPr>
            </w:pPr>
            <w:hyperlink w:anchor="page76">
              <w:r>
                <w:rPr>
                  <w:rFonts w:ascii="Arial" w:cs="Arial" w:eastAsia="Arial" w:hAnsi="Arial"/>
                  <w:sz w:val="18"/>
                  <w:szCs w:val="18"/>
                  <w:color w:val="0000EE"/>
                </w:rPr>
                <w:t>75</w:t>
              </w:r>
            </w:hyperlink>
          </w:p>
        </w:tc>
      </w:tr>
      <w:tr>
        <w:trPr>
          <w:trHeight w:val="20"/>
        </w:trPr>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3</w:t>
      </w:r>
    </w:p>
    <w:p>
      <w:pPr>
        <w:sectPr>
          <w:pgSz w:w="11900" w:h="16838" w:orient="portrait"/>
          <w:cols w:equalWidth="0" w:num="1">
            <w:col w:w="11420"/>
          </w:cols>
          <w:pgMar w:left="240" w:top="126" w:right="239" w:bottom="1440" w:gutter="0" w:footer="0" w:header="0"/>
        </w:sectPr>
      </w:pPr>
    </w:p>
    <w:bookmarkStart w:id="3" w:name="page4"/>
    <w:bookmarkEnd w:id="3"/>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PART I</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Business.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2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 xml:space="preserve">Founded in 1901 as a retail shoe business in Seattle, Nordstrom later incorporated in Washington state in 1946 and went on to become one of the leading fashion retailers based in the U.S. We provide customers with a differentiated and seamless customer experience through our robust ecommerce platform and high-quality store portfolio in top North American markets. As of March 19, 2018, we operate 363 U.S. stores located in 40 states as well as six Nordstrom full-line stores in Canada. The west coast of the U.S. is the area in which we have the largest presence. We have two reportable segments, which include </w:t>
      </w:r>
      <w:r>
        <w:rPr>
          <w:rFonts w:ascii="Arial" w:cs="Arial" w:eastAsia="Arial" w:hAnsi="Arial"/>
          <w:sz w:val="18"/>
          <w:szCs w:val="18"/>
          <w:b w:val="1"/>
          <w:bCs w:val="1"/>
          <w:color w:val="auto"/>
        </w:rPr>
        <w:t xml:space="preserve">Retail </w:t>
      </w:r>
      <w:r>
        <w:rPr>
          <w:rFonts w:ascii="Arial" w:cs="Arial" w:eastAsia="Arial" w:hAnsi="Arial"/>
          <w:sz w:val="18"/>
          <w:szCs w:val="18"/>
          <w:color w:val="auto"/>
        </w:rPr>
        <w:t>and</w:t>
      </w:r>
      <w:r>
        <w:rPr>
          <w:rFonts w:ascii="Arial" w:cs="Arial" w:eastAsia="Arial" w:hAnsi="Arial"/>
          <w:sz w:val="18"/>
          <w:szCs w:val="18"/>
          <w:b w:val="1"/>
          <w:bCs w:val="1"/>
          <w:color w:val="auto"/>
        </w:rPr>
        <w:t xml:space="preserve"> Credit</w:t>
      </w:r>
      <w:r>
        <w:rPr>
          <w:rFonts w:ascii="Arial" w:cs="Arial" w:eastAsia="Arial" w:hAnsi="Arial"/>
          <w:sz w:val="18"/>
          <w:szCs w:val="18"/>
          <w:color w:val="auto"/>
        </w:rPr>
        <w: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As of March 19, 2018, the </w:t>
      </w:r>
      <w:r>
        <w:rPr>
          <w:rFonts w:ascii="Arial" w:cs="Arial" w:eastAsia="Arial" w:hAnsi="Arial"/>
          <w:sz w:val="18"/>
          <w:szCs w:val="18"/>
          <w:b w:val="1"/>
          <w:bCs w:val="1"/>
          <w:color w:val="auto"/>
        </w:rPr>
        <w:t>Retail</w:t>
      </w:r>
      <w:r>
        <w:rPr>
          <w:rFonts w:ascii="Arial" w:cs="Arial" w:eastAsia="Arial" w:hAnsi="Arial"/>
          <w:sz w:val="18"/>
          <w:szCs w:val="18"/>
          <w:color w:val="auto"/>
        </w:rPr>
        <w:t xml:space="preserve"> segment includes:</w:t>
      </w:r>
    </w:p>
    <w:p>
      <w:pPr>
        <w:spacing w:after="0" w:line="175" w:lineRule="exact"/>
        <w:rPr>
          <w:sz w:val="20"/>
          <w:szCs w:val="20"/>
          <w:color w:val="auto"/>
        </w:rPr>
      </w:pPr>
    </w:p>
    <w:p>
      <w:pPr>
        <w:ind w:left="340" w:hanging="170"/>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117 Nordstrom-branded full-line stores in the U.S., including Nordstrom Local</w:t>
      </w:r>
    </w:p>
    <w:p>
      <w:pPr>
        <w:spacing w:after="0" w:line="63" w:lineRule="exact"/>
        <w:rPr>
          <w:rFonts w:ascii="Arial" w:cs="Arial" w:eastAsia="Arial" w:hAnsi="Arial"/>
          <w:sz w:val="18"/>
          <w:szCs w:val="18"/>
          <w:color w:val="auto"/>
        </w:rPr>
      </w:pPr>
    </w:p>
    <w:p>
      <w:pPr>
        <w:ind w:left="340" w:hanging="170"/>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six Canada full-line stores</w:t>
      </w:r>
    </w:p>
    <w:p>
      <w:pPr>
        <w:spacing w:after="0" w:line="63" w:lineRule="exact"/>
        <w:rPr>
          <w:rFonts w:ascii="Arial" w:cs="Arial" w:eastAsia="Arial" w:hAnsi="Arial"/>
          <w:sz w:val="18"/>
          <w:szCs w:val="18"/>
          <w:color w:val="auto"/>
        </w:rPr>
      </w:pPr>
    </w:p>
    <w:p>
      <w:pPr>
        <w:ind w:left="340" w:hanging="170"/>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full-price Nordstrom.com website and mobile application</w:t>
      </w:r>
    </w:p>
    <w:p>
      <w:pPr>
        <w:spacing w:after="0" w:line="63" w:lineRule="exact"/>
        <w:rPr>
          <w:rFonts w:ascii="Arial" w:cs="Arial" w:eastAsia="Arial" w:hAnsi="Arial"/>
          <w:sz w:val="18"/>
          <w:szCs w:val="18"/>
          <w:color w:val="auto"/>
        </w:rPr>
      </w:pPr>
    </w:p>
    <w:p>
      <w:pPr>
        <w:ind w:left="340" w:hanging="170"/>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235 off-price Nordstrom Rack stores</w:t>
      </w:r>
    </w:p>
    <w:p>
      <w:pPr>
        <w:spacing w:after="0" w:line="63" w:lineRule="exact"/>
        <w:rPr>
          <w:rFonts w:ascii="Arial" w:cs="Arial" w:eastAsia="Arial" w:hAnsi="Arial"/>
          <w:sz w:val="18"/>
          <w:szCs w:val="18"/>
          <w:color w:val="auto"/>
        </w:rPr>
      </w:pPr>
    </w:p>
    <w:p>
      <w:pPr>
        <w:ind w:left="340" w:hanging="170"/>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off-price Nordstromrack.com/HauteLook website and mobile application</w:t>
      </w:r>
    </w:p>
    <w:p>
      <w:pPr>
        <w:spacing w:after="0" w:line="63" w:lineRule="exact"/>
        <w:rPr>
          <w:rFonts w:ascii="Arial" w:cs="Arial" w:eastAsia="Arial" w:hAnsi="Arial"/>
          <w:sz w:val="18"/>
          <w:szCs w:val="18"/>
          <w:color w:val="auto"/>
        </w:rPr>
      </w:pPr>
    </w:p>
    <w:p>
      <w:pPr>
        <w:ind w:left="340" w:hanging="170"/>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seven Trunk Club clubhouses and TrunkClub.com website</w:t>
      </w:r>
    </w:p>
    <w:p>
      <w:pPr>
        <w:spacing w:after="0" w:line="63" w:lineRule="exact"/>
        <w:rPr>
          <w:rFonts w:ascii="Arial" w:cs="Arial" w:eastAsia="Arial" w:hAnsi="Arial"/>
          <w:sz w:val="18"/>
          <w:szCs w:val="18"/>
          <w:color w:val="auto"/>
        </w:rPr>
      </w:pPr>
    </w:p>
    <w:p>
      <w:pPr>
        <w:ind w:left="340" w:hanging="170"/>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two “Last Chance” clearance stores</w:t>
      </w:r>
    </w:p>
    <w:p>
      <w:pPr>
        <w:spacing w:after="0" w:line="63" w:lineRule="exact"/>
        <w:rPr>
          <w:rFonts w:ascii="Arial" w:cs="Arial" w:eastAsia="Arial" w:hAnsi="Arial"/>
          <w:sz w:val="18"/>
          <w:szCs w:val="18"/>
          <w:color w:val="auto"/>
        </w:rPr>
      </w:pPr>
    </w:p>
    <w:p>
      <w:pPr>
        <w:ind w:left="340" w:hanging="170"/>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two Jeffrey boutiques</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Through these multiple retail channels, we strive to deliver the best customer experience possible. We offer an extensive selection of high-quality brand-name and private label merchandise focused on apparel, shoes, cosmetics and accessories.</w:t>
      </w:r>
    </w:p>
    <w:p>
      <w:pPr>
        <w:spacing w:after="0" w:line="1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integrated Nordstrom full-line stores and digital store allow us to provide our customers with a seamless shopping experience. In-store purchases are primarily fulfilled from that store’s inventory, but when inventory is unavailable at that store, it may also be shipped to our customers from our fulfillment centers in Cedar Rapids, Iowa and Elizabethtown, Pennsylvania (“East Coast”), or from other Nordstrom full-line stores. Online purchases are primarily shipped to our customers from our Cedar Rapids and East Coast fulfillment centers, but may also be shipped from our Nordstrom full-line stores. We engage with our customers on their terms, blurring the lines between the digital and in-store experience. Our customers can pick up online orders in our Nordstrom full-line stores if inventory is available at one of our locations, or reserve clothes online to try in store in many of our locations. Nordstrom Local is a test retail concept that is focused on services, providing customers convenient access to personal stylists, alterations, online orders and more. We also leverage the expertise of our salespeople to enable customers to receive personalized product recommendations on their mobile phones through our digital Style Board selling tool. These capabilities allow us to better serve customers across various channels and improve sales.</w:t>
      </w:r>
    </w:p>
    <w:p>
      <w:pPr>
        <w:spacing w:after="0" w:line="113"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Nordstrom Rack stores purchase merchandise primarily from the same vendors carried in Nordstrom full-line stores and also serve as outlets for clearance merchandise from our Nordstrom stores and other retail channels. Nordstromrack.com/HauteLook offers a consistent selection of off-price merchandise, as well as limited-time sale events on fashion and lifestyle brands and are integrated with a single customer log-in, shared shopping cart and streamlined checkout process. Nordstromrack.com combines the technology expertise of HauteLook with the merchant expertise of Nordstrom Rack. Online purchases are primarily shipped to our customers from our San Bernardino, California and East Coast fulfillment centers. Furthermore, we can accommodate returns from these sites by mail or at any Nordstrom Rack location.</w:t>
      </w:r>
    </w:p>
    <w:p>
      <w:pPr>
        <w:spacing w:after="0" w:line="120"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color w:val="auto"/>
        </w:rPr>
        <w:t xml:space="preserve">Through our </w:t>
      </w:r>
      <w:r>
        <w:rPr>
          <w:rFonts w:ascii="Arial" w:cs="Arial" w:eastAsia="Arial" w:hAnsi="Arial"/>
          <w:sz w:val="17"/>
          <w:szCs w:val="17"/>
          <w:b w:val="1"/>
          <w:bCs w:val="1"/>
          <w:color w:val="auto"/>
        </w:rPr>
        <w:t>Credit</w:t>
      </w:r>
      <w:r>
        <w:rPr>
          <w:rFonts w:ascii="Arial" w:cs="Arial" w:eastAsia="Arial" w:hAnsi="Arial"/>
          <w:sz w:val="17"/>
          <w:szCs w:val="17"/>
          <w:color w:val="auto"/>
        </w:rPr>
        <w:t xml:space="preserve"> segment, our customers can access a variety of payment products and services, including a selection of Nordstrom-branded Visa® credit cards in the U.S. and Canada, as well as a Nordstrom-branded private label credit card and a debit card for Nordstrom purchases. When customers use a Nordstrom-branded credit or debit card, they also participate in our loyalty program that provides benefits based on their level of spending. Although the primary purposes of our Credit segment are to foster greater customer loyalty and drive more sales, we also receive credit card revenue through our program agreement with TD Bank, N.A. (“TD”) (see Note 2: Credit Card Receivable Transaction in Item 8).</w:t>
      </w:r>
    </w:p>
    <w:p>
      <w:pPr>
        <w:spacing w:after="0" w:line="28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invested early in our omni-channel capabilities, integrating our operations, merchandising and technology across our stores and online, in both our Nordstrom full-price and Nordstrom Rack off-price businesses. Today, we have more than 60 combinations in which merchandise is ordered, fulfilled and delivered. Though this has enabled us to serve customers in multiple ways, we are focused on providing a seamless experience for our customer across stores and online. As a result of the evolution of our operations, our reportable segments have become progressively more integrated such that we will change our reportable segments to one reportable segment to align with how management will view the results of our operations in the first quarter of 2018. For more information about our business and our reportable segments, see Item 7: Management’s Discussion and Analysis of Financial Condition and Results of Operations and Note 15: Segment Reporting in Item 8.</w:t>
      </w:r>
    </w:p>
    <w:p>
      <w:pPr>
        <w:sectPr>
          <w:pgSz w:w="11900" w:h="16838" w:orient="portrait"/>
          <w:cols w:equalWidth="0" w:num="1">
            <w:col w:w="11380"/>
          </w:cols>
          <w:pgMar w:left="240" w:top="126" w:right="27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380"/>
          </w:cols>
          <w:pgMar w:left="240" w:top="126" w:right="279" w:bottom="1440" w:gutter="0" w:footer="0" w:header="0"/>
          <w:type w:val="continuous"/>
        </w:sectPr>
      </w:pPr>
    </w:p>
    <w:bookmarkStart w:id="4" w:name="page5"/>
    <w:bookmarkEnd w:id="4"/>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w:t>
      </w:r>
    </w:p>
    <w:p>
      <w:pPr>
        <w:spacing w:after="0" w:line="2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We operate on a 52/53-week fiscal year ending on the Saturday closest to January 31st. References to 2017 relate to the 53-week fiscal year ended February 3, 2018. References to any other years included within this document are based on a 52-week fiscal year.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RETURN POLICY</w:t>
      </w:r>
    </w:p>
    <w:p>
      <w:pPr>
        <w:spacing w:after="0" w:line="27" w:lineRule="exact"/>
        <w:rPr>
          <w:sz w:val="20"/>
          <w:szCs w:val="20"/>
          <w:color w:val="auto"/>
        </w:rPr>
      </w:pPr>
    </w:p>
    <w:p>
      <w:pPr>
        <w:ind w:right="360"/>
        <w:spacing w:after="0" w:line="252" w:lineRule="auto"/>
        <w:rPr>
          <w:sz w:val="20"/>
          <w:szCs w:val="20"/>
          <w:color w:val="auto"/>
        </w:rPr>
      </w:pPr>
      <w:r>
        <w:rPr>
          <w:rFonts w:ascii="Arial" w:cs="Arial" w:eastAsia="Arial" w:hAnsi="Arial"/>
          <w:sz w:val="18"/>
          <w:szCs w:val="18"/>
          <w:color w:val="auto"/>
        </w:rPr>
        <w:t>We have a fair and reasonable approach to returns, handling them on a case-by-case basis with the ultimate objective of making our customers happy. We have no formal return policy on how long we accept returns at our Nordstrom full-line stores or online at Nordstrom.com. Our goal is to take care of our customers, which includes making returns and exchanges easy, whether in stores or online, where we offer free shipping on purchases and returns. Our Nordstrom Rack stores generally accept returns up to 90 days from the date of purchase with the original price tag and sales receipt and accept returns of Nordstromrack.com/HauteLook merchandise. Nordstromrack.com/HauteLook generally accepts returns of apparel, footwear, accessories and HauteLook home products within 90 days from the date of shipment. Beginning in 2018, our off-price channels accept returns 45 days from the date of purchase or shipment.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7" w:lineRule="exact"/>
        <w:rPr>
          <w:sz w:val="20"/>
          <w:szCs w:val="20"/>
          <w:color w:val="auto"/>
        </w:rPr>
      </w:pPr>
    </w:p>
    <w:p>
      <w:pPr>
        <w:ind w:right="360"/>
        <w:spacing w:after="0" w:line="277" w:lineRule="auto"/>
        <w:rPr>
          <w:sz w:val="20"/>
          <w:szCs w:val="20"/>
          <w:color w:val="auto"/>
        </w:rPr>
      </w:pPr>
      <w:r>
        <w:rPr>
          <w:rFonts w:ascii="Arial" w:cs="Arial" w:eastAsia="Arial" w:hAnsi="Arial"/>
          <w:sz w:val="17"/>
          <w:szCs w:val="17"/>
          <w:color w:val="auto"/>
        </w:rPr>
        <w:t>Our business, like that of other retailers, is subject to seasonal fluctuations. Due to our Anniversary Sale in July and the holidays in the fourth quarter, our sales are typically higher in the second and fourth quarters than in the first and third quarters of the fiscal year. Consistent with the timing in 2016, our 2017 Anniversary Sale began in the third week of July and extended one week into the third quarter.</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NORDSTROM REWARDS</w:t>
      </w:r>
    </w:p>
    <w:p>
      <w:pPr>
        <w:spacing w:after="0" w:line="27" w:lineRule="exact"/>
        <w:rPr>
          <w:sz w:val="20"/>
          <w:szCs w:val="20"/>
          <w:color w:val="auto"/>
        </w:rPr>
      </w:pPr>
    </w:p>
    <w:p>
      <w:pPr>
        <w:ind w:right="180"/>
        <w:spacing w:after="0" w:line="269" w:lineRule="auto"/>
        <w:rPr>
          <w:sz w:val="20"/>
          <w:szCs w:val="20"/>
          <w:color w:val="auto"/>
        </w:rPr>
      </w:pPr>
      <w:r>
        <w:rPr>
          <w:rFonts w:ascii="Arial" w:cs="Arial" w:eastAsia="Arial" w:hAnsi="Arial"/>
          <w:sz w:val="17"/>
          <w:szCs w:val="17"/>
          <w:color w:val="auto"/>
        </w:rPr>
        <w:t>Our Nordstrom Rewards™ loyalty program, which rewards customers based on their level of spending, is one area that enables us to directly engage and strengthen relationships with customers while driving incremental sales and trips. Upon reaching certain point thresholds, customers receive Nordstrom Notes® (“Notes”), which can be redeemed for goods or services. In May 2016, we expanded the program to any customer interested in participating, when historically this program was offered only to Nordstrom cardholders. Notes can be earned and redeemed at Nordstrom full-line stores, Nordstrom.com, Nordstrom Rack and Nordstromrack.com/HauteLook. Nordstrom cardholders can also earn rewards at Trunk Club. Customers who participate in our Nordstrom Rewards loyalty program through our credit and debit cards receive additional benefits including reimbursements for alterations, Personal Triple Points days, shopping and fashion events and early access to the Anniversary Sale.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CONDITIONS</w:t>
      </w:r>
    </w:p>
    <w:p>
      <w:pPr>
        <w:spacing w:after="0" w:line="27"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operate in a highly competitive business environment. We compete with other international, national, regional and local retailers, including internet-based businesses, omni-channel department stores, specialty stores, off-price stores and boutiques, that may carry similar lines of merchandise. Our specific competitors vary from market to market. We believe the keys to competing in our industry are providing great customer service and customer experiences in stores and online. This includes offering compelling price and value, fashion newness, quality of products, selection, convenience, technology, product fulfillment, personalization and appealing, relevant store environments in top locations.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2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plan our merchandise purchases and receipts to coincide with expected sales trends. For instance, our merchandise purchases and receipts increase prior to our Anniversary Sale, which has historically extended over the last two weeks of July. We also purchase and receive a larger amount of merchandise in the fall as we prepare for the holiday shopping season (from late November through December). At Nordstrom Rack, we invest in pack and hold inventory, which involves the strategic purchase of merchandise from some of our full-line stores’ top brands in advance of the upcoming selling seasons, to take advantage of favorable buying opportunities. This inventory is typically held for six months on average and has been an important component of Nordstrom Rack’s inventory strategy.</w:t>
      </w:r>
    </w:p>
    <w:p>
      <w:pPr>
        <w:spacing w:after="0" w:line="14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order to offer merchandise that our customers want, we purchase from a wide variety of high-quality domestic and foreign suppliers. We also have arrangements with agents and contract manufacturers to produce our private label merchandise. We expect our suppliers to meet our “Nordstrom Partnership Guidelines,” which address our corporate social responsibility standards for matters such as legal and regulatory compliance, labor, health and safety and the environment. This is available on our website at Nordstrom.com.</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During 2017, we employed approximately 72,500 employees on a full- or part-time basis. Due to the seasonal nature of our business, employment increased to approximately 75,000 employees in July 2017 and 76,000 in December 2017. All of our employees are non-union. We believe our relationship with our employees is good.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7" w:lineRule="exact"/>
        <w:rPr>
          <w:sz w:val="20"/>
          <w:szCs w:val="20"/>
          <w:color w:val="auto"/>
        </w:rPr>
      </w:pPr>
    </w:p>
    <w:p>
      <w:pPr>
        <w:ind w:right="360"/>
        <w:spacing w:after="0" w:line="302" w:lineRule="auto"/>
        <w:rPr>
          <w:sz w:val="20"/>
          <w:szCs w:val="20"/>
          <w:color w:val="auto"/>
        </w:rPr>
      </w:pPr>
      <w:r>
        <w:rPr>
          <w:rFonts w:ascii="Arial" w:cs="Arial" w:eastAsia="Arial" w:hAnsi="Arial"/>
          <w:sz w:val="16"/>
          <w:szCs w:val="16"/>
          <w:color w:val="auto"/>
        </w:rPr>
        <w:t>We have 193 trademarks, each of which is the subject of one or more trademark registrations and/or trademark applications. Our most notable trademarks include Nordstrom, Nordstrom Rack, HauteLook and Trunk Club. Our most notable brand trademarks include Halogen, BP., Nordstrom, Zella, Caslon, Tucker+Tate and 14th &amp; Union. Each of our trademarks is renewable indefinitely, provided that it is still used in commerce at the time of the renewal.</w:t>
      </w:r>
    </w:p>
    <w:p>
      <w:pPr>
        <w:spacing w:after="0" w:line="349"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5</w:t>
      </w:r>
    </w:p>
    <w:p>
      <w:pPr>
        <w:sectPr>
          <w:pgSz w:w="11900" w:h="16838" w:orient="portrait"/>
          <w:cols w:equalWidth="0" w:num="1">
            <w:col w:w="11420"/>
          </w:cols>
          <w:pgMar w:left="240" w:top="126" w:right="239" w:bottom="1440" w:gutter="0" w:footer="0" w:header="0"/>
        </w:sectPr>
      </w:pPr>
    </w:p>
    <w:bookmarkStart w:id="5" w:name="page6"/>
    <w:bookmarkEnd w:id="5"/>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w:t>
      </w:r>
    </w:p>
    <w:p>
      <w:pPr>
        <w:spacing w:after="0" w:line="2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Certain statements in this Annual Report on Form 10-K contain or may suggest “forward-looking” information (as defined in the Private Securities Litigation Reform Act of 1995) that involve risks and uncertainties including, but not limited to, our anticipated financial outlook for the fiscal year ending February 2, 2019, our anticipated annual total and comparable sales rates, our anticipated new store openings in existing, new and international markets, our anticipated Return on Invested Capital and trends in our operations. Such statements are based upon the current beliefs and expectations of our management and are subject to significant risks and uncertainties. Our actual future results may differ materially from historical results or current expectations depending upon factors including, but not limited to:</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Strategic and Operational</w:t>
      </w:r>
    </w:p>
    <w:p>
      <w:pPr>
        <w:spacing w:after="0" w:line="23" w:lineRule="exact"/>
        <w:rPr>
          <w:sz w:val="20"/>
          <w:szCs w:val="20"/>
          <w:color w:val="auto"/>
        </w:rPr>
      </w:pPr>
    </w:p>
    <w:p>
      <w:pPr>
        <w:ind w:left="340" w:hanging="170"/>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successful execution of our customer strategy to provide a differentiated and seamless experience across all Nordstrom channels,</w:t>
      </w:r>
    </w:p>
    <w:p>
      <w:pPr>
        <w:spacing w:after="0" w:line="9" w:lineRule="exact"/>
        <w:rPr>
          <w:rFonts w:ascii="Arial" w:cs="Arial" w:eastAsia="Arial" w:hAnsi="Arial"/>
          <w:sz w:val="18"/>
          <w:szCs w:val="18"/>
          <w:color w:val="auto"/>
        </w:rPr>
      </w:pPr>
    </w:p>
    <w:p>
      <w:pPr>
        <w:ind w:left="340" w:right="160" w:hanging="170"/>
        <w:spacing w:after="0" w:line="25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timely and effective implementation of our plans to evolve our business model, including development of applications for electronic devices, improvement of customer-facing technology, timely delivery of products purchased digitally, enhancement of inventory management systems, greater and more fluid inventory availability between our digital channels and retail store locations, and greater consistency in marketing and pricing strategies, as well as our ability to manage the costs associated with this evolving business model,</w:t>
      </w:r>
    </w:p>
    <w:p>
      <w:pPr>
        <w:spacing w:after="0" w:line="1" w:lineRule="exact"/>
        <w:rPr>
          <w:rFonts w:ascii="Arial" w:cs="Arial" w:eastAsia="Arial" w:hAnsi="Arial"/>
          <w:sz w:val="18"/>
          <w:szCs w:val="18"/>
          <w:color w:val="auto"/>
        </w:rPr>
      </w:pPr>
    </w:p>
    <w:p>
      <w:pPr>
        <w:ind w:left="340" w:right="780" w:hanging="170"/>
        <w:spacing w:after="0" w:line="25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evolve our business model as necessary to respond to the business and retail environment, as well as fashion trends and consumer preferences, including changing expectations of service and experience in stores and online,</w:t>
      </w:r>
    </w:p>
    <w:p>
      <w:pPr>
        <w:ind w:left="340" w:right="240" w:hanging="170"/>
        <w:spacing w:after="0" w:line="25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properly balance our investments in existing and new store locations, especially our investments in our Nordstrom Men’s Store NYC and Nordstrom NYC,</w:t>
      </w:r>
    </w:p>
    <w:p>
      <w:pPr>
        <w:ind w:left="340" w:hanging="170"/>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successful execution of our information technology strategy,</w:t>
      </w:r>
    </w:p>
    <w:p>
      <w:pPr>
        <w:spacing w:after="0" w:line="9" w:lineRule="exact"/>
        <w:rPr>
          <w:rFonts w:ascii="Arial" w:cs="Arial" w:eastAsia="Arial" w:hAnsi="Arial"/>
          <w:sz w:val="18"/>
          <w:szCs w:val="18"/>
          <w:color w:val="auto"/>
        </w:rPr>
      </w:pPr>
    </w:p>
    <w:p>
      <w:pPr>
        <w:ind w:left="340" w:hanging="170"/>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effectively utilize data in strategic planning and decision making,</w:t>
      </w:r>
    </w:p>
    <w:p>
      <w:pPr>
        <w:spacing w:after="0" w:line="9" w:lineRule="exact"/>
        <w:rPr>
          <w:rFonts w:ascii="Arial" w:cs="Arial" w:eastAsia="Arial" w:hAnsi="Arial"/>
          <w:sz w:val="18"/>
          <w:szCs w:val="18"/>
          <w:color w:val="auto"/>
        </w:rPr>
      </w:pPr>
    </w:p>
    <w:p>
      <w:pPr>
        <w:ind w:left="340" w:right="160" w:hanging="170"/>
        <w:spacing w:after="0" w:line="25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timely completion of construction associated with newly planned stores, relocations and remodels, all of which may be impacted by the financial health of third parties and consumer traffic to the locations,</w:t>
      </w:r>
    </w:p>
    <w:p>
      <w:pPr>
        <w:ind w:left="340" w:hanging="170"/>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efficient and proper allocation of our capital resources,</w:t>
      </w:r>
    </w:p>
    <w:p>
      <w:pPr>
        <w:spacing w:after="0" w:line="9" w:lineRule="exact"/>
        <w:rPr>
          <w:rFonts w:ascii="Arial" w:cs="Arial" w:eastAsia="Arial" w:hAnsi="Arial"/>
          <w:sz w:val="18"/>
          <w:szCs w:val="18"/>
          <w:color w:val="auto"/>
        </w:rPr>
      </w:pPr>
    </w:p>
    <w:p>
      <w:pPr>
        <w:ind w:left="340" w:right="420" w:hanging="170"/>
        <w:spacing w:after="0" w:line="25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effective inventory management processes and systems, fulfillment and supply chain processes and systems, disruptions in our supply chain and our ability to control costs,</w:t>
      </w:r>
    </w:p>
    <w:p>
      <w:pPr>
        <w:ind w:left="340" w:right="260" w:hanging="170"/>
        <w:spacing w:after="0" w:line="25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any systems or network failures, cybersecurity and/or security breaches, including any security breach of our systems or those of a third-party provider that results in the theft, transfer or unauthorized disclosure of customer, employee or Company information or compliance with information security and privacy laws and regulations in the event of such an incident,</w:t>
      </w:r>
    </w:p>
    <w:p>
      <w:pPr>
        <w:spacing w:after="0" w:line="1" w:lineRule="exact"/>
        <w:rPr>
          <w:rFonts w:ascii="Arial" w:cs="Arial" w:eastAsia="Arial" w:hAnsi="Arial"/>
          <w:sz w:val="18"/>
          <w:szCs w:val="18"/>
          <w:color w:val="auto"/>
        </w:rPr>
      </w:pPr>
    </w:p>
    <w:p>
      <w:pPr>
        <w:ind w:left="340" w:right="120" w:hanging="170"/>
        <w:spacing w:after="0" w:line="25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 of the publicly announced exploration by members of the Nordstrom family of a possible “going private transaction” on our relationships with our customers, employees, suppliers and partners, on our operating results and on our business generally,</w:t>
      </w:r>
    </w:p>
    <w:p>
      <w:pPr>
        <w:ind w:left="340" w:hanging="170"/>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safeguard our reputation and maintain our vendor relationships,</w:t>
      </w:r>
    </w:p>
    <w:p>
      <w:pPr>
        <w:spacing w:after="0" w:line="9" w:lineRule="exact"/>
        <w:rPr>
          <w:rFonts w:ascii="Arial" w:cs="Arial" w:eastAsia="Arial" w:hAnsi="Arial"/>
          <w:sz w:val="18"/>
          <w:szCs w:val="18"/>
          <w:color w:val="auto"/>
        </w:rPr>
      </w:pPr>
    </w:p>
    <w:p>
      <w:pPr>
        <w:ind w:left="340" w:right="360" w:hanging="170"/>
        <w:spacing w:after="0" w:line="25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relationships with and motivate our employees and to effectively attract, develop and retain our future leaders, which could be impacted by the uncertainty about the possibility of a “going private transaction”,</w:t>
      </w:r>
    </w:p>
    <w:p>
      <w:pPr>
        <w:ind w:left="340" w:hanging="170"/>
        <w:spacing w:after="0"/>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realize the expected benefits, respond to potential risks and appropriately manage costs associated with our program agreement with TD,</w:t>
      </w:r>
    </w:p>
    <w:p>
      <w:pPr>
        <w:spacing w:after="0" w:line="32" w:lineRule="exact"/>
        <w:rPr>
          <w:rFonts w:ascii="Arial" w:cs="Arial" w:eastAsia="Arial" w:hAnsi="Arial"/>
          <w:sz w:val="16"/>
          <w:szCs w:val="16"/>
          <w:color w:val="auto"/>
        </w:rPr>
      </w:pPr>
    </w:p>
    <w:p>
      <w:pPr>
        <w:ind w:left="340" w:hanging="170"/>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effectiveness of planned advertising, marketing and promotional campaigns in the highly competitive and promotional retail industry,</w:t>
      </w:r>
    </w:p>
    <w:p>
      <w:pPr>
        <w:spacing w:after="0" w:line="9" w:lineRule="exact"/>
        <w:rPr>
          <w:rFonts w:ascii="Arial" w:cs="Arial" w:eastAsia="Arial" w:hAnsi="Arial"/>
          <w:sz w:val="18"/>
          <w:szCs w:val="18"/>
          <w:color w:val="auto"/>
        </w:rPr>
      </w:pPr>
    </w:p>
    <w:p>
      <w:pPr>
        <w:ind w:left="340" w:hanging="170"/>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market fluctuations, increases in operating costs, exit costs and overall liabilities and losses associated with owning and leasing real estate,</w:t>
      </w:r>
    </w:p>
    <w:p>
      <w:pPr>
        <w:spacing w:after="0" w:line="9" w:lineRule="exact"/>
        <w:rPr>
          <w:rFonts w:ascii="Arial" w:cs="Arial" w:eastAsia="Arial" w:hAnsi="Arial"/>
          <w:sz w:val="18"/>
          <w:szCs w:val="18"/>
          <w:color w:val="auto"/>
        </w:rPr>
      </w:pPr>
    </w:p>
    <w:p>
      <w:pPr>
        <w:ind w:left="340" w:right="120" w:hanging="170"/>
        <w:spacing w:after="0" w:line="25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goodwill impairment charges, future impairment charges and fluctuations in the fair values of reporting units or of assets in the event projected financial results are not achieved within expected time frames,</w:t>
      </w:r>
    </w:p>
    <w:p>
      <w:pPr>
        <w:ind w:left="340" w:hanging="170"/>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compliance with debt and operating covenants, availability and cost of credit, changes in our credit rating and changes in interest rates,</w:t>
      </w:r>
    </w:p>
    <w:p>
      <w:pPr>
        <w:spacing w:after="0" w:line="9" w:lineRule="exact"/>
        <w:rPr>
          <w:rFonts w:ascii="Arial" w:cs="Arial" w:eastAsia="Arial" w:hAnsi="Arial"/>
          <w:sz w:val="18"/>
          <w:szCs w:val="18"/>
          <w:color w:val="auto"/>
        </w:rPr>
      </w:pPr>
    </w:p>
    <w:p>
      <w:pPr>
        <w:ind w:left="340" w:hanging="170"/>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price, manner and amounts of future share repurchases by the Company, if any, or any share issuances by the Company,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Economic and External</w:t>
      </w:r>
    </w:p>
    <w:p>
      <w:pPr>
        <w:spacing w:after="0" w:line="23" w:lineRule="exact"/>
        <w:rPr>
          <w:sz w:val="20"/>
          <w:szCs w:val="20"/>
          <w:color w:val="auto"/>
        </w:rPr>
      </w:pPr>
    </w:p>
    <w:p>
      <w:pPr>
        <w:ind w:left="340" w:hanging="170"/>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the seasonal nature of our business and cyclical customer spending,</w:t>
      </w:r>
    </w:p>
    <w:p>
      <w:pPr>
        <w:spacing w:after="0" w:line="9" w:lineRule="exact"/>
        <w:rPr>
          <w:rFonts w:ascii="Arial" w:cs="Arial" w:eastAsia="Arial" w:hAnsi="Arial"/>
          <w:sz w:val="18"/>
          <w:szCs w:val="18"/>
          <w:color w:val="auto"/>
        </w:rPr>
      </w:pPr>
    </w:p>
    <w:p>
      <w:pPr>
        <w:ind w:left="340" w:hanging="170"/>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economic and market conditions and the resultant impact on consumer spending and credit patterns,</w:t>
      </w:r>
    </w:p>
    <w:p>
      <w:pPr>
        <w:spacing w:after="0" w:line="9" w:lineRule="exact"/>
        <w:rPr>
          <w:rFonts w:ascii="Arial" w:cs="Arial" w:eastAsia="Arial" w:hAnsi="Arial"/>
          <w:sz w:val="18"/>
          <w:szCs w:val="18"/>
          <w:color w:val="auto"/>
        </w:rPr>
      </w:pPr>
    </w:p>
    <w:p>
      <w:pPr>
        <w:ind w:left="340" w:hanging="170"/>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economic, environmental or political conditions in the U.S. and countries where our third-party vendors operate,</w:t>
      </w:r>
    </w:p>
    <w:p>
      <w:pPr>
        <w:spacing w:after="0" w:line="9" w:lineRule="exact"/>
        <w:rPr>
          <w:rFonts w:ascii="Arial" w:cs="Arial" w:eastAsia="Arial" w:hAnsi="Arial"/>
          <w:sz w:val="18"/>
          <w:szCs w:val="18"/>
          <w:color w:val="auto"/>
        </w:rPr>
      </w:pPr>
    </w:p>
    <w:p>
      <w:pPr>
        <w:ind w:left="340" w:right="140" w:hanging="170"/>
        <w:spacing w:after="0" w:line="261"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weather conditions, natural disasters, health hazards, national security or other market and supply chain disruptions, or the prospects of these events and the resulting impact on consumer spending patterns or information technology systems and communications,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Legal and Regulatory</w:t>
      </w:r>
    </w:p>
    <w:p>
      <w:pPr>
        <w:spacing w:after="0" w:line="23" w:lineRule="exact"/>
        <w:rPr>
          <w:sz w:val="20"/>
          <w:szCs w:val="20"/>
          <w:color w:val="auto"/>
        </w:rPr>
      </w:pPr>
    </w:p>
    <w:p>
      <w:pPr>
        <w:ind w:left="340" w:hanging="170"/>
        <w:spacing w:after="0" w:line="25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compliance with applicable domestic and international laws, regulations and ethical standards, including those related to employment and tax, and the outcome of claims and litigation and resolution of such matters,</w:t>
      </w:r>
    </w:p>
    <w:p>
      <w:pPr>
        <w:ind w:left="340" w:hanging="170"/>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the current regulatory environment and financial system, health care, and tax reforms,</w:t>
      </w:r>
    </w:p>
    <w:p>
      <w:pPr>
        <w:spacing w:after="0" w:line="9" w:lineRule="exact"/>
        <w:rPr>
          <w:rFonts w:ascii="Arial" w:cs="Arial" w:eastAsia="Arial" w:hAnsi="Arial"/>
          <w:sz w:val="18"/>
          <w:szCs w:val="18"/>
          <w:color w:val="auto"/>
        </w:rPr>
      </w:pPr>
    </w:p>
    <w:p>
      <w:pPr>
        <w:ind w:left="340" w:right="40" w:hanging="170"/>
        <w:spacing w:after="0" w:line="261"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changes in accounting rules and regulations, changes in our interpretation of the rules or regulations, or changes in underlying assumptions, estimates or judgments.</w:t>
      </w:r>
    </w:p>
    <w:p>
      <w:pPr>
        <w:spacing w:after="0" w:line="13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These and other factors, including those factors described in Item 1A: Risk Factors, could affect our financial results and cause actual results to differ materially from any forward-looking information we may provide. We undertake no obligation to update or revise any forward-looking statements to reflect subsequent events, new information or future circumstances, except as may be required by law.</w:t>
      </w:r>
    </w:p>
    <w:p>
      <w:pPr>
        <w:sectPr>
          <w:pgSz w:w="11900" w:h="16838" w:orient="portrait"/>
          <w:cols w:equalWidth="0" w:num="1">
            <w:col w:w="11420"/>
          </w:cols>
          <w:pgMar w:left="240" w:top="126" w:right="23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20"/>
          </w:cols>
          <w:pgMar w:left="240" w:top="126" w:right="239" w:bottom="1440" w:gutter="0" w:footer="0" w:header="0"/>
          <w:type w:val="continuous"/>
        </w:sectPr>
      </w:pPr>
    </w:p>
    <w:bookmarkStart w:id="6" w:name="page7"/>
    <w:bookmarkEnd w:id="6"/>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 FILINGS</w:t>
      </w:r>
    </w:p>
    <w:p>
      <w:pPr>
        <w:spacing w:after="0" w:line="2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file annual, quarterly and current reports, proxy statements and other documents with the Securities and Exchange Commission (“SEC”). All the materials we file with the SEC are publicly available at the SEC’s Public Reference Room at 100 F Street NE, Washington, DC 20549. You may obtain information on the operation of the Public Reference Room by calling the SEC at 1-800-SEC-0330. In addition, the SEC maintains a website at www.sec.gov that contains reports, proxy and information statements, and other information regarding issuers that file electronically with the SEC.</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ACCESS</w:t>
      </w:r>
    </w:p>
    <w:p>
      <w:pPr>
        <w:spacing w:after="0" w:line="27"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Our website address is Nordstrom.com. Our annual and quarterly reports on Form 10-K and Form 10-Q (including related filings in eXtensible Business Reporting Language (“XBRL”) format), current reports on Form 8-K, proxy statements, our executives’ statements of changes in beneficial ownership of securities on Form 4 and amendments to those reports filed or furnished pursuant to Section 13(a) or 15(d) of the Securities Exchange Act of 1934, as amended (the “Exchange Act”) are available for free on or through our website as soon as reasonably practicable after we electronically file the report with or furnish it to the SEC. Interested parties may also access a webcast of quarterly earnings conference calls and other financial events through our website.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27" w:lineRule="exact"/>
        <w:rPr>
          <w:sz w:val="20"/>
          <w:szCs w:val="20"/>
          <w:color w:val="auto"/>
        </w:rPr>
      </w:pPr>
    </w:p>
    <w:p>
      <w:pPr>
        <w:ind w:right="340"/>
        <w:spacing w:after="0" w:line="271" w:lineRule="auto"/>
        <w:rPr>
          <w:sz w:val="20"/>
          <w:szCs w:val="20"/>
          <w:color w:val="auto"/>
        </w:rPr>
      </w:pPr>
      <w:r>
        <w:rPr>
          <w:rFonts w:ascii="Arial" w:cs="Arial" w:eastAsia="Arial" w:hAnsi="Arial"/>
          <w:sz w:val="17"/>
          <w:szCs w:val="17"/>
          <w:color w:val="auto"/>
        </w:rPr>
        <w:t>We have a long-standing commitment to upholding a high level of ethical standards. In addition, as the listing standards of the New York Stock Exchange (“NYSE”) and the rules of the SEC require, we have adopted Codes of Business Conduct and Ethics for our employees, officers and directors (“Codes of Ethics”) and Corporate Governance Guidelines. Our Codes of Ethics, Corporate Governance Guidelines and Committee Charters for the Audit, Compensation, Corporate Governance and Nominating, Finance and Technology Committees are posted on our website. Any amendments to these documents, or waivers of the requirements they contain, will also be available on our website.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For printed versions of these items or any other inquiries, please contact:</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Nordstrom Investor Relations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1617 Sixth Avenue, Suite 500</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Seattle, Washington 98101</w:t>
      </w:r>
    </w:p>
    <w:p>
      <w:pPr>
        <w:spacing w:after="0" w:line="63" w:lineRule="exact"/>
        <w:rPr>
          <w:sz w:val="20"/>
          <w:szCs w:val="20"/>
          <w:color w:val="auto"/>
        </w:rPr>
      </w:pPr>
    </w:p>
    <w:p>
      <w:pPr>
        <w:ind w:left="40" w:right="9280" w:hanging="5"/>
        <w:spacing w:after="0" w:line="412" w:lineRule="auto"/>
        <w:tabs>
          <w:tab w:leader="none" w:pos="475" w:val="left"/>
        </w:tabs>
        <w:numPr>
          <w:ilvl w:val="0"/>
          <w:numId w:val="7"/>
        </w:numPr>
        <w:rPr>
          <w:rFonts w:ascii="Arial" w:cs="Arial" w:eastAsia="Arial" w:hAnsi="Arial"/>
          <w:sz w:val="16"/>
          <w:szCs w:val="16"/>
          <w:color w:val="auto"/>
        </w:rPr>
      </w:pPr>
      <w:r>
        <w:rPr>
          <w:rFonts w:ascii="Arial" w:cs="Arial" w:eastAsia="Arial" w:hAnsi="Arial"/>
          <w:sz w:val="16"/>
          <w:szCs w:val="16"/>
          <w:color w:val="auto"/>
        </w:rPr>
        <w:t>303-3200 invrelations@nordstrom.com</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Our business faces many risks. We believe the risks described below outline the items of most concern to us.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DUE TO STRATEGIC AND OPERATIONAL FACTORS</w:t>
      </w:r>
    </w:p>
    <w:p>
      <w:pPr>
        <w:spacing w:after="0" w:line="171"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b w:val="1"/>
          <w:bCs w:val="1"/>
          <w:color w:val="auto"/>
        </w:rPr>
        <w:t>Our inability to successfully execute our customer strategy or our plans to evolve our business model could negatively impact our business and future profitability and growth.</w:t>
      </w:r>
    </w:p>
    <w:p>
      <w:pPr>
        <w:ind w:right="120"/>
        <w:spacing w:after="0" w:line="273" w:lineRule="auto"/>
        <w:rPr>
          <w:sz w:val="20"/>
          <w:szCs w:val="20"/>
          <w:color w:val="auto"/>
        </w:rPr>
      </w:pPr>
      <w:r>
        <w:rPr>
          <w:rFonts w:ascii="Arial" w:cs="Arial" w:eastAsia="Arial" w:hAnsi="Arial"/>
          <w:sz w:val="17"/>
          <w:szCs w:val="17"/>
          <w:color w:val="auto"/>
        </w:rPr>
        <w:t>The retail environment is rapidly evolving with customer shopping preferences continuing to shift to digital channels. Computers and mobile electronic devices allow customers to browse and transact anywhere and anytime. Our customer strategy focuses on providing a differentiated and seamless experience across all Nordstrom channels, whether in store or in the digital environment. We are enhancing our customer shopping experience in our stores and online, including mobile and social channels, by pursuing a heightened focus on digital technology to fuel our growth.</w:t>
      </w:r>
    </w:p>
    <w:p>
      <w:pPr>
        <w:spacing w:after="0" w:line="12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growth strategies in this area span the development of applications for electronic devices, improvement of customer-facing technology, timely delivery of products purchased digitally, enhancement of inventory management systems, greater and more fluid inventory availability between digital and retail locations, and greater consistency in marketing and pricing strategies. In addition, these strategies will require further expansion and reliance on data science and analytics across all our channels. This business model has a high variable cost structure driven by fulfillment and marketing costs and will continue to require investment in cross-channel operations and supporting technologies.</w:t>
      </w:r>
    </w:p>
    <w:p>
      <w:pPr>
        <w:spacing w:after="0" w:line="134"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With the accelerated pace of change in the retail environment, we may not be able to meet our customers’ changing expectations of how they shop in stores or through digital channels. If we do not successfully implement and expand our digital initiatives, or do not seamlessly integrate or maintain them properly, we may fall short of our customer’s expectations, impacting our brand, reputation, profitability and growth. In addition, if customers shift to digital channels at a different pace than we anticipate, we may need to quickly modify our initiatives and investments, which may adversely impact our profitability and harm our competitive position. We also may not gather accurate and relevant data or effectively utilize that data, which may impact our strategic planning and decision making.</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7</w:t>
      </w:r>
    </w:p>
    <w:p>
      <w:pPr>
        <w:sectPr>
          <w:pgSz w:w="11900" w:h="16838" w:orient="portrait"/>
          <w:cols w:equalWidth="0" w:num="1">
            <w:col w:w="11420"/>
          </w:cols>
          <w:pgMar w:left="240" w:top="126" w:right="239" w:bottom="1440" w:gutter="0" w:footer="0" w:header="0"/>
        </w:sectPr>
      </w:pPr>
    </w:p>
    <w:bookmarkStart w:id="7" w:name="page8"/>
    <w:bookmarkEnd w:id="7"/>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business could suffer if we do not appropriately assess and react to competitive market forces and changes in customer behavior.</w:t>
      </w:r>
    </w:p>
    <w:p>
      <w:pPr>
        <w:spacing w:after="0" w:line="39"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We compete with other international, national, regional and local retailers, including internet-based businesses, omni-channel department stores, specialty stores, off-price stores and boutiques, that may carry similar lines of merchandise. Digital channels continue to facilitate comparison shopping, intensifying competition in the retail market. If we fail to adequately anticipate and respond to customer and market dynamics, we may lose market share or our ability to remain competitive, causing our sales and profitability to suffer. If we do not properly allocate our capital between the store and digital environment or between the full-price and off-price channels, or adjust the effectiveness and efficiency of our stores and digital channels, our overall sales and profitability could suffer.</w:t>
      </w:r>
    </w:p>
    <w:p>
      <w:pPr>
        <w:spacing w:after="0" w:line="136"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Our customer relationships and sales may be negatively impacted if we do not anticipate and respond to consumer preferences and fashion trends or manage inventory levels appropriately.</w:t>
      </w:r>
    </w:p>
    <w:p>
      <w:pPr>
        <w:ind w:right="300"/>
        <w:spacing w:after="0" w:line="253" w:lineRule="auto"/>
        <w:rPr>
          <w:sz w:val="20"/>
          <w:szCs w:val="20"/>
          <w:color w:val="auto"/>
        </w:rPr>
      </w:pPr>
      <w:r>
        <w:rPr>
          <w:rFonts w:ascii="Arial" w:cs="Arial" w:eastAsia="Arial" w:hAnsi="Arial"/>
          <w:sz w:val="18"/>
          <w:szCs w:val="18"/>
          <w:color w:val="auto"/>
        </w:rPr>
        <w:t>Our ability to predict or respond to constantly changing fashion trends, consumer preferences and spending patterns significantly impacts our sales and operating results. If we do not identify and respond to emerging trends in consumer spending and preferences quickly enough, we may harm our ability to retain our existing customers or attract new customers. If we purchase too much inventory, we may be forced to sell our merchandise at lower average margins, which could harm our business. Conversely, if we fail to purchase enough merchandise, we may lose opportunities for additional sales and potentially harm relationships with our customers.</w:t>
      </w:r>
    </w:p>
    <w:p>
      <w:pPr>
        <w:spacing w:after="0" w:line="133"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b w:val="1"/>
          <w:bCs w:val="1"/>
          <w:color w:val="auto"/>
        </w:rPr>
        <w:t>The investment in existing and new store locations, including our Nordstrom Men’s Store NYC and Nordstrom NYC, may outpace our expected returns.</w:t>
      </w:r>
    </w:p>
    <w:p>
      <w:pPr>
        <w:ind w:right="40"/>
        <w:spacing w:after="0" w:line="273" w:lineRule="auto"/>
        <w:rPr>
          <w:sz w:val="20"/>
          <w:szCs w:val="20"/>
          <w:color w:val="auto"/>
        </w:rPr>
      </w:pPr>
      <w:r>
        <w:rPr>
          <w:rFonts w:ascii="Arial" w:cs="Arial" w:eastAsia="Arial" w:hAnsi="Arial"/>
          <w:sz w:val="17"/>
          <w:szCs w:val="17"/>
          <w:color w:val="auto"/>
        </w:rPr>
        <w:t>The locations of our existing stores and planned store openings are assessed based upon desirability, demographics, and retail environment. This involves certain risks, including properly balancing our capital investments between new stores, relocations, remodels, technology and digital channels, assessing the suitability of locations, especially in new domestic and international markets, and constructing, furnishing and supplying a store in a timely and cost-effective manner. In particular, we plan to open our Nordstrom Men’s Store NYC in Spring 2018 and our Nordstrom NYC store in 2019.</w:t>
      </w:r>
    </w:p>
    <w:p>
      <w:pPr>
        <w:spacing w:after="0" w:line="12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Sales at our stores may not meet projections, particularly in light of the changing trends between digital and brick-and-mortar shopping channels, which could adversely affect our return on investment. As we enter into new domestic and international markets, such as Manhattan and Canada, our efforts will require additional management attention and resources and may distract us from executing our core operations.</w:t>
      </w:r>
    </w:p>
    <w:p>
      <w:pPr>
        <w:spacing w:after="0" w:line="123"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b w:val="1"/>
          <w:bCs w:val="1"/>
          <w:color w:val="auto"/>
        </w:rPr>
        <w:t>Even if we take appropriate measures to safeguard our information security and privacy environment from security breaches, our customers and our business could still be exposed to risk.</w:t>
      </w:r>
    </w:p>
    <w:p>
      <w:pPr>
        <w:spacing w:after="0" w:line="295" w:lineRule="auto"/>
        <w:rPr>
          <w:sz w:val="20"/>
          <w:szCs w:val="20"/>
          <w:color w:val="auto"/>
        </w:rPr>
      </w:pPr>
      <w:r>
        <w:rPr>
          <w:rFonts w:ascii="Arial" w:cs="Arial" w:eastAsia="Arial" w:hAnsi="Arial"/>
          <w:sz w:val="16"/>
          <w:szCs w:val="16"/>
          <w:color w:val="auto"/>
        </w:rPr>
        <w:t>Nordstrom, our subsidiaries and, in some instances, our third-party vendors collect, store and transmit customers’ personal information, consumer preferences and credit card information. In addition, our operations involve the collection, storage and transmission of employee information and our financial and strategic data. Security breaches of this information may be the result of intentional or inadvertent activities by our employees or by third parties with whom we have business relationships that may result in the unauthorized release of customer or employee personal or confidential information.</w:t>
      </w:r>
    </w:p>
    <w:p>
      <w:pPr>
        <w:spacing w:after="0" w:line="107"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Any measures we implement to prevent a security or cybersecurity threat may not be completely effective and may have the potential to harm relations with our customers and employees or decrease activity on our websites by making them more difficult to use. In addition, the regulatory environment surrounding information security, cybersecurity and privacy is increasingly demanding, with new and constantly changing requirements.</w:t>
      </w:r>
    </w:p>
    <w:p>
      <w:pPr>
        <w:spacing w:after="0" w:line="111"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Security breaches and cyber incidents and their remediation, whether at Nordstrom, our third-party providers or other retailers, could expose us to a risk of loss or misappropriation of this information, litigation, regulatory enforcement action, fines, information technology system failures or network disruptions, potential liability, reputation damage and loss of customers’ trust and business, any of which could adversely impact our financial performance. Any such breaches or incidents could subject us to financial losses, investigation, notification and remediation costs, which may not be covered by our insurance policies. If there is additional information that is later discovered related to such security breach or incident, there could be further loss of shareholders’ and customers’ trust and business based upon their reactions to this additional information. Additionally, we could be subject to external credit card fraud. To the extent that any incident results in the loss, damage or misappropriation of information, we may be materially adversely affected by claims from our customers, financial institutions, regulators, payment card networks and other third parties.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may be impacted by information technology system failures or network disruptions.</w:t>
      </w:r>
    </w:p>
    <w:p>
      <w:pPr>
        <w:spacing w:after="0" w:line="2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Our ability to transact with customers and operate our business depends on the efficient operation of our computer and communications systems. If we encounter an interruption or deterioration in critical processes or experience the loss of critical data, which may result from natural disasters, accidents, power disruptions, telecommunications failures, acts of terrorism or war, computer viruses, physical or electronic break-ins, security or cybersecurity threats or attacks or third-party or other disruptions, our business could be harmed. Depending on the severity of the failure, our disaster recovery plans may be inadequate or ineffective. These events could also damage our reputation, result in loss of sales and be expensive to remedy.</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00"/>
          </w:cols>
          <w:pgMar w:left="240" w:top="126" w:right="259" w:bottom="1440" w:gutter="0" w:footer="0" w:header="0"/>
        </w:sectPr>
      </w:pPr>
    </w:p>
    <w:bookmarkStart w:id="8" w:name="page9"/>
    <w:bookmarkEnd w:id="8"/>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b w:val="1"/>
          <w:bCs w:val="1"/>
          <w:color w:val="auto"/>
        </w:rPr>
        <w:t xml:space="preserve">Improvements to our merchandise buying and fulfillment processes and systems could adversely affect our business if not successfully executed. </w:t>
      </w:r>
      <w:r>
        <w:rPr>
          <w:rFonts w:ascii="Arial" w:cs="Arial" w:eastAsia="Arial" w:hAnsi="Arial"/>
          <w:sz w:val="16"/>
          <w:szCs w:val="16"/>
          <w:color w:val="auto"/>
        </w:rPr>
        <w:t>We are making investments to improve our merchandise planning, procurement, allocation and fulfillment capabilities through changes in personnel, processes, location logistics and technology over a period of several years. If we encounter challenges associated with change management, the ability to hire and retain key personnel involved in these efforts, implementation of associated information technology or adoption of new processes, our ability to continue to successfully execute our strategy or evolve our strategy with changes in the retail environment could be adversely affected. As a result, we may not derive the expected benefits to our sales and profitability, or we may incur increased costs relative to our current expectations.</w:t>
      </w:r>
    </w:p>
    <w:p>
      <w:pPr>
        <w:spacing w:after="0" w:line="102"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color w:val="auto"/>
        </w:rPr>
        <w:t>The possibility of a “going private transaction” by the Nordstrom family could negatively impact our operating results, business and relationships with our customers, employees, suppliers and partners.</w:t>
      </w:r>
    </w:p>
    <w:p>
      <w:pPr>
        <w:ind w:right="60"/>
        <w:spacing w:after="0" w:line="285" w:lineRule="auto"/>
        <w:rPr>
          <w:sz w:val="20"/>
          <w:szCs w:val="20"/>
          <w:color w:val="auto"/>
        </w:rPr>
      </w:pPr>
      <w:r>
        <w:rPr>
          <w:rFonts w:ascii="Arial" w:cs="Arial" w:eastAsia="Arial" w:hAnsi="Arial"/>
          <w:sz w:val="16"/>
          <w:szCs w:val="16"/>
          <w:color w:val="auto"/>
        </w:rPr>
        <w:t>In June 2017, members of the Nordstrom family formed a group (the “Group”) to explore the possibility of pursuing a “going private transaction” involving the acquisition by the Group of 100% of our outstanding shares of common stock (a “Going Private Transaction”). The Board of Directors also formed a special committee (the “Special Committee”) comprised of independent directors to act on the Company’s behalf in connection with such exploration by the Group and any possible transaction. In October 2017, the Group informed the Special Committee that the Group has suspended active exploration of a Going Private Transaction for the balance of the year. The Group also informed the Special Committee that it intends to continue its efforts to explore the possibility of making a going private proposal after the conclusion of the holiday season. In March 2018, the Group delivered an indicative proposal to the Special Committee regarding a Going Private Transaction. The Special Committee determined that the price proposed is inadequate. No assurances can be given regarding the terms and details of any such transaction, that any proposal made by the Group, if any, will be accepted by the Special Committee, that definitive documentation relating to a transaction will be executed, or that a transaction will be consummated in accordance with that documentation, if at all. We do not plan to disclose developments or provide updates on the progress or status of any potential Going Private Transaction until the Special Committee deems further disclosure is appropriate or required. Speculation regarding any developments related to the review of a Going Private Transaction and perceived uncertainties related to our future could cause our stock price to fluctuate significantly.</w:t>
      </w:r>
    </w:p>
    <w:p>
      <w:pPr>
        <w:spacing w:after="0" w:line="3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possibility of a Going Private Transaction or any other alternative may expose us and our operations to a number of risks and uncertainties, including the potential failure to retain, attract or strengthen our relationships with key personnel, current and potential customers, suppliers, and partners, which may cause them to terminate, or not to renew or enter into, arrangements with us; the potential incurrence of expenses associated with the retention of legal, financial and other advisors regardless of whether any transaction is consummated; distractions and disruptions in our business; and exposure to potential litigation in connection with this process and effecting any transaction, any of which could adversely affect our business, financial condition and results of operations as well as the market price of our common stock.</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customer, employee and vendor relationships could be negatively affected if we fail to maintain our corporate culture and reputation.</w:t>
      </w:r>
    </w:p>
    <w:p>
      <w:pPr>
        <w:spacing w:after="0" w:line="39"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have a well-recognized culture and reputation that consumers may associate with a high level of integrity, customer service and quality merchandise, and it is one of the reasons customers shop with us and employees choose us as a place of employment. Any significant damage to our reputation, including factors outside our control or on social media, could diminish customer trust, weaken our vendor relationships, reduce employee morale and productivity and lead to difficulties in recruiting and retaining qualified employees. Additionally, management may not accurately assess the impact of significant legislative changes, including those that relate to privacy, employment matters and health care, impacting our relationship with our customers or our workforce and adversely affecting our sales and operations.</w:t>
      </w:r>
    </w:p>
    <w:p>
      <w:pPr>
        <w:spacing w:after="0" w:line="136"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b w:val="1"/>
          <w:bCs w:val="1"/>
          <w:color w:val="auto"/>
        </w:rPr>
        <w:t>If we do not effectively design and implement our strategic and business planning processes to attract, retain, train and develop talent and future leaders, our business may suffer.</w:t>
      </w:r>
    </w:p>
    <w:p>
      <w:pPr>
        <w:ind w:right="80"/>
        <w:spacing w:after="0" w:line="252" w:lineRule="auto"/>
        <w:rPr>
          <w:sz w:val="20"/>
          <w:szCs w:val="20"/>
          <w:color w:val="auto"/>
        </w:rPr>
      </w:pPr>
      <w:r>
        <w:rPr>
          <w:rFonts w:ascii="Arial" w:cs="Arial" w:eastAsia="Arial" w:hAnsi="Arial"/>
          <w:sz w:val="18"/>
          <w:szCs w:val="18"/>
          <w:color w:val="auto"/>
        </w:rPr>
        <w:t>We rely on the experience of our senior management, who have specific knowledge relating to us and our industry that is difficult to replace, and the talents of our workforce to execute our business strategies and objectives. We have succession plans in place and our Board of Directors reviews these succession plans. If our succession plans do not adequately cover significant and unanticipated turnover, the loss of the services of any of these individuals, or any resulting negative perceptions of our business, could damage our reputation and our business. Additionally, our ability to maintain relationships with and motivate our employees and to effectively attract, develop and retain our future leaders, could be impacted by the uncertainty about the possibility of a Going Private Transaction.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program agreement with TD could adversely impact our business.</w:t>
      </w:r>
    </w:p>
    <w:p>
      <w:pPr>
        <w:spacing w:after="0" w:line="2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program agreement with TD was consummated on terms that allow us to maintain customer-facing activities while TD provides Nordstrom-branded payment methods and payment processing services. If we fail to meet certain service levels, TD has the right to assume certain individual servicing functions. If we lose control of such activities and functions, if we do not successfully respond to potential risks and appropriately manage potential costs associated with the program agreement with TD, or if these transactions negatively impact the customer service associated with our cards, resulting in harm to our business reputation and competitive position, our operations, cash flows and returns to shareholders could be adversely affected. If TD became unwilling or unable to provide these services or if there are changes to the risk management policies implemented under our program agreement with TD, our results may be negatively impacted.</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9</w:t>
      </w:r>
    </w:p>
    <w:p>
      <w:pPr>
        <w:sectPr>
          <w:pgSz w:w="11900" w:h="16838" w:orient="portrait"/>
          <w:cols w:equalWidth="0" w:num="1">
            <w:col w:w="11420"/>
          </w:cols>
          <w:pgMar w:left="240" w:top="126" w:right="239" w:bottom="1440" w:gutter="0" w:footer="0" w:header="0"/>
        </w:sectPr>
      </w:pPr>
    </w:p>
    <w:bookmarkStart w:id="9" w:name="page10"/>
    <w:bookmarkEnd w:id="9"/>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Ownership and leasing real estate exposes us to possible liabilities and losses.</w:t>
      </w:r>
    </w:p>
    <w:p>
      <w:pPr>
        <w:spacing w:after="0" w:line="2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own or lease the land and/or buildings for all of our stores and are therefore subject to all of the risks associated with owning and leasing real estate. In particular, the value of the assets could decrease, their operating costs could increase, or a store may not be opened as planned due to changes in the real estate market, demographic trends, site competition, dependence on third-party performance or overall economic environment. Additionally, we are potentially subject to liability for environmental conditions, exit costs associated with disposal of a store, commitments to pay base rent for the entire lease term or operate a store for the duration of an operating covenant.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and partnerships in new business strategies and acquisitions could disrupt our core business.</w:t>
      </w:r>
    </w:p>
    <w:p>
      <w:pPr>
        <w:spacing w:after="0" w:line="2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have invested in or are pursuing strategic growth opportunities, which may include acquisitions of, or investments in, other businesses, as well as new technologies or other investments to provide a superior customer shopping experience in our stores and digital channels. Additionally, our business model will continue to rely more on partnerships with third parties for certain strategic initiatives and technologies. If these investments, acquisitions or partnerships do not perform as expected or create operational difficulties, we may record impairment charges. If we do not realize our anticipated return on investments, our profitability and growth could be adversely affected.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fail to appropriately manage our capital, we may negatively impact our operations and shareholder return.</w:t>
      </w:r>
    </w:p>
    <w:p>
      <w:pPr>
        <w:spacing w:after="0" w:line="2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utilize working capital to finance our operations, make capital expenditures and acquisitions, manage our debt levels and return value to our shareholders through dividends and share repurchases. Changes in the credit and capital markets, including market disruptions, limited liquidity and interest rate fluctuations, may increase the cost of financing or restrict access to a potential source of liquidity. A deterioration in our capital structure or the quality and stability of our earnings could result in noncompliance with our debt covenants or a downgrade of our credit rating, constraining the financing available to our Company. If our access to financing is restricted or our borrowing costs increase, our operations and financial condition could be adversely impacted. Further, if we do not properly allocate our capital to maximize returns, our operations, cash flows and returns to shareholders could be adversely affected.</w:t>
      </w:r>
    </w:p>
    <w:p>
      <w:pPr>
        <w:spacing w:after="0" w:line="106"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b w:val="1"/>
          <w:bCs w:val="1"/>
          <w:color w:val="auto"/>
        </w:rPr>
        <w:t xml:space="preserve">The concentration of stock ownership in a small number of our shareholders could limit our shareholders’ ability to influence corporate matters. </w:t>
      </w:r>
      <w:r>
        <w:rPr>
          <w:rFonts w:ascii="Arial" w:cs="Arial" w:eastAsia="Arial" w:hAnsi="Arial"/>
          <w:sz w:val="17"/>
          <w:szCs w:val="17"/>
          <w:color w:val="auto"/>
        </w:rPr>
        <w:t>We have regularly reported in our annual proxy statements the holdings of members of the Nordstrom family, including Bruce A. Nordstrom, our former Co-President and Chairman of the Board, his sister Anne E. Gittinger and members of the Nordstrom family within our Executive Team. According to the Schedule 13D/A filed with the SEC on March 5, 2018, these individuals beneficially owned an aggregate of approximately 31% of our common stock. As a result, either individually or acting together, they may be able to exercise considerable influence over matters requiring shareholder approval. In addition, as reported in our periodic filings, our Board of Directors has from time to time authorized share repurchases. While these share repurchases may be offset in part by share issuances under our equity incentive plans and as consideration for acquisitions, the repurchases may nevertheless have the effect of increasing the overall percentage ownership held by these shareholders. The corporate law of the State of Washington, where the Company is incorporated, provides that approval of a merger or similar significant corporate transaction requires the affirmative vote of two-thirds of a company’s outstanding shares. The beneficial ownership of these shareholders may have the effect of discouraging offers to acquire us, delay or otherwise prevent a significant corporate transaction because the consummation of any such transaction would likely require the approval of these shareholders. As a result, the market price of our common stock could be affected.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DUE TO ECONOMIC AND EXTERNAL MARKET FACTORS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revenues and operating results are affected by the seasonal nature of our business and cyclical trends in consumer spending.</w:t>
      </w:r>
    </w:p>
    <w:p>
      <w:pPr>
        <w:spacing w:after="0" w:line="27"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Our business, like that of other retailers, is subject to seasonal fluctuations and cyclical trends in consumer spending. Due to our Anniversary Sale in July and the holidays in the fourth quarter, our sales are typically higher in the second and fourth quarters than in the first and third quarters of the fiscal year. Any factor that negatively impacts these selling seasons could have an adverse effect on our results of operations for the entire year. To provide shareholders a better understanding of management’s expectations surrounding results, we provide public guidance on our expected operating and financial results for future periods comprised of forward-looking statements subject to certain risks and uncertainties.</w:t>
      </w:r>
    </w:p>
    <w:p>
      <w:pPr>
        <w:spacing w:after="0" w:line="121" w:lineRule="exact"/>
        <w:rPr>
          <w:sz w:val="20"/>
          <w:szCs w:val="20"/>
          <w:color w:val="auto"/>
        </w:rPr>
      </w:pPr>
    </w:p>
    <w:p>
      <w:pPr>
        <w:jc w:val="both"/>
        <w:ind w:right="500"/>
        <w:spacing w:after="0" w:line="261" w:lineRule="auto"/>
        <w:rPr>
          <w:sz w:val="20"/>
          <w:szCs w:val="20"/>
          <w:color w:val="auto"/>
        </w:rPr>
      </w:pPr>
      <w:r>
        <w:rPr>
          <w:rFonts w:ascii="Arial" w:cs="Arial" w:eastAsia="Arial" w:hAnsi="Arial"/>
          <w:sz w:val="18"/>
          <w:szCs w:val="18"/>
          <w:b w:val="1"/>
          <w:bCs w:val="1"/>
          <w:color w:val="auto"/>
        </w:rPr>
        <w:t xml:space="preserve">A downturn in economic conditions and other external market factors could have a significant adverse effect on our business and stock price. </w:t>
      </w:r>
      <w:r>
        <w:rPr>
          <w:rFonts w:ascii="Arial" w:cs="Arial" w:eastAsia="Arial" w:hAnsi="Arial"/>
          <w:sz w:val="18"/>
          <w:szCs w:val="18"/>
          <w:color w:val="auto"/>
        </w:rPr>
        <w:t>During economic downturns, fewer customers may shop for the high-quality items in our stores and on our websites, as these products may be seen as discretionary, and those who do shop may limit the amount of their purchases. This reduced demand may lead to lower sales, higher markdowns and an overly promotional environment or increased marketing and promotional spending.</w:t>
      </w:r>
    </w:p>
    <w:p>
      <w:pPr>
        <w:spacing w:after="0" w:line="13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Additionally, factors such as results differing from guidance, changes in sales and operating income in the peak seasons, changes in our market valuations, performance results for the general retail industry, announcements by us or our industry peers or changes in analysts’ recommendations may still impact the price of our common stock and our shareholder returns.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6" w:right="239" w:bottom="1440" w:gutter="0" w:footer="0" w:header="0"/>
        </w:sectPr>
      </w:pPr>
    </w:p>
    <w:bookmarkStart w:id="10" w:name="page11"/>
    <w:bookmarkEnd w:id="10"/>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stores located in shopping malls may be adversely affected by any declines in consumer traffic of malls.</w:t>
      </w:r>
    </w:p>
    <w:p>
      <w:pPr>
        <w:spacing w:after="0" w:line="2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majority of our stores are located within shopping malls and benefit from the abilities that we and other anchor tenants have to generate consumer traffic. A substantial decline in mall traffic, the development of new shopping malls, the availability of locations within existing or new shopping malls, the success of individual shopping malls and the success of other anchor tenants may negatively impact our ability to maintain or grow our sales in existing stores, as well as our ability to open new stores, which could have an adverse effect on our financial condition or results of operations.</w:t>
      </w:r>
    </w:p>
    <w:p>
      <w:pPr>
        <w:spacing w:after="0" w:line="119"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b w:val="1"/>
          <w:bCs w:val="1"/>
          <w:color w:val="auto"/>
        </w:rPr>
        <w:t xml:space="preserve">Our business depends on third parties for the production, supply or delivery of goods, and a disruption could result in lost sales or increased costs. </w:t>
      </w:r>
      <w:r>
        <w:rPr>
          <w:rFonts w:ascii="Arial" w:cs="Arial" w:eastAsia="Arial" w:hAnsi="Arial"/>
          <w:sz w:val="16"/>
          <w:szCs w:val="16"/>
          <w:color w:val="auto"/>
        </w:rPr>
        <w:t>The continued success of our operations is tied to our timely receipt of quality merchandise from third parties. Our process to identify qualified vendors and access quality products in an efficient manner on acceptable terms and cost can be complex. Violations of law with respect to quality and safety by our importers, manufacturers or distributors could result in delays in shipments and receipt of goods or damage our reputation, resulting in lost sales. These vendors may experience difficulties due to economic or political conditions or the countries in which merchandise is manufactured could become subject to new trade restrictions, including increased customs restrictions, tariffs or quotas. Additionally, changes in tax and trade policies that impact the retail industry, such as increased taxation on imported goods, could have a material adverse effect on our business, results of operations and liquidity.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results of our Credit operations could be adversely affected by changes in market conditions.</w:t>
      </w:r>
    </w:p>
    <w:p>
      <w:pPr>
        <w:spacing w:after="0" w:line="27" w:lineRule="exact"/>
        <w:rPr>
          <w:sz w:val="20"/>
          <w:szCs w:val="20"/>
          <w:color w:val="auto"/>
        </w:rPr>
      </w:pPr>
    </w:p>
    <w:p>
      <w:pPr>
        <w:jc w:val="both"/>
        <w:ind w:right="140"/>
        <w:spacing w:after="0" w:line="277" w:lineRule="auto"/>
        <w:rPr>
          <w:sz w:val="20"/>
          <w:szCs w:val="20"/>
          <w:color w:val="auto"/>
        </w:rPr>
      </w:pPr>
      <w:r>
        <w:rPr>
          <w:rFonts w:ascii="Arial" w:cs="Arial" w:eastAsia="Arial" w:hAnsi="Arial"/>
          <w:sz w:val="17"/>
          <w:szCs w:val="17"/>
          <w:color w:val="auto"/>
        </w:rPr>
        <w:t>Revenues earned under our program agreement with TD are indirectly subject to economic and market conditions that are beyond our control, including, but not limited to, interest rates, consumer credit availability, demand for credit, consumer debt levels, payment patterns, delinquency rates, employment trends and other factors. Changes in these economic and market conditions could impair our revenues and profitability.</w:t>
      </w:r>
    </w:p>
    <w:p>
      <w:pPr>
        <w:spacing w:after="0" w:line="115"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b w:val="1"/>
          <w:bCs w:val="1"/>
          <w:color w:val="auto"/>
        </w:rPr>
        <w:t>Our business and operations could be materially and adversely affected by supply chain disruptions, port disruptions, severe weather patterns, natural disasters, widespread pandemics and other natural or man-made disruptions.</w:t>
      </w:r>
    </w:p>
    <w:p>
      <w:pPr>
        <w:ind w:right="140"/>
        <w:spacing w:after="0" w:line="253" w:lineRule="auto"/>
        <w:rPr>
          <w:sz w:val="20"/>
          <w:szCs w:val="20"/>
          <w:color w:val="auto"/>
        </w:rPr>
      </w:pPr>
      <w:r>
        <w:rPr>
          <w:rFonts w:ascii="Arial" w:cs="Arial" w:eastAsia="Arial" w:hAnsi="Arial"/>
          <w:sz w:val="18"/>
          <w:szCs w:val="18"/>
          <w:color w:val="auto"/>
        </w:rPr>
        <w:t>These disruptions could cause, among other things, a decrease in consumer spending that would negatively impact our sales, staffing shortages in our stores, distribution centers or corporate offices, interruptions in the flow of merchandise to our stores, disruptions in the operations of our merchandise vendors or property developers, increased costs and a negative impact on our reputation and long-term growth plans. We have a significant amount of our total sales, stores and square footage in the west coast of the United States, particularly in California, which increases our exposure to market-disrupting conditions in this region.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DUE TO LEGAL AND REGULATORY FACTORS</w:t>
      </w:r>
    </w:p>
    <w:p>
      <w:pPr>
        <w:spacing w:after="0" w:line="171" w:lineRule="exact"/>
        <w:rPr>
          <w:sz w:val="20"/>
          <w:szCs w:val="20"/>
          <w:color w:val="auto"/>
        </w:rPr>
      </w:pPr>
    </w:p>
    <w:p>
      <w:pPr>
        <w:ind w:right="940"/>
        <w:spacing w:after="0" w:line="261" w:lineRule="auto"/>
        <w:rPr>
          <w:sz w:val="20"/>
          <w:szCs w:val="20"/>
          <w:color w:val="auto"/>
        </w:rPr>
      </w:pPr>
      <w:r>
        <w:rPr>
          <w:rFonts w:ascii="Arial" w:cs="Arial" w:eastAsia="Arial" w:hAnsi="Arial"/>
          <w:sz w:val="18"/>
          <w:szCs w:val="18"/>
          <w:b w:val="1"/>
          <w:bCs w:val="1"/>
          <w:color w:val="auto"/>
        </w:rPr>
        <w:t>We are subject to certain laws, litigation, regulatory matters and ethical standards, and our failure to comply with or adequately address developments as they arise could adversely affect our reputation and operations.</w:t>
      </w:r>
    </w:p>
    <w:p>
      <w:pPr>
        <w:ind w:right="20"/>
        <w:spacing w:after="0" w:line="286" w:lineRule="auto"/>
        <w:rPr>
          <w:sz w:val="20"/>
          <w:szCs w:val="20"/>
          <w:color w:val="auto"/>
        </w:rPr>
      </w:pPr>
      <w:r>
        <w:rPr>
          <w:rFonts w:ascii="Arial" w:cs="Arial" w:eastAsia="Arial" w:hAnsi="Arial"/>
          <w:sz w:val="16"/>
          <w:szCs w:val="16"/>
          <w:color w:val="auto"/>
        </w:rPr>
        <w:t>Our policies, procedures and practices and the technology we implement are designed to comply with federal, state, local and foreign laws, rules and regulations, including those imposed by the SEC, consumer protection and other regulatory agencies, the marketplace, and foreign countries, as well as responsible business, social and environmental practices, all of which may change from time to time. Compliance with laws and regulations and/or significant legislative changes may cause our business to be adversely impacted, or even limit or restrict the activities of our business. In addition, if we fail to comply with applicable laws and regulations or implement responsible business, social, environmental and supply chain practices, we could be subject to damage to our reputation, class action lawsuits, legal and settlement costs, civil and criminal liability, increased cost of regulatory compliance, losing our ability to accept credit and debit card payments from our customers, restatements of our financial statements, disruption of our business and loss of customers. Any required changes to our employment practices could result in the loss of employees, reduced sales, increased employment costs, low employee morale and harm to our business and results of operations. In addition, political and economic factors could lead to unfavorable changes in federal, state and foreign tax laws, which may affect our tax assets or liabilities and adversely affect our results of operations. We are also regularly involved in various litigation matters that arise in the ordinary course of business. Litigation or regulatory developments could adversely affect our business and financial condition.</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to accounting rules and regulations could affect our financial results or financial condition.</w:t>
      </w:r>
    </w:p>
    <w:p>
      <w:pPr>
        <w:spacing w:after="0" w:line="2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Accounting principles and related pronouncements, implementation guidelines and interpretations with regard to a wide variety of accounting matters that are relevant to our business, including, but not limited to, revenue recognition, merchandise inventories, leasing, goodwill, impairment of long-lived assets, stock-based compensation and tax matters are highly complex and involve subjective assumptions, estimates and judgments. Changes in these rules and regulations, changes in our interpretation of the rules or regulations or changes in underlying assumptions, estimates or judgments could adversely affect our financial performance or financial position.</w:t>
      </w:r>
    </w:p>
    <w:p>
      <w:pPr>
        <w:spacing w:after="0" w:line="1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1B. Unresolved Staff Comments.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11</w:t>
      </w:r>
    </w:p>
    <w:p>
      <w:pPr>
        <w:sectPr>
          <w:pgSz w:w="11900" w:h="16838" w:orient="portrait"/>
          <w:cols w:equalWidth="0" w:num="1">
            <w:col w:w="11420"/>
          </w:cols>
          <w:pgMar w:left="240" w:top="126" w:right="239" w:bottom="1440" w:gutter="0" w:footer="0" w:header="0"/>
        </w:sectPr>
      </w:pPr>
    </w:p>
    <w:bookmarkStart w:id="11" w:name="page12"/>
    <w:bookmarkEnd w:id="11"/>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Properties.</w:t>
      </w:r>
    </w:p>
    <w:p>
      <w:pPr>
        <w:spacing w:after="0" w:line="16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following table summarizes the number of retail stores we own or lease, and the percentage of total store square footage represented by each listed category as of February 3, 2018:</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20" w:type="dxa"/>
            <w:vAlign w:val="bottom"/>
            <w:gridSpan w:val="3"/>
          </w:tcPr>
          <w:p>
            <w:pPr>
              <w:ind w:left="1280"/>
              <w:spacing w:after="0"/>
              <w:rPr>
                <w:sz w:val="20"/>
                <w:szCs w:val="20"/>
                <w:color w:val="auto"/>
              </w:rPr>
            </w:pPr>
            <w:r>
              <w:rPr>
                <w:rFonts w:ascii="Arial" w:cs="Arial" w:eastAsia="Arial" w:hAnsi="Arial"/>
                <w:sz w:val="16"/>
                <w:szCs w:val="16"/>
                <w:b w:val="1"/>
                <w:bCs w:val="1"/>
                <w:color w:val="auto"/>
              </w:rPr>
              <w:t>Number of stores</w:t>
            </w:r>
          </w:p>
        </w:tc>
        <w:tc>
          <w:tcPr>
            <w:tcW w:w="1900" w:type="dxa"/>
            <w:vAlign w:val="bottom"/>
          </w:tcPr>
          <w:p>
            <w:pPr>
              <w:spacing w:after="0"/>
              <w:rPr>
                <w:sz w:val="18"/>
                <w:szCs w:val="18"/>
                <w:color w:val="auto"/>
              </w:rPr>
            </w:pPr>
          </w:p>
        </w:tc>
      </w:tr>
      <w:tr>
        <w:trPr>
          <w:trHeight w:val="33"/>
        </w:trPr>
        <w:tc>
          <w:tcPr>
            <w:tcW w:w="5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09"/>
        </w:trPr>
        <w:tc>
          <w:tcPr>
            <w:tcW w:w="5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jc w:val="right"/>
              <w:ind w:right="279"/>
              <w:spacing w:after="0"/>
              <w:rPr>
                <w:sz w:val="20"/>
                <w:szCs w:val="20"/>
                <w:color w:val="auto"/>
              </w:rPr>
            </w:pPr>
            <w:r>
              <w:rPr>
                <w:rFonts w:ascii="Arial" w:cs="Arial" w:eastAsia="Arial" w:hAnsi="Arial"/>
                <w:sz w:val="16"/>
                <w:szCs w:val="16"/>
                <w:b w:val="1"/>
                <w:bCs w:val="1"/>
                <w:color w:val="auto"/>
              </w:rPr>
              <w:t>Nordstrom</w:t>
            </w:r>
          </w:p>
        </w:tc>
        <w:tc>
          <w:tcPr>
            <w:tcW w:w="176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Nordstrom</w:t>
            </w:r>
          </w:p>
        </w:tc>
        <w:tc>
          <w:tcPr>
            <w:tcW w:w="1900" w:type="dxa"/>
            <w:vAlign w:val="bottom"/>
          </w:tcPr>
          <w:p>
            <w:pPr>
              <w:jc w:val="right"/>
              <w:ind w:right="99"/>
              <w:spacing w:after="0"/>
              <w:rPr>
                <w:sz w:val="20"/>
                <w:szCs w:val="20"/>
                <w:color w:val="auto"/>
              </w:rPr>
            </w:pPr>
            <w:r>
              <w:rPr>
                <w:rFonts w:ascii="Arial" w:cs="Arial" w:eastAsia="Arial" w:hAnsi="Arial"/>
                <w:sz w:val="16"/>
                <w:szCs w:val="16"/>
                <w:b w:val="1"/>
                <w:bCs w:val="1"/>
                <w:color w:val="auto"/>
              </w:rPr>
              <w:t>% of total store</w:t>
            </w:r>
          </w:p>
        </w:tc>
      </w:tr>
      <w:tr>
        <w:trPr>
          <w:trHeight w:val="243"/>
        </w:trPr>
        <w:tc>
          <w:tcPr>
            <w:tcW w:w="558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Full-Line Stores</w:t>
            </w:r>
            <w:r>
              <w:rPr>
                <w:rFonts w:ascii="Arial" w:cs="Arial" w:eastAsia="Arial" w:hAnsi="Arial"/>
                <w:sz w:val="21"/>
                <w:szCs w:val="21"/>
                <w:color w:val="auto"/>
                <w:vertAlign w:val="superscript"/>
              </w:rPr>
              <w:t>1</w:t>
            </w:r>
          </w:p>
        </w:tc>
        <w:tc>
          <w:tcPr>
            <w:tcW w:w="1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Rack and Other</w:t>
            </w:r>
            <w:r>
              <w:rPr>
                <w:rFonts w:ascii="Arial" w:cs="Arial" w:eastAsia="Arial" w:hAnsi="Arial"/>
                <w:sz w:val="21"/>
                <w:szCs w:val="21"/>
                <w:color w:val="auto"/>
                <w:vertAlign w:val="superscript"/>
              </w:rPr>
              <w:t>2</w:t>
            </w:r>
          </w:p>
        </w:tc>
        <w:tc>
          <w:tcPr>
            <w:tcW w:w="100" w:type="dxa"/>
            <w:vAlign w:val="bottom"/>
            <w:tcBorders>
              <w:bottom w:val="single" w:sz="8" w:color="CCEEFF"/>
            </w:tcBorders>
          </w:tcPr>
          <w:p>
            <w:pPr>
              <w:spacing w:after="0"/>
              <w:rPr>
                <w:sz w:val="21"/>
                <w:szCs w:val="21"/>
                <w:color w:val="auto"/>
              </w:rPr>
            </w:pPr>
          </w:p>
        </w:tc>
        <w:tc>
          <w:tcPr>
            <w:tcW w:w="19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square footage</w:t>
            </w:r>
          </w:p>
        </w:tc>
      </w:tr>
      <w:tr>
        <w:trPr>
          <w:trHeight w:val="244"/>
        </w:trPr>
        <w:tc>
          <w:tcPr>
            <w:tcW w:w="5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Leased stores on leased land</w:t>
            </w:r>
          </w:p>
        </w:tc>
        <w:tc>
          <w:tcPr>
            <w:tcW w:w="20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26</w:t>
            </w: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44%</w:t>
            </w:r>
          </w:p>
        </w:tc>
      </w:tr>
      <w:tr>
        <w:trPr>
          <w:trHeight w:val="237"/>
        </w:trPr>
        <w:tc>
          <w:tcPr>
            <w:tcW w:w="5700" w:type="dxa"/>
            <w:vAlign w:val="bottom"/>
            <w:gridSpan w:val="2"/>
          </w:tcPr>
          <w:p>
            <w:pPr>
              <w:ind w:left="40"/>
              <w:spacing w:after="0"/>
              <w:rPr>
                <w:sz w:val="20"/>
                <w:szCs w:val="20"/>
                <w:color w:val="auto"/>
              </w:rPr>
            </w:pPr>
            <w:r>
              <w:rPr>
                <w:rFonts w:ascii="Arial" w:cs="Arial" w:eastAsia="Arial" w:hAnsi="Arial"/>
                <w:sz w:val="16"/>
                <w:szCs w:val="16"/>
                <w:color w:val="auto"/>
              </w:rPr>
              <w:t>Owned stores on leased land</w:t>
            </w:r>
          </w:p>
        </w:tc>
        <w:tc>
          <w:tcPr>
            <w:tcW w:w="2060" w:type="dxa"/>
            <w:vAlign w:val="bottom"/>
          </w:tcPr>
          <w:p>
            <w:pPr>
              <w:jc w:val="right"/>
              <w:ind w:right="279"/>
              <w:spacing w:after="0"/>
              <w:rPr>
                <w:sz w:val="20"/>
                <w:szCs w:val="20"/>
                <w:color w:val="auto"/>
              </w:rPr>
            </w:pPr>
            <w:r>
              <w:rPr>
                <w:rFonts w:ascii="Arial" w:cs="Arial" w:eastAsia="Arial" w:hAnsi="Arial"/>
                <w:sz w:val="16"/>
                <w:szCs w:val="16"/>
                <w:b w:val="1"/>
                <w:bCs w:val="1"/>
                <w:color w:val="auto"/>
              </w:rPr>
              <w:t>63</w:t>
            </w:r>
          </w:p>
        </w:tc>
        <w:tc>
          <w:tcPr>
            <w:tcW w:w="176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1900" w:type="dxa"/>
            <w:vAlign w:val="bottom"/>
          </w:tcPr>
          <w:p>
            <w:pPr>
              <w:jc w:val="right"/>
              <w:spacing w:after="0"/>
              <w:rPr>
                <w:sz w:val="20"/>
                <w:szCs w:val="20"/>
                <w:color w:val="auto"/>
              </w:rPr>
            </w:pPr>
            <w:r>
              <w:rPr>
                <w:rFonts w:ascii="Arial" w:cs="Arial" w:eastAsia="Arial" w:hAnsi="Arial"/>
                <w:sz w:val="16"/>
                <w:szCs w:val="16"/>
                <w:b w:val="1"/>
                <w:bCs w:val="1"/>
                <w:color w:val="auto"/>
              </w:rPr>
              <w:t>37%</w:t>
            </w:r>
          </w:p>
        </w:tc>
      </w:tr>
      <w:tr>
        <w:trPr>
          <w:trHeight w:val="33"/>
        </w:trPr>
        <w:tc>
          <w:tcPr>
            <w:tcW w:w="5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5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Owned stores on owned land</w:t>
            </w:r>
          </w:p>
        </w:tc>
        <w:tc>
          <w:tcPr>
            <w:tcW w:w="20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33</w:t>
            </w: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w:t>
            </w:r>
          </w:p>
        </w:tc>
      </w:tr>
      <w:tr>
        <w:trPr>
          <w:trHeight w:val="237"/>
        </w:trPr>
        <w:tc>
          <w:tcPr>
            <w:tcW w:w="5700" w:type="dxa"/>
            <w:vAlign w:val="bottom"/>
            <w:gridSpan w:val="2"/>
          </w:tcPr>
          <w:p>
            <w:pPr>
              <w:ind w:left="40"/>
              <w:spacing w:after="0"/>
              <w:rPr>
                <w:sz w:val="20"/>
                <w:szCs w:val="20"/>
                <w:color w:val="auto"/>
              </w:rPr>
            </w:pPr>
            <w:r>
              <w:rPr>
                <w:rFonts w:ascii="Arial" w:cs="Arial" w:eastAsia="Arial" w:hAnsi="Arial"/>
                <w:sz w:val="16"/>
                <w:szCs w:val="16"/>
                <w:color w:val="auto"/>
              </w:rPr>
              <w:t>Partly owned and partly leased store</w:t>
            </w:r>
          </w:p>
        </w:tc>
        <w:tc>
          <w:tcPr>
            <w:tcW w:w="2060" w:type="dxa"/>
            <w:vAlign w:val="bottom"/>
          </w:tcPr>
          <w:p>
            <w:pPr>
              <w:jc w:val="right"/>
              <w:ind w:right="279"/>
              <w:spacing w:after="0"/>
              <w:rPr>
                <w:sz w:val="20"/>
                <w:szCs w:val="20"/>
                <w:color w:val="auto"/>
              </w:rPr>
            </w:pPr>
            <w:r>
              <w:rPr>
                <w:rFonts w:ascii="Arial" w:cs="Arial" w:eastAsia="Arial" w:hAnsi="Arial"/>
                <w:sz w:val="16"/>
                <w:szCs w:val="16"/>
                <w:b w:val="1"/>
                <w:bCs w:val="1"/>
                <w:color w:val="auto"/>
              </w:rPr>
              <w:t>1</w:t>
            </w:r>
          </w:p>
        </w:tc>
        <w:tc>
          <w:tcPr>
            <w:tcW w:w="176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1900" w:type="dxa"/>
            <w:vAlign w:val="bottom"/>
          </w:tcPr>
          <w:p>
            <w:pPr>
              <w:jc w:val="right"/>
              <w:spacing w:after="0"/>
              <w:rPr>
                <w:sz w:val="20"/>
                <w:szCs w:val="20"/>
                <w:color w:val="auto"/>
              </w:rPr>
            </w:pPr>
            <w:r>
              <w:rPr>
                <w:rFonts w:ascii="Arial" w:cs="Arial" w:eastAsia="Arial" w:hAnsi="Arial"/>
                <w:sz w:val="16"/>
                <w:szCs w:val="16"/>
                <w:b w:val="1"/>
                <w:bCs w:val="1"/>
                <w:color w:val="auto"/>
              </w:rPr>
              <w:t>1%</w:t>
            </w:r>
          </w:p>
        </w:tc>
      </w:tr>
      <w:tr>
        <w:trPr>
          <w:trHeight w:val="33"/>
        </w:trPr>
        <w:tc>
          <w:tcPr>
            <w:tcW w:w="5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31"/>
        </w:trPr>
        <w:tc>
          <w:tcPr>
            <w:tcW w:w="570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2060" w:type="dxa"/>
            <w:vAlign w:val="bottom"/>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123</w:t>
            </w:r>
          </w:p>
        </w:tc>
        <w:tc>
          <w:tcPr>
            <w:tcW w:w="166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243</w:t>
            </w:r>
          </w:p>
        </w:tc>
        <w:tc>
          <w:tcPr>
            <w:tcW w:w="100" w:type="dxa"/>
            <w:vAlign w:val="bottom"/>
            <w:shd w:val="clear" w:color="auto" w:fill="CCEEFF"/>
          </w:tcPr>
          <w:p>
            <w:pPr>
              <w:spacing w:after="0"/>
              <w:rPr>
                <w:sz w:val="20"/>
                <w:szCs w:val="20"/>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100%</w:t>
            </w:r>
          </w:p>
        </w:tc>
      </w:tr>
      <w:tr>
        <w:trPr>
          <w:trHeight w:val="33"/>
        </w:trPr>
        <w:tc>
          <w:tcPr>
            <w:tcW w:w="5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80" w:hanging="72"/>
        <w:spacing w:after="0"/>
        <w:tabs>
          <w:tab w:leader="none" w:pos="80" w:val="left"/>
        </w:tabs>
        <w:numPr>
          <w:ilvl w:val="0"/>
          <w:numId w:val="8"/>
        </w:numPr>
        <w:rPr>
          <w:rFonts w:ascii="Arial" w:cs="Arial" w:eastAsia="Arial" w:hAnsi="Arial"/>
          <w:sz w:val="9"/>
          <w:szCs w:val="9"/>
          <w:color w:val="auto"/>
        </w:rPr>
      </w:pPr>
      <w:r>
        <w:rPr>
          <w:rFonts w:ascii="Arial" w:cs="Arial" w:eastAsia="Arial" w:hAnsi="Arial"/>
          <w:sz w:val="14"/>
          <w:szCs w:val="14"/>
          <w:color w:val="auto"/>
        </w:rPr>
        <w:t>Nordstrom full-line stores include U.S. full line stores, Canada full-line stores and Nordstrom Local.</w:t>
      </w:r>
    </w:p>
    <w:p>
      <w:pPr>
        <w:spacing w:after="0" w:line="7" w:lineRule="exact"/>
        <w:rPr>
          <w:rFonts w:ascii="Arial" w:cs="Arial" w:eastAsia="Arial" w:hAnsi="Arial"/>
          <w:sz w:val="9"/>
          <w:szCs w:val="9"/>
          <w:color w:val="auto"/>
        </w:rPr>
      </w:pPr>
    </w:p>
    <w:p>
      <w:pPr>
        <w:spacing w:after="0"/>
        <w:rPr>
          <w:rFonts w:ascii="Arial" w:cs="Arial" w:eastAsia="Arial" w:hAnsi="Arial"/>
          <w:sz w:val="9"/>
          <w:szCs w:val="9"/>
          <w:color w:val="auto"/>
        </w:rPr>
      </w:pPr>
      <w:r>
        <w:rPr>
          <w:rFonts w:ascii="Arial" w:cs="Arial" w:eastAsia="Arial" w:hAnsi="Arial"/>
          <w:sz w:val="9"/>
          <w:szCs w:val="9"/>
          <w:color w:val="auto"/>
        </w:rPr>
        <w:t xml:space="preserve">2 </w:t>
      </w:r>
      <w:r>
        <w:rPr>
          <w:rFonts w:ascii="Arial" w:cs="Arial" w:eastAsia="Arial" w:hAnsi="Arial"/>
          <w:sz w:val="14"/>
          <w:szCs w:val="14"/>
          <w:color w:val="auto"/>
        </w:rPr>
        <w:t>Other includes Trunk Club clubhouses, Jeffrey boutiques and Last Chance stores.</w:t>
      </w:r>
    </w:p>
    <w:p>
      <w:pPr>
        <w:spacing w:after="0" w:line="15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following table summarizes our retail store openings and closures for fiscal 2017 and announced retail store openings and closures for fiscal 2018 by state/province: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40" w:type="dxa"/>
            <w:vAlign w:val="bottom"/>
            <w:gridSpan w:val="3"/>
          </w:tcPr>
          <w:p>
            <w:pPr>
              <w:ind w:left="940"/>
              <w:spacing w:after="0"/>
              <w:rPr>
                <w:sz w:val="20"/>
                <w:szCs w:val="20"/>
                <w:color w:val="auto"/>
              </w:rPr>
            </w:pPr>
            <w:r>
              <w:rPr>
                <w:rFonts w:ascii="Arial" w:cs="Arial" w:eastAsia="Arial" w:hAnsi="Arial"/>
                <w:sz w:val="16"/>
                <w:szCs w:val="16"/>
                <w:b w:val="1"/>
                <w:bCs w:val="1"/>
                <w:color w:val="auto"/>
                <w:w w:val="89"/>
              </w:rPr>
              <w:t>Number of stores</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33"/>
        </w:trPr>
        <w:tc>
          <w:tcPr>
            <w:tcW w:w="3780" w:type="dxa"/>
            <w:vAlign w:val="bottom"/>
            <w:gridSpan w:val="2"/>
          </w:tcPr>
          <w:p>
            <w:pPr>
              <w:spacing w:after="0"/>
              <w:rPr>
                <w:sz w:val="2"/>
                <w:szCs w:val="2"/>
                <w:color w:val="auto"/>
              </w:rPr>
            </w:pPr>
          </w:p>
        </w:tc>
        <w:tc>
          <w:tcPr>
            <w:tcW w:w="2300" w:type="dxa"/>
            <w:vAlign w:val="bottom"/>
            <w:tcBorders>
              <w:bottom w:val="single" w:sz="8" w:color="auto"/>
            </w:tcBorders>
            <w:gridSpan w:val="3"/>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gridSpan w:val="3"/>
          </w:tcPr>
          <w:p>
            <w:pPr>
              <w:spacing w:after="0"/>
              <w:rPr>
                <w:sz w:val="2"/>
                <w:szCs w:val="2"/>
                <w:color w:val="auto"/>
              </w:rPr>
            </w:pPr>
          </w:p>
        </w:tc>
      </w:tr>
      <w:tr>
        <w:trPr>
          <w:trHeight w:val="231"/>
        </w:trPr>
        <w:tc>
          <w:tcPr>
            <w:tcW w:w="3780" w:type="dxa"/>
            <w:vAlign w:val="bottom"/>
            <w:gridSpan w:val="2"/>
          </w:tcPr>
          <w:p>
            <w:pPr>
              <w:ind w:left="40"/>
              <w:spacing w:after="0"/>
              <w:rPr>
                <w:sz w:val="20"/>
                <w:szCs w:val="20"/>
                <w:color w:val="auto"/>
              </w:rPr>
            </w:pPr>
            <w:r>
              <w:rPr>
                <w:rFonts w:ascii="Arial" w:cs="Arial" w:eastAsia="Arial" w:hAnsi="Arial"/>
                <w:sz w:val="16"/>
                <w:szCs w:val="16"/>
                <w:b w:val="1"/>
                <w:bCs w:val="1"/>
                <w:color w:val="auto"/>
              </w:rPr>
              <w:t>Fiscal year</w:t>
            </w:r>
          </w:p>
        </w:tc>
        <w:tc>
          <w:tcPr>
            <w:tcW w:w="230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rPr>
              <w:t>2017</w:t>
            </w: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0" w:type="dxa"/>
            <w:vAlign w:val="bottom"/>
            <w:gridSpan w:val="3"/>
          </w:tcPr>
          <w:p>
            <w:pPr>
              <w:jc w:val="right"/>
              <w:ind w:right="1199"/>
              <w:spacing w:after="0"/>
              <w:rPr>
                <w:sz w:val="20"/>
                <w:szCs w:val="20"/>
                <w:color w:val="auto"/>
              </w:rPr>
            </w:pPr>
            <w:r>
              <w:rPr>
                <w:rFonts w:ascii="Arial" w:cs="Arial" w:eastAsia="Arial" w:hAnsi="Arial"/>
                <w:sz w:val="16"/>
                <w:szCs w:val="16"/>
                <w:b w:val="1"/>
                <w:bCs w:val="1"/>
                <w:color w:val="auto"/>
              </w:rPr>
              <w:t>Announced 2018</w:t>
            </w:r>
          </w:p>
        </w:tc>
      </w:tr>
      <w:tr>
        <w:trPr>
          <w:trHeight w:val="33"/>
        </w:trPr>
        <w:tc>
          <w:tcPr>
            <w:tcW w:w="3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Borders>
              <w:bottom w:val="single" w:sz="8" w:color="auto"/>
            </w:tcBorders>
            <w:gridSpan w:val="3"/>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09"/>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gridSpan w:val="3"/>
          </w:tcPr>
          <w:p>
            <w:pPr>
              <w:jc w:val="right"/>
              <w:ind w:right="580"/>
              <w:spacing w:after="0"/>
              <w:rPr>
                <w:sz w:val="20"/>
                <w:szCs w:val="20"/>
                <w:color w:val="auto"/>
              </w:rPr>
            </w:pPr>
            <w:r>
              <w:rPr>
                <w:rFonts w:ascii="Arial" w:cs="Arial" w:eastAsia="Arial" w:hAnsi="Arial"/>
                <w:sz w:val="16"/>
                <w:szCs w:val="16"/>
                <w:b w:val="1"/>
                <w:bCs w:val="1"/>
                <w:color w:val="auto"/>
              </w:rPr>
              <w:t>Nordstrom</w:t>
            </w:r>
          </w:p>
        </w:tc>
        <w:tc>
          <w:tcPr>
            <w:tcW w:w="2140" w:type="dxa"/>
            <w:vAlign w:val="bottom"/>
            <w:gridSpan w:val="3"/>
          </w:tcPr>
          <w:p>
            <w:pPr>
              <w:jc w:val="right"/>
              <w:ind w:right="760"/>
              <w:spacing w:after="0"/>
              <w:rPr>
                <w:sz w:val="20"/>
                <w:szCs w:val="20"/>
                <w:color w:val="auto"/>
              </w:rPr>
            </w:pPr>
            <w:r>
              <w:rPr>
                <w:rFonts w:ascii="Arial" w:cs="Arial" w:eastAsia="Arial" w:hAnsi="Arial"/>
                <w:sz w:val="16"/>
                <w:szCs w:val="16"/>
                <w:b w:val="1"/>
                <w:bCs w:val="1"/>
                <w:color w:val="auto"/>
              </w:rPr>
              <w:t>Nordstrom</w:t>
            </w:r>
          </w:p>
        </w:tc>
        <w:tc>
          <w:tcPr>
            <w:tcW w:w="14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Nordstrom</w:t>
            </w:r>
          </w:p>
        </w:tc>
        <w:tc>
          <w:tcPr>
            <w:tcW w:w="1800" w:type="dxa"/>
            <w:vAlign w:val="bottom"/>
          </w:tcPr>
          <w:p>
            <w:pPr>
              <w:jc w:val="right"/>
              <w:ind w:right="19"/>
              <w:spacing w:after="0"/>
              <w:rPr>
                <w:sz w:val="20"/>
                <w:szCs w:val="20"/>
                <w:color w:val="auto"/>
              </w:rPr>
            </w:pPr>
            <w:r>
              <w:rPr>
                <w:rFonts w:ascii="Arial" w:cs="Arial" w:eastAsia="Arial" w:hAnsi="Arial"/>
                <w:sz w:val="16"/>
                <w:szCs w:val="16"/>
                <w:b w:val="1"/>
                <w:bCs w:val="1"/>
                <w:color w:val="auto"/>
              </w:rPr>
              <w:t>Nordstrom</w:t>
            </w:r>
          </w:p>
        </w:tc>
      </w:tr>
      <w:tr>
        <w:trPr>
          <w:trHeight w:val="243"/>
        </w:trPr>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State/Province</w:t>
            </w:r>
          </w:p>
        </w:tc>
        <w:tc>
          <w:tcPr>
            <w:tcW w:w="120" w:type="dxa"/>
            <w:vAlign w:val="bottom"/>
            <w:tcBorders>
              <w:bottom w:val="single" w:sz="8" w:color="CCEEFF"/>
            </w:tcBorders>
          </w:tcPr>
          <w:p>
            <w:pPr>
              <w:spacing w:after="0"/>
              <w:rPr>
                <w:sz w:val="21"/>
                <w:szCs w:val="21"/>
                <w:color w:val="auto"/>
              </w:rPr>
            </w:pPr>
          </w:p>
        </w:tc>
        <w:tc>
          <w:tcPr>
            <w:tcW w:w="1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Full-Line Stores</w:t>
            </w:r>
            <w:r>
              <w:rPr>
                <w:rFonts w:ascii="Arial" w:cs="Arial" w:eastAsia="Arial" w:hAnsi="Arial"/>
                <w:sz w:val="21"/>
                <w:szCs w:val="21"/>
                <w:color w:val="auto"/>
                <w:vertAlign w:val="superscript"/>
              </w:rPr>
              <w:t>1</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Rack and Other</w:t>
            </w:r>
            <w:r>
              <w:rPr>
                <w:rFonts w:ascii="Arial" w:cs="Arial" w:eastAsia="Arial" w:hAnsi="Arial"/>
                <w:sz w:val="21"/>
                <w:szCs w:val="21"/>
                <w:color w:val="auto"/>
                <w:vertAlign w:val="superscript"/>
              </w:rPr>
              <w:t>2</w:t>
            </w:r>
          </w:p>
        </w:tc>
        <w:tc>
          <w:tcPr>
            <w:tcW w:w="12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90"/>
              </w:rPr>
              <w:t>Full-Line Stores</w:t>
            </w:r>
            <w:r>
              <w:rPr>
                <w:rFonts w:ascii="Arial" w:cs="Arial" w:eastAsia="Arial" w:hAnsi="Arial"/>
                <w:sz w:val="21"/>
                <w:szCs w:val="21"/>
                <w:color w:val="auto"/>
                <w:w w:val="90"/>
                <w:vertAlign w:val="superscript"/>
              </w:rPr>
              <w:t>1</w:t>
            </w:r>
          </w:p>
        </w:tc>
        <w:tc>
          <w:tcPr>
            <w:tcW w:w="120" w:type="dxa"/>
            <w:vAlign w:val="bottom"/>
            <w:tcBorders>
              <w:bottom w:val="single" w:sz="8" w:color="CCEEFF"/>
            </w:tcBorders>
          </w:tcPr>
          <w:p>
            <w:pPr>
              <w:spacing w:after="0"/>
              <w:rPr>
                <w:sz w:val="21"/>
                <w:szCs w:val="21"/>
                <w:color w:val="auto"/>
              </w:rPr>
            </w:pPr>
          </w:p>
        </w:tc>
        <w:tc>
          <w:tcPr>
            <w:tcW w:w="1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Rack and Other</w:t>
            </w:r>
            <w:r>
              <w:rPr>
                <w:rFonts w:ascii="Arial" w:cs="Arial" w:eastAsia="Arial" w:hAnsi="Arial"/>
                <w:sz w:val="21"/>
                <w:szCs w:val="21"/>
                <w:color w:val="auto"/>
                <w:vertAlign w:val="superscript"/>
              </w:rPr>
              <w:t>2</w:t>
            </w:r>
          </w:p>
        </w:tc>
      </w:tr>
      <w:tr>
        <w:trPr>
          <w:trHeight w:val="244"/>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Openings</w:t>
            </w:r>
          </w:p>
        </w:tc>
        <w:tc>
          <w:tcPr>
            <w:tcW w:w="1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24"/>
        </w:trPr>
        <w:tc>
          <w:tcPr>
            <w:tcW w:w="3780" w:type="dxa"/>
            <w:vAlign w:val="bottom"/>
            <w:gridSpan w:val="2"/>
          </w:tcPr>
          <w:p>
            <w:pPr>
              <w:ind w:left="280"/>
              <w:spacing w:after="0"/>
              <w:rPr>
                <w:sz w:val="20"/>
                <w:szCs w:val="20"/>
                <w:color w:val="auto"/>
              </w:rPr>
            </w:pPr>
            <w:r>
              <w:rPr>
                <w:rFonts w:ascii="Arial" w:cs="Arial" w:eastAsia="Arial" w:hAnsi="Arial"/>
                <w:sz w:val="16"/>
                <w:szCs w:val="16"/>
                <w:b w:val="1"/>
                <w:bCs w:val="1"/>
                <w:color w:val="auto"/>
              </w:rPr>
              <w:t>U.S.</w:t>
            </w: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7"/>
        </w:trPr>
        <w:tc>
          <w:tcPr>
            <w:tcW w:w="3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0" w:type="dxa"/>
            <w:vAlign w:val="bottom"/>
          </w:tcPr>
          <w:p>
            <w:pPr>
              <w:spacing w:after="0"/>
              <w:rPr>
                <w:sz w:val="4"/>
                <w:szCs w:val="4"/>
                <w:color w:val="auto"/>
              </w:rPr>
            </w:pPr>
          </w:p>
        </w:tc>
      </w:tr>
      <w:tr>
        <w:trPr>
          <w:trHeight w:val="250"/>
        </w:trPr>
        <w:tc>
          <w:tcPr>
            <w:tcW w:w="37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Arizona</w:t>
            </w:r>
          </w:p>
        </w:tc>
        <w:tc>
          <w:tcPr>
            <w:tcW w:w="2300" w:type="dxa"/>
            <w:vAlign w:val="bottom"/>
            <w:tcBorders>
              <w:bottom w:val="single" w:sz="8" w:color="CCEEFF"/>
            </w:tcBorders>
            <w:gridSpan w:val="3"/>
            <w:shd w:val="clear" w:color="auto" w:fill="CCEEFF"/>
          </w:tcPr>
          <w:p>
            <w:pPr>
              <w:jc w:val="right"/>
              <w:ind w:right="580"/>
              <w:spacing w:after="0"/>
              <w:rPr>
                <w:sz w:val="20"/>
                <w:szCs w:val="20"/>
                <w:color w:val="auto"/>
              </w:rPr>
            </w:pPr>
            <w:r>
              <w:rPr>
                <w:rFonts w:ascii="Arial" w:cs="Arial" w:eastAsia="Arial" w:hAnsi="Arial"/>
                <w:sz w:val="16"/>
                <w:szCs w:val="16"/>
                <w:b w:val="1"/>
                <w:bCs w:val="1"/>
                <w:color w:val="auto"/>
              </w:rPr>
              <w:t>—</w:t>
            </w:r>
          </w:p>
        </w:tc>
        <w:tc>
          <w:tcPr>
            <w:tcW w:w="2140" w:type="dxa"/>
            <w:vAlign w:val="bottom"/>
            <w:tcBorders>
              <w:bottom w:val="single" w:sz="8" w:color="CCEEFF"/>
            </w:tcBorders>
            <w:gridSpan w:val="3"/>
            <w:shd w:val="clear" w:color="auto" w:fill="CCEEFF"/>
          </w:tcPr>
          <w:p>
            <w:pPr>
              <w:jc w:val="right"/>
              <w:ind w:right="760"/>
              <w:spacing w:after="0"/>
              <w:rPr>
                <w:sz w:val="20"/>
                <w:szCs w:val="20"/>
                <w:color w:val="auto"/>
              </w:rPr>
            </w:pPr>
            <w:r>
              <w:rPr>
                <w:rFonts w:ascii="Arial" w:cs="Arial" w:eastAsia="Arial" w:hAnsi="Arial"/>
                <w:sz w:val="16"/>
                <w:szCs w:val="16"/>
                <w:b w:val="1"/>
                <w:bCs w:val="1"/>
                <w:color w:val="auto"/>
              </w:rPr>
              <w:t>—</w:t>
            </w: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r>
      <w:tr>
        <w:trPr>
          <w:trHeight w:val="237"/>
        </w:trPr>
        <w:tc>
          <w:tcPr>
            <w:tcW w:w="3780" w:type="dxa"/>
            <w:vAlign w:val="bottom"/>
            <w:gridSpan w:val="2"/>
          </w:tcPr>
          <w:p>
            <w:pPr>
              <w:ind w:left="500"/>
              <w:spacing w:after="0"/>
              <w:rPr>
                <w:sz w:val="20"/>
                <w:szCs w:val="20"/>
                <w:color w:val="auto"/>
              </w:rPr>
            </w:pPr>
            <w:r>
              <w:rPr>
                <w:rFonts w:ascii="Arial" w:cs="Arial" w:eastAsia="Arial" w:hAnsi="Arial"/>
                <w:sz w:val="16"/>
                <w:szCs w:val="16"/>
                <w:color w:val="auto"/>
              </w:rPr>
              <w:t>California</w:t>
            </w:r>
          </w:p>
        </w:tc>
        <w:tc>
          <w:tcPr>
            <w:tcW w:w="1840" w:type="dxa"/>
            <w:vAlign w:val="bottom"/>
          </w:tcPr>
          <w:p>
            <w:pPr>
              <w:jc w:val="right"/>
              <w:ind w:right="39"/>
              <w:spacing w:after="0"/>
              <w:rPr>
                <w:sz w:val="20"/>
                <w:szCs w:val="20"/>
                <w:color w:val="auto"/>
              </w:rPr>
            </w:pPr>
            <w:r>
              <w:rPr>
                <w:rFonts w:ascii="Arial" w:cs="Arial" w:eastAsia="Arial" w:hAnsi="Arial"/>
                <w:sz w:val="16"/>
                <w:szCs w:val="16"/>
                <w:b w:val="1"/>
                <w:bCs w:val="1"/>
                <w:color w:val="auto"/>
              </w:rPr>
              <w:t>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b w:val="1"/>
                <w:bCs w:val="1"/>
                <w:color w:val="auto"/>
              </w:rPr>
              <w:t>3</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33"/>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Florida</w:t>
            </w:r>
          </w:p>
        </w:tc>
        <w:tc>
          <w:tcPr>
            <w:tcW w:w="2300" w:type="dxa"/>
            <w:vAlign w:val="bottom"/>
            <w:tcBorders>
              <w:bottom w:val="single" w:sz="8" w:color="CCEEFF"/>
            </w:tcBorders>
            <w:gridSpan w:val="3"/>
            <w:shd w:val="clear" w:color="auto" w:fill="CCEEFF"/>
          </w:tcPr>
          <w:p>
            <w:pPr>
              <w:jc w:val="right"/>
              <w:ind w:right="580"/>
              <w:spacing w:after="0"/>
              <w:rPr>
                <w:sz w:val="20"/>
                <w:szCs w:val="20"/>
                <w:color w:val="auto"/>
              </w:rPr>
            </w:pPr>
            <w:r>
              <w:rPr>
                <w:rFonts w:ascii="Arial" w:cs="Arial" w:eastAsia="Arial" w:hAnsi="Arial"/>
                <w:sz w:val="16"/>
                <w:szCs w:val="16"/>
                <w:b w:val="1"/>
                <w:bCs w:val="1"/>
                <w:color w:val="auto"/>
              </w:rPr>
              <w: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780" w:type="dxa"/>
            <w:vAlign w:val="bottom"/>
            <w:gridSpan w:val="2"/>
          </w:tcPr>
          <w:p>
            <w:pPr>
              <w:ind w:left="500"/>
              <w:spacing w:after="0"/>
              <w:rPr>
                <w:sz w:val="20"/>
                <w:szCs w:val="20"/>
                <w:color w:val="auto"/>
              </w:rPr>
            </w:pPr>
            <w:r>
              <w:rPr>
                <w:rFonts w:ascii="Arial" w:cs="Arial" w:eastAsia="Arial" w:hAnsi="Arial"/>
                <w:sz w:val="16"/>
                <w:szCs w:val="16"/>
                <w:color w:val="auto"/>
              </w:rPr>
              <w:t>Illinois</w:t>
            </w:r>
          </w:p>
        </w:tc>
        <w:tc>
          <w:tcPr>
            <w:tcW w:w="2300" w:type="dxa"/>
            <w:vAlign w:val="bottom"/>
            <w:gridSpan w:val="3"/>
          </w:tcPr>
          <w:p>
            <w:pPr>
              <w:jc w:val="right"/>
              <w:ind w:right="580"/>
              <w:spacing w:after="0"/>
              <w:rPr>
                <w:sz w:val="20"/>
                <w:szCs w:val="20"/>
                <w:color w:val="auto"/>
              </w:rPr>
            </w:pPr>
            <w:r>
              <w:rPr>
                <w:rFonts w:ascii="Arial" w:cs="Arial" w:eastAsia="Arial" w:hAnsi="Arial"/>
                <w:sz w:val="16"/>
                <w:szCs w:val="16"/>
                <w:b w:val="1"/>
                <w:bCs w:val="1"/>
                <w:color w:val="auto"/>
              </w:rPr>
              <w:t>—</w:t>
            </w:r>
          </w:p>
        </w:tc>
        <w:tc>
          <w:tcPr>
            <w:tcW w:w="1500" w:type="dxa"/>
            <w:vAlign w:val="bottom"/>
          </w:tcPr>
          <w:p>
            <w:pPr>
              <w:jc w:val="right"/>
              <w:ind w:right="39"/>
              <w:spacing w:after="0"/>
              <w:rPr>
                <w:sz w:val="20"/>
                <w:szCs w:val="20"/>
                <w:color w:val="auto"/>
              </w:rPr>
            </w:pPr>
            <w:r>
              <w:rPr>
                <w:rFonts w:ascii="Arial" w:cs="Arial" w:eastAsia="Arial" w:hAnsi="Arial"/>
                <w:sz w:val="16"/>
                <w:szCs w:val="16"/>
                <w:b w:val="1"/>
                <w:bCs w:val="1"/>
                <w:color w:val="auto"/>
              </w:rPr>
              <w:t>2</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33"/>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Indiana</w:t>
            </w:r>
          </w:p>
        </w:tc>
        <w:tc>
          <w:tcPr>
            <w:tcW w:w="2300" w:type="dxa"/>
            <w:vAlign w:val="bottom"/>
            <w:tcBorders>
              <w:bottom w:val="single" w:sz="8" w:color="CCEEFF"/>
            </w:tcBorders>
            <w:gridSpan w:val="3"/>
            <w:shd w:val="clear" w:color="auto" w:fill="CCEEFF"/>
          </w:tcPr>
          <w:p>
            <w:pPr>
              <w:jc w:val="right"/>
              <w:ind w:right="580"/>
              <w:spacing w:after="0"/>
              <w:rPr>
                <w:sz w:val="20"/>
                <w:szCs w:val="20"/>
                <w:color w:val="auto"/>
              </w:rPr>
            </w:pPr>
            <w:r>
              <w:rPr>
                <w:rFonts w:ascii="Arial" w:cs="Arial" w:eastAsia="Arial" w:hAnsi="Arial"/>
                <w:sz w:val="16"/>
                <w:szCs w:val="16"/>
                <w:b w:val="1"/>
                <w:bCs w:val="1"/>
                <w:color w:val="auto"/>
              </w:rPr>
              <w: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780" w:type="dxa"/>
            <w:vAlign w:val="bottom"/>
            <w:gridSpan w:val="2"/>
          </w:tcPr>
          <w:p>
            <w:pPr>
              <w:ind w:left="500"/>
              <w:spacing w:after="0"/>
              <w:rPr>
                <w:sz w:val="20"/>
                <w:szCs w:val="20"/>
                <w:color w:val="auto"/>
              </w:rPr>
            </w:pPr>
            <w:r>
              <w:rPr>
                <w:rFonts w:ascii="Arial" w:cs="Arial" w:eastAsia="Arial" w:hAnsi="Arial"/>
                <w:sz w:val="16"/>
                <w:szCs w:val="16"/>
                <w:color w:val="auto"/>
              </w:rPr>
              <w:t>Maryland</w:t>
            </w:r>
          </w:p>
        </w:tc>
        <w:tc>
          <w:tcPr>
            <w:tcW w:w="2300" w:type="dxa"/>
            <w:vAlign w:val="bottom"/>
            <w:gridSpan w:val="3"/>
          </w:tcPr>
          <w:p>
            <w:pPr>
              <w:jc w:val="right"/>
              <w:ind w:right="580"/>
              <w:spacing w:after="0"/>
              <w:rPr>
                <w:sz w:val="20"/>
                <w:szCs w:val="20"/>
                <w:color w:val="auto"/>
              </w:rPr>
            </w:pPr>
            <w:r>
              <w:rPr>
                <w:rFonts w:ascii="Arial" w:cs="Arial" w:eastAsia="Arial" w:hAnsi="Arial"/>
                <w:sz w:val="16"/>
                <w:szCs w:val="16"/>
                <w:b w:val="1"/>
                <w:bCs w:val="1"/>
                <w:color w:val="auto"/>
              </w:rPr>
              <w:t>—</w:t>
            </w:r>
          </w:p>
        </w:tc>
        <w:tc>
          <w:tcPr>
            <w:tcW w:w="1500" w:type="dxa"/>
            <w:vAlign w:val="bottom"/>
          </w:tcPr>
          <w:p>
            <w:pPr>
              <w:jc w:val="right"/>
              <w:ind w:right="39"/>
              <w:spacing w:after="0"/>
              <w:rPr>
                <w:sz w:val="20"/>
                <w:szCs w:val="20"/>
                <w:color w:val="auto"/>
              </w:rPr>
            </w:pPr>
            <w:r>
              <w:rPr>
                <w:rFonts w:ascii="Arial" w:cs="Arial" w:eastAsia="Arial" w:hAnsi="Arial"/>
                <w:sz w:val="16"/>
                <w:szCs w:val="16"/>
                <w:b w:val="1"/>
                <w:bCs w:val="1"/>
                <w:color w:val="auto"/>
              </w:rPr>
              <w:t>1</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Minnesota</w:t>
            </w:r>
          </w:p>
        </w:tc>
        <w:tc>
          <w:tcPr>
            <w:tcW w:w="2300" w:type="dxa"/>
            <w:vAlign w:val="bottom"/>
            <w:tcBorders>
              <w:bottom w:val="single" w:sz="8" w:color="CCEEFF"/>
            </w:tcBorders>
            <w:gridSpan w:val="3"/>
            <w:shd w:val="clear" w:color="auto" w:fill="CCEEFF"/>
          </w:tcPr>
          <w:p>
            <w:pPr>
              <w:jc w:val="right"/>
              <w:ind w:right="580"/>
              <w:spacing w:after="0"/>
              <w:rPr>
                <w:sz w:val="20"/>
                <w:szCs w:val="20"/>
                <w:color w:val="auto"/>
              </w:rPr>
            </w:pPr>
            <w:r>
              <w:rPr>
                <w:rFonts w:ascii="Arial" w:cs="Arial" w:eastAsia="Arial" w:hAnsi="Arial"/>
                <w:sz w:val="16"/>
                <w:szCs w:val="16"/>
                <w:b w:val="1"/>
                <w:bCs w:val="1"/>
                <w:color w:val="auto"/>
              </w:rPr>
              <w: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780" w:type="dxa"/>
            <w:vAlign w:val="bottom"/>
            <w:gridSpan w:val="2"/>
          </w:tcPr>
          <w:p>
            <w:pPr>
              <w:ind w:left="500"/>
              <w:spacing w:after="0"/>
              <w:rPr>
                <w:sz w:val="20"/>
                <w:szCs w:val="20"/>
                <w:color w:val="auto"/>
              </w:rPr>
            </w:pPr>
            <w:r>
              <w:rPr>
                <w:rFonts w:ascii="Arial" w:cs="Arial" w:eastAsia="Arial" w:hAnsi="Arial"/>
                <w:sz w:val="16"/>
                <w:szCs w:val="16"/>
                <w:color w:val="auto"/>
              </w:rPr>
              <w:t>New Jersey</w:t>
            </w:r>
          </w:p>
        </w:tc>
        <w:tc>
          <w:tcPr>
            <w:tcW w:w="2300" w:type="dxa"/>
            <w:vAlign w:val="bottom"/>
            <w:gridSpan w:val="3"/>
          </w:tcPr>
          <w:p>
            <w:pPr>
              <w:jc w:val="right"/>
              <w:ind w:right="580"/>
              <w:spacing w:after="0"/>
              <w:rPr>
                <w:sz w:val="20"/>
                <w:szCs w:val="20"/>
                <w:color w:val="auto"/>
              </w:rPr>
            </w:pPr>
            <w:r>
              <w:rPr>
                <w:rFonts w:ascii="Arial" w:cs="Arial" w:eastAsia="Arial" w:hAnsi="Arial"/>
                <w:sz w:val="16"/>
                <w:szCs w:val="16"/>
                <w:b w:val="1"/>
                <w:bCs w:val="1"/>
                <w:color w:val="auto"/>
              </w:rPr>
              <w:t>—</w:t>
            </w:r>
          </w:p>
        </w:tc>
        <w:tc>
          <w:tcPr>
            <w:tcW w:w="2140" w:type="dxa"/>
            <w:vAlign w:val="bottom"/>
            <w:gridSpan w:val="3"/>
          </w:tcPr>
          <w:p>
            <w:pPr>
              <w:jc w:val="right"/>
              <w:ind w:right="760"/>
              <w:spacing w:after="0"/>
              <w:rPr>
                <w:sz w:val="20"/>
                <w:szCs w:val="20"/>
                <w:color w:val="auto"/>
              </w:rPr>
            </w:pPr>
            <w:r>
              <w:rPr>
                <w:rFonts w:ascii="Arial" w:cs="Arial" w:eastAsia="Arial" w:hAnsi="Arial"/>
                <w:sz w:val="16"/>
                <w:szCs w:val="16"/>
                <w:b w:val="1"/>
                <w:bCs w:val="1"/>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33"/>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New York</w:t>
            </w:r>
          </w:p>
        </w:tc>
        <w:tc>
          <w:tcPr>
            <w:tcW w:w="2300" w:type="dxa"/>
            <w:vAlign w:val="bottom"/>
            <w:tcBorders>
              <w:bottom w:val="single" w:sz="8" w:color="CCEEFF"/>
            </w:tcBorders>
            <w:gridSpan w:val="3"/>
            <w:shd w:val="clear" w:color="auto" w:fill="CCEEFF"/>
          </w:tcPr>
          <w:p>
            <w:pPr>
              <w:jc w:val="right"/>
              <w:ind w:right="580"/>
              <w:spacing w:after="0"/>
              <w:rPr>
                <w:sz w:val="20"/>
                <w:szCs w:val="20"/>
                <w:color w:val="auto"/>
              </w:rPr>
            </w:pPr>
            <w:r>
              <w:rPr>
                <w:rFonts w:ascii="Arial" w:cs="Arial" w:eastAsia="Arial" w:hAnsi="Arial"/>
                <w:sz w:val="16"/>
                <w:szCs w:val="16"/>
                <w:b w:val="1"/>
                <w:bCs w:val="1"/>
                <w:color w:val="auto"/>
              </w:rPr>
              <w: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780" w:type="dxa"/>
            <w:vAlign w:val="bottom"/>
            <w:gridSpan w:val="2"/>
          </w:tcPr>
          <w:p>
            <w:pPr>
              <w:ind w:left="500"/>
              <w:spacing w:after="0"/>
              <w:rPr>
                <w:sz w:val="20"/>
                <w:szCs w:val="20"/>
                <w:color w:val="auto"/>
              </w:rPr>
            </w:pPr>
            <w:r>
              <w:rPr>
                <w:rFonts w:ascii="Arial" w:cs="Arial" w:eastAsia="Arial" w:hAnsi="Arial"/>
                <w:sz w:val="16"/>
                <w:szCs w:val="16"/>
                <w:color w:val="auto"/>
              </w:rPr>
              <w:t>Oregon</w:t>
            </w:r>
          </w:p>
        </w:tc>
        <w:tc>
          <w:tcPr>
            <w:tcW w:w="2300" w:type="dxa"/>
            <w:vAlign w:val="bottom"/>
            <w:gridSpan w:val="3"/>
          </w:tcPr>
          <w:p>
            <w:pPr>
              <w:jc w:val="right"/>
              <w:ind w:right="580"/>
              <w:spacing w:after="0"/>
              <w:rPr>
                <w:sz w:val="20"/>
                <w:szCs w:val="20"/>
                <w:color w:val="auto"/>
              </w:rPr>
            </w:pPr>
            <w:r>
              <w:rPr>
                <w:rFonts w:ascii="Arial" w:cs="Arial" w:eastAsia="Arial" w:hAnsi="Arial"/>
                <w:sz w:val="16"/>
                <w:szCs w:val="16"/>
                <w:b w:val="1"/>
                <w:bCs w:val="1"/>
                <w:color w:val="auto"/>
              </w:rPr>
              <w:t>—</w:t>
            </w:r>
          </w:p>
        </w:tc>
        <w:tc>
          <w:tcPr>
            <w:tcW w:w="1500" w:type="dxa"/>
            <w:vAlign w:val="bottom"/>
          </w:tcPr>
          <w:p>
            <w:pPr>
              <w:jc w:val="right"/>
              <w:ind w:right="39"/>
              <w:spacing w:after="0"/>
              <w:rPr>
                <w:sz w:val="20"/>
                <w:szCs w:val="20"/>
                <w:color w:val="auto"/>
              </w:rPr>
            </w:pPr>
            <w:r>
              <w:rPr>
                <w:rFonts w:ascii="Arial" w:cs="Arial" w:eastAsia="Arial" w:hAnsi="Arial"/>
                <w:sz w:val="16"/>
                <w:szCs w:val="16"/>
                <w:b w:val="1"/>
                <w:bCs w:val="1"/>
                <w:color w:val="auto"/>
              </w:rPr>
              <w:t>1</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Pennsylvania</w:t>
            </w:r>
          </w:p>
        </w:tc>
        <w:tc>
          <w:tcPr>
            <w:tcW w:w="2300" w:type="dxa"/>
            <w:vAlign w:val="bottom"/>
            <w:tcBorders>
              <w:bottom w:val="single" w:sz="8" w:color="CCEEFF"/>
            </w:tcBorders>
            <w:gridSpan w:val="3"/>
            <w:shd w:val="clear" w:color="auto" w:fill="CCEEFF"/>
          </w:tcPr>
          <w:p>
            <w:pPr>
              <w:jc w:val="right"/>
              <w:ind w:right="580"/>
              <w:spacing w:after="0"/>
              <w:rPr>
                <w:sz w:val="20"/>
                <w:szCs w:val="20"/>
                <w:color w:val="auto"/>
              </w:rPr>
            </w:pPr>
            <w:r>
              <w:rPr>
                <w:rFonts w:ascii="Arial" w:cs="Arial" w:eastAsia="Arial" w:hAnsi="Arial"/>
                <w:sz w:val="16"/>
                <w:szCs w:val="16"/>
                <w:b w:val="1"/>
                <w:bCs w:val="1"/>
                <w:color w:val="auto"/>
              </w:rPr>
              <w:t>—</w:t>
            </w:r>
          </w:p>
        </w:tc>
        <w:tc>
          <w:tcPr>
            <w:tcW w:w="2140" w:type="dxa"/>
            <w:vAlign w:val="bottom"/>
            <w:tcBorders>
              <w:bottom w:val="single" w:sz="8" w:color="CCEEFF"/>
            </w:tcBorders>
            <w:gridSpan w:val="3"/>
            <w:shd w:val="clear" w:color="auto" w:fill="CCEEFF"/>
          </w:tcPr>
          <w:p>
            <w:pPr>
              <w:jc w:val="right"/>
              <w:ind w:right="760"/>
              <w:spacing w:after="0"/>
              <w:rPr>
                <w:sz w:val="20"/>
                <w:szCs w:val="20"/>
                <w:color w:val="auto"/>
              </w:rPr>
            </w:pPr>
            <w:r>
              <w:rPr>
                <w:rFonts w:ascii="Arial" w:cs="Arial" w:eastAsia="Arial" w:hAnsi="Arial"/>
                <w:sz w:val="16"/>
                <w:szCs w:val="16"/>
                <w:b w:val="1"/>
                <w:bCs w:val="1"/>
                <w:color w:val="auto"/>
              </w:rPr>
              <w:t>—</w:t>
            </w: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r>
      <w:tr>
        <w:trPr>
          <w:trHeight w:val="237"/>
        </w:trPr>
        <w:tc>
          <w:tcPr>
            <w:tcW w:w="3780" w:type="dxa"/>
            <w:vAlign w:val="bottom"/>
            <w:gridSpan w:val="2"/>
          </w:tcPr>
          <w:p>
            <w:pPr>
              <w:ind w:left="500"/>
              <w:spacing w:after="0"/>
              <w:rPr>
                <w:sz w:val="20"/>
                <w:szCs w:val="20"/>
                <w:color w:val="auto"/>
              </w:rPr>
            </w:pPr>
            <w:r>
              <w:rPr>
                <w:rFonts w:ascii="Arial" w:cs="Arial" w:eastAsia="Arial" w:hAnsi="Arial"/>
                <w:sz w:val="16"/>
                <w:szCs w:val="16"/>
                <w:color w:val="auto"/>
              </w:rPr>
              <w:t>Tennessee</w:t>
            </w:r>
          </w:p>
        </w:tc>
        <w:tc>
          <w:tcPr>
            <w:tcW w:w="2300" w:type="dxa"/>
            <w:vAlign w:val="bottom"/>
            <w:gridSpan w:val="3"/>
          </w:tcPr>
          <w:p>
            <w:pPr>
              <w:jc w:val="right"/>
              <w:ind w:right="580"/>
              <w:spacing w:after="0"/>
              <w:rPr>
                <w:sz w:val="20"/>
                <w:szCs w:val="20"/>
                <w:color w:val="auto"/>
              </w:rPr>
            </w:pPr>
            <w:r>
              <w:rPr>
                <w:rFonts w:ascii="Arial" w:cs="Arial" w:eastAsia="Arial" w:hAnsi="Arial"/>
                <w:sz w:val="16"/>
                <w:szCs w:val="16"/>
                <w:b w:val="1"/>
                <w:bCs w:val="1"/>
                <w:color w:val="auto"/>
              </w:rPr>
              <w:t>—</w:t>
            </w:r>
          </w:p>
        </w:tc>
        <w:tc>
          <w:tcPr>
            <w:tcW w:w="1500" w:type="dxa"/>
            <w:vAlign w:val="bottom"/>
          </w:tcPr>
          <w:p>
            <w:pPr>
              <w:jc w:val="right"/>
              <w:ind w:right="39"/>
              <w:spacing w:after="0"/>
              <w:rPr>
                <w:sz w:val="20"/>
                <w:szCs w:val="20"/>
                <w:color w:val="auto"/>
              </w:rPr>
            </w:pPr>
            <w:r>
              <w:rPr>
                <w:rFonts w:ascii="Arial" w:cs="Arial" w:eastAsia="Arial" w:hAnsi="Arial"/>
                <w:sz w:val="16"/>
                <w:szCs w:val="16"/>
                <w:b w:val="1"/>
                <w:bCs w:val="1"/>
                <w:color w:val="auto"/>
              </w:rPr>
              <w:t>1</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Texas</w:t>
            </w:r>
          </w:p>
        </w:tc>
        <w:tc>
          <w:tcPr>
            <w:tcW w:w="2300" w:type="dxa"/>
            <w:vAlign w:val="bottom"/>
            <w:tcBorders>
              <w:bottom w:val="single" w:sz="8" w:color="CCEEFF"/>
            </w:tcBorders>
            <w:gridSpan w:val="3"/>
            <w:shd w:val="clear" w:color="auto" w:fill="CCEEFF"/>
          </w:tcPr>
          <w:p>
            <w:pPr>
              <w:jc w:val="right"/>
              <w:ind w:right="580"/>
              <w:spacing w:after="0"/>
              <w:rPr>
                <w:sz w:val="20"/>
                <w:szCs w:val="20"/>
                <w:color w:val="auto"/>
              </w:rPr>
            </w:pPr>
            <w:r>
              <w:rPr>
                <w:rFonts w:ascii="Arial" w:cs="Arial" w:eastAsia="Arial" w:hAnsi="Arial"/>
                <w:sz w:val="16"/>
                <w:szCs w:val="16"/>
                <w:b w:val="1"/>
                <w:bCs w:val="1"/>
                <w:color w:val="auto"/>
              </w:rPr>
              <w: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r>
      <w:tr>
        <w:trPr>
          <w:trHeight w:val="237"/>
        </w:trPr>
        <w:tc>
          <w:tcPr>
            <w:tcW w:w="3780" w:type="dxa"/>
            <w:vAlign w:val="bottom"/>
            <w:gridSpan w:val="2"/>
          </w:tcPr>
          <w:p>
            <w:pPr>
              <w:ind w:left="500"/>
              <w:spacing w:after="0"/>
              <w:rPr>
                <w:sz w:val="20"/>
                <w:szCs w:val="20"/>
                <w:color w:val="auto"/>
              </w:rPr>
            </w:pPr>
            <w:r>
              <w:rPr>
                <w:rFonts w:ascii="Arial" w:cs="Arial" w:eastAsia="Arial" w:hAnsi="Arial"/>
                <w:sz w:val="16"/>
                <w:szCs w:val="16"/>
                <w:color w:val="auto"/>
              </w:rPr>
              <w:t>Washington</w:t>
            </w:r>
          </w:p>
        </w:tc>
        <w:tc>
          <w:tcPr>
            <w:tcW w:w="2300" w:type="dxa"/>
            <w:vAlign w:val="bottom"/>
            <w:gridSpan w:val="3"/>
          </w:tcPr>
          <w:p>
            <w:pPr>
              <w:jc w:val="right"/>
              <w:ind w:right="580"/>
              <w:spacing w:after="0"/>
              <w:rPr>
                <w:sz w:val="20"/>
                <w:szCs w:val="20"/>
                <w:color w:val="auto"/>
              </w:rPr>
            </w:pPr>
            <w:r>
              <w:rPr>
                <w:rFonts w:ascii="Arial" w:cs="Arial" w:eastAsia="Arial" w:hAnsi="Arial"/>
                <w:sz w:val="16"/>
                <w:szCs w:val="16"/>
                <w:b w:val="1"/>
                <w:bCs w:val="1"/>
                <w:color w:val="auto"/>
              </w:rPr>
              <w:t>—</w:t>
            </w:r>
          </w:p>
        </w:tc>
        <w:tc>
          <w:tcPr>
            <w:tcW w:w="1500" w:type="dxa"/>
            <w:vAlign w:val="bottom"/>
          </w:tcPr>
          <w:p>
            <w:pPr>
              <w:jc w:val="right"/>
              <w:ind w:right="39"/>
              <w:spacing w:after="0"/>
              <w:rPr>
                <w:sz w:val="20"/>
                <w:szCs w:val="20"/>
                <w:color w:val="auto"/>
              </w:rPr>
            </w:pPr>
            <w:r>
              <w:rPr>
                <w:rFonts w:ascii="Arial" w:cs="Arial" w:eastAsia="Arial" w:hAnsi="Arial"/>
                <w:sz w:val="16"/>
                <w:szCs w:val="16"/>
                <w:b w:val="1"/>
                <w:bCs w:val="1"/>
                <w:color w:val="auto"/>
              </w:rPr>
              <w:t>2</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b w:val="1"/>
                <w:bCs w:val="1"/>
                <w:color w:val="auto"/>
              </w:rPr>
              <w:t>Canada</w:t>
            </w:r>
          </w:p>
        </w:tc>
        <w:tc>
          <w:tcPr>
            <w:tcW w:w="1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37"/>
        </w:trPr>
        <w:tc>
          <w:tcPr>
            <w:tcW w:w="3780" w:type="dxa"/>
            <w:vAlign w:val="bottom"/>
            <w:gridSpan w:val="2"/>
          </w:tcPr>
          <w:p>
            <w:pPr>
              <w:ind w:left="500"/>
              <w:spacing w:after="0"/>
              <w:rPr>
                <w:sz w:val="20"/>
                <w:szCs w:val="20"/>
                <w:color w:val="auto"/>
              </w:rPr>
            </w:pPr>
            <w:r>
              <w:rPr>
                <w:rFonts w:ascii="Arial" w:cs="Arial" w:eastAsia="Arial" w:hAnsi="Arial"/>
                <w:sz w:val="16"/>
                <w:szCs w:val="16"/>
                <w:color w:val="auto"/>
              </w:rPr>
              <w:t>Alberta</w:t>
            </w:r>
          </w:p>
        </w:tc>
        <w:tc>
          <w:tcPr>
            <w:tcW w:w="2300" w:type="dxa"/>
            <w:vAlign w:val="bottom"/>
            <w:gridSpan w:val="3"/>
          </w:tcPr>
          <w:p>
            <w:pPr>
              <w:jc w:val="right"/>
              <w:ind w:right="580"/>
              <w:spacing w:after="0"/>
              <w:rPr>
                <w:sz w:val="20"/>
                <w:szCs w:val="20"/>
                <w:color w:val="auto"/>
              </w:rPr>
            </w:pPr>
            <w:r>
              <w:rPr>
                <w:rFonts w:ascii="Arial" w:cs="Arial" w:eastAsia="Arial" w:hAnsi="Arial"/>
                <w:sz w:val="16"/>
                <w:szCs w:val="16"/>
                <w:b w:val="1"/>
                <w:bCs w:val="1"/>
                <w:color w:val="auto"/>
              </w:rPr>
              <w:t>—</w:t>
            </w:r>
          </w:p>
        </w:tc>
        <w:tc>
          <w:tcPr>
            <w:tcW w:w="2140" w:type="dxa"/>
            <w:vAlign w:val="bottom"/>
            <w:gridSpan w:val="3"/>
          </w:tcPr>
          <w:p>
            <w:pPr>
              <w:jc w:val="right"/>
              <w:ind w:right="760"/>
              <w:spacing w:after="0"/>
              <w:rPr>
                <w:sz w:val="20"/>
                <w:szCs w:val="20"/>
                <w:color w:val="auto"/>
              </w:rPr>
            </w:pPr>
            <w:r>
              <w:rPr>
                <w:rFonts w:ascii="Arial" w:cs="Arial" w:eastAsia="Arial" w:hAnsi="Arial"/>
                <w:sz w:val="16"/>
                <w:szCs w:val="16"/>
                <w:b w:val="1"/>
                <w:bCs w:val="1"/>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2</w:t>
            </w:r>
          </w:p>
        </w:tc>
      </w:tr>
      <w:tr>
        <w:trPr>
          <w:trHeight w:val="33"/>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37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Ontario</w:t>
            </w:r>
          </w:p>
        </w:tc>
        <w:tc>
          <w:tcPr>
            <w:tcW w:w="1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2140" w:type="dxa"/>
            <w:vAlign w:val="bottom"/>
            <w:tcBorders>
              <w:bottom w:val="single" w:sz="8" w:color="CCEEFF"/>
            </w:tcBorders>
            <w:gridSpan w:val="3"/>
            <w:shd w:val="clear" w:color="auto" w:fill="CCEEFF"/>
          </w:tcPr>
          <w:p>
            <w:pPr>
              <w:jc w:val="right"/>
              <w:ind w:right="760"/>
              <w:spacing w:after="0"/>
              <w:rPr>
                <w:sz w:val="20"/>
                <w:szCs w:val="20"/>
                <w:color w:val="auto"/>
              </w:rPr>
            </w:pPr>
            <w:r>
              <w:rPr>
                <w:rFonts w:ascii="Arial" w:cs="Arial" w:eastAsia="Arial" w:hAnsi="Arial"/>
                <w:sz w:val="16"/>
                <w:szCs w:val="16"/>
                <w:b w:val="1"/>
                <w:bCs w:val="1"/>
                <w:color w:val="auto"/>
              </w:rPr>
              <w:t>—</w:t>
            </w: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r>
      <w:tr>
        <w:trPr>
          <w:trHeight w:val="217"/>
        </w:trPr>
        <w:tc>
          <w:tcPr>
            <w:tcW w:w="36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Openings</w:t>
            </w:r>
          </w:p>
        </w:tc>
        <w:tc>
          <w:tcPr>
            <w:tcW w:w="120" w:type="dxa"/>
            <w:vAlign w:val="bottom"/>
          </w:tcPr>
          <w:p>
            <w:pPr>
              <w:spacing w:after="0"/>
              <w:rPr>
                <w:sz w:val="18"/>
                <w:szCs w:val="18"/>
                <w:color w:val="auto"/>
              </w:rPr>
            </w:pPr>
          </w:p>
        </w:tc>
        <w:tc>
          <w:tcPr>
            <w:tcW w:w="1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17</w:t>
            </w:r>
          </w:p>
        </w:tc>
        <w:tc>
          <w:tcPr>
            <w:tcW w:w="12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w:t>
            </w:r>
          </w:p>
        </w:tc>
      </w:tr>
      <w:tr>
        <w:trPr>
          <w:trHeight w:val="33"/>
        </w:trPr>
        <w:tc>
          <w:tcPr>
            <w:tcW w:w="3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91"/>
        </w:trPr>
        <w:tc>
          <w:tcPr>
            <w:tcW w:w="366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4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0" w:type="dxa"/>
            <w:vAlign w:val="bottom"/>
            <w:tcBorders>
              <w:bottom w:val="single" w:sz="8" w:color="auto"/>
            </w:tcBorders>
            <w:shd w:val="clear" w:color="auto" w:fill="CCEEFF"/>
          </w:tcPr>
          <w:p>
            <w:pPr>
              <w:spacing w:after="0"/>
              <w:rPr>
                <w:sz w:val="24"/>
                <w:szCs w:val="24"/>
                <w:color w:val="auto"/>
              </w:rPr>
            </w:pPr>
          </w:p>
        </w:tc>
      </w:tr>
      <w:tr>
        <w:trPr>
          <w:trHeight w:val="217"/>
        </w:trPr>
        <w:tc>
          <w:tcPr>
            <w:tcW w:w="3780" w:type="dxa"/>
            <w:vAlign w:val="bottom"/>
            <w:gridSpan w:val="2"/>
          </w:tcPr>
          <w:p>
            <w:pPr>
              <w:ind w:left="40"/>
              <w:spacing w:after="0"/>
              <w:rPr>
                <w:sz w:val="20"/>
                <w:szCs w:val="20"/>
                <w:color w:val="auto"/>
              </w:rPr>
            </w:pPr>
            <w:r>
              <w:rPr>
                <w:rFonts w:ascii="Arial" w:cs="Arial" w:eastAsia="Arial" w:hAnsi="Arial"/>
                <w:sz w:val="16"/>
                <w:szCs w:val="16"/>
                <w:b w:val="1"/>
                <w:bCs w:val="1"/>
                <w:color w:val="auto"/>
              </w:rPr>
              <w:t>Closures</w:t>
            </w: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47"/>
        </w:trPr>
        <w:tc>
          <w:tcPr>
            <w:tcW w:w="3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0" w:type="dxa"/>
            <w:vAlign w:val="bottom"/>
          </w:tcPr>
          <w:p>
            <w:pPr>
              <w:spacing w:after="0"/>
              <w:rPr>
                <w:sz w:val="4"/>
                <w:szCs w:val="4"/>
                <w:color w:val="auto"/>
              </w:rPr>
            </w:pPr>
          </w:p>
        </w:tc>
      </w:tr>
      <w:tr>
        <w:trPr>
          <w:trHeight w:val="250"/>
        </w:trPr>
        <w:tc>
          <w:tcPr>
            <w:tcW w:w="37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California</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gridSpan w:val="3"/>
            <w:shd w:val="clear" w:color="auto" w:fill="CCEEFF"/>
          </w:tcPr>
          <w:p>
            <w:pPr>
              <w:jc w:val="right"/>
              <w:ind w:right="760"/>
              <w:spacing w:after="0"/>
              <w:rPr>
                <w:sz w:val="20"/>
                <w:szCs w:val="20"/>
                <w:color w:val="auto"/>
              </w:rPr>
            </w:pPr>
            <w:r>
              <w:rPr>
                <w:rFonts w:ascii="Arial" w:cs="Arial" w:eastAsia="Arial" w:hAnsi="Arial"/>
                <w:sz w:val="16"/>
                <w:szCs w:val="16"/>
                <w:b w:val="1"/>
                <w:bCs w:val="1"/>
                <w:color w:val="auto"/>
              </w:rPr>
              <w:t>—</w:t>
            </w: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780" w:type="dxa"/>
            <w:vAlign w:val="bottom"/>
            <w:gridSpan w:val="2"/>
          </w:tcPr>
          <w:p>
            <w:pPr>
              <w:ind w:left="500"/>
              <w:spacing w:after="0"/>
              <w:rPr>
                <w:sz w:val="20"/>
                <w:szCs w:val="20"/>
                <w:color w:val="auto"/>
              </w:rPr>
            </w:pPr>
            <w:r>
              <w:rPr>
                <w:rFonts w:ascii="Arial" w:cs="Arial" w:eastAsia="Arial" w:hAnsi="Arial"/>
                <w:sz w:val="16"/>
                <w:szCs w:val="16"/>
                <w:color w:val="auto"/>
              </w:rPr>
              <w:t>Oregon</w:t>
            </w:r>
          </w:p>
        </w:tc>
        <w:tc>
          <w:tcPr>
            <w:tcW w:w="2300" w:type="dxa"/>
            <w:vAlign w:val="bottom"/>
            <w:gridSpan w:val="3"/>
          </w:tcPr>
          <w:p>
            <w:pPr>
              <w:jc w:val="right"/>
              <w:ind w:right="580"/>
              <w:spacing w:after="0"/>
              <w:rPr>
                <w:sz w:val="20"/>
                <w:szCs w:val="20"/>
                <w:color w:val="auto"/>
              </w:rPr>
            </w:pPr>
            <w:r>
              <w:rPr>
                <w:rFonts w:ascii="Arial" w:cs="Arial" w:eastAsia="Arial" w:hAnsi="Arial"/>
                <w:sz w:val="16"/>
                <w:szCs w:val="16"/>
                <w:b w:val="1"/>
                <w:bCs w:val="1"/>
                <w:color w:val="auto"/>
              </w:rPr>
              <w:t>—</w:t>
            </w:r>
          </w:p>
        </w:tc>
        <w:tc>
          <w:tcPr>
            <w:tcW w:w="2140" w:type="dxa"/>
            <w:vAlign w:val="bottom"/>
            <w:gridSpan w:val="3"/>
          </w:tcPr>
          <w:p>
            <w:pPr>
              <w:jc w:val="right"/>
              <w:ind w:right="760"/>
              <w:spacing w:after="0"/>
              <w:rPr>
                <w:sz w:val="20"/>
                <w:szCs w:val="20"/>
                <w:color w:val="auto"/>
              </w:rPr>
            </w:pPr>
            <w:r>
              <w:rPr>
                <w:rFonts w:ascii="Arial" w:cs="Arial" w:eastAsia="Arial" w:hAnsi="Arial"/>
                <w:sz w:val="16"/>
                <w:szCs w:val="16"/>
                <w:b w:val="1"/>
                <w:bCs w:val="1"/>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37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Virginia</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2140" w:type="dxa"/>
            <w:vAlign w:val="bottom"/>
            <w:tcBorders>
              <w:bottom w:val="single" w:sz="8" w:color="CCEEFF"/>
            </w:tcBorders>
            <w:gridSpan w:val="3"/>
            <w:shd w:val="clear" w:color="auto" w:fill="CCEEFF"/>
          </w:tcPr>
          <w:p>
            <w:pPr>
              <w:jc w:val="right"/>
              <w:ind w:right="760"/>
              <w:spacing w:after="0"/>
              <w:rPr>
                <w:sz w:val="20"/>
                <w:szCs w:val="20"/>
                <w:color w:val="auto"/>
              </w:rPr>
            </w:pPr>
            <w:r>
              <w:rPr>
                <w:rFonts w:ascii="Arial" w:cs="Arial" w:eastAsia="Arial" w:hAnsi="Arial"/>
                <w:sz w:val="16"/>
                <w:szCs w:val="16"/>
                <w:b w:val="1"/>
                <w:bCs w:val="1"/>
                <w:color w:val="auto"/>
              </w:rPr>
              <w:t>—</w:t>
            </w: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36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Closures</w:t>
            </w:r>
          </w:p>
        </w:tc>
        <w:tc>
          <w:tcPr>
            <w:tcW w:w="120" w:type="dxa"/>
            <w:vAlign w:val="bottom"/>
          </w:tcPr>
          <w:p>
            <w:pPr>
              <w:spacing w:after="0"/>
              <w:rPr>
                <w:sz w:val="18"/>
                <w:szCs w:val="18"/>
                <w:color w:val="auto"/>
              </w:rPr>
            </w:pP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bl>
    <w:p>
      <w:pPr>
        <w:spacing w:after="0" w:line="28" w:lineRule="exact"/>
        <w:rPr>
          <w:sz w:val="20"/>
          <w:szCs w:val="20"/>
          <w:color w:val="auto"/>
        </w:rPr>
      </w:pPr>
    </w:p>
    <w:p>
      <w:pPr>
        <w:ind w:left="80" w:hanging="72"/>
        <w:spacing w:after="0"/>
        <w:tabs>
          <w:tab w:leader="none" w:pos="80" w:val="left"/>
        </w:tabs>
        <w:numPr>
          <w:ilvl w:val="0"/>
          <w:numId w:val="9"/>
        </w:numPr>
        <w:rPr>
          <w:rFonts w:ascii="Arial" w:cs="Arial" w:eastAsia="Arial" w:hAnsi="Arial"/>
          <w:sz w:val="9"/>
          <w:szCs w:val="9"/>
          <w:color w:val="auto"/>
        </w:rPr>
      </w:pPr>
      <w:r>
        <w:rPr>
          <w:rFonts w:ascii="Arial" w:cs="Arial" w:eastAsia="Arial" w:hAnsi="Arial"/>
          <w:sz w:val="14"/>
          <w:szCs w:val="14"/>
          <w:color w:val="auto"/>
        </w:rPr>
        <w:t>Nordstrom full-line stores include U.S. full line stores, Canada full-line stores and Nordstrom Local.</w:t>
      </w:r>
    </w:p>
    <w:p>
      <w:pPr>
        <w:spacing w:after="0" w:line="13" w:lineRule="exact"/>
        <w:rPr>
          <w:rFonts w:ascii="Arial" w:cs="Arial" w:eastAsia="Arial" w:hAnsi="Arial"/>
          <w:sz w:val="9"/>
          <w:szCs w:val="9"/>
          <w:color w:val="auto"/>
        </w:rPr>
      </w:pPr>
    </w:p>
    <w:p>
      <w:pPr>
        <w:spacing w:after="0"/>
        <w:rPr>
          <w:rFonts w:ascii="Arial" w:cs="Arial" w:eastAsia="Arial" w:hAnsi="Arial"/>
          <w:sz w:val="9"/>
          <w:szCs w:val="9"/>
          <w:color w:val="auto"/>
        </w:rPr>
      </w:pPr>
      <w:r>
        <w:rPr>
          <w:rFonts w:ascii="Arial" w:cs="Arial" w:eastAsia="Arial" w:hAnsi="Arial"/>
          <w:sz w:val="9"/>
          <w:szCs w:val="9"/>
          <w:color w:val="auto"/>
        </w:rPr>
        <w:t xml:space="preserve">2 </w:t>
      </w:r>
      <w:r>
        <w:rPr>
          <w:rFonts w:ascii="Arial" w:cs="Arial" w:eastAsia="Arial" w:hAnsi="Arial"/>
          <w:sz w:val="14"/>
          <w:szCs w:val="14"/>
          <w:color w:val="auto"/>
        </w:rPr>
        <w:t>Other includes Trunk Club clubhouses, Jeffrey boutiques and Last Chance stores.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6" w:right="239" w:bottom="1440" w:gutter="0" w:footer="0" w:header="0"/>
          <w:type w:val="continuous"/>
        </w:sectPr>
      </w:pPr>
    </w:p>
    <w:bookmarkStart w:id="12" w:name="page13"/>
    <w:bookmarkEnd w:id="12"/>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lists our retail store count and square footage by state/province as of February 3, 2018:</w:t>
      </w:r>
    </w:p>
    <w:p>
      <w:pPr>
        <w:sectPr>
          <w:pgSz w:w="11900" w:h="16838" w:orient="portrait"/>
          <w:cols w:equalWidth="0" w:num="1">
            <w:col w:w="11420"/>
          </w:cols>
          <w:pgMar w:left="240" w:top="126" w:right="239" w:bottom="33" w:gutter="0" w:footer="0" w:header="0"/>
        </w:sect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340" w:type="dxa"/>
            <w:vAlign w:val="bottom"/>
            <w:gridSpan w:val="2"/>
          </w:tcPr>
          <w:p>
            <w:pPr>
              <w:ind w:left="40"/>
              <w:spacing w:after="0"/>
              <w:rPr>
                <w:sz w:val="20"/>
                <w:szCs w:val="20"/>
                <w:color w:val="auto"/>
              </w:rPr>
            </w:pPr>
            <w:r>
              <w:rPr>
                <w:rFonts w:ascii="Arial" w:cs="Arial" w:eastAsia="Arial" w:hAnsi="Arial"/>
                <w:sz w:val="16"/>
                <w:szCs w:val="16"/>
                <w:b w:val="1"/>
                <w:bCs w:val="1"/>
                <w:color w:val="auto"/>
              </w:rPr>
              <w:t>Retail stores by channel</w:t>
            </w:r>
          </w:p>
        </w:tc>
        <w:tc>
          <w:tcPr>
            <w:tcW w:w="2640" w:type="dxa"/>
            <w:vAlign w:val="bottom"/>
            <w:gridSpan w:val="2"/>
          </w:tcPr>
          <w:p>
            <w:pPr>
              <w:jc w:val="right"/>
              <w:ind w:right="239"/>
              <w:spacing w:after="0"/>
              <w:rPr>
                <w:sz w:val="20"/>
                <w:szCs w:val="20"/>
                <w:color w:val="auto"/>
              </w:rPr>
            </w:pPr>
            <w:r>
              <w:rPr>
                <w:rFonts w:ascii="Arial" w:cs="Arial" w:eastAsia="Arial" w:hAnsi="Arial"/>
                <w:sz w:val="16"/>
                <w:szCs w:val="16"/>
                <w:b w:val="1"/>
                <w:bCs w:val="1"/>
                <w:color w:val="auto"/>
              </w:rPr>
              <w:t>Nordstrom Full-Line Stores</w:t>
            </w:r>
            <w:r>
              <w:rPr>
                <w:rFonts w:ascii="Arial" w:cs="Arial" w:eastAsia="Arial" w:hAnsi="Arial"/>
                <w:sz w:val="21"/>
                <w:szCs w:val="21"/>
                <w:color w:val="auto"/>
                <w:vertAlign w:val="superscript"/>
              </w:rPr>
              <w:t>1</w:t>
            </w:r>
          </w:p>
        </w:tc>
      </w:tr>
      <w:tr>
        <w:trPr>
          <w:trHeight w:val="209"/>
        </w:trPr>
        <w:tc>
          <w:tcPr>
            <w:tcW w:w="32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Square Footage</w:t>
            </w:r>
          </w:p>
        </w:tc>
      </w:tr>
      <w:tr>
        <w:trPr>
          <w:trHeight w:val="210"/>
        </w:trPr>
        <w:tc>
          <w:tcPr>
            <w:tcW w:w="3340" w:type="dxa"/>
            <w:vAlign w:val="bottom"/>
            <w:gridSpan w:val="2"/>
          </w:tcPr>
          <w:p>
            <w:pPr>
              <w:ind w:left="40"/>
              <w:spacing w:after="0"/>
              <w:rPr>
                <w:sz w:val="20"/>
                <w:szCs w:val="20"/>
                <w:color w:val="auto"/>
              </w:rPr>
            </w:pPr>
            <w:r>
              <w:rPr>
                <w:rFonts w:ascii="Arial" w:cs="Arial" w:eastAsia="Arial" w:hAnsi="Arial"/>
                <w:sz w:val="16"/>
                <w:szCs w:val="16"/>
                <w:b w:val="1"/>
                <w:bCs w:val="1"/>
                <w:color w:val="auto"/>
              </w:rPr>
              <w:t>State/Province</w:t>
            </w:r>
          </w:p>
        </w:tc>
        <w:tc>
          <w:tcPr>
            <w:tcW w:w="1180" w:type="dxa"/>
            <w:vAlign w:val="bottom"/>
          </w:tcPr>
          <w:p>
            <w:pPr>
              <w:jc w:val="right"/>
              <w:ind w:right="199"/>
              <w:spacing w:after="0"/>
              <w:rPr>
                <w:sz w:val="20"/>
                <w:szCs w:val="20"/>
                <w:color w:val="auto"/>
              </w:rPr>
            </w:pPr>
            <w:r>
              <w:rPr>
                <w:rFonts w:ascii="Arial" w:cs="Arial" w:eastAsia="Arial" w:hAnsi="Arial"/>
                <w:sz w:val="16"/>
                <w:szCs w:val="16"/>
                <w:b w:val="1"/>
                <w:bCs w:val="1"/>
                <w:color w:val="auto"/>
              </w:rPr>
              <w:t>Count</w:t>
            </w:r>
          </w:p>
        </w:tc>
        <w:tc>
          <w:tcPr>
            <w:tcW w:w="1460" w:type="dxa"/>
            <w:vAlign w:val="bottom"/>
          </w:tcPr>
          <w:p>
            <w:pPr>
              <w:jc w:val="right"/>
              <w:ind w:right="39"/>
              <w:spacing w:after="0"/>
              <w:rPr>
                <w:sz w:val="20"/>
                <w:szCs w:val="20"/>
                <w:color w:val="auto"/>
              </w:rPr>
            </w:pPr>
            <w:r>
              <w:rPr>
                <w:rFonts w:ascii="Arial" w:cs="Arial" w:eastAsia="Arial" w:hAnsi="Arial"/>
                <w:sz w:val="16"/>
                <w:szCs w:val="16"/>
                <w:b w:val="1"/>
                <w:bCs w:val="1"/>
                <w:color w:val="auto"/>
              </w:rPr>
              <w:t>(000’s)</w:t>
            </w:r>
          </w:p>
        </w:tc>
      </w:tr>
      <w:tr>
        <w:trPr>
          <w:trHeight w:val="33"/>
        </w:trPr>
        <w:tc>
          <w:tcPr>
            <w:tcW w:w="3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3340" w:type="dxa"/>
            <w:vAlign w:val="bottom"/>
            <w:gridSpan w:val="2"/>
          </w:tcPr>
          <w:p>
            <w:pPr>
              <w:ind w:left="40"/>
              <w:spacing w:after="0"/>
              <w:rPr>
                <w:sz w:val="20"/>
                <w:szCs w:val="20"/>
                <w:color w:val="auto"/>
              </w:rPr>
            </w:pPr>
            <w:r>
              <w:rPr>
                <w:rFonts w:ascii="Arial" w:cs="Arial" w:eastAsia="Arial" w:hAnsi="Arial"/>
                <w:sz w:val="16"/>
                <w:szCs w:val="16"/>
                <w:b w:val="1"/>
                <w:bCs w:val="1"/>
                <w:color w:val="auto"/>
              </w:rPr>
              <w:t>U.S.</w:t>
            </w:r>
          </w:p>
        </w:tc>
        <w:tc>
          <w:tcPr>
            <w:tcW w:w="11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84"/>
        </w:trPr>
        <w:tc>
          <w:tcPr>
            <w:tcW w:w="3340" w:type="dxa"/>
            <w:vAlign w:val="bottom"/>
            <w:gridSpan w:val="2"/>
          </w:tcPr>
          <w:p>
            <w:pPr>
              <w:ind w:left="280"/>
              <w:spacing w:after="0"/>
              <w:rPr>
                <w:sz w:val="20"/>
                <w:szCs w:val="20"/>
                <w:color w:val="auto"/>
              </w:rPr>
            </w:pPr>
            <w:r>
              <w:rPr>
                <w:rFonts w:ascii="Arial" w:cs="Arial" w:eastAsia="Arial" w:hAnsi="Arial"/>
                <w:sz w:val="16"/>
                <w:szCs w:val="16"/>
                <w:color w:val="auto"/>
              </w:rPr>
              <w:t>Alabama</w:t>
            </w: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70"/>
        </w:trPr>
        <w:tc>
          <w:tcPr>
            <w:tcW w:w="3340" w:type="dxa"/>
            <w:vAlign w:val="bottom"/>
            <w:gridSpan w:val="2"/>
          </w:tcPr>
          <w:p>
            <w:pPr>
              <w:ind w:left="280"/>
              <w:spacing w:after="0"/>
              <w:rPr>
                <w:sz w:val="20"/>
                <w:szCs w:val="20"/>
                <w:color w:val="auto"/>
              </w:rPr>
            </w:pPr>
            <w:r>
              <w:rPr>
                <w:rFonts w:ascii="Arial" w:cs="Arial" w:eastAsia="Arial" w:hAnsi="Arial"/>
                <w:sz w:val="16"/>
                <w:szCs w:val="16"/>
                <w:color w:val="auto"/>
              </w:rPr>
              <w:t>Alaska</w:t>
            </w: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1</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97</w:t>
            </w:r>
          </w:p>
        </w:tc>
      </w:tr>
      <w:tr>
        <w:trPr>
          <w:trHeight w:val="270"/>
        </w:trPr>
        <w:tc>
          <w:tcPr>
            <w:tcW w:w="3340" w:type="dxa"/>
            <w:vAlign w:val="bottom"/>
            <w:gridSpan w:val="2"/>
          </w:tcPr>
          <w:p>
            <w:pPr>
              <w:ind w:left="280"/>
              <w:spacing w:after="0"/>
              <w:rPr>
                <w:sz w:val="20"/>
                <w:szCs w:val="20"/>
                <w:color w:val="auto"/>
              </w:rPr>
            </w:pPr>
            <w:r>
              <w:rPr>
                <w:rFonts w:ascii="Arial" w:cs="Arial" w:eastAsia="Arial" w:hAnsi="Arial"/>
                <w:sz w:val="16"/>
                <w:szCs w:val="16"/>
                <w:color w:val="auto"/>
              </w:rPr>
              <w:t>Arizona</w:t>
            </w: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2</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384</w:t>
            </w:r>
          </w:p>
        </w:tc>
      </w:tr>
      <w:tr>
        <w:trPr>
          <w:trHeight w:val="320"/>
        </w:trPr>
        <w:tc>
          <w:tcPr>
            <w:tcW w:w="3340" w:type="dxa"/>
            <w:vAlign w:val="bottom"/>
            <w:gridSpan w:val="2"/>
          </w:tcPr>
          <w:p>
            <w:pPr>
              <w:ind w:left="280"/>
              <w:spacing w:after="0"/>
              <w:rPr>
                <w:sz w:val="20"/>
                <w:szCs w:val="20"/>
                <w:color w:val="auto"/>
              </w:rPr>
            </w:pPr>
            <w:r>
              <w:rPr>
                <w:rFonts w:ascii="Arial" w:cs="Arial" w:eastAsia="Arial" w:hAnsi="Arial"/>
                <w:sz w:val="16"/>
                <w:szCs w:val="16"/>
                <w:color w:val="auto"/>
              </w:rPr>
              <w:t>California</w:t>
            </w:r>
            <w:r>
              <w:rPr>
                <w:rFonts w:ascii="Arial" w:cs="Arial" w:eastAsia="Arial" w:hAnsi="Arial"/>
                <w:sz w:val="21"/>
                <w:szCs w:val="21"/>
                <w:color w:val="auto"/>
                <w:vertAlign w:val="superscript"/>
              </w:rPr>
              <w:t>3</w:t>
            </w: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31</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5,192</w:t>
            </w:r>
          </w:p>
        </w:tc>
      </w:tr>
      <w:tr>
        <w:trPr>
          <w:trHeight w:val="220"/>
        </w:trPr>
        <w:tc>
          <w:tcPr>
            <w:tcW w:w="3340" w:type="dxa"/>
            <w:vAlign w:val="bottom"/>
            <w:gridSpan w:val="2"/>
          </w:tcPr>
          <w:p>
            <w:pPr>
              <w:ind w:left="280"/>
              <w:spacing w:after="0"/>
              <w:rPr>
                <w:sz w:val="20"/>
                <w:szCs w:val="20"/>
                <w:color w:val="auto"/>
              </w:rPr>
            </w:pPr>
            <w:r>
              <w:rPr>
                <w:rFonts w:ascii="Arial" w:cs="Arial" w:eastAsia="Arial" w:hAnsi="Arial"/>
                <w:sz w:val="16"/>
                <w:szCs w:val="16"/>
                <w:color w:val="auto"/>
              </w:rPr>
              <w:t>Colorado</w:t>
            </w: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3</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559</w:t>
            </w:r>
          </w:p>
        </w:tc>
      </w:tr>
      <w:tr>
        <w:trPr>
          <w:trHeight w:val="270"/>
        </w:trPr>
        <w:tc>
          <w:tcPr>
            <w:tcW w:w="3340" w:type="dxa"/>
            <w:vAlign w:val="bottom"/>
            <w:gridSpan w:val="2"/>
          </w:tcPr>
          <w:p>
            <w:pPr>
              <w:ind w:left="280"/>
              <w:spacing w:after="0"/>
              <w:rPr>
                <w:sz w:val="20"/>
                <w:szCs w:val="20"/>
                <w:color w:val="auto"/>
              </w:rPr>
            </w:pPr>
            <w:r>
              <w:rPr>
                <w:rFonts w:ascii="Arial" w:cs="Arial" w:eastAsia="Arial" w:hAnsi="Arial"/>
                <w:sz w:val="16"/>
                <w:szCs w:val="16"/>
                <w:color w:val="auto"/>
              </w:rPr>
              <w:t>Connecticut</w:t>
            </w: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1</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189</w:t>
            </w:r>
          </w:p>
        </w:tc>
      </w:tr>
      <w:tr>
        <w:trPr>
          <w:trHeight w:val="270"/>
        </w:trPr>
        <w:tc>
          <w:tcPr>
            <w:tcW w:w="3340" w:type="dxa"/>
            <w:vAlign w:val="bottom"/>
            <w:gridSpan w:val="2"/>
          </w:tcPr>
          <w:p>
            <w:pPr>
              <w:ind w:left="280"/>
              <w:spacing w:after="0"/>
              <w:rPr>
                <w:sz w:val="20"/>
                <w:szCs w:val="20"/>
                <w:color w:val="auto"/>
              </w:rPr>
            </w:pPr>
            <w:r>
              <w:rPr>
                <w:rFonts w:ascii="Arial" w:cs="Arial" w:eastAsia="Arial" w:hAnsi="Arial"/>
                <w:sz w:val="16"/>
                <w:szCs w:val="16"/>
                <w:color w:val="auto"/>
              </w:rPr>
              <w:t>Delaware</w:t>
            </w: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1</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127</w:t>
            </w:r>
          </w:p>
        </w:tc>
      </w:tr>
      <w:tr>
        <w:trPr>
          <w:trHeight w:val="270"/>
        </w:trPr>
        <w:tc>
          <w:tcPr>
            <w:tcW w:w="3340" w:type="dxa"/>
            <w:vAlign w:val="bottom"/>
            <w:gridSpan w:val="2"/>
          </w:tcPr>
          <w:p>
            <w:pPr>
              <w:ind w:left="280"/>
              <w:spacing w:after="0"/>
              <w:rPr>
                <w:sz w:val="20"/>
                <w:szCs w:val="20"/>
                <w:color w:val="auto"/>
              </w:rPr>
            </w:pPr>
            <w:r>
              <w:rPr>
                <w:rFonts w:ascii="Arial" w:cs="Arial" w:eastAsia="Arial" w:hAnsi="Arial"/>
                <w:sz w:val="16"/>
                <w:szCs w:val="16"/>
                <w:color w:val="auto"/>
              </w:rPr>
              <w:t>Florida</w:t>
            </w: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9</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1,389</w:t>
            </w:r>
          </w:p>
        </w:tc>
      </w:tr>
      <w:tr>
        <w:trPr>
          <w:trHeight w:val="270"/>
        </w:trPr>
        <w:tc>
          <w:tcPr>
            <w:tcW w:w="3340" w:type="dxa"/>
            <w:vAlign w:val="bottom"/>
            <w:gridSpan w:val="2"/>
          </w:tcPr>
          <w:p>
            <w:pPr>
              <w:ind w:left="280"/>
              <w:spacing w:after="0"/>
              <w:rPr>
                <w:sz w:val="20"/>
                <w:szCs w:val="20"/>
                <w:color w:val="auto"/>
              </w:rPr>
            </w:pPr>
            <w:r>
              <w:rPr>
                <w:rFonts w:ascii="Arial" w:cs="Arial" w:eastAsia="Arial" w:hAnsi="Arial"/>
                <w:sz w:val="16"/>
                <w:szCs w:val="16"/>
                <w:color w:val="auto"/>
              </w:rPr>
              <w:t>Georgia</w:t>
            </w: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2</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383</w:t>
            </w:r>
          </w:p>
        </w:tc>
      </w:tr>
      <w:tr>
        <w:trPr>
          <w:trHeight w:val="270"/>
        </w:trPr>
        <w:tc>
          <w:tcPr>
            <w:tcW w:w="3340" w:type="dxa"/>
            <w:vAlign w:val="bottom"/>
            <w:gridSpan w:val="2"/>
          </w:tcPr>
          <w:p>
            <w:pPr>
              <w:ind w:left="280"/>
              <w:spacing w:after="0"/>
              <w:rPr>
                <w:sz w:val="20"/>
                <w:szCs w:val="20"/>
                <w:color w:val="auto"/>
              </w:rPr>
            </w:pPr>
            <w:r>
              <w:rPr>
                <w:rFonts w:ascii="Arial" w:cs="Arial" w:eastAsia="Arial" w:hAnsi="Arial"/>
                <w:sz w:val="16"/>
                <w:szCs w:val="16"/>
                <w:color w:val="auto"/>
              </w:rPr>
              <w:t>Hawaii</w:t>
            </w: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1</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195</w:t>
            </w:r>
          </w:p>
        </w:tc>
      </w:tr>
      <w:tr>
        <w:trPr>
          <w:trHeight w:val="270"/>
        </w:trPr>
        <w:tc>
          <w:tcPr>
            <w:tcW w:w="3340" w:type="dxa"/>
            <w:vAlign w:val="bottom"/>
            <w:gridSpan w:val="2"/>
          </w:tcPr>
          <w:p>
            <w:pPr>
              <w:ind w:left="280"/>
              <w:spacing w:after="0"/>
              <w:rPr>
                <w:sz w:val="20"/>
                <w:szCs w:val="20"/>
                <w:color w:val="auto"/>
              </w:rPr>
            </w:pPr>
            <w:r>
              <w:rPr>
                <w:rFonts w:ascii="Arial" w:cs="Arial" w:eastAsia="Arial" w:hAnsi="Arial"/>
                <w:sz w:val="16"/>
                <w:szCs w:val="16"/>
                <w:color w:val="auto"/>
              </w:rPr>
              <w:t>Idaho</w:t>
            </w: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70"/>
        </w:trPr>
        <w:tc>
          <w:tcPr>
            <w:tcW w:w="3340" w:type="dxa"/>
            <w:vAlign w:val="bottom"/>
            <w:gridSpan w:val="2"/>
          </w:tcPr>
          <w:p>
            <w:pPr>
              <w:ind w:left="280"/>
              <w:spacing w:after="0"/>
              <w:rPr>
                <w:sz w:val="20"/>
                <w:szCs w:val="20"/>
                <w:color w:val="auto"/>
              </w:rPr>
            </w:pPr>
            <w:r>
              <w:rPr>
                <w:rFonts w:ascii="Arial" w:cs="Arial" w:eastAsia="Arial" w:hAnsi="Arial"/>
                <w:sz w:val="16"/>
                <w:szCs w:val="16"/>
                <w:color w:val="auto"/>
              </w:rPr>
              <w:t>Illinois</w:t>
            </w: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4</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947</w:t>
            </w:r>
          </w:p>
        </w:tc>
      </w:tr>
      <w:tr>
        <w:trPr>
          <w:trHeight w:val="270"/>
        </w:trPr>
        <w:tc>
          <w:tcPr>
            <w:tcW w:w="3340" w:type="dxa"/>
            <w:vAlign w:val="bottom"/>
            <w:gridSpan w:val="2"/>
          </w:tcPr>
          <w:p>
            <w:pPr>
              <w:ind w:left="280"/>
              <w:spacing w:after="0"/>
              <w:rPr>
                <w:sz w:val="20"/>
                <w:szCs w:val="20"/>
                <w:color w:val="auto"/>
              </w:rPr>
            </w:pPr>
            <w:r>
              <w:rPr>
                <w:rFonts w:ascii="Arial" w:cs="Arial" w:eastAsia="Arial" w:hAnsi="Arial"/>
                <w:sz w:val="16"/>
                <w:szCs w:val="16"/>
                <w:color w:val="auto"/>
              </w:rPr>
              <w:t>Indiana</w:t>
            </w: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1</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134</w:t>
            </w:r>
          </w:p>
        </w:tc>
      </w:tr>
      <w:tr>
        <w:trPr>
          <w:trHeight w:val="270"/>
        </w:trPr>
        <w:tc>
          <w:tcPr>
            <w:tcW w:w="3340" w:type="dxa"/>
            <w:vAlign w:val="bottom"/>
            <w:gridSpan w:val="2"/>
          </w:tcPr>
          <w:p>
            <w:pPr>
              <w:ind w:left="280"/>
              <w:spacing w:after="0"/>
              <w:rPr>
                <w:sz w:val="20"/>
                <w:szCs w:val="20"/>
                <w:color w:val="auto"/>
              </w:rPr>
            </w:pPr>
            <w:r>
              <w:rPr>
                <w:rFonts w:ascii="Arial" w:cs="Arial" w:eastAsia="Arial" w:hAnsi="Arial"/>
                <w:sz w:val="16"/>
                <w:szCs w:val="16"/>
                <w:color w:val="auto"/>
              </w:rPr>
              <w:t>Iowa</w:t>
            </w: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70"/>
        </w:trPr>
        <w:tc>
          <w:tcPr>
            <w:tcW w:w="3340" w:type="dxa"/>
            <w:vAlign w:val="bottom"/>
            <w:gridSpan w:val="2"/>
          </w:tcPr>
          <w:p>
            <w:pPr>
              <w:ind w:left="280"/>
              <w:spacing w:after="0"/>
              <w:rPr>
                <w:sz w:val="20"/>
                <w:szCs w:val="20"/>
                <w:color w:val="auto"/>
              </w:rPr>
            </w:pPr>
            <w:r>
              <w:rPr>
                <w:rFonts w:ascii="Arial" w:cs="Arial" w:eastAsia="Arial" w:hAnsi="Arial"/>
                <w:sz w:val="16"/>
                <w:szCs w:val="16"/>
                <w:color w:val="auto"/>
              </w:rPr>
              <w:t>Kansas</w:t>
            </w: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1</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219</w:t>
            </w:r>
          </w:p>
        </w:tc>
      </w:tr>
      <w:tr>
        <w:trPr>
          <w:trHeight w:val="270"/>
        </w:trPr>
        <w:tc>
          <w:tcPr>
            <w:tcW w:w="3340" w:type="dxa"/>
            <w:vAlign w:val="bottom"/>
            <w:gridSpan w:val="2"/>
          </w:tcPr>
          <w:p>
            <w:pPr>
              <w:ind w:left="280"/>
              <w:spacing w:after="0"/>
              <w:rPr>
                <w:sz w:val="20"/>
                <w:szCs w:val="20"/>
                <w:color w:val="auto"/>
              </w:rPr>
            </w:pPr>
            <w:r>
              <w:rPr>
                <w:rFonts w:ascii="Arial" w:cs="Arial" w:eastAsia="Arial" w:hAnsi="Arial"/>
                <w:sz w:val="16"/>
                <w:szCs w:val="16"/>
                <w:color w:val="auto"/>
              </w:rPr>
              <w:t>Kentucky</w:t>
            </w: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70"/>
        </w:trPr>
        <w:tc>
          <w:tcPr>
            <w:tcW w:w="3340" w:type="dxa"/>
            <w:vAlign w:val="bottom"/>
            <w:gridSpan w:val="2"/>
          </w:tcPr>
          <w:p>
            <w:pPr>
              <w:ind w:left="280"/>
              <w:spacing w:after="0"/>
              <w:rPr>
                <w:sz w:val="20"/>
                <w:szCs w:val="20"/>
                <w:color w:val="auto"/>
              </w:rPr>
            </w:pPr>
            <w:r>
              <w:rPr>
                <w:rFonts w:ascii="Arial" w:cs="Arial" w:eastAsia="Arial" w:hAnsi="Arial"/>
                <w:sz w:val="16"/>
                <w:szCs w:val="16"/>
                <w:color w:val="auto"/>
              </w:rPr>
              <w:t>Louisiana</w:t>
            </w: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70"/>
        </w:trPr>
        <w:tc>
          <w:tcPr>
            <w:tcW w:w="3340" w:type="dxa"/>
            <w:vAlign w:val="bottom"/>
            <w:gridSpan w:val="2"/>
          </w:tcPr>
          <w:p>
            <w:pPr>
              <w:ind w:left="280"/>
              <w:spacing w:after="0"/>
              <w:rPr>
                <w:sz w:val="20"/>
                <w:szCs w:val="20"/>
                <w:color w:val="auto"/>
              </w:rPr>
            </w:pPr>
            <w:r>
              <w:rPr>
                <w:rFonts w:ascii="Arial" w:cs="Arial" w:eastAsia="Arial" w:hAnsi="Arial"/>
                <w:sz w:val="16"/>
                <w:szCs w:val="16"/>
                <w:color w:val="auto"/>
              </w:rPr>
              <w:t>Maine</w:t>
            </w: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70"/>
        </w:trPr>
        <w:tc>
          <w:tcPr>
            <w:tcW w:w="3340" w:type="dxa"/>
            <w:vAlign w:val="bottom"/>
            <w:gridSpan w:val="2"/>
          </w:tcPr>
          <w:p>
            <w:pPr>
              <w:ind w:left="280"/>
              <w:spacing w:after="0"/>
              <w:rPr>
                <w:sz w:val="20"/>
                <w:szCs w:val="20"/>
                <w:color w:val="auto"/>
              </w:rPr>
            </w:pPr>
            <w:r>
              <w:rPr>
                <w:rFonts w:ascii="Arial" w:cs="Arial" w:eastAsia="Arial" w:hAnsi="Arial"/>
                <w:sz w:val="16"/>
                <w:szCs w:val="16"/>
                <w:color w:val="auto"/>
              </w:rPr>
              <w:t>Maryland</w:t>
            </w: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4</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765</w:t>
            </w:r>
          </w:p>
        </w:tc>
      </w:tr>
      <w:tr>
        <w:trPr>
          <w:trHeight w:val="270"/>
        </w:trPr>
        <w:tc>
          <w:tcPr>
            <w:tcW w:w="3340" w:type="dxa"/>
            <w:vAlign w:val="bottom"/>
            <w:gridSpan w:val="2"/>
          </w:tcPr>
          <w:p>
            <w:pPr>
              <w:ind w:left="280"/>
              <w:spacing w:after="0"/>
              <w:rPr>
                <w:sz w:val="20"/>
                <w:szCs w:val="20"/>
                <w:color w:val="auto"/>
              </w:rPr>
            </w:pPr>
            <w:r>
              <w:rPr>
                <w:rFonts w:ascii="Arial" w:cs="Arial" w:eastAsia="Arial" w:hAnsi="Arial"/>
                <w:sz w:val="16"/>
                <w:szCs w:val="16"/>
                <w:color w:val="auto"/>
              </w:rPr>
              <w:t>Massachusetts</w:t>
            </w: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4</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595</w:t>
            </w:r>
          </w:p>
        </w:tc>
      </w:tr>
      <w:tr>
        <w:trPr>
          <w:trHeight w:val="270"/>
        </w:trPr>
        <w:tc>
          <w:tcPr>
            <w:tcW w:w="3340" w:type="dxa"/>
            <w:vAlign w:val="bottom"/>
            <w:gridSpan w:val="2"/>
          </w:tcPr>
          <w:p>
            <w:pPr>
              <w:ind w:left="280"/>
              <w:spacing w:after="0"/>
              <w:rPr>
                <w:sz w:val="20"/>
                <w:szCs w:val="20"/>
                <w:color w:val="auto"/>
              </w:rPr>
            </w:pPr>
            <w:r>
              <w:rPr>
                <w:rFonts w:ascii="Arial" w:cs="Arial" w:eastAsia="Arial" w:hAnsi="Arial"/>
                <w:sz w:val="16"/>
                <w:szCs w:val="16"/>
                <w:color w:val="auto"/>
              </w:rPr>
              <w:t>Michigan</w:t>
            </w: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3</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552</w:t>
            </w:r>
          </w:p>
        </w:tc>
      </w:tr>
      <w:tr>
        <w:trPr>
          <w:trHeight w:val="270"/>
        </w:trPr>
        <w:tc>
          <w:tcPr>
            <w:tcW w:w="3340" w:type="dxa"/>
            <w:vAlign w:val="bottom"/>
            <w:gridSpan w:val="2"/>
          </w:tcPr>
          <w:p>
            <w:pPr>
              <w:ind w:left="280"/>
              <w:spacing w:after="0"/>
              <w:rPr>
                <w:sz w:val="20"/>
                <w:szCs w:val="20"/>
                <w:color w:val="auto"/>
              </w:rPr>
            </w:pPr>
            <w:r>
              <w:rPr>
                <w:rFonts w:ascii="Arial" w:cs="Arial" w:eastAsia="Arial" w:hAnsi="Arial"/>
                <w:sz w:val="16"/>
                <w:szCs w:val="16"/>
                <w:color w:val="auto"/>
              </w:rPr>
              <w:t>Minnesota</w:t>
            </w: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2</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380</w:t>
            </w:r>
          </w:p>
        </w:tc>
      </w:tr>
      <w:tr>
        <w:trPr>
          <w:trHeight w:val="270"/>
        </w:trPr>
        <w:tc>
          <w:tcPr>
            <w:tcW w:w="3340" w:type="dxa"/>
            <w:vAlign w:val="bottom"/>
            <w:gridSpan w:val="2"/>
          </w:tcPr>
          <w:p>
            <w:pPr>
              <w:ind w:left="280"/>
              <w:spacing w:after="0"/>
              <w:rPr>
                <w:sz w:val="20"/>
                <w:szCs w:val="20"/>
                <w:color w:val="auto"/>
              </w:rPr>
            </w:pPr>
            <w:r>
              <w:rPr>
                <w:rFonts w:ascii="Arial" w:cs="Arial" w:eastAsia="Arial" w:hAnsi="Arial"/>
                <w:sz w:val="16"/>
                <w:szCs w:val="16"/>
                <w:color w:val="auto"/>
              </w:rPr>
              <w:t>Missouri</w:t>
            </w: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2</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342</w:t>
            </w:r>
          </w:p>
        </w:tc>
      </w:tr>
      <w:tr>
        <w:trPr>
          <w:trHeight w:val="270"/>
        </w:trPr>
        <w:tc>
          <w:tcPr>
            <w:tcW w:w="3340" w:type="dxa"/>
            <w:vAlign w:val="bottom"/>
            <w:gridSpan w:val="2"/>
          </w:tcPr>
          <w:p>
            <w:pPr>
              <w:ind w:left="280"/>
              <w:spacing w:after="0"/>
              <w:rPr>
                <w:sz w:val="20"/>
                <w:szCs w:val="20"/>
                <w:color w:val="auto"/>
              </w:rPr>
            </w:pPr>
            <w:r>
              <w:rPr>
                <w:rFonts w:ascii="Arial" w:cs="Arial" w:eastAsia="Arial" w:hAnsi="Arial"/>
                <w:sz w:val="16"/>
                <w:szCs w:val="16"/>
                <w:color w:val="auto"/>
              </w:rPr>
              <w:t>Nevada</w:t>
            </w: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1</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207</w:t>
            </w:r>
          </w:p>
        </w:tc>
      </w:tr>
      <w:tr>
        <w:trPr>
          <w:trHeight w:val="270"/>
        </w:trPr>
        <w:tc>
          <w:tcPr>
            <w:tcW w:w="3340" w:type="dxa"/>
            <w:vAlign w:val="bottom"/>
            <w:gridSpan w:val="2"/>
          </w:tcPr>
          <w:p>
            <w:pPr>
              <w:ind w:left="280"/>
              <w:spacing w:after="0"/>
              <w:rPr>
                <w:sz w:val="20"/>
                <w:szCs w:val="20"/>
                <w:color w:val="auto"/>
              </w:rPr>
            </w:pPr>
            <w:r>
              <w:rPr>
                <w:rFonts w:ascii="Arial" w:cs="Arial" w:eastAsia="Arial" w:hAnsi="Arial"/>
                <w:sz w:val="16"/>
                <w:szCs w:val="16"/>
                <w:color w:val="auto"/>
              </w:rPr>
              <w:t>New Jersey</w:t>
            </w: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5</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991</w:t>
            </w:r>
          </w:p>
        </w:tc>
      </w:tr>
      <w:tr>
        <w:trPr>
          <w:trHeight w:val="270"/>
        </w:trPr>
        <w:tc>
          <w:tcPr>
            <w:tcW w:w="3340" w:type="dxa"/>
            <w:vAlign w:val="bottom"/>
            <w:gridSpan w:val="2"/>
          </w:tcPr>
          <w:p>
            <w:pPr>
              <w:ind w:left="280"/>
              <w:spacing w:after="0"/>
              <w:rPr>
                <w:sz w:val="20"/>
                <w:szCs w:val="20"/>
                <w:color w:val="auto"/>
              </w:rPr>
            </w:pPr>
            <w:r>
              <w:rPr>
                <w:rFonts w:ascii="Arial" w:cs="Arial" w:eastAsia="Arial" w:hAnsi="Arial"/>
                <w:sz w:val="16"/>
                <w:szCs w:val="16"/>
                <w:color w:val="auto"/>
              </w:rPr>
              <w:t>New Mexico</w:t>
            </w: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70"/>
        </w:trPr>
        <w:tc>
          <w:tcPr>
            <w:tcW w:w="3340" w:type="dxa"/>
            <w:vAlign w:val="bottom"/>
            <w:gridSpan w:val="2"/>
          </w:tcPr>
          <w:p>
            <w:pPr>
              <w:ind w:left="280"/>
              <w:spacing w:after="0"/>
              <w:rPr>
                <w:sz w:val="20"/>
                <w:szCs w:val="20"/>
                <w:color w:val="auto"/>
              </w:rPr>
            </w:pPr>
            <w:r>
              <w:rPr>
                <w:rFonts w:ascii="Arial" w:cs="Arial" w:eastAsia="Arial" w:hAnsi="Arial"/>
                <w:sz w:val="16"/>
                <w:szCs w:val="16"/>
                <w:color w:val="auto"/>
              </w:rPr>
              <w:t>New York</w:t>
            </w: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2</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460</w:t>
            </w:r>
          </w:p>
        </w:tc>
      </w:tr>
      <w:tr>
        <w:trPr>
          <w:trHeight w:val="270"/>
        </w:trPr>
        <w:tc>
          <w:tcPr>
            <w:tcW w:w="3340" w:type="dxa"/>
            <w:vAlign w:val="bottom"/>
            <w:gridSpan w:val="2"/>
          </w:tcPr>
          <w:p>
            <w:pPr>
              <w:ind w:left="280"/>
              <w:spacing w:after="0"/>
              <w:rPr>
                <w:sz w:val="20"/>
                <w:szCs w:val="20"/>
                <w:color w:val="auto"/>
              </w:rPr>
            </w:pPr>
            <w:r>
              <w:rPr>
                <w:rFonts w:ascii="Arial" w:cs="Arial" w:eastAsia="Arial" w:hAnsi="Arial"/>
                <w:sz w:val="16"/>
                <w:szCs w:val="16"/>
                <w:color w:val="auto"/>
              </w:rPr>
              <w:t>North Carolina</w:t>
            </w: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2</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300</w:t>
            </w:r>
          </w:p>
        </w:tc>
      </w:tr>
      <w:tr>
        <w:trPr>
          <w:trHeight w:val="270"/>
        </w:trPr>
        <w:tc>
          <w:tcPr>
            <w:tcW w:w="3340" w:type="dxa"/>
            <w:vAlign w:val="bottom"/>
            <w:gridSpan w:val="2"/>
          </w:tcPr>
          <w:p>
            <w:pPr>
              <w:ind w:left="280"/>
              <w:spacing w:after="0"/>
              <w:rPr>
                <w:sz w:val="20"/>
                <w:szCs w:val="20"/>
                <w:color w:val="auto"/>
              </w:rPr>
            </w:pPr>
            <w:r>
              <w:rPr>
                <w:rFonts w:ascii="Arial" w:cs="Arial" w:eastAsia="Arial" w:hAnsi="Arial"/>
                <w:sz w:val="16"/>
                <w:szCs w:val="16"/>
                <w:color w:val="auto"/>
              </w:rPr>
              <w:t>Ohio</w:t>
            </w: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3</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549</w:t>
            </w:r>
          </w:p>
        </w:tc>
      </w:tr>
      <w:tr>
        <w:trPr>
          <w:trHeight w:val="270"/>
        </w:trPr>
        <w:tc>
          <w:tcPr>
            <w:tcW w:w="3340" w:type="dxa"/>
            <w:vAlign w:val="bottom"/>
            <w:gridSpan w:val="2"/>
          </w:tcPr>
          <w:p>
            <w:pPr>
              <w:ind w:left="280"/>
              <w:spacing w:after="0"/>
              <w:rPr>
                <w:sz w:val="20"/>
                <w:szCs w:val="20"/>
                <w:color w:val="auto"/>
              </w:rPr>
            </w:pPr>
            <w:r>
              <w:rPr>
                <w:rFonts w:ascii="Arial" w:cs="Arial" w:eastAsia="Arial" w:hAnsi="Arial"/>
                <w:sz w:val="16"/>
                <w:szCs w:val="16"/>
                <w:color w:val="auto"/>
              </w:rPr>
              <w:t>Oklahoma</w:t>
            </w: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70"/>
        </w:trPr>
        <w:tc>
          <w:tcPr>
            <w:tcW w:w="3340" w:type="dxa"/>
            <w:vAlign w:val="bottom"/>
            <w:gridSpan w:val="2"/>
          </w:tcPr>
          <w:p>
            <w:pPr>
              <w:ind w:left="280"/>
              <w:spacing w:after="0"/>
              <w:rPr>
                <w:sz w:val="20"/>
                <w:szCs w:val="20"/>
                <w:color w:val="auto"/>
              </w:rPr>
            </w:pPr>
            <w:r>
              <w:rPr>
                <w:rFonts w:ascii="Arial" w:cs="Arial" w:eastAsia="Arial" w:hAnsi="Arial"/>
                <w:sz w:val="16"/>
                <w:szCs w:val="16"/>
                <w:color w:val="auto"/>
              </w:rPr>
              <w:t>Oregon</w:t>
            </w: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4</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555</w:t>
            </w:r>
          </w:p>
        </w:tc>
      </w:tr>
      <w:tr>
        <w:trPr>
          <w:trHeight w:val="270"/>
        </w:trPr>
        <w:tc>
          <w:tcPr>
            <w:tcW w:w="3340" w:type="dxa"/>
            <w:vAlign w:val="bottom"/>
            <w:gridSpan w:val="2"/>
          </w:tcPr>
          <w:p>
            <w:pPr>
              <w:ind w:left="280"/>
              <w:spacing w:after="0"/>
              <w:rPr>
                <w:sz w:val="20"/>
                <w:szCs w:val="20"/>
                <w:color w:val="auto"/>
              </w:rPr>
            </w:pPr>
            <w:r>
              <w:rPr>
                <w:rFonts w:ascii="Arial" w:cs="Arial" w:eastAsia="Arial" w:hAnsi="Arial"/>
                <w:sz w:val="16"/>
                <w:szCs w:val="16"/>
                <w:color w:val="auto"/>
              </w:rPr>
              <w:t>Pennsylvania</w:t>
            </w: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2</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381</w:t>
            </w:r>
          </w:p>
        </w:tc>
      </w:tr>
      <w:tr>
        <w:trPr>
          <w:trHeight w:val="270"/>
        </w:trPr>
        <w:tc>
          <w:tcPr>
            <w:tcW w:w="3340" w:type="dxa"/>
            <w:vAlign w:val="bottom"/>
            <w:gridSpan w:val="2"/>
          </w:tcPr>
          <w:p>
            <w:pPr>
              <w:ind w:left="280"/>
              <w:spacing w:after="0"/>
              <w:rPr>
                <w:sz w:val="20"/>
                <w:szCs w:val="20"/>
                <w:color w:val="auto"/>
              </w:rPr>
            </w:pPr>
            <w:r>
              <w:rPr>
                <w:rFonts w:ascii="Arial" w:cs="Arial" w:eastAsia="Arial" w:hAnsi="Arial"/>
                <w:sz w:val="16"/>
                <w:szCs w:val="16"/>
                <w:color w:val="auto"/>
              </w:rPr>
              <w:t>Puerto Rico</w:t>
            </w: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1</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143</w:t>
            </w:r>
          </w:p>
        </w:tc>
      </w:tr>
      <w:tr>
        <w:trPr>
          <w:trHeight w:val="270"/>
        </w:trPr>
        <w:tc>
          <w:tcPr>
            <w:tcW w:w="3340" w:type="dxa"/>
            <w:vAlign w:val="bottom"/>
            <w:gridSpan w:val="2"/>
          </w:tcPr>
          <w:p>
            <w:pPr>
              <w:ind w:left="280"/>
              <w:spacing w:after="0"/>
              <w:rPr>
                <w:sz w:val="20"/>
                <w:szCs w:val="20"/>
                <w:color w:val="auto"/>
              </w:rPr>
            </w:pPr>
            <w:r>
              <w:rPr>
                <w:rFonts w:ascii="Arial" w:cs="Arial" w:eastAsia="Arial" w:hAnsi="Arial"/>
                <w:sz w:val="16"/>
                <w:szCs w:val="16"/>
                <w:color w:val="auto"/>
              </w:rPr>
              <w:t>Rhode Island</w:t>
            </w: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1</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206</w:t>
            </w:r>
          </w:p>
        </w:tc>
      </w:tr>
      <w:tr>
        <w:trPr>
          <w:trHeight w:val="270"/>
        </w:trPr>
        <w:tc>
          <w:tcPr>
            <w:tcW w:w="3340" w:type="dxa"/>
            <w:vAlign w:val="bottom"/>
            <w:gridSpan w:val="2"/>
          </w:tcPr>
          <w:p>
            <w:pPr>
              <w:ind w:left="280"/>
              <w:spacing w:after="0"/>
              <w:rPr>
                <w:sz w:val="20"/>
                <w:szCs w:val="20"/>
                <w:color w:val="auto"/>
              </w:rPr>
            </w:pPr>
            <w:r>
              <w:rPr>
                <w:rFonts w:ascii="Arial" w:cs="Arial" w:eastAsia="Arial" w:hAnsi="Arial"/>
                <w:sz w:val="16"/>
                <w:szCs w:val="16"/>
                <w:color w:val="auto"/>
              </w:rPr>
              <w:t>South Carolina</w:t>
            </w: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70"/>
        </w:trPr>
        <w:tc>
          <w:tcPr>
            <w:tcW w:w="3340" w:type="dxa"/>
            <w:vAlign w:val="bottom"/>
            <w:gridSpan w:val="2"/>
          </w:tcPr>
          <w:p>
            <w:pPr>
              <w:ind w:left="280"/>
              <w:spacing w:after="0"/>
              <w:rPr>
                <w:sz w:val="20"/>
                <w:szCs w:val="20"/>
                <w:color w:val="auto"/>
              </w:rPr>
            </w:pPr>
            <w:r>
              <w:rPr>
                <w:rFonts w:ascii="Arial" w:cs="Arial" w:eastAsia="Arial" w:hAnsi="Arial"/>
                <w:sz w:val="16"/>
                <w:szCs w:val="16"/>
                <w:color w:val="auto"/>
              </w:rPr>
              <w:t>Tennessee</w:t>
            </w: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1</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145</w:t>
            </w:r>
          </w:p>
        </w:tc>
      </w:tr>
      <w:tr>
        <w:trPr>
          <w:trHeight w:val="320"/>
        </w:trPr>
        <w:tc>
          <w:tcPr>
            <w:tcW w:w="3340" w:type="dxa"/>
            <w:vAlign w:val="bottom"/>
            <w:gridSpan w:val="2"/>
          </w:tcPr>
          <w:p>
            <w:pPr>
              <w:ind w:left="280"/>
              <w:spacing w:after="0"/>
              <w:rPr>
                <w:sz w:val="20"/>
                <w:szCs w:val="20"/>
                <w:color w:val="auto"/>
              </w:rPr>
            </w:pPr>
            <w:r>
              <w:rPr>
                <w:rFonts w:ascii="Arial" w:cs="Arial" w:eastAsia="Arial" w:hAnsi="Arial"/>
                <w:sz w:val="16"/>
                <w:szCs w:val="16"/>
                <w:color w:val="auto"/>
              </w:rPr>
              <w:t>Texas</w:t>
            </w:r>
            <w:r>
              <w:rPr>
                <w:rFonts w:ascii="Arial" w:cs="Arial" w:eastAsia="Arial" w:hAnsi="Arial"/>
                <w:sz w:val="21"/>
                <w:szCs w:val="21"/>
                <w:color w:val="auto"/>
                <w:vertAlign w:val="superscript"/>
              </w:rPr>
              <w:t>3</w:t>
            </w: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9</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1,562</w:t>
            </w:r>
          </w:p>
        </w:tc>
      </w:tr>
      <w:tr>
        <w:trPr>
          <w:trHeight w:val="220"/>
        </w:trPr>
        <w:tc>
          <w:tcPr>
            <w:tcW w:w="3340" w:type="dxa"/>
            <w:vAlign w:val="bottom"/>
            <w:gridSpan w:val="2"/>
          </w:tcPr>
          <w:p>
            <w:pPr>
              <w:ind w:left="280"/>
              <w:spacing w:after="0"/>
              <w:rPr>
                <w:sz w:val="20"/>
                <w:szCs w:val="20"/>
                <w:color w:val="auto"/>
              </w:rPr>
            </w:pPr>
            <w:r>
              <w:rPr>
                <w:rFonts w:ascii="Arial" w:cs="Arial" w:eastAsia="Arial" w:hAnsi="Arial"/>
                <w:sz w:val="16"/>
                <w:szCs w:val="16"/>
                <w:color w:val="auto"/>
              </w:rPr>
              <w:t>Utah</w:t>
            </w: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2</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277</w:t>
            </w:r>
          </w:p>
        </w:tc>
      </w:tr>
      <w:tr>
        <w:trPr>
          <w:trHeight w:val="270"/>
        </w:trPr>
        <w:tc>
          <w:tcPr>
            <w:tcW w:w="3340" w:type="dxa"/>
            <w:vAlign w:val="bottom"/>
            <w:gridSpan w:val="2"/>
          </w:tcPr>
          <w:p>
            <w:pPr>
              <w:ind w:left="280"/>
              <w:spacing w:after="0"/>
              <w:rPr>
                <w:sz w:val="20"/>
                <w:szCs w:val="20"/>
                <w:color w:val="auto"/>
              </w:rPr>
            </w:pPr>
            <w:r>
              <w:rPr>
                <w:rFonts w:ascii="Arial" w:cs="Arial" w:eastAsia="Arial" w:hAnsi="Arial"/>
                <w:sz w:val="16"/>
                <w:szCs w:val="16"/>
                <w:color w:val="auto"/>
              </w:rPr>
              <w:t>Virginia</w:t>
            </w: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4</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746</w:t>
            </w:r>
          </w:p>
        </w:tc>
      </w:tr>
      <w:tr>
        <w:trPr>
          <w:trHeight w:val="270"/>
        </w:trPr>
        <w:tc>
          <w:tcPr>
            <w:tcW w:w="3340" w:type="dxa"/>
            <w:vAlign w:val="bottom"/>
            <w:gridSpan w:val="2"/>
          </w:tcPr>
          <w:p>
            <w:pPr>
              <w:ind w:left="280"/>
              <w:spacing w:after="0"/>
              <w:rPr>
                <w:sz w:val="20"/>
                <w:szCs w:val="20"/>
                <w:color w:val="auto"/>
              </w:rPr>
            </w:pPr>
            <w:r>
              <w:rPr>
                <w:rFonts w:ascii="Arial" w:cs="Arial" w:eastAsia="Arial" w:hAnsi="Arial"/>
                <w:sz w:val="16"/>
                <w:szCs w:val="16"/>
                <w:color w:val="auto"/>
              </w:rPr>
              <w:t>Washington</w:t>
            </w: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7</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1,392</w:t>
            </w:r>
          </w:p>
        </w:tc>
      </w:tr>
      <w:tr>
        <w:trPr>
          <w:trHeight w:val="270"/>
        </w:trPr>
        <w:tc>
          <w:tcPr>
            <w:tcW w:w="3340" w:type="dxa"/>
            <w:vAlign w:val="bottom"/>
            <w:gridSpan w:val="2"/>
          </w:tcPr>
          <w:p>
            <w:pPr>
              <w:ind w:left="280"/>
              <w:spacing w:after="0"/>
              <w:rPr>
                <w:sz w:val="20"/>
                <w:szCs w:val="20"/>
                <w:color w:val="auto"/>
              </w:rPr>
            </w:pPr>
            <w:r>
              <w:rPr>
                <w:rFonts w:ascii="Arial" w:cs="Arial" w:eastAsia="Arial" w:hAnsi="Arial"/>
                <w:sz w:val="16"/>
                <w:szCs w:val="16"/>
                <w:color w:val="auto"/>
              </w:rPr>
              <w:t>Washington D.C.</w:t>
            </w: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70"/>
        </w:trPr>
        <w:tc>
          <w:tcPr>
            <w:tcW w:w="3340" w:type="dxa"/>
            <w:vAlign w:val="bottom"/>
            <w:gridSpan w:val="2"/>
          </w:tcPr>
          <w:p>
            <w:pPr>
              <w:ind w:left="280"/>
              <w:spacing w:after="0"/>
              <w:rPr>
                <w:sz w:val="20"/>
                <w:szCs w:val="20"/>
                <w:color w:val="auto"/>
              </w:rPr>
            </w:pPr>
            <w:r>
              <w:rPr>
                <w:rFonts w:ascii="Arial" w:cs="Arial" w:eastAsia="Arial" w:hAnsi="Arial"/>
                <w:sz w:val="16"/>
                <w:szCs w:val="16"/>
                <w:color w:val="auto"/>
              </w:rPr>
              <w:t>Wisconsin</w:t>
            </w: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1</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150</w:t>
            </w:r>
          </w:p>
        </w:tc>
      </w:tr>
      <w:tr>
        <w:trPr>
          <w:trHeight w:val="257"/>
        </w:trPr>
        <w:tc>
          <w:tcPr>
            <w:tcW w:w="3340" w:type="dxa"/>
            <w:vAlign w:val="bottom"/>
            <w:gridSpan w:val="2"/>
          </w:tcPr>
          <w:p>
            <w:pPr>
              <w:ind w:left="40"/>
              <w:spacing w:after="0"/>
              <w:rPr>
                <w:sz w:val="20"/>
                <w:szCs w:val="20"/>
                <w:color w:val="auto"/>
              </w:rPr>
            </w:pPr>
            <w:r>
              <w:rPr>
                <w:rFonts w:ascii="Arial" w:cs="Arial" w:eastAsia="Arial" w:hAnsi="Arial"/>
                <w:sz w:val="16"/>
                <w:szCs w:val="16"/>
                <w:b w:val="1"/>
                <w:bCs w:val="1"/>
                <w:color w:val="auto"/>
              </w:rPr>
              <w:t>Canada</w:t>
            </w:r>
          </w:p>
        </w:tc>
        <w:tc>
          <w:tcPr>
            <w:tcW w:w="1180" w:type="dxa"/>
            <w:vAlign w:val="bottom"/>
          </w:tcPr>
          <w:p>
            <w:pPr>
              <w:spacing w:after="0"/>
              <w:rPr>
                <w:sz w:val="22"/>
                <w:szCs w:val="22"/>
                <w:color w:val="auto"/>
              </w:rPr>
            </w:pPr>
          </w:p>
        </w:tc>
        <w:tc>
          <w:tcPr>
            <w:tcW w:w="146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-7173595</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-6830695</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-6487160</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-6144260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-5801360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-5458460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-5115560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-4772025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-4429125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-4086225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-3743325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-3400425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-3056890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-2713990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-2371090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-2028190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-1685290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-1341755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-998855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-655955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-313055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29845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-7525385</wp:posOffset>
            </wp:positionV>
            <wp:extent cx="7246620" cy="1803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Nordstrom Rack and Other</w:t>
      </w:r>
      <w:r>
        <w:rPr>
          <w:rFonts w:ascii="Arial" w:cs="Arial" w:eastAsia="Arial" w:hAnsi="Arial"/>
          <w:sz w:val="21"/>
          <w:szCs w:val="2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1270</wp:posOffset>
            </wp:positionV>
            <wp:extent cx="1663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Square Footage</w:t>
      </w:r>
    </w:p>
    <w:p>
      <w:pPr>
        <w:spacing w:after="0" w:line="12" w:lineRule="exact"/>
        <w:rPr>
          <w:sz w:val="20"/>
          <w:szCs w:val="20"/>
          <w:color w:val="auto"/>
        </w:rPr>
      </w:pPr>
    </w:p>
    <w:p>
      <w:pPr>
        <w:ind w:left="140"/>
        <w:spacing w:after="0"/>
        <w:tabs>
          <w:tab w:leader="none" w:pos="1680" w:val="left"/>
        </w:tabs>
        <w:rPr>
          <w:sz w:val="20"/>
          <w:szCs w:val="20"/>
          <w:color w:val="auto"/>
        </w:rPr>
      </w:pPr>
      <w:r>
        <w:rPr>
          <w:rFonts w:ascii="Arial" w:cs="Arial" w:eastAsia="Arial" w:hAnsi="Arial"/>
          <w:sz w:val="15"/>
          <w:szCs w:val="15"/>
          <w:b w:val="1"/>
          <w:bCs w:val="1"/>
          <w:color w:val="auto"/>
        </w:rPr>
        <w:t>Count</w:t>
      </w:r>
      <w:r>
        <w:rPr>
          <w:sz w:val="20"/>
          <w:szCs w:val="20"/>
          <w:color w:val="auto"/>
        </w:rPr>
        <w:tab/>
      </w:r>
      <w:r>
        <w:rPr>
          <w:rFonts w:ascii="Arial" w:cs="Arial" w:eastAsia="Arial" w:hAnsi="Arial"/>
          <w:sz w:val="15"/>
          <w:szCs w:val="15"/>
          <w:b w:val="1"/>
          <w:bCs w:val="1"/>
          <w:color w:val="auto"/>
        </w:rPr>
        <w:t>(000’s)</w:t>
      </w:r>
    </w:p>
    <w:p>
      <w:pPr>
        <w:spacing w:after="0" w:line="364" w:lineRule="exact"/>
        <w:rPr>
          <w:sz w:val="20"/>
          <w:szCs w:val="20"/>
          <w:color w:val="auto"/>
        </w:rPr>
      </w:pPr>
    </w:p>
    <w:tbl>
      <w:tblPr>
        <w:tblLayout w:type="fixed"/>
        <w:tblInd w:w="420" w:type="dxa"/>
        <w:tblCellMar>
          <w:top w:w="0" w:type="dxa"/>
          <w:left w:w="0" w:type="dxa"/>
          <w:bottom w:w="0" w:type="dxa"/>
          <w:right w:w="0" w:type="dxa"/>
        </w:tblCellMar>
      </w:tblPr>
      <w:tr>
        <w:trPr>
          <w:trHeight w:val="206"/>
        </w:trPr>
        <w:tc>
          <w:tcPr>
            <w:tcW w:w="780" w:type="dxa"/>
            <w:vAlign w:val="bottom"/>
          </w:tcPr>
          <w:p>
            <w:pPr>
              <w:jc w:val="right"/>
              <w:ind w:right="539"/>
              <w:spacing w:after="0"/>
              <w:rPr>
                <w:sz w:val="20"/>
                <w:szCs w:val="20"/>
                <w:color w:val="auto"/>
              </w:rPr>
            </w:pPr>
            <w:r>
              <w:rPr>
                <w:rFonts w:ascii="Arial" w:cs="Arial" w:eastAsia="Arial" w:hAnsi="Arial"/>
                <w:sz w:val="16"/>
                <w:szCs w:val="16"/>
                <w:color w:val="auto"/>
              </w:rPr>
              <w:t>1</w:t>
            </w:r>
          </w:p>
        </w:tc>
        <w:tc>
          <w:tcPr>
            <w:tcW w:w="98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70"/>
        </w:trPr>
        <w:tc>
          <w:tcPr>
            <w:tcW w:w="780" w:type="dxa"/>
            <w:vAlign w:val="bottom"/>
          </w:tcPr>
          <w:p>
            <w:pPr>
              <w:jc w:val="right"/>
              <w:ind w:right="539"/>
              <w:spacing w:after="0"/>
              <w:rPr>
                <w:sz w:val="20"/>
                <w:szCs w:val="20"/>
                <w:color w:val="auto"/>
              </w:rPr>
            </w:pPr>
            <w:r>
              <w:rPr>
                <w:rFonts w:ascii="Arial" w:cs="Arial" w:eastAsia="Arial" w:hAnsi="Arial"/>
                <w:sz w:val="16"/>
                <w:szCs w:val="16"/>
                <w:color w:val="auto"/>
              </w:rPr>
              <w:t>1</w:t>
            </w:r>
          </w:p>
        </w:tc>
        <w:tc>
          <w:tcPr>
            <w:tcW w:w="98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70"/>
        </w:trPr>
        <w:tc>
          <w:tcPr>
            <w:tcW w:w="780" w:type="dxa"/>
            <w:vAlign w:val="bottom"/>
          </w:tcPr>
          <w:p>
            <w:pPr>
              <w:jc w:val="right"/>
              <w:ind w:right="539"/>
              <w:spacing w:after="0"/>
              <w:rPr>
                <w:sz w:val="20"/>
                <w:szCs w:val="20"/>
                <w:color w:val="auto"/>
              </w:rPr>
            </w:pPr>
            <w:r>
              <w:rPr>
                <w:rFonts w:ascii="Arial" w:cs="Arial" w:eastAsia="Arial" w:hAnsi="Arial"/>
                <w:sz w:val="16"/>
                <w:szCs w:val="16"/>
                <w:color w:val="auto"/>
              </w:rPr>
              <w:t>8</w:t>
            </w:r>
          </w:p>
        </w:tc>
        <w:tc>
          <w:tcPr>
            <w:tcW w:w="980" w:type="dxa"/>
            <w:vAlign w:val="bottom"/>
          </w:tcPr>
          <w:p>
            <w:pPr>
              <w:jc w:val="right"/>
              <w:spacing w:after="0"/>
              <w:rPr>
                <w:sz w:val="20"/>
                <w:szCs w:val="20"/>
                <w:color w:val="auto"/>
              </w:rPr>
            </w:pPr>
            <w:r>
              <w:rPr>
                <w:rFonts w:ascii="Arial" w:cs="Arial" w:eastAsia="Arial" w:hAnsi="Arial"/>
                <w:sz w:val="16"/>
                <w:szCs w:val="16"/>
                <w:color w:val="auto"/>
              </w:rPr>
              <w:t>287</w:t>
            </w:r>
          </w:p>
        </w:tc>
      </w:tr>
      <w:tr>
        <w:trPr>
          <w:trHeight w:val="270"/>
        </w:trPr>
        <w:tc>
          <w:tcPr>
            <w:tcW w:w="780" w:type="dxa"/>
            <w:vAlign w:val="bottom"/>
          </w:tcPr>
          <w:p>
            <w:pPr>
              <w:jc w:val="right"/>
              <w:ind w:right="539"/>
              <w:spacing w:after="0"/>
              <w:rPr>
                <w:sz w:val="20"/>
                <w:szCs w:val="20"/>
                <w:color w:val="auto"/>
              </w:rPr>
            </w:pPr>
            <w:r>
              <w:rPr>
                <w:rFonts w:ascii="Arial" w:cs="Arial" w:eastAsia="Arial" w:hAnsi="Arial"/>
                <w:sz w:val="16"/>
                <w:szCs w:val="16"/>
                <w:color w:val="auto"/>
                <w:w w:val="78"/>
              </w:rPr>
              <w:t>53</w:t>
            </w:r>
          </w:p>
        </w:tc>
        <w:tc>
          <w:tcPr>
            <w:tcW w:w="980" w:type="dxa"/>
            <w:vAlign w:val="bottom"/>
          </w:tcPr>
          <w:p>
            <w:pPr>
              <w:jc w:val="right"/>
              <w:spacing w:after="0"/>
              <w:rPr>
                <w:sz w:val="20"/>
                <w:szCs w:val="20"/>
                <w:color w:val="auto"/>
              </w:rPr>
            </w:pPr>
            <w:r>
              <w:rPr>
                <w:rFonts w:ascii="Arial" w:cs="Arial" w:eastAsia="Arial" w:hAnsi="Arial"/>
                <w:sz w:val="16"/>
                <w:szCs w:val="16"/>
                <w:color w:val="auto"/>
              </w:rPr>
              <w:t>1,967</w:t>
            </w:r>
          </w:p>
        </w:tc>
      </w:tr>
      <w:tr>
        <w:trPr>
          <w:trHeight w:val="270"/>
        </w:trPr>
        <w:tc>
          <w:tcPr>
            <w:tcW w:w="780" w:type="dxa"/>
            <w:vAlign w:val="bottom"/>
          </w:tcPr>
          <w:p>
            <w:pPr>
              <w:jc w:val="right"/>
              <w:ind w:right="539"/>
              <w:spacing w:after="0"/>
              <w:rPr>
                <w:sz w:val="20"/>
                <w:szCs w:val="20"/>
                <w:color w:val="auto"/>
              </w:rPr>
            </w:pPr>
            <w:r>
              <w:rPr>
                <w:rFonts w:ascii="Arial" w:cs="Arial" w:eastAsia="Arial" w:hAnsi="Arial"/>
                <w:sz w:val="16"/>
                <w:szCs w:val="16"/>
                <w:color w:val="auto"/>
              </w:rPr>
              <w:t>6</w:t>
            </w:r>
          </w:p>
        </w:tc>
        <w:tc>
          <w:tcPr>
            <w:tcW w:w="980" w:type="dxa"/>
            <w:vAlign w:val="bottom"/>
          </w:tcPr>
          <w:p>
            <w:pPr>
              <w:jc w:val="right"/>
              <w:spacing w:after="0"/>
              <w:rPr>
                <w:sz w:val="20"/>
                <w:szCs w:val="20"/>
                <w:color w:val="auto"/>
              </w:rPr>
            </w:pPr>
            <w:r>
              <w:rPr>
                <w:rFonts w:ascii="Arial" w:cs="Arial" w:eastAsia="Arial" w:hAnsi="Arial"/>
                <w:sz w:val="16"/>
                <w:szCs w:val="16"/>
                <w:color w:val="auto"/>
              </w:rPr>
              <w:t>213</w:t>
            </w:r>
          </w:p>
        </w:tc>
      </w:tr>
      <w:tr>
        <w:trPr>
          <w:trHeight w:val="270"/>
        </w:trPr>
        <w:tc>
          <w:tcPr>
            <w:tcW w:w="780" w:type="dxa"/>
            <w:vAlign w:val="bottom"/>
          </w:tcPr>
          <w:p>
            <w:pPr>
              <w:jc w:val="right"/>
              <w:ind w:right="539"/>
              <w:spacing w:after="0"/>
              <w:rPr>
                <w:sz w:val="20"/>
                <w:szCs w:val="20"/>
                <w:color w:val="auto"/>
              </w:rPr>
            </w:pPr>
            <w:r>
              <w:rPr>
                <w:rFonts w:ascii="Arial" w:cs="Arial" w:eastAsia="Arial" w:hAnsi="Arial"/>
                <w:sz w:val="16"/>
                <w:szCs w:val="16"/>
                <w:color w:val="auto"/>
              </w:rPr>
              <w:t>1</w:t>
            </w:r>
          </w:p>
        </w:tc>
        <w:tc>
          <w:tcPr>
            <w:tcW w:w="98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70"/>
        </w:trPr>
        <w:tc>
          <w:tcPr>
            <w:tcW w:w="780" w:type="dxa"/>
            <w:vAlign w:val="bottom"/>
          </w:tcPr>
          <w:p>
            <w:pPr>
              <w:jc w:val="right"/>
              <w:ind w:right="539"/>
              <w:spacing w:after="0"/>
              <w:rPr>
                <w:sz w:val="20"/>
                <w:szCs w:val="20"/>
                <w:color w:val="auto"/>
              </w:rPr>
            </w:pPr>
            <w:r>
              <w:rPr>
                <w:rFonts w:ascii="Arial" w:cs="Arial" w:eastAsia="Arial" w:hAnsi="Arial"/>
                <w:sz w:val="16"/>
                <w:szCs w:val="16"/>
                <w:color w:val="auto"/>
              </w:rPr>
              <w:t>1</w:t>
            </w:r>
          </w:p>
        </w:tc>
        <w:tc>
          <w:tcPr>
            <w:tcW w:w="98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70"/>
        </w:trPr>
        <w:tc>
          <w:tcPr>
            <w:tcW w:w="780" w:type="dxa"/>
            <w:vAlign w:val="bottom"/>
          </w:tcPr>
          <w:p>
            <w:pPr>
              <w:jc w:val="right"/>
              <w:ind w:right="539"/>
              <w:spacing w:after="0"/>
              <w:rPr>
                <w:sz w:val="20"/>
                <w:szCs w:val="20"/>
                <w:color w:val="auto"/>
              </w:rPr>
            </w:pPr>
            <w:r>
              <w:rPr>
                <w:rFonts w:ascii="Arial" w:cs="Arial" w:eastAsia="Arial" w:hAnsi="Arial"/>
                <w:sz w:val="16"/>
                <w:szCs w:val="16"/>
                <w:color w:val="auto"/>
                <w:w w:val="78"/>
              </w:rPr>
              <w:t>16</w:t>
            </w:r>
          </w:p>
        </w:tc>
        <w:tc>
          <w:tcPr>
            <w:tcW w:w="980" w:type="dxa"/>
            <w:vAlign w:val="bottom"/>
          </w:tcPr>
          <w:p>
            <w:pPr>
              <w:jc w:val="right"/>
              <w:spacing w:after="0"/>
              <w:rPr>
                <w:sz w:val="20"/>
                <w:szCs w:val="20"/>
                <w:color w:val="auto"/>
              </w:rPr>
            </w:pPr>
            <w:r>
              <w:rPr>
                <w:rFonts w:ascii="Arial" w:cs="Arial" w:eastAsia="Arial" w:hAnsi="Arial"/>
                <w:sz w:val="16"/>
                <w:szCs w:val="16"/>
                <w:color w:val="auto"/>
              </w:rPr>
              <w:t>545</w:t>
            </w:r>
          </w:p>
        </w:tc>
      </w:tr>
      <w:tr>
        <w:trPr>
          <w:trHeight w:val="270"/>
        </w:trPr>
        <w:tc>
          <w:tcPr>
            <w:tcW w:w="780" w:type="dxa"/>
            <w:vAlign w:val="bottom"/>
          </w:tcPr>
          <w:p>
            <w:pPr>
              <w:jc w:val="right"/>
              <w:ind w:right="539"/>
              <w:spacing w:after="0"/>
              <w:rPr>
                <w:sz w:val="20"/>
                <w:szCs w:val="20"/>
                <w:color w:val="auto"/>
              </w:rPr>
            </w:pPr>
            <w:r>
              <w:rPr>
                <w:rFonts w:ascii="Arial" w:cs="Arial" w:eastAsia="Arial" w:hAnsi="Arial"/>
                <w:sz w:val="16"/>
                <w:szCs w:val="16"/>
                <w:color w:val="auto"/>
              </w:rPr>
              <w:t>5</w:t>
            </w:r>
          </w:p>
        </w:tc>
        <w:tc>
          <w:tcPr>
            <w:tcW w:w="980" w:type="dxa"/>
            <w:vAlign w:val="bottom"/>
          </w:tcPr>
          <w:p>
            <w:pPr>
              <w:jc w:val="right"/>
              <w:spacing w:after="0"/>
              <w:rPr>
                <w:sz w:val="20"/>
                <w:szCs w:val="20"/>
                <w:color w:val="auto"/>
              </w:rPr>
            </w:pPr>
            <w:r>
              <w:rPr>
                <w:rFonts w:ascii="Arial" w:cs="Arial" w:eastAsia="Arial" w:hAnsi="Arial"/>
                <w:sz w:val="16"/>
                <w:szCs w:val="16"/>
                <w:color w:val="auto"/>
              </w:rPr>
              <w:t>165</w:t>
            </w:r>
          </w:p>
        </w:tc>
      </w:tr>
      <w:tr>
        <w:trPr>
          <w:trHeight w:val="270"/>
        </w:trPr>
        <w:tc>
          <w:tcPr>
            <w:tcW w:w="780" w:type="dxa"/>
            <w:vAlign w:val="bottom"/>
          </w:tcPr>
          <w:p>
            <w:pPr>
              <w:jc w:val="right"/>
              <w:ind w:right="539"/>
              <w:spacing w:after="0"/>
              <w:rPr>
                <w:sz w:val="20"/>
                <w:szCs w:val="20"/>
                <w:color w:val="auto"/>
              </w:rPr>
            </w:pPr>
            <w:r>
              <w:rPr>
                <w:rFonts w:ascii="Arial" w:cs="Arial" w:eastAsia="Arial" w:hAnsi="Arial"/>
                <w:sz w:val="16"/>
                <w:szCs w:val="16"/>
                <w:color w:val="auto"/>
              </w:rPr>
              <w:t>2</w:t>
            </w:r>
          </w:p>
        </w:tc>
        <w:tc>
          <w:tcPr>
            <w:tcW w:w="980" w:type="dxa"/>
            <w:vAlign w:val="bottom"/>
          </w:tcPr>
          <w:p>
            <w:pPr>
              <w:jc w:val="right"/>
              <w:spacing w:after="0"/>
              <w:rPr>
                <w:sz w:val="20"/>
                <w:szCs w:val="20"/>
                <w:color w:val="auto"/>
              </w:rPr>
            </w:pPr>
            <w:r>
              <w:rPr>
                <w:rFonts w:ascii="Arial" w:cs="Arial" w:eastAsia="Arial" w:hAnsi="Arial"/>
                <w:sz w:val="16"/>
                <w:szCs w:val="16"/>
                <w:color w:val="auto"/>
              </w:rPr>
              <w:t>78</w:t>
            </w:r>
          </w:p>
        </w:tc>
      </w:tr>
      <w:tr>
        <w:trPr>
          <w:trHeight w:val="270"/>
        </w:trPr>
        <w:tc>
          <w:tcPr>
            <w:tcW w:w="780" w:type="dxa"/>
            <w:vAlign w:val="bottom"/>
          </w:tcPr>
          <w:p>
            <w:pPr>
              <w:jc w:val="right"/>
              <w:ind w:right="539"/>
              <w:spacing w:after="0"/>
              <w:rPr>
                <w:sz w:val="20"/>
                <w:szCs w:val="20"/>
                <w:color w:val="auto"/>
              </w:rPr>
            </w:pPr>
            <w:r>
              <w:rPr>
                <w:rFonts w:ascii="Arial" w:cs="Arial" w:eastAsia="Arial" w:hAnsi="Arial"/>
                <w:sz w:val="16"/>
                <w:szCs w:val="16"/>
                <w:color w:val="auto"/>
              </w:rPr>
              <w:t>1</w:t>
            </w:r>
          </w:p>
        </w:tc>
        <w:tc>
          <w:tcPr>
            <w:tcW w:w="98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70"/>
        </w:trPr>
        <w:tc>
          <w:tcPr>
            <w:tcW w:w="780" w:type="dxa"/>
            <w:vAlign w:val="bottom"/>
          </w:tcPr>
          <w:p>
            <w:pPr>
              <w:jc w:val="right"/>
              <w:ind w:right="539"/>
              <w:spacing w:after="0"/>
              <w:rPr>
                <w:sz w:val="20"/>
                <w:szCs w:val="20"/>
                <w:color w:val="auto"/>
              </w:rPr>
            </w:pPr>
            <w:r>
              <w:rPr>
                <w:rFonts w:ascii="Arial" w:cs="Arial" w:eastAsia="Arial" w:hAnsi="Arial"/>
                <w:sz w:val="16"/>
                <w:szCs w:val="16"/>
                <w:color w:val="auto"/>
                <w:w w:val="78"/>
              </w:rPr>
              <w:t>16</w:t>
            </w:r>
          </w:p>
        </w:tc>
        <w:tc>
          <w:tcPr>
            <w:tcW w:w="980" w:type="dxa"/>
            <w:vAlign w:val="bottom"/>
          </w:tcPr>
          <w:p>
            <w:pPr>
              <w:jc w:val="right"/>
              <w:spacing w:after="0"/>
              <w:rPr>
                <w:sz w:val="20"/>
                <w:szCs w:val="20"/>
                <w:color w:val="auto"/>
              </w:rPr>
            </w:pPr>
            <w:r>
              <w:rPr>
                <w:rFonts w:ascii="Arial" w:cs="Arial" w:eastAsia="Arial" w:hAnsi="Arial"/>
                <w:sz w:val="16"/>
                <w:szCs w:val="16"/>
                <w:color w:val="auto"/>
              </w:rPr>
              <w:t>590</w:t>
            </w:r>
          </w:p>
        </w:tc>
      </w:tr>
      <w:tr>
        <w:trPr>
          <w:trHeight w:val="270"/>
        </w:trPr>
        <w:tc>
          <w:tcPr>
            <w:tcW w:w="780" w:type="dxa"/>
            <w:vAlign w:val="bottom"/>
          </w:tcPr>
          <w:p>
            <w:pPr>
              <w:jc w:val="right"/>
              <w:ind w:right="539"/>
              <w:spacing w:after="0"/>
              <w:rPr>
                <w:sz w:val="20"/>
                <w:szCs w:val="20"/>
                <w:color w:val="auto"/>
              </w:rPr>
            </w:pPr>
            <w:r>
              <w:rPr>
                <w:rFonts w:ascii="Arial" w:cs="Arial" w:eastAsia="Arial" w:hAnsi="Arial"/>
                <w:sz w:val="16"/>
                <w:szCs w:val="16"/>
                <w:color w:val="auto"/>
              </w:rPr>
              <w:t>2</w:t>
            </w:r>
          </w:p>
        </w:tc>
        <w:tc>
          <w:tcPr>
            <w:tcW w:w="980" w:type="dxa"/>
            <w:vAlign w:val="bottom"/>
          </w:tcPr>
          <w:p>
            <w:pPr>
              <w:jc w:val="right"/>
              <w:spacing w:after="0"/>
              <w:rPr>
                <w:sz w:val="20"/>
                <w:szCs w:val="20"/>
                <w:color w:val="auto"/>
              </w:rPr>
            </w:pPr>
            <w:r>
              <w:rPr>
                <w:rFonts w:ascii="Arial" w:cs="Arial" w:eastAsia="Arial" w:hAnsi="Arial"/>
                <w:sz w:val="16"/>
                <w:szCs w:val="16"/>
                <w:color w:val="auto"/>
              </w:rPr>
              <w:t>60</w:t>
            </w:r>
          </w:p>
        </w:tc>
      </w:tr>
      <w:tr>
        <w:trPr>
          <w:trHeight w:val="270"/>
        </w:trPr>
        <w:tc>
          <w:tcPr>
            <w:tcW w:w="780" w:type="dxa"/>
            <w:vAlign w:val="bottom"/>
          </w:tcPr>
          <w:p>
            <w:pPr>
              <w:jc w:val="right"/>
              <w:ind w:right="539"/>
              <w:spacing w:after="0"/>
              <w:rPr>
                <w:sz w:val="20"/>
                <w:szCs w:val="20"/>
                <w:color w:val="auto"/>
              </w:rPr>
            </w:pPr>
            <w:r>
              <w:rPr>
                <w:rFonts w:ascii="Arial" w:cs="Arial" w:eastAsia="Arial" w:hAnsi="Arial"/>
                <w:sz w:val="16"/>
                <w:szCs w:val="16"/>
                <w:color w:val="auto"/>
              </w:rPr>
              <w:t>1</w:t>
            </w:r>
          </w:p>
        </w:tc>
        <w:tc>
          <w:tcPr>
            <w:tcW w:w="98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70"/>
        </w:trPr>
        <w:tc>
          <w:tcPr>
            <w:tcW w:w="780" w:type="dxa"/>
            <w:vAlign w:val="bottom"/>
          </w:tcPr>
          <w:p>
            <w:pPr>
              <w:jc w:val="right"/>
              <w:ind w:right="539"/>
              <w:spacing w:after="0"/>
              <w:rPr>
                <w:sz w:val="20"/>
                <w:szCs w:val="20"/>
                <w:color w:val="auto"/>
              </w:rPr>
            </w:pPr>
            <w:r>
              <w:rPr>
                <w:rFonts w:ascii="Arial" w:cs="Arial" w:eastAsia="Arial" w:hAnsi="Arial"/>
                <w:sz w:val="16"/>
                <w:szCs w:val="16"/>
                <w:color w:val="auto"/>
              </w:rPr>
              <w:t>1</w:t>
            </w:r>
          </w:p>
        </w:tc>
        <w:tc>
          <w:tcPr>
            <w:tcW w:w="98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70"/>
        </w:trPr>
        <w:tc>
          <w:tcPr>
            <w:tcW w:w="780" w:type="dxa"/>
            <w:vAlign w:val="bottom"/>
          </w:tcPr>
          <w:p>
            <w:pPr>
              <w:jc w:val="right"/>
              <w:ind w:right="539"/>
              <w:spacing w:after="0"/>
              <w:rPr>
                <w:sz w:val="20"/>
                <w:szCs w:val="20"/>
                <w:color w:val="auto"/>
              </w:rPr>
            </w:pPr>
            <w:r>
              <w:rPr>
                <w:rFonts w:ascii="Arial" w:cs="Arial" w:eastAsia="Arial" w:hAnsi="Arial"/>
                <w:sz w:val="16"/>
                <w:szCs w:val="16"/>
                <w:color w:val="auto"/>
              </w:rPr>
              <w:t>1</w:t>
            </w:r>
          </w:p>
        </w:tc>
        <w:tc>
          <w:tcPr>
            <w:tcW w:w="98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70"/>
        </w:trPr>
        <w:tc>
          <w:tcPr>
            <w:tcW w:w="780" w:type="dxa"/>
            <w:vAlign w:val="bottom"/>
          </w:tcPr>
          <w:p>
            <w:pPr>
              <w:jc w:val="right"/>
              <w:ind w:right="539"/>
              <w:spacing w:after="0"/>
              <w:rPr>
                <w:sz w:val="20"/>
                <w:szCs w:val="20"/>
                <w:color w:val="auto"/>
              </w:rPr>
            </w:pPr>
            <w:r>
              <w:rPr>
                <w:rFonts w:ascii="Arial" w:cs="Arial" w:eastAsia="Arial" w:hAnsi="Arial"/>
                <w:sz w:val="16"/>
                <w:szCs w:val="16"/>
                <w:color w:val="auto"/>
              </w:rPr>
              <w:t>3</w:t>
            </w:r>
          </w:p>
        </w:tc>
        <w:tc>
          <w:tcPr>
            <w:tcW w:w="980" w:type="dxa"/>
            <w:vAlign w:val="bottom"/>
          </w:tcPr>
          <w:p>
            <w:pPr>
              <w:jc w:val="right"/>
              <w:spacing w:after="0"/>
              <w:rPr>
                <w:sz w:val="20"/>
                <w:szCs w:val="20"/>
                <w:color w:val="auto"/>
              </w:rPr>
            </w:pPr>
            <w:r>
              <w:rPr>
                <w:rFonts w:ascii="Arial" w:cs="Arial" w:eastAsia="Arial" w:hAnsi="Arial"/>
                <w:sz w:val="16"/>
                <w:szCs w:val="16"/>
                <w:color w:val="auto"/>
              </w:rPr>
              <w:t>90</w:t>
            </w:r>
          </w:p>
        </w:tc>
      </w:tr>
      <w:tr>
        <w:trPr>
          <w:trHeight w:val="270"/>
        </w:trPr>
        <w:tc>
          <w:tcPr>
            <w:tcW w:w="780" w:type="dxa"/>
            <w:vAlign w:val="bottom"/>
          </w:tcPr>
          <w:p>
            <w:pPr>
              <w:jc w:val="right"/>
              <w:ind w:right="539"/>
              <w:spacing w:after="0"/>
              <w:rPr>
                <w:sz w:val="20"/>
                <w:szCs w:val="20"/>
                <w:color w:val="auto"/>
              </w:rPr>
            </w:pPr>
            <w:r>
              <w:rPr>
                <w:rFonts w:ascii="Arial" w:cs="Arial" w:eastAsia="Arial" w:hAnsi="Arial"/>
                <w:sz w:val="16"/>
                <w:szCs w:val="16"/>
                <w:color w:val="auto"/>
              </w:rPr>
              <w:t>1</w:t>
            </w:r>
          </w:p>
        </w:tc>
        <w:tc>
          <w:tcPr>
            <w:tcW w:w="98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70"/>
        </w:trPr>
        <w:tc>
          <w:tcPr>
            <w:tcW w:w="780" w:type="dxa"/>
            <w:vAlign w:val="bottom"/>
          </w:tcPr>
          <w:p>
            <w:pPr>
              <w:jc w:val="right"/>
              <w:ind w:right="539"/>
              <w:spacing w:after="0"/>
              <w:rPr>
                <w:sz w:val="20"/>
                <w:szCs w:val="20"/>
                <w:color w:val="auto"/>
              </w:rPr>
            </w:pPr>
            <w:r>
              <w:rPr>
                <w:rFonts w:ascii="Arial" w:cs="Arial" w:eastAsia="Arial" w:hAnsi="Arial"/>
                <w:sz w:val="16"/>
                <w:szCs w:val="16"/>
                <w:color w:val="auto"/>
              </w:rPr>
              <w:t>5</w:t>
            </w:r>
          </w:p>
        </w:tc>
        <w:tc>
          <w:tcPr>
            <w:tcW w:w="980" w:type="dxa"/>
            <w:vAlign w:val="bottom"/>
          </w:tcPr>
          <w:p>
            <w:pPr>
              <w:jc w:val="right"/>
              <w:spacing w:after="0"/>
              <w:rPr>
                <w:sz w:val="20"/>
                <w:szCs w:val="20"/>
                <w:color w:val="auto"/>
              </w:rPr>
            </w:pPr>
            <w:r>
              <w:rPr>
                <w:rFonts w:ascii="Arial" w:cs="Arial" w:eastAsia="Arial" w:hAnsi="Arial"/>
                <w:sz w:val="16"/>
                <w:szCs w:val="16"/>
                <w:color w:val="auto"/>
              </w:rPr>
              <w:t>186</w:t>
            </w:r>
          </w:p>
        </w:tc>
      </w:tr>
      <w:tr>
        <w:trPr>
          <w:trHeight w:val="270"/>
        </w:trPr>
        <w:tc>
          <w:tcPr>
            <w:tcW w:w="780" w:type="dxa"/>
            <w:vAlign w:val="bottom"/>
          </w:tcPr>
          <w:p>
            <w:pPr>
              <w:jc w:val="right"/>
              <w:ind w:right="539"/>
              <w:spacing w:after="0"/>
              <w:rPr>
                <w:sz w:val="20"/>
                <w:szCs w:val="20"/>
                <w:color w:val="auto"/>
              </w:rPr>
            </w:pPr>
            <w:r>
              <w:rPr>
                <w:rFonts w:ascii="Arial" w:cs="Arial" w:eastAsia="Arial" w:hAnsi="Arial"/>
                <w:sz w:val="16"/>
                <w:szCs w:val="16"/>
                <w:color w:val="auto"/>
              </w:rPr>
              <w:t>8</w:t>
            </w:r>
          </w:p>
        </w:tc>
        <w:tc>
          <w:tcPr>
            <w:tcW w:w="980" w:type="dxa"/>
            <w:vAlign w:val="bottom"/>
          </w:tcPr>
          <w:p>
            <w:pPr>
              <w:jc w:val="right"/>
              <w:spacing w:after="0"/>
              <w:rPr>
                <w:sz w:val="20"/>
                <w:szCs w:val="20"/>
                <w:color w:val="auto"/>
              </w:rPr>
            </w:pPr>
            <w:r>
              <w:rPr>
                <w:rFonts w:ascii="Arial" w:cs="Arial" w:eastAsia="Arial" w:hAnsi="Arial"/>
                <w:sz w:val="16"/>
                <w:szCs w:val="16"/>
                <w:color w:val="auto"/>
              </w:rPr>
              <w:t>275</w:t>
            </w:r>
          </w:p>
        </w:tc>
      </w:tr>
      <w:tr>
        <w:trPr>
          <w:trHeight w:val="270"/>
        </w:trPr>
        <w:tc>
          <w:tcPr>
            <w:tcW w:w="780" w:type="dxa"/>
            <w:vAlign w:val="bottom"/>
          </w:tcPr>
          <w:p>
            <w:pPr>
              <w:jc w:val="right"/>
              <w:ind w:right="539"/>
              <w:spacing w:after="0"/>
              <w:rPr>
                <w:sz w:val="20"/>
                <w:szCs w:val="20"/>
                <w:color w:val="auto"/>
              </w:rPr>
            </w:pPr>
            <w:r>
              <w:rPr>
                <w:rFonts w:ascii="Arial" w:cs="Arial" w:eastAsia="Arial" w:hAnsi="Arial"/>
                <w:sz w:val="16"/>
                <w:szCs w:val="16"/>
                <w:color w:val="auto"/>
              </w:rPr>
              <w:t>5</w:t>
            </w:r>
          </w:p>
        </w:tc>
        <w:tc>
          <w:tcPr>
            <w:tcW w:w="980" w:type="dxa"/>
            <w:vAlign w:val="bottom"/>
          </w:tcPr>
          <w:p>
            <w:pPr>
              <w:jc w:val="right"/>
              <w:spacing w:after="0"/>
              <w:rPr>
                <w:sz w:val="20"/>
                <w:szCs w:val="20"/>
                <w:color w:val="auto"/>
              </w:rPr>
            </w:pPr>
            <w:r>
              <w:rPr>
                <w:rFonts w:ascii="Arial" w:cs="Arial" w:eastAsia="Arial" w:hAnsi="Arial"/>
                <w:sz w:val="16"/>
                <w:szCs w:val="16"/>
                <w:color w:val="auto"/>
              </w:rPr>
              <w:t>178</w:t>
            </w:r>
          </w:p>
        </w:tc>
      </w:tr>
      <w:tr>
        <w:trPr>
          <w:trHeight w:val="270"/>
        </w:trPr>
        <w:tc>
          <w:tcPr>
            <w:tcW w:w="780" w:type="dxa"/>
            <w:vAlign w:val="bottom"/>
          </w:tcPr>
          <w:p>
            <w:pPr>
              <w:jc w:val="right"/>
              <w:ind w:right="539"/>
              <w:spacing w:after="0"/>
              <w:rPr>
                <w:sz w:val="20"/>
                <w:szCs w:val="20"/>
                <w:color w:val="auto"/>
              </w:rPr>
            </w:pPr>
            <w:r>
              <w:rPr>
                <w:rFonts w:ascii="Arial" w:cs="Arial" w:eastAsia="Arial" w:hAnsi="Arial"/>
                <w:sz w:val="16"/>
                <w:szCs w:val="16"/>
                <w:color w:val="auto"/>
              </w:rPr>
              <w:t>5</w:t>
            </w:r>
          </w:p>
        </w:tc>
        <w:tc>
          <w:tcPr>
            <w:tcW w:w="980" w:type="dxa"/>
            <w:vAlign w:val="bottom"/>
          </w:tcPr>
          <w:p>
            <w:pPr>
              <w:jc w:val="right"/>
              <w:spacing w:after="0"/>
              <w:rPr>
                <w:sz w:val="20"/>
                <w:szCs w:val="20"/>
                <w:color w:val="auto"/>
              </w:rPr>
            </w:pPr>
            <w:r>
              <w:rPr>
                <w:rFonts w:ascii="Arial" w:cs="Arial" w:eastAsia="Arial" w:hAnsi="Arial"/>
                <w:sz w:val="16"/>
                <w:szCs w:val="16"/>
                <w:color w:val="auto"/>
              </w:rPr>
              <w:t>173</w:t>
            </w:r>
          </w:p>
        </w:tc>
      </w:tr>
      <w:tr>
        <w:trPr>
          <w:trHeight w:val="270"/>
        </w:trPr>
        <w:tc>
          <w:tcPr>
            <w:tcW w:w="780" w:type="dxa"/>
            <w:vAlign w:val="bottom"/>
          </w:tcPr>
          <w:p>
            <w:pPr>
              <w:jc w:val="right"/>
              <w:ind w:right="539"/>
              <w:spacing w:after="0"/>
              <w:rPr>
                <w:sz w:val="20"/>
                <w:szCs w:val="20"/>
                <w:color w:val="auto"/>
              </w:rPr>
            </w:pPr>
            <w:r>
              <w:rPr>
                <w:rFonts w:ascii="Arial" w:cs="Arial" w:eastAsia="Arial" w:hAnsi="Arial"/>
                <w:sz w:val="16"/>
                <w:szCs w:val="16"/>
                <w:color w:val="auto"/>
              </w:rPr>
              <w:t>2</w:t>
            </w:r>
          </w:p>
        </w:tc>
        <w:tc>
          <w:tcPr>
            <w:tcW w:w="980" w:type="dxa"/>
            <w:vAlign w:val="bottom"/>
          </w:tcPr>
          <w:p>
            <w:pPr>
              <w:jc w:val="right"/>
              <w:spacing w:after="0"/>
              <w:rPr>
                <w:sz w:val="20"/>
                <w:szCs w:val="20"/>
                <w:color w:val="auto"/>
              </w:rPr>
            </w:pPr>
            <w:r>
              <w:rPr>
                <w:rFonts w:ascii="Arial" w:cs="Arial" w:eastAsia="Arial" w:hAnsi="Arial"/>
                <w:sz w:val="16"/>
                <w:szCs w:val="16"/>
                <w:color w:val="auto"/>
              </w:rPr>
              <w:t>69</w:t>
            </w:r>
          </w:p>
        </w:tc>
      </w:tr>
      <w:tr>
        <w:trPr>
          <w:trHeight w:val="270"/>
        </w:trPr>
        <w:tc>
          <w:tcPr>
            <w:tcW w:w="780" w:type="dxa"/>
            <w:vAlign w:val="bottom"/>
          </w:tcPr>
          <w:p>
            <w:pPr>
              <w:jc w:val="right"/>
              <w:ind w:right="539"/>
              <w:spacing w:after="0"/>
              <w:rPr>
                <w:sz w:val="20"/>
                <w:szCs w:val="20"/>
                <w:color w:val="auto"/>
              </w:rPr>
            </w:pPr>
            <w:r>
              <w:rPr>
                <w:rFonts w:ascii="Arial" w:cs="Arial" w:eastAsia="Arial" w:hAnsi="Arial"/>
                <w:sz w:val="16"/>
                <w:szCs w:val="16"/>
                <w:color w:val="auto"/>
              </w:rPr>
              <w:t>3</w:t>
            </w:r>
          </w:p>
        </w:tc>
        <w:tc>
          <w:tcPr>
            <w:tcW w:w="980" w:type="dxa"/>
            <w:vAlign w:val="bottom"/>
          </w:tcPr>
          <w:p>
            <w:pPr>
              <w:jc w:val="right"/>
              <w:spacing w:after="0"/>
              <w:rPr>
                <w:sz w:val="20"/>
                <w:szCs w:val="20"/>
                <w:color w:val="auto"/>
              </w:rPr>
            </w:pPr>
            <w:r>
              <w:rPr>
                <w:rFonts w:ascii="Arial" w:cs="Arial" w:eastAsia="Arial" w:hAnsi="Arial"/>
                <w:sz w:val="16"/>
                <w:szCs w:val="16"/>
                <w:color w:val="auto"/>
              </w:rPr>
              <w:t>101</w:t>
            </w:r>
          </w:p>
        </w:tc>
      </w:tr>
      <w:tr>
        <w:trPr>
          <w:trHeight w:val="270"/>
        </w:trPr>
        <w:tc>
          <w:tcPr>
            <w:tcW w:w="780" w:type="dxa"/>
            <w:vAlign w:val="bottom"/>
          </w:tcPr>
          <w:p>
            <w:pPr>
              <w:jc w:val="right"/>
              <w:ind w:right="539"/>
              <w:spacing w:after="0"/>
              <w:rPr>
                <w:sz w:val="20"/>
                <w:szCs w:val="20"/>
                <w:color w:val="auto"/>
              </w:rPr>
            </w:pPr>
            <w:r>
              <w:rPr>
                <w:rFonts w:ascii="Arial" w:cs="Arial" w:eastAsia="Arial" w:hAnsi="Arial"/>
                <w:sz w:val="16"/>
                <w:szCs w:val="16"/>
                <w:color w:val="auto"/>
              </w:rPr>
              <w:t>7</w:t>
            </w:r>
          </w:p>
        </w:tc>
        <w:tc>
          <w:tcPr>
            <w:tcW w:w="980" w:type="dxa"/>
            <w:vAlign w:val="bottom"/>
          </w:tcPr>
          <w:p>
            <w:pPr>
              <w:jc w:val="right"/>
              <w:spacing w:after="0"/>
              <w:rPr>
                <w:sz w:val="20"/>
                <w:szCs w:val="20"/>
                <w:color w:val="auto"/>
              </w:rPr>
            </w:pPr>
            <w:r>
              <w:rPr>
                <w:rFonts w:ascii="Arial" w:cs="Arial" w:eastAsia="Arial" w:hAnsi="Arial"/>
                <w:sz w:val="16"/>
                <w:szCs w:val="16"/>
                <w:color w:val="auto"/>
              </w:rPr>
              <w:t>248</w:t>
            </w:r>
          </w:p>
        </w:tc>
      </w:tr>
      <w:tr>
        <w:trPr>
          <w:trHeight w:val="270"/>
        </w:trPr>
        <w:tc>
          <w:tcPr>
            <w:tcW w:w="780" w:type="dxa"/>
            <w:vAlign w:val="bottom"/>
          </w:tcPr>
          <w:p>
            <w:pPr>
              <w:jc w:val="right"/>
              <w:ind w:right="539"/>
              <w:spacing w:after="0"/>
              <w:rPr>
                <w:sz w:val="20"/>
                <w:szCs w:val="20"/>
                <w:color w:val="auto"/>
              </w:rPr>
            </w:pPr>
            <w:r>
              <w:rPr>
                <w:rFonts w:ascii="Arial" w:cs="Arial" w:eastAsia="Arial" w:hAnsi="Arial"/>
                <w:sz w:val="16"/>
                <w:szCs w:val="16"/>
                <w:color w:val="auto"/>
              </w:rPr>
              <w:t>1</w:t>
            </w:r>
          </w:p>
        </w:tc>
        <w:tc>
          <w:tcPr>
            <w:tcW w:w="98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70"/>
        </w:trPr>
        <w:tc>
          <w:tcPr>
            <w:tcW w:w="780" w:type="dxa"/>
            <w:vAlign w:val="bottom"/>
          </w:tcPr>
          <w:p>
            <w:pPr>
              <w:jc w:val="right"/>
              <w:ind w:right="539"/>
              <w:spacing w:after="0"/>
              <w:rPr>
                <w:sz w:val="20"/>
                <w:szCs w:val="20"/>
                <w:color w:val="auto"/>
              </w:rPr>
            </w:pPr>
            <w:r>
              <w:rPr>
                <w:rFonts w:ascii="Arial" w:cs="Arial" w:eastAsia="Arial" w:hAnsi="Arial"/>
                <w:sz w:val="16"/>
                <w:szCs w:val="16"/>
                <w:color w:val="auto"/>
                <w:w w:val="78"/>
              </w:rPr>
              <w:t>14</w:t>
            </w:r>
          </w:p>
        </w:tc>
        <w:tc>
          <w:tcPr>
            <w:tcW w:w="980" w:type="dxa"/>
            <w:vAlign w:val="bottom"/>
          </w:tcPr>
          <w:p>
            <w:pPr>
              <w:jc w:val="right"/>
              <w:spacing w:after="0"/>
              <w:rPr>
                <w:sz w:val="20"/>
                <w:szCs w:val="20"/>
                <w:color w:val="auto"/>
              </w:rPr>
            </w:pPr>
            <w:r>
              <w:rPr>
                <w:rFonts w:ascii="Arial" w:cs="Arial" w:eastAsia="Arial" w:hAnsi="Arial"/>
                <w:sz w:val="16"/>
                <w:szCs w:val="16"/>
                <w:color w:val="auto"/>
              </w:rPr>
              <w:t>473</w:t>
            </w:r>
          </w:p>
        </w:tc>
      </w:tr>
      <w:tr>
        <w:trPr>
          <w:trHeight w:val="270"/>
        </w:trPr>
        <w:tc>
          <w:tcPr>
            <w:tcW w:w="780" w:type="dxa"/>
            <w:vAlign w:val="bottom"/>
          </w:tcPr>
          <w:p>
            <w:pPr>
              <w:jc w:val="right"/>
              <w:ind w:right="539"/>
              <w:spacing w:after="0"/>
              <w:rPr>
                <w:sz w:val="20"/>
                <w:szCs w:val="20"/>
                <w:color w:val="auto"/>
              </w:rPr>
            </w:pPr>
            <w:r>
              <w:rPr>
                <w:rFonts w:ascii="Arial" w:cs="Arial" w:eastAsia="Arial" w:hAnsi="Arial"/>
                <w:sz w:val="16"/>
                <w:szCs w:val="16"/>
                <w:color w:val="auto"/>
              </w:rPr>
              <w:t>2</w:t>
            </w:r>
          </w:p>
        </w:tc>
        <w:tc>
          <w:tcPr>
            <w:tcW w:w="980" w:type="dxa"/>
            <w:vAlign w:val="bottom"/>
          </w:tcPr>
          <w:p>
            <w:pPr>
              <w:jc w:val="right"/>
              <w:spacing w:after="0"/>
              <w:rPr>
                <w:sz w:val="20"/>
                <w:szCs w:val="20"/>
                <w:color w:val="auto"/>
              </w:rPr>
            </w:pPr>
            <w:r>
              <w:rPr>
                <w:rFonts w:ascii="Arial" w:cs="Arial" w:eastAsia="Arial" w:hAnsi="Arial"/>
                <w:sz w:val="16"/>
                <w:szCs w:val="16"/>
                <w:color w:val="auto"/>
              </w:rPr>
              <w:t>74</w:t>
            </w:r>
          </w:p>
        </w:tc>
      </w:tr>
      <w:tr>
        <w:trPr>
          <w:trHeight w:val="270"/>
        </w:trPr>
        <w:tc>
          <w:tcPr>
            <w:tcW w:w="780" w:type="dxa"/>
            <w:vAlign w:val="bottom"/>
          </w:tcPr>
          <w:p>
            <w:pPr>
              <w:jc w:val="right"/>
              <w:ind w:right="539"/>
              <w:spacing w:after="0"/>
              <w:rPr>
                <w:sz w:val="20"/>
                <w:szCs w:val="20"/>
                <w:color w:val="auto"/>
              </w:rPr>
            </w:pPr>
            <w:r>
              <w:rPr>
                <w:rFonts w:ascii="Arial" w:cs="Arial" w:eastAsia="Arial" w:hAnsi="Arial"/>
                <w:sz w:val="16"/>
                <w:szCs w:val="16"/>
                <w:color w:val="auto"/>
              </w:rPr>
              <w:t>6</w:t>
            </w:r>
          </w:p>
        </w:tc>
        <w:tc>
          <w:tcPr>
            <w:tcW w:w="980" w:type="dxa"/>
            <w:vAlign w:val="bottom"/>
          </w:tcPr>
          <w:p>
            <w:pPr>
              <w:jc w:val="right"/>
              <w:spacing w:after="0"/>
              <w:rPr>
                <w:sz w:val="20"/>
                <w:szCs w:val="20"/>
                <w:color w:val="auto"/>
              </w:rPr>
            </w:pPr>
            <w:r>
              <w:rPr>
                <w:rFonts w:ascii="Arial" w:cs="Arial" w:eastAsia="Arial" w:hAnsi="Arial"/>
                <w:sz w:val="16"/>
                <w:szCs w:val="16"/>
                <w:color w:val="auto"/>
              </w:rPr>
              <w:t>224</w:t>
            </w:r>
          </w:p>
        </w:tc>
      </w:tr>
      <w:tr>
        <w:trPr>
          <w:trHeight w:val="270"/>
        </w:trPr>
        <w:tc>
          <w:tcPr>
            <w:tcW w:w="780" w:type="dxa"/>
            <w:vAlign w:val="bottom"/>
          </w:tcPr>
          <w:p>
            <w:pPr>
              <w:jc w:val="right"/>
              <w:ind w:right="539"/>
              <w:spacing w:after="0"/>
              <w:rPr>
                <w:sz w:val="20"/>
                <w:szCs w:val="20"/>
                <w:color w:val="auto"/>
              </w:rPr>
            </w:pPr>
            <w:r>
              <w:rPr>
                <w:rFonts w:ascii="Arial" w:cs="Arial" w:eastAsia="Arial" w:hAnsi="Arial"/>
                <w:sz w:val="16"/>
                <w:szCs w:val="16"/>
                <w:color w:val="auto"/>
              </w:rPr>
              <w:t>2</w:t>
            </w:r>
          </w:p>
        </w:tc>
        <w:tc>
          <w:tcPr>
            <w:tcW w:w="980" w:type="dxa"/>
            <w:vAlign w:val="bottom"/>
          </w:tcPr>
          <w:p>
            <w:pPr>
              <w:jc w:val="right"/>
              <w:spacing w:after="0"/>
              <w:rPr>
                <w:sz w:val="20"/>
                <w:szCs w:val="20"/>
                <w:color w:val="auto"/>
              </w:rPr>
            </w:pPr>
            <w:r>
              <w:rPr>
                <w:rFonts w:ascii="Arial" w:cs="Arial" w:eastAsia="Arial" w:hAnsi="Arial"/>
                <w:sz w:val="16"/>
                <w:szCs w:val="16"/>
                <w:color w:val="auto"/>
              </w:rPr>
              <w:t>67</w:t>
            </w:r>
          </w:p>
        </w:tc>
      </w:tr>
      <w:tr>
        <w:trPr>
          <w:trHeight w:val="270"/>
        </w:trPr>
        <w:tc>
          <w:tcPr>
            <w:tcW w:w="780" w:type="dxa"/>
            <w:vAlign w:val="bottom"/>
          </w:tcPr>
          <w:p>
            <w:pPr>
              <w:jc w:val="right"/>
              <w:ind w:right="539"/>
              <w:spacing w:after="0"/>
              <w:rPr>
                <w:sz w:val="20"/>
                <w:szCs w:val="20"/>
                <w:color w:val="auto"/>
              </w:rPr>
            </w:pPr>
            <w:r>
              <w:rPr>
                <w:rFonts w:ascii="Arial" w:cs="Arial" w:eastAsia="Arial" w:hAnsi="Arial"/>
                <w:sz w:val="16"/>
                <w:szCs w:val="16"/>
                <w:color w:val="auto"/>
              </w:rPr>
              <w:t>6</w:t>
            </w:r>
          </w:p>
        </w:tc>
        <w:tc>
          <w:tcPr>
            <w:tcW w:w="980" w:type="dxa"/>
            <w:vAlign w:val="bottom"/>
          </w:tcPr>
          <w:p>
            <w:pPr>
              <w:jc w:val="right"/>
              <w:spacing w:after="0"/>
              <w:rPr>
                <w:sz w:val="20"/>
                <w:szCs w:val="20"/>
                <w:color w:val="auto"/>
              </w:rPr>
            </w:pPr>
            <w:r>
              <w:rPr>
                <w:rFonts w:ascii="Arial" w:cs="Arial" w:eastAsia="Arial" w:hAnsi="Arial"/>
                <w:sz w:val="16"/>
                <w:szCs w:val="16"/>
                <w:color w:val="auto"/>
              </w:rPr>
              <w:t>218</w:t>
            </w:r>
          </w:p>
        </w:tc>
      </w:tr>
      <w:tr>
        <w:trPr>
          <w:trHeight w:val="270"/>
        </w:trPr>
        <w:tc>
          <w:tcPr>
            <w:tcW w:w="780" w:type="dxa"/>
            <w:vAlign w:val="bottom"/>
          </w:tcPr>
          <w:p>
            <w:pPr>
              <w:jc w:val="right"/>
              <w:ind w:right="539"/>
              <w:spacing w:after="0"/>
              <w:rPr>
                <w:sz w:val="20"/>
                <w:szCs w:val="20"/>
                <w:color w:val="auto"/>
              </w:rPr>
            </w:pPr>
            <w:r>
              <w:rPr>
                <w:rFonts w:ascii="Arial" w:cs="Arial" w:eastAsia="Arial" w:hAnsi="Arial"/>
                <w:sz w:val="16"/>
                <w:szCs w:val="16"/>
                <w:color w:val="auto"/>
              </w:rPr>
              <w:t>6</w:t>
            </w:r>
          </w:p>
        </w:tc>
        <w:tc>
          <w:tcPr>
            <w:tcW w:w="980" w:type="dxa"/>
            <w:vAlign w:val="bottom"/>
          </w:tcPr>
          <w:p>
            <w:pPr>
              <w:jc w:val="right"/>
              <w:spacing w:after="0"/>
              <w:rPr>
                <w:sz w:val="20"/>
                <w:szCs w:val="20"/>
                <w:color w:val="auto"/>
              </w:rPr>
            </w:pPr>
            <w:r>
              <w:rPr>
                <w:rFonts w:ascii="Arial" w:cs="Arial" w:eastAsia="Arial" w:hAnsi="Arial"/>
                <w:sz w:val="16"/>
                <w:szCs w:val="16"/>
                <w:color w:val="auto"/>
              </w:rPr>
              <w:t>214</w:t>
            </w:r>
          </w:p>
        </w:tc>
      </w:tr>
      <w:tr>
        <w:trPr>
          <w:trHeight w:val="270"/>
        </w:trPr>
        <w:tc>
          <w:tcPr>
            <w:tcW w:w="780" w:type="dxa"/>
            <w:vAlign w:val="bottom"/>
          </w:tcPr>
          <w:p>
            <w:pPr>
              <w:jc w:val="right"/>
              <w:ind w:right="539"/>
              <w:spacing w:after="0"/>
              <w:rPr>
                <w:sz w:val="20"/>
                <w:szCs w:val="20"/>
                <w:color w:val="auto"/>
              </w:rPr>
            </w:pPr>
            <w:r>
              <w:rPr>
                <w:rFonts w:ascii="Arial" w:cs="Arial" w:eastAsia="Arial" w:hAnsi="Arial"/>
                <w:sz w:val="16"/>
                <w:szCs w:val="16"/>
                <w:color w:val="auto"/>
                <w:w w:val="87"/>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780" w:type="dxa"/>
            <w:vAlign w:val="bottom"/>
          </w:tcPr>
          <w:p>
            <w:pPr>
              <w:jc w:val="right"/>
              <w:ind w:right="539"/>
              <w:spacing w:after="0"/>
              <w:rPr>
                <w:sz w:val="20"/>
                <w:szCs w:val="20"/>
                <w:color w:val="auto"/>
              </w:rPr>
            </w:pPr>
            <w:r>
              <w:rPr>
                <w:rFonts w:ascii="Arial" w:cs="Arial" w:eastAsia="Arial" w:hAnsi="Arial"/>
                <w:sz w:val="16"/>
                <w:szCs w:val="16"/>
                <w:color w:val="auto"/>
              </w:rPr>
              <w:t>1</w:t>
            </w:r>
          </w:p>
        </w:tc>
        <w:tc>
          <w:tcPr>
            <w:tcW w:w="98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270"/>
        </w:trPr>
        <w:tc>
          <w:tcPr>
            <w:tcW w:w="780" w:type="dxa"/>
            <w:vAlign w:val="bottom"/>
          </w:tcPr>
          <w:p>
            <w:pPr>
              <w:jc w:val="right"/>
              <w:ind w:right="539"/>
              <w:spacing w:after="0"/>
              <w:rPr>
                <w:sz w:val="20"/>
                <w:szCs w:val="20"/>
                <w:color w:val="auto"/>
              </w:rPr>
            </w:pPr>
            <w:r>
              <w:rPr>
                <w:rFonts w:ascii="Arial" w:cs="Arial" w:eastAsia="Arial" w:hAnsi="Arial"/>
                <w:sz w:val="16"/>
                <w:szCs w:val="16"/>
                <w:color w:val="auto"/>
              </w:rPr>
              <w:t>4</w:t>
            </w:r>
          </w:p>
        </w:tc>
        <w:tc>
          <w:tcPr>
            <w:tcW w:w="980" w:type="dxa"/>
            <w:vAlign w:val="bottom"/>
          </w:tcPr>
          <w:p>
            <w:pPr>
              <w:jc w:val="right"/>
              <w:spacing w:after="0"/>
              <w:rPr>
                <w:sz w:val="20"/>
                <w:szCs w:val="20"/>
                <w:color w:val="auto"/>
              </w:rPr>
            </w:pPr>
            <w:r>
              <w:rPr>
                <w:rFonts w:ascii="Arial" w:cs="Arial" w:eastAsia="Arial" w:hAnsi="Arial"/>
                <w:sz w:val="16"/>
                <w:szCs w:val="16"/>
                <w:color w:val="auto"/>
              </w:rPr>
              <w:t>104</w:t>
            </w:r>
          </w:p>
        </w:tc>
      </w:tr>
      <w:tr>
        <w:trPr>
          <w:trHeight w:val="270"/>
        </w:trPr>
        <w:tc>
          <w:tcPr>
            <w:tcW w:w="780" w:type="dxa"/>
            <w:vAlign w:val="bottom"/>
          </w:tcPr>
          <w:p>
            <w:pPr>
              <w:jc w:val="right"/>
              <w:ind w:right="539"/>
              <w:spacing w:after="0"/>
              <w:rPr>
                <w:sz w:val="20"/>
                <w:szCs w:val="20"/>
                <w:color w:val="auto"/>
              </w:rPr>
            </w:pPr>
            <w:r>
              <w:rPr>
                <w:rFonts w:ascii="Arial" w:cs="Arial" w:eastAsia="Arial" w:hAnsi="Arial"/>
                <w:sz w:val="16"/>
                <w:szCs w:val="16"/>
                <w:color w:val="auto"/>
              </w:rPr>
              <w:t>2</w:t>
            </w:r>
          </w:p>
        </w:tc>
        <w:tc>
          <w:tcPr>
            <w:tcW w:w="980" w:type="dxa"/>
            <w:vAlign w:val="bottom"/>
          </w:tcPr>
          <w:p>
            <w:pPr>
              <w:jc w:val="right"/>
              <w:spacing w:after="0"/>
              <w:rPr>
                <w:sz w:val="20"/>
                <w:szCs w:val="20"/>
                <w:color w:val="auto"/>
              </w:rPr>
            </w:pPr>
            <w:r>
              <w:rPr>
                <w:rFonts w:ascii="Arial" w:cs="Arial" w:eastAsia="Arial" w:hAnsi="Arial"/>
                <w:sz w:val="16"/>
                <w:szCs w:val="16"/>
                <w:color w:val="auto"/>
              </w:rPr>
              <w:t>69</w:t>
            </w:r>
          </w:p>
        </w:tc>
      </w:tr>
      <w:tr>
        <w:trPr>
          <w:trHeight w:val="270"/>
        </w:trPr>
        <w:tc>
          <w:tcPr>
            <w:tcW w:w="780" w:type="dxa"/>
            <w:vAlign w:val="bottom"/>
          </w:tcPr>
          <w:p>
            <w:pPr>
              <w:jc w:val="right"/>
              <w:ind w:right="539"/>
              <w:spacing w:after="0"/>
              <w:rPr>
                <w:sz w:val="20"/>
                <w:szCs w:val="20"/>
                <w:color w:val="auto"/>
              </w:rPr>
            </w:pPr>
            <w:r>
              <w:rPr>
                <w:rFonts w:ascii="Arial" w:cs="Arial" w:eastAsia="Arial" w:hAnsi="Arial"/>
                <w:sz w:val="16"/>
                <w:szCs w:val="16"/>
                <w:color w:val="auto"/>
                <w:w w:val="78"/>
              </w:rPr>
              <w:t>18</w:t>
            </w:r>
          </w:p>
        </w:tc>
        <w:tc>
          <w:tcPr>
            <w:tcW w:w="980" w:type="dxa"/>
            <w:vAlign w:val="bottom"/>
          </w:tcPr>
          <w:p>
            <w:pPr>
              <w:jc w:val="right"/>
              <w:spacing w:after="0"/>
              <w:rPr>
                <w:sz w:val="20"/>
                <w:szCs w:val="20"/>
                <w:color w:val="auto"/>
              </w:rPr>
            </w:pPr>
            <w:r>
              <w:rPr>
                <w:rFonts w:ascii="Arial" w:cs="Arial" w:eastAsia="Arial" w:hAnsi="Arial"/>
                <w:sz w:val="16"/>
                <w:szCs w:val="16"/>
                <w:color w:val="auto"/>
              </w:rPr>
              <w:t>604</w:t>
            </w:r>
          </w:p>
        </w:tc>
      </w:tr>
      <w:tr>
        <w:trPr>
          <w:trHeight w:val="270"/>
        </w:trPr>
        <w:tc>
          <w:tcPr>
            <w:tcW w:w="780" w:type="dxa"/>
            <w:vAlign w:val="bottom"/>
          </w:tcPr>
          <w:p>
            <w:pPr>
              <w:jc w:val="right"/>
              <w:ind w:right="539"/>
              <w:spacing w:after="0"/>
              <w:rPr>
                <w:sz w:val="20"/>
                <w:szCs w:val="20"/>
                <w:color w:val="auto"/>
              </w:rPr>
            </w:pPr>
            <w:r>
              <w:rPr>
                <w:rFonts w:ascii="Arial" w:cs="Arial" w:eastAsia="Arial" w:hAnsi="Arial"/>
                <w:sz w:val="16"/>
                <w:szCs w:val="16"/>
                <w:color w:val="auto"/>
              </w:rPr>
              <w:t>4</w:t>
            </w:r>
          </w:p>
        </w:tc>
        <w:tc>
          <w:tcPr>
            <w:tcW w:w="980" w:type="dxa"/>
            <w:vAlign w:val="bottom"/>
          </w:tcPr>
          <w:p>
            <w:pPr>
              <w:jc w:val="right"/>
              <w:spacing w:after="0"/>
              <w:rPr>
                <w:sz w:val="20"/>
                <w:szCs w:val="20"/>
                <w:color w:val="auto"/>
              </w:rPr>
            </w:pPr>
            <w:r>
              <w:rPr>
                <w:rFonts w:ascii="Arial" w:cs="Arial" w:eastAsia="Arial" w:hAnsi="Arial"/>
                <w:sz w:val="16"/>
                <w:szCs w:val="16"/>
                <w:color w:val="auto"/>
              </w:rPr>
              <w:t>126</w:t>
            </w:r>
          </w:p>
        </w:tc>
      </w:tr>
      <w:tr>
        <w:trPr>
          <w:trHeight w:val="270"/>
        </w:trPr>
        <w:tc>
          <w:tcPr>
            <w:tcW w:w="780" w:type="dxa"/>
            <w:vAlign w:val="bottom"/>
          </w:tcPr>
          <w:p>
            <w:pPr>
              <w:jc w:val="right"/>
              <w:ind w:right="539"/>
              <w:spacing w:after="0"/>
              <w:rPr>
                <w:sz w:val="20"/>
                <w:szCs w:val="20"/>
                <w:color w:val="auto"/>
              </w:rPr>
            </w:pPr>
            <w:r>
              <w:rPr>
                <w:rFonts w:ascii="Arial" w:cs="Arial" w:eastAsia="Arial" w:hAnsi="Arial"/>
                <w:sz w:val="16"/>
                <w:szCs w:val="16"/>
                <w:color w:val="auto"/>
              </w:rPr>
              <w:t>7</w:t>
            </w:r>
          </w:p>
        </w:tc>
        <w:tc>
          <w:tcPr>
            <w:tcW w:w="980" w:type="dxa"/>
            <w:vAlign w:val="bottom"/>
          </w:tcPr>
          <w:p>
            <w:pPr>
              <w:jc w:val="right"/>
              <w:spacing w:after="0"/>
              <w:rPr>
                <w:sz w:val="20"/>
                <w:szCs w:val="20"/>
                <w:color w:val="auto"/>
              </w:rPr>
            </w:pPr>
            <w:r>
              <w:rPr>
                <w:rFonts w:ascii="Arial" w:cs="Arial" w:eastAsia="Arial" w:hAnsi="Arial"/>
                <w:sz w:val="16"/>
                <w:szCs w:val="16"/>
                <w:color w:val="auto"/>
              </w:rPr>
              <w:t>268</w:t>
            </w:r>
          </w:p>
        </w:tc>
      </w:tr>
      <w:tr>
        <w:trPr>
          <w:trHeight w:val="270"/>
        </w:trPr>
        <w:tc>
          <w:tcPr>
            <w:tcW w:w="780" w:type="dxa"/>
            <w:vAlign w:val="bottom"/>
          </w:tcPr>
          <w:p>
            <w:pPr>
              <w:jc w:val="right"/>
              <w:ind w:right="539"/>
              <w:spacing w:after="0"/>
              <w:rPr>
                <w:sz w:val="20"/>
                <w:szCs w:val="20"/>
                <w:color w:val="auto"/>
              </w:rPr>
            </w:pPr>
            <w:r>
              <w:rPr>
                <w:rFonts w:ascii="Arial" w:cs="Arial" w:eastAsia="Arial" w:hAnsi="Arial"/>
                <w:sz w:val="16"/>
                <w:szCs w:val="16"/>
                <w:color w:val="auto"/>
              </w:rPr>
              <w:t>9</w:t>
            </w:r>
          </w:p>
        </w:tc>
        <w:tc>
          <w:tcPr>
            <w:tcW w:w="980" w:type="dxa"/>
            <w:vAlign w:val="bottom"/>
          </w:tcPr>
          <w:p>
            <w:pPr>
              <w:jc w:val="right"/>
              <w:spacing w:after="0"/>
              <w:rPr>
                <w:sz w:val="20"/>
                <w:szCs w:val="20"/>
                <w:color w:val="auto"/>
              </w:rPr>
            </w:pPr>
            <w:r>
              <w:rPr>
                <w:rFonts w:ascii="Arial" w:cs="Arial" w:eastAsia="Arial" w:hAnsi="Arial"/>
                <w:sz w:val="16"/>
                <w:szCs w:val="16"/>
                <w:color w:val="auto"/>
              </w:rPr>
              <w:t>354</w:t>
            </w:r>
          </w:p>
        </w:tc>
      </w:tr>
      <w:tr>
        <w:trPr>
          <w:trHeight w:val="270"/>
        </w:trPr>
        <w:tc>
          <w:tcPr>
            <w:tcW w:w="780" w:type="dxa"/>
            <w:vAlign w:val="bottom"/>
          </w:tcPr>
          <w:p>
            <w:pPr>
              <w:jc w:val="right"/>
              <w:ind w:right="539"/>
              <w:spacing w:after="0"/>
              <w:rPr>
                <w:sz w:val="20"/>
                <w:szCs w:val="20"/>
                <w:color w:val="auto"/>
              </w:rPr>
            </w:pPr>
            <w:r>
              <w:rPr>
                <w:rFonts w:ascii="Arial" w:cs="Arial" w:eastAsia="Arial" w:hAnsi="Arial"/>
                <w:sz w:val="16"/>
                <w:szCs w:val="16"/>
                <w:color w:val="auto"/>
              </w:rPr>
              <w:t>4</w:t>
            </w:r>
          </w:p>
        </w:tc>
        <w:tc>
          <w:tcPr>
            <w:tcW w:w="980" w:type="dxa"/>
            <w:vAlign w:val="bottom"/>
          </w:tcPr>
          <w:p>
            <w:pPr>
              <w:jc w:val="right"/>
              <w:spacing w:after="0"/>
              <w:rPr>
                <w:sz w:val="20"/>
                <w:szCs w:val="20"/>
                <w:color w:val="auto"/>
              </w:rPr>
            </w:pPr>
            <w:r>
              <w:rPr>
                <w:rFonts w:ascii="Arial" w:cs="Arial" w:eastAsia="Arial" w:hAnsi="Arial"/>
                <w:sz w:val="16"/>
                <w:szCs w:val="16"/>
                <w:color w:val="auto"/>
              </w:rPr>
              <w:t>115</w:t>
            </w:r>
          </w:p>
        </w:tc>
      </w:tr>
      <w:tr>
        <w:trPr>
          <w:trHeight w:val="270"/>
        </w:trPr>
        <w:tc>
          <w:tcPr>
            <w:tcW w:w="780" w:type="dxa"/>
            <w:vAlign w:val="bottom"/>
          </w:tcPr>
          <w:p>
            <w:pPr>
              <w:jc w:val="right"/>
              <w:ind w:right="539"/>
              <w:spacing w:after="0"/>
              <w:rPr>
                <w:sz w:val="20"/>
                <w:szCs w:val="20"/>
                <w:color w:val="auto"/>
              </w:rPr>
            </w:pPr>
            <w:r>
              <w:rPr>
                <w:rFonts w:ascii="Arial" w:cs="Arial" w:eastAsia="Arial" w:hAnsi="Arial"/>
                <w:sz w:val="16"/>
                <w:szCs w:val="16"/>
                <w:color w:val="auto"/>
              </w:rPr>
              <w:t>2</w:t>
            </w:r>
          </w:p>
        </w:tc>
        <w:tc>
          <w:tcPr>
            <w:tcW w:w="980" w:type="dxa"/>
            <w:vAlign w:val="bottom"/>
          </w:tcPr>
          <w:p>
            <w:pPr>
              <w:jc w:val="right"/>
              <w:spacing w:after="0"/>
              <w:rPr>
                <w:sz w:val="20"/>
                <w:szCs w:val="20"/>
                <w:color w:val="auto"/>
              </w:rPr>
            </w:pPr>
            <w:r>
              <w:rPr>
                <w:rFonts w:ascii="Arial" w:cs="Arial" w:eastAsia="Arial" w:hAnsi="Arial"/>
                <w:sz w:val="16"/>
                <w:szCs w:val="16"/>
                <w:color w:val="auto"/>
              </w:rPr>
              <w:t>67</w:t>
            </w:r>
          </w:p>
        </w:tc>
      </w:tr>
    </w:tbl>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37465</wp:posOffset>
            </wp:positionV>
            <wp:extent cx="16465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66" w:lineRule="exact"/>
        <w:rPr>
          <w:sz w:val="20"/>
          <w:szCs w:val="20"/>
          <w:color w:val="auto"/>
        </w:rPr>
      </w:pPr>
    </w:p>
    <w:p>
      <w:pPr>
        <w:jc w:val="right"/>
        <w:ind w:right="100"/>
        <w:spacing w:after="0"/>
        <w:rPr>
          <w:sz w:val="20"/>
          <w:szCs w:val="20"/>
          <w:color w:val="auto"/>
        </w:rPr>
      </w:pPr>
      <w:r>
        <w:rPr>
          <w:rFonts w:ascii="Arial" w:cs="Arial" w:eastAsia="Arial" w:hAnsi="Arial"/>
          <w:sz w:val="16"/>
          <w:szCs w:val="16"/>
          <w:b w:val="1"/>
          <w:bCs w:val="1"/>
          <w:color w:val="auto"/>
        </w:rPr>
        <w:t>Square Footage</w:t>
      </w:r>
    </w:p>
    <w:p>
      <w:pPr>
        <w:spacing w:after="0" w:line="26" w:lineRule="exact"/>
        <w:rPr>
          <w:sz w:val="20"/>
          <w:szCs w:val="20"/>
          <w:color w:val="auto"/>
        </w:rPr>
      </w:pPr>
    </w:p>
    <w:p>
      <w:pPr>
        <w:spacing w:after="0"/>
        <w:tabs>
          <w:tab w:leader="none" w:pos="1540" w:val="left"/>
        </w:tabs>
        <w:rPr>
          <w:sz w:val="20"/>
          <w:szCs w:val="20"/>
          <w:color w:val="auto"/>
        </w:rPr>
      </w:pPr>
      <w:r>
        <w:rPr>
          <w:rFonts w:ascii="Arial" w:cs="Arial" w:eastAsia="Arial" w:hAnsi="Arial"/>
          <w:sz w:val="14"/>
          <w:szCs w:val="14"/>
          <w:b w:val="1"/>
          <w:bCs w:val="1"/>
          <w:color w:val="auto"/>
        </w:rPr>
        <w:t>Count</w:t>
      </w:r>
      <w:r>
        <w:rPr>
          <w:sz w:val="20"/>
          <w:szCs w:val="20"/>
          <w:color w:val="auto"/>
        </w:rPr>
        <w:tab/>
      </w:r>
      <w:r>
        <w:rPr>
          <w:rFonts w:ascii="Arial" w:cs="Arial" w:eastAsia="Arial" w:hAnsi="Arial"/>
          <w:sz w:val="14"/>
          <w:szCs w:val="14"/>
          <w:b w:val="1"/>
          <w:bCs w:val="1"/>
          <w:color w:val="auto"/>
        </w:rPr>
        <w:t>(000’s)</w:t>
      </w:r>
    </w:p>
    <w:p>
      <w:pPr>
        <w:spacing w:after="0" w:line="371" w:lineRule="exact"/>
        <w:rPr>
          <w:sz w:val="20"/>
          <w:szCs w:val="20"/>
          <w:color w:val="auto"/>
        </w:rPr>
      </w:pPr>
    </w:p>
    <w:p>
      <w:pPr>
        <w:jc w:val="both"/>
        <w:ind w:left="360"/>
        <w:spacing w:after="0"/>
        <w:tabs>
          <w:tab w:leader="none" w:pos="1820" w:val="left"/>
        </w:tabs>
        <w:rPr>
          <w:sz w:val="20"/>
          <w:szCs w:val="20"/>
          <w:color w:val="auto"/>
        </w:rPr>
      </w:pPr>
      <w:r>
        <w:rPr>
          <w:rFonts w:ascii="Arial" w:cs="Arial" w:eastAsia="Arial" w:hAnsi="Arial"/>
          <w:sz w:val="16"/>
          <w:szCs w:val="16"/>
          <w:b w:val="1"/>
          <w:bCs w:val="1"/>
          <w:color w:val="auto"/>
        </w:rPr>
        <w:t>1</w:t>
      </w:r>
      <w:r>
        <w:rPr>
          <w:sz w:val="20"/>
          <w:szCs w:val="20"/>
          <w:color w:val="auto"/>
        </w:rPr>
        <w:tab/>
      </w:r>
      <w:r>
        <w:rPr>
          <w:rFonts w:ascii="Arial" w:cs="Arial" w:eastAsia="Arial" w:hAnsi="Arial"/>
          <w:sz w:val="16"/>
          <w:szCs w:val="16"/>
          <w:b w:val="1"/>
          <w:bCs w:val="1"/>
          <w:color w:val="auto"/>
        </w:rPr>
        <w:t>35</w:t>
      </w:r>
    </w:p>
    <w:p>
      <w:pPr>
        <w:spacing w:after="0" w:line="86" w:lineRule="exact"/>
        <w:rPr>
          <w:sz w:val="20"/>
          <w:szCs w:val="20"/>
          <w:color w:val="auto"/>
        </w:rPr>
      </w:pPr>
    </w:p>
    <w:p>
      <w:pPr>
        <w:ind w:left="1760" w:hanging="1409"/>
        <w:spacing w:after="0"/>
        <w:tabs>
          <w:tab w:leader="none" w:pos="1760" w:val="left"/>
        </w:tabs>
        <w:numPr>
          <w:ilvl w:val="0"/>
          <w:numId w:val="10"/>
        </w:numPr>
        <w:rPr>
          <w:rFonts w:ascii="Arial" w:cs="Arial" w:eastAsia="Arial" w:hAnsi="Arial"/>
          <w:sz w:val="15"/>
          <w:szCs w:val="15"/>
          <w:b w:val="1"/>
          <w:bCs w:val="1"/>
          <w:color w:val="auto"/>
        </w:rPr>
      </w:pPr>
      <w:r>
        <w:rPr>
          <w:rFonts w:ascii="Arial" w:cs="Arial" w:eastAsia="Arial" w:hAnsi="Arial"/>
          <w:sz w:val="15"/>
          <w:szCs w:val="15"/>
          <w:b w:val="1"/>
          <w:bCs w:val="1"/>
          <w:color w:val="auto"/>
        </w:rPr>
        <w:t>132</w:t>
      </w:r>
    </w:p>
    <w:p>
      <w:pPr>
        <w:spacing w:after="0" w:line="98" w:lineRule="exact"/>
        <w:rPr>
          <w:sz w:val="20"/>
          <w:szCs w:val="20"/>
          <w:color w:val="auto"/>
        </w:rPr>
      </w:pPr>
    </w:p>
    <w:tbl>
      <w:tblPr>
        <w:tblLayout w:type="fixed"/>
        <w:tblInd w:w="260" w:type="dxa"/>
        <w:tblCellMar>
          <w:top w:w="0" w:type="dxa"/>
          <w:left w:w="0" w:type="dxa"/>
          <w:bottom w:w="0" w:type="dxa"/>
          <w:right w:w="0" w:type="dxa"/>
        </w:tblCellMar>
      </w:tblPr>
      <w:tr>
        <w:trPr>
          <w:trHeight w:val="210"/>
        </w:trPr>
        <w:tc>
          <w:tcPr>
            <w:tcW w:w="780" w:type="dxa"/>
            <w:vAlign w:val="bottom"/>
          </w:tcPr>
          <w:p>
            <w:pPr>
              <w:jc w:val="right"/>
              <w:ind w:right="519"/>
              <w:spacing w:after="0"/>
              <w:rPr>
                <w:sz w:val="20"/>
                <w:szCs w:val="20"/>
                <w:color w:val="auto"/>
              </w:rPr>
            </w:pPr>
            <w:r>
              <w:rPr>
                <w:rFonts w:ascii="Arial" w:cs="Arial" w:eastAsia="Arial" w:hAnsi="Arial"/>
                <w:sz w:val="16"/>
                <w:szCs w:val="16"/>
                <w:b w:val="1"/>
                <w:bCs w:val="1"/>
                <w:color w:val="auto"/>
                <w:w w:val="89"/>
              </w:rPr>
              <w:t>10</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671</w:t>
            </w:r>
          </w:p>
        </w:tc>
      </w:tr>
      <w:tr>
        <w:trPr>
          <w:trHeight w:val="270"/>
        </w:trPr>
        <w:tc>
          <w:tcPr>
            <w:tcW w:w="780" w:type="dxa"/>
            <w:vAlign w:val="bottom"/>
          </w:tcPr>
          <w:p>
            <w:pPr>
              <w:jc w:val="right"/>
              <w:ind w:right="519"/>
              <w:spacing w:after="0"/>
              <w:rPr>
                <w:sz w:val="20"/>
                <w:szCs w:val="20"/>
                <w:color w:val="auto"/>
              </w:rPr>
            </w:pPr>
            <w:r>
              <w:rPr>
                <w:rFonts w:ascii="Arial" w:cs="Arial" w:eastAsia="Arial" w:hAnsi="Arial"/>
                <w:sz w:val="16"/>
                <w:szCs w:val="16"/>
                <w:b w:val="1"/>
                <w:bCs w:val="1"/>
                <w:color w:val="auto"/>
                <w:w w:val="89"/>
              </w:rPr>
              <w:t>84</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7,159</w:t>
            </w:r>
          </w:p>
        </w:tc>
      </w:tr>
    </w:tbl>
    <w:p>
      <w:pPr>
        <w:spacing w:after="0" w:line="60" w:lineRule="exact"/>
        <w:rPr>
          <w:sz w:val="20"/>
          <w:szCs w:val="20"/>
          <w:color w:val="auto"/>
        </w:rPr>
      </w:pPr>
    </w:p>
    <w:p>
      <w:pPr>
        <w:ind w:left="1760" w:hanging="1409"/>
        <w:spacing w:after="0"/>
        <w:tabs>
          <w:tab w:leader="none" w:pos="1760" w:val="left"/>
        </w:tabs>
        <w:numPr>
          <w:ilvl w:val="0"/>
          <w:numId w:val="11"/>
        </w:numPr>
        <w:rPr>
          <w:rFonts w:ascii="Arial" w:cs="Arial" w:eastAsia="Arial" w:hAnsi="Arial"/>
          <w:sz w:val="15"/>
          <w:szCs w:val="15"/>
          <w:b w:val="1"/>
          <w:bCs w:val="1"/>
          <w:color w:val="auto"/>
        </w:rPr>
      </w:pPr>
      <w:r>
        <w:rPr>
          <w:rFonts w:ascii="Arial" w:cs="Arial" w:eastAsia="Arial" w:hAnsi="Arial"/>
          <w:sz w:val="15"/>
          <w:szCs w:val="15"/>
          <w:b w:val="1"/>
          <w:bCs w:val="1"/>
          <w:color w:val="auto"/>
        </w:rPr>
        <w:t>772</w:t>
      </w:r>
    </w:p>
    <w:p>
      <w:pPr>
        <w:spacing w:after="0" w:line="98" w:lineRule="exact"/>
        <w:rPr>
          <w:sz w:val="20"/>
          <w:szCs w:val="20"/>
          <w:color w:val="auto"/>
        </w:rPr>
      </w:pPr>
    </w:p>
    <w:p>
      <w:pPr>
        <w:ind w:left="1760" w:hanging="1409"/>
        <w:spacing w:after="0"/>
        <w:tabs>
          <w:tab w:leader="none" w:pos="1760" w:val="left"/>
        </w:tabs>
        <w:numPr>
          <w:ilvl w:val="0"/>
          <w:numId w:val="12"/>
        </w:numPr>
        <w:rPr>
          <w:rFonts w:ascii="Arial" w:cs="Arial" w:eastAsia="Arial" w:hAnsi="Arial"/>
          <w:sz w:val="15"/>
          <w:szCs w:val="15"/>
          <w:b w:val="1"/>
          <w:bCs w:val="1"/>
          <w:color w:val="auto"/>
        </w:rPr>
      </w:pPr>
      <w:r>
        <w:rPr>
          <w:rFonts w:ascii="Arial" w:cs="Arial" w:eastAsia="Arial" w:hAnsi="Arial"/>
          <w:sz w:val="15"/>
          <w:szCs w:val="15"/>
          <w:b w:val="1"/>
          <w:bCs w:val="1"/>
          <w:color w:val="auto"/>
        </w:rPr>
        <w:t>225</w:t>
      </w:r>
    </w:p>
    <w:p>
      <w:pPr>
        <w:spacing w:after="0" w:line="97" w:lineRule="exact"/>
        <w:rPr>
          <w:rFonts w:ascii="Arial" w:cs="Arial" w:eastAsia="Arial" w:hAnsi="Arial"/>
          <w:sz w:val="15"/>
          <w:szCs w:val="15"/>
          <w:b w:val="1"/>
          <w:bCs w:val="1"/>
          <w:color w:val="auto"/>
        </w:rPr>
      </w:pPr>
    </w:p>
    <w:p>
      <w:pPr>
        <w:ind w:left="1760" w:hanging="1409"/>
        <w:spacing w:after="0"/>
        <w:tabs>
          <w:tab w:leader="none" w:pos="1760" w:val="left"/>
        </w:tabs>
        <w:numPr>
          <w:ilvl w:val="0"/>
          <w:numId w:val="12"/>
        </w:numPr>
        <w:rPr>
          <w:rFonts w:ascii="Arial" w:cs="Arial" w:eastAsia="Arial" w:hAnsi="Arial"/>
          <w:sz w:val="15"/>
          <w:szCs w:val="15"/>
          <w:b w:val="1"/>
          <w:bCs w:val="1"/>
          <w:color w:val="auto"/>
        </w:rPr>
      </w:pPr>
      <w:r>
        <w:rPr>
          <w:rFonts w:ascii="Arial" w:cs="Arial" w:eastAsia="Arial" w:hAnsi="Arial"/>
          <w:sz w:val="15"/>
          <w:szCs w:val="15"/>
          <w:b w:val="1"/>
          <w:bCs w:val="1"/>
          <w:color w:val="auto"/>
        </w:rPr>
        <w:t>159</w:t>
      </w:r>
    </w:p>
    <w:p>
      <w:pPr>
        <w:spacing w:after="0" w:line="98" w:lineRule="exact"/>
        <w:rPr>
          <w:sz w:val="20"/>
          <w:szCs w:val="20"/>
          <w:color w:val="auto"/>
        </w:rPr>
      </w:pPr>
    </w:p>
    <w:p>
      <w:pPr>
        <w:jc w:val="both"/>
        <w:ind w:left="260"/>
        <w:spacing w:after="0"/>
        <w:tabs>
          <w:tab w:leader="none" w:pos="1620" w:val="left"/>
        </w:tabs>
        <w:rPr>
          <w:sz w:val="20"/>
          <w:szCs w:val="20"/>
          <w:color w:val="auto"/>
        </w:rPr>
      </w:pPr>
      <w:r>
        <w:rPr>
          <w:rFonts w:ascii="Arial" w:cs="Arial" w:eastAsia="Arial" w:hAnsi="Arial"/>
          <w:sz w:val="16"/>
          <w:szCs w:val="16"/>
          <w:b w:val="1"/>
          <w:bCs w:val="1"/>
          <w:color w:val="auto"/>
        </w:rPr>
        <w:t>25</w:t>
      </w:r>
      <w:r>
        <w:rPr>
          <w:sz w:val="20"/>
          <w:szCs w:val="20"/>
          <w:color w:val="auto"/>
        </w:rPr>
        <w:tab/>
      </w:r>
      <w:r>
        <w:rPr>
          <w:rFonts w:ascii="Arial" w:cs="Arial" w:eastAsia="Arial" w:hAnsi="Arial"/>
          <w:sz w:val="16"/>
          <w:szCs w:val="16"/>
          <w:b w:val="1"/>
          <w:bCs w:val="1"/>
          <w:color w:val="auto"/>
        </w:rPr>
        <w:t>1,934</w:t>
      </w:r>
    </w:p>
    <w:p>
      <w:pPr>
        <w:spacing w:after="0" w:line="86" w:lineRule="exact"/>
        <w:rPr>
          <w:sz w:val="20"/>
          <w:szCs w:val="20"/>
          <w:color w:val="auto"/>
        </w:rPr>
      </w:pPr>
    </w:p>
    <w:p>
      <w:pPr>
        <w:ind w:left="1760" w:hanging="1409"/>
        <w:spacing w:after="0"/>
        <w:tabs>
          <w:tab w:leader="none" w:pos="1760" w:val="left"/>
        </w:tabs>
        <w:numPr>
          <w:ilvl w:val="0"/>
          <w:numId w:val="13"/>
        </w:numPr>
        <w:rPr>
          <w:rFonts w:ascii="Arial" w:cs="Arial" w:eastAsia="Arial" w:hAnsi="Arial"/>
          <w:sz w:val="15"/>
          <w:szCs w:val="15"/>
          <w:b w:val="1"/>
          <w:bCs w:val="1"/>
          <w:color w:val="auto"/>
        </w:rPr>
      </w:pPr>
      <w:r>
        <w:rPr>
          <w:rFonts w:ascii="Arial" w:cs="Arial" w:eastAsia="Arial" w:hAnsi="Arial"/>
          <w:sz w:val="15"/>
          <w:szCs w:val="15"/>
          <w:b w:val="1"/>
          <w:bCs w:val="1"/>
          <w:color w:val="auto"/>
        </w:rPr>
        <w:t>548</w:t>
      </w:r>
    </w:p>
    <w:p>
      <w:pPr>
        <w:spacing w:after="0" w:line="98" w:lineRule="exact"/>
        <w:rPr>
          <w:sz w:val="20"/>
          <w:szCs w:val="20"/>
          <w:color w:val="auto"/>
        </w:rPr>
      </w:pPr>
    </w:p>
    <w:p>
      <w:pPr>
        <w:ind w:left="1760" w:hanging="1409"/>
        <w:spacing w:after="0"/>
        <w:tabs>
          <w:tab w:leader="none" w:pos="1760" w:val="left"/>
        </w:tabs>
        <w:numPr>
          <w:ilvl w:val="0"/>
          <w:numId w:val="14"/>
        </w:numPr>
        <w:rPr>
          <w:rFonts w:ascii="Arial" w:cs="Arial" w:eastAsia="Arial" w:hAnsi="Arial"/>
          <w:sz w:val="15"/>
          <w:szCs w:val="15"/>
          <w:b w:val="1"/>
          <w:bCs w:val="1"/>
          <w:color w:val="auto"/>
        </w:rPr>
      </w:pPr>
      <w:r>
        <w:rPr>
          <w:rFonts w:ascii="Arial" w:cs="Arial" w:eastAsia="Arial" w:hAnsi="Arial"/>
          <w:sz w:val="15"/>
          <w:szCs w:val="15"/>
          <w:b w:val="1"/>
          <w:bCs w:val="1"/>
          <w:color w:val="auto"/>
        </w:rPr>
        <w:t>273</w:t>
      </w:r>
    </w:p>
    <w:p>
      <w:pPr>
        <w:spacing w:after="0" w:line="98" w:lineRule="exact"/>
        <w:rPr>
          <w:sz w:val="20"/>
          <w:szCs w:val="20"/>
          <w:color w:val="auto"/>
        </w:rPr>
      </w:pPr>
    </w:p>
    <w:tbl>
      <w:tblPr>
        <w:tblLayout w:type="fixed"/>
        <w:tblInd w:w="260" w:type="dxa"/>
        <w:tblCellMar>
          <w:top w:w="0" w:type="dxa"/>
          <w:left w:w="0" w:type="dxa"/>
          <w:bottom w:w="0" w:type="dxa"/>
          <w:right w:w="0" w:type="dxa"/>
        </w:tblCellMar>
      </w:tblPr>
      <w:tr>
        <w:trPr>
          <w:trHeight w:val="210"/>
        </w:trPr>
        <w:tc>
          <w:tcPr>
            <w:tcW w:w="780" w:type="dxa"/>
            <w:vAlign w:val="bottom"/>
          </w:tcPr>
          <w:p>
            <w:pPr>
              <w:jc w:val="right"/>
              <w:ind w:right="519"/>
              <w:spacing w:after="0"/>
              <w:rPr>
                <w:sz w:val="20"/>
                <w:szCs w:val="20"/>
                <w:color w:val="auto"/>
              </w:rPr>
            </w:pPr>
            <w:r>
              <w:rPr>
                <w:rFonts w:ascii="Arial" w:cs="Arial" w:eastAsia="Arial" w:hAnsi="Arial"/>
                <w:sz w:val="16"/>
                <w:szCs w:val="16"/>
                <w:b w:val="1"/>
                <w:bCs w:val="1"/>
                <w:color w:val="auto"/>
              </w:rPr>
              <w:t>1</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37</w:t>
            </w:r>
          </w:p>
        </w:tc>
      </w:tr>
      <w:tr>
        <w:trPr>
          <w:trHeight w:val="270"/>
        </w:trPr>
        <w:tc>
          <w:tcPr>
            <w:tcW w:w="780" w:type="dxa"/>
            <w:vAlign w:val="bottom"/>
          </w:tcPr>
          <w:p>
            <w:pPr>
              <w:jc w:val="right"/>
              <w:ind w:right="519"/>
              <w:spacing w:after="0"/>
              <w:rPr>
                <w:sz w:val="20"/>
                <w:szCs w:val="20"/>
                <w:color w:val="auto"/>
              </w:rPr>
            </w:pPr>
            <w:r>
              <w:rPr>
                <w:rFonts w:ascii="Arial" w:cs="Arial" w:eastAsia="Arial" w:hAnsi="Arial"/>
                <w:sz w:val="16"/>
                <w:szCs w:val="16"/>
                <w:b w:val="1"/>
                <w:bCs w:val="1"/>
                <w:color w:val="auto"/>
                <w:w w:val="89"/>
              </w:rPr>
              <w:t>20</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1,537</w:t>
            </w:r>
          </w:p>
        </w:tc>
      </w:tr>
    </w:tbl>
    <w:p>
      <w:pPr>
        <w:spacing w:after="0" w:line="60" w:lineRule="exact"/>
        <w:rPr>
          <w:sz w:val="20"/>
          <w:szCs w:val="20"/>
          <w:color w:val="auto"/>
        </w:rPr>
      </w:pPr>
    </w:p>
    <w:p>
      <w:pPr>
        <w:ind w:left="1760" w:hanging="1409"/>
        <w:spacing w:after="0"/>
        <w:tabs>
          <w:tab w:leader="none" w:pos="1760" w:val="left"/>
        </w:tabs>
        <w:numPr>
          <w:ilvl w:val="0"/>
          <w:numId w:val="15"/>
        </w:numPr>
        <w:rPr>
          <w:rFonts w:ascii="Arial" w:cs="Arial" w:eastAsia="Arial" w:hAnsi="Arial"/>
          <w:sz w:val="15"/>
          <w:szCs w:val="15"/>
          <w:b w:val="1"/>
          <w:bCs w:val="1"/>
          <w:color w:val="auto"/>
        </w:rPr>
      </w:pPr>
      <w:r>
        <w:rPr>
          <w:rFonts w:ascii="Arial" w:cs="Arial" w:eastAsia="Arial" w:hAnsi="Arial"/>
          <w:sz w:val="15"/>
          <w:szCs w:val="15"/>
          <w:b w:val="1"/>
          <w:bCs w:val="1"/>
          <w:color w:val="auto"/>
        </w:rPr>
        <w:t>194</w:t>
      </w:r>
    </w:p>
    <w:p>
      <w:pPr>
        <w:spacing w:after="0" w:line="98" w:lineRule="exact"/>
        <w:rPr>
          <w:sz w:val="20"/>
          <w:szCs w:val="20"/>
          <w:color w:val="auto"/>
        </w:rPr>
      </w:pPr>
    </w:p>
    <w:p>
      <w:pPr>
        <w:jc w:val="both"/>
        <w:ind w:left="360"/>
        <w:spacing w:after="0"/>
        <w:tabs>
          <w:tab w:leader="none" w:pos="1820" w:val="left"/>
        </w:tabs>
        <w:rPr>
          <w:sz w:val="20"/>
          <w:szCs w:val="20"/>
          <w:color w:val="auto"/>
        </w:rPr>
      </w:pPr>
      <w:r>
        <w:rPr>
          <w:rFonts w:ascii="Arial" w:cs="Arial" w:eastAsia="Arial" w:hAnsi="Arial"/>
          <w:sz w:val="16"/>
          <w:szCs w:val="16"/>
          <w:b w:val="1"/>
          <w:bCs w:val="1"/>
          <w:color w:val="auto"/>
        </w:rPr>
        <w:t>1</w:t>
      </w:r>
      <w:r>
        <w:rPr>
          <w:sz w:val="20"/>
          <w:szCs w:val="20"/>
          <w:color w:val="auto"/>
        </w:rPr>
        <w:tab/>
      </w:r>
      <w:r>
        <w:rPr>
          <w:rFonts w:ascii="Arial" w:cs="Arial" w:eastAsia="Arial" w:hAnsi="Arial"/>
          <w:sz w:val="16"/>
          <w:szCs w:val="16"/>
          <w:b w:val="1"/>
          <w:bCs w:val="1"/>
          <w:color w:val="auto"/>
        </w:rPr>
        <w:t>35</w:t>
      </w:r>
    </w:p>
    <w:p>
      <w:pPr>
        <w:spacing w:after="0" w:line="86" w:lineRule="exact"/>
        <w:rPr>
          <w:sz w:val="20"/>
          <w:szCs w:val="20"/>
          <w:color w:val="auto"/>
        </w:rPr>
      </w:pPr>
    </w:p>
    <w:p>
      <w:pPr>
        <w:ind w:left="1760" w:hanging="1409"/>
        <w:spacing w:after="0"/>
        <w:tabs>
          <w:tab w:leader="none" w:pos="1760" w:val="left"/>
        </w:tabs>
        <w:numPr>
          <w:ilvl w:val="0"/>
          <w:numId w:val="16"/>
        </w:numPr>
        <w:rPr>
          <w:rFonts w:ascii="Arial" w:cs="Arial" w:eastAsia="Arial" w:hAnsi="Arial"/>
          <w:sz w:val="15"/>
          <w:szCs w:val="15"/>
          <w:b w:val="1"/>
          <w:bCs w:val="1"/>
          <w:color w:val="auto"/>
        </w:rPr>
      </w:pPr>
      <w:r>
        <w:rPr>
          <w:rFonts w:ascii="Arial" w:cs="Arial" w:eastAsia="Arial" w:hAnsi="Arial"/>
          <w:sz w:val="15"/>
          <w:szCs w:val="15"/>
          <w:b w:val="1"/>
          <w:bCs w:val="1"/>
          <w:color w:val="auto"/>
        </w:rPr>
        <w:t>254</w:t>
      </w:r>
    </w:p>
    <w:p>
      <w:pPr>
        <w:spacing w:after="0" w:line="98" w:lineRule="exact"/>
        <w:rPr>
          <w:sz w:val="20"/>
          <w:szCs w:val="20"/>
          <w:color w:val="auto"/>
        </w:rPr>
      </w:pPr>
    </w:p>
    <w:tbl>
      <w:tblPr>
        <w:tblLayout w:type="fixed"/>
        <w:tblInd w:w="360" w:type="dxa"/>
        <w:tblCellMar>
          <w:top w:w="0" w:type="dxa"/>
          <w:left w:w="0" w:type="dxa"/>
          <w:bottom w:w="0" w:type="dxa"/>
          <w:right w:w="0" w:type="dxa"/>
        </w:tblCellMar>
      </w:tblPr>
      <w:tr>
        <w:trPr>
          <w:trHeight w:val="210"/>
        </w:trPr>
        <w:tc>
          <w:tcPr>
            <w:tcW w:w="780" w:type="dxa"/>
            <w:vAlign w:val="bottom"/>
          </w:tcPr>
          <w:p>
            <w:pPr>
              <w:jc w:val="right"/>
              <w:ind w:right="624"/>
              <w:spacing w:after="0"/>
              <w:rPr>
                <w:sz w:val="20"/>
                <w:szCs w:val="20"/>
                <w:color w:val="auto"/>
              </w:rPr>
            </w:pPr>
            <w:r>
              <w:rPr>
                <w:rFonts w:ascii="Arial" w:cs="Arial" w:eastAsia="Arial" w:hAnsi="Arial"/>
                <w:sz w:val="15"/>
                <w:szCs w:val="15"/>
                <w:b w:val="1"/>
                <w:bCs w:val="1"/>
                <w:color w:val="auto"/>
                <w:w w:val="71"/>
              </w:rPr>
              <w:t>1</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33</w:t>
            </w:r>
          </w:p>
        </w:tc>
      </w:tr>
      <w:tr>
        <w:trPr>
          <w:trHeight w:val="270"/>
        </w:trPr>
        <w:tc>
          <w:tcPr>
            <w:tcW w:w="780" w:type="dxa"/>
            <w:vAlign w:val="bottom"/>
          </w:tcPr>
          <w:p>
            <w:pPr>
              <w:jc w:val="right"/>
              <w:ind w:right="624"/>
              <w:spacing w:after="0"/>
              <w:rPr>
                <w:sz w:val="20"/>
                <w:szCs w:val="20"/>
                <w:color w:val="auto"/>
              </w:rPr>
            </w:pPr>
            <w:r>
              <w:rPr>
                <w:rFonts w:ascii="Arial" w:cs="Arial" w:eastAsia="Arial" w:hAnsi="Arial"/>
                <w:sz w:val="15"/>
                <w:szCs w:val="15"/>
                <w:b w:val="1"/>
                <w:bCs w:val="1"/>
                <w:color w:val="auto"/>
                <w:w w:val="71"/>
              </w:rPr>
              <w:t>3</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90</w:t>
            </w:r>
          </w:p>
        </w:tc>
      </w:tr>
      <w:tr>
        <w:trPr>
          <w:trHeight w:val="270"/>
        </w:trPr>
        <w:tc>
          <w:tcPr>
            <w:tcW w:w="780" w:type="dxa"/>
            <w:vAlign w:val="bottom"/>
          </w:tcPr>
          <w:p>
            <w:pPr>
              <w:jc w:val="right"/>
              <w:ind w:right="624"/>
              <w:spacing w:after="0"/>
              <w:rPr>
                <w:sz w:val="20"/>
                <w:szCs w:val="20"/>
                <w:color w:val="auto"/>
              </w:rPr>
            </w:pPr>
            <w:r>
              <w:rPr>
                <w:rFonts w:ascii="Arial" w:cs="Arial" w:eastAsia="Arial" w:hAnsi="Arial"/>
                <w:sz w:val="15"/>
                <w:szCs w:val="15"/>
                <w:b w:val="1"/>
                <w:bCs w:val="1"/>
                <w:color w:val="auto"/>
                <w:w w:val="71"/>
              </w:rPr>
              <w:t>1</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30</w:t>
            </w:r>
          </w:p>
        </w:tc>
      </w:tr>
    </w:tbl>
    <w:p>
      <w:pPr>
        <w:spacing w:after="0" w:line="60" w:lineRule="exact"/>
        <w:rPr>
          <w:sz w:val="20"/>
          <w:szCs w:val="20"/>
          <w:color w:val="auto"/>
        </w:rPr>
      </w:pPr>
    </w:p>
    <w:p>
      <w:pPr>
        <w:ind w:left="1760" w:hanging="1409"/>
        <w:spacing w:after="0"/>
        <w:tabs>
          <w:tab w:leader="none" w:pos="1760" w:val="left"/>
        </w:tabs>
        <w:numPr>
          <w:ilvl w:val="0"/>
          <w:numId w:val="17"/>
        </w:numPr>
        <w:rPr>
          <w:rFonts w:ascii="Arial" w:cs="Arial" w:eastAsia="Arial" w:hAnsi="Arial"/>
          <w:sz w:val="15"/>
          <w:szCs w:val="15"/>
          <w:b w:val="1"/>
          <w:bCs w:val="1"/>
          <w:color w:val="auto"/>
        </w:rPr>
      </w:pPr>
      <w:r>
        <w:rPr>
          <w:rFonts w:ascii="Arial" w:cs="Arial" w:eastAsia="Arial" w:hAnsi="Arial"/>
          <w:sz w:val="15"/>
          <w:szCs w:val="15"/>
          <w:b w:val="1"/>
          <w:bCs w:val="1"/>
          <w:color w:val="auto"/>
        </w:rPr>
        <w:t>951</w:t>
      </w:r>
    </w:p>
    <w:p>
      <w:pPr>
        <w:spacing w:after="0" w:line="98" w:lineRule="exact"/>
        <w:rPr>
          <w:sz w:val="20"/>
          <w:szCs w:val="20"/>
          <w:color w:val="auto"/>
        </w:rPr>
      </w:pPr>
    </w:p>
    <w:p>
      <w:pPr>
        <w:jc w:val="both"/>
        <w:ind w:left="260"/>
        <w:spacing w:after="0"/>
        <w:tabs>
          <w:tab w:leader="none" w:pos="1740" w:val="left"/>
        </w:tabs>
        <w:rPr>
          <w:sz w:val="20"/>
          <w:szCs w:val="20"/>
          <w:color w:val="auto"/>
        </w:rPr>
      </w:pPr>
      <w:r>
        <w:rPr>
          <w:rFonts w:ascii="Arial" w:cs="Arial" w:eastAsia="Arial" w:hAnsi="Arial"/>
          <w:sz w:val="16"/>
          <w:szCs w:val="16"/>
          <w:b w:val="1"/>
          <w:bCs w:val="1"/>
          <w:color w:val="auto"/>
        </w:rPr>
        <w:t>12</w:t>
      </w:r>
      <w:r>
        <w:rPr>
          <w:sz w:val="20"/>
          <w:szCs w:val="20"/>
          <w:color w:val="auto"/>
        </w:rPr>
        <w:tab/>
      </w:r>
      <w:r>
        <w:rPr>
          <w:rFonts w:ascii="Arial" w:cs="Arial" w:eastAsia="Arial" w:hAnsi="Arial"/>
          <w:sz w:val="16"/>
          <w:szCs w:val="16"/>
          <w:b w:val="1"/>
          <w:bCs w:val="1"/>
          <w:color w:val="auto"/>
        </w:rPr>
        <w:t>870</w:t>
      </w:r>
    </w:p>
    <w:p>
      <w:pPr>
        <w:spacing w:after="0" w:line="86" w:lineRule="exact"/>
        <w:rPr>
          <w:sz w:val="20"/>
          <w:szCs w:val="20"/>
          <w:color w:val="auto"/>
        </w:rPr>
      </w:pPr>
    </w:p>
    <w:p>
      <w:pPr>
        <w:ind w:left="1760" w:hanging="1409"/>
        <w:spacing w:after="0"/>
        <w:tabs>
          <w:tab w:leader="none" w:pos="1760" w:val="left"/>
        </w:tabs>
        <w:numPr>
          <w:ilvl w:val="0"/>
          <w:numId w:val="18"/>
        </w:numPr>
        <w:rPr>
          <w:rFonts w:ascii="Arial" w:cs="Arial" w:eastAsia="Arial" w:hAnsi="Arial"/>
          <w:sz w:val="15"/>
          <w:szCs w:val="15"/>
          <w:b w:val="1"/>
          <w:bCs w:val="1"/>
          <w:color w:val="auto"/>
        </w:rPr>
      </w:pPr>
      <w:r>
        <w:rPr>
          <w:rFonts w:ascii="Arial" w:cs="Arial" w:eastAsia="Arial" w:hAnsi="Arial"/>
          <w:sz w:val="15"/>
          <w:szCs w:val="15"/>
          <w:b w:val="1"/>
          <w:bCs w:val="1"/>
          <w:color w:val="auto"/>
        </w:rPr>
        <w:t>730</w:t>
      </w:r>
    </w:p>
    <w:p>
      <w:pPr>
        <w:spacing w:after="0" w:line="98" w:lineRule="exact"/>
        <w:rPr>
          <w:sz w:val="20"/>
          <w:szCs w:val="20"/>
          <w:color w:val="auto"/>
        </w:rPr>
      </w:pPr>
    </w:p>
    <w:p>
      <w:pPr>
        <w:ind w:left="1760" w:hanging="1409"/>
        <w:spacing w:after="0"/>
        <w:tabs>
          <w:tab w:leader="none" w:pos="1760" w:val="left"/>
        </w:tabs>
        <w:numPr>
          <w:ilvl w:val="0"/>
          <w:numId w:val="19"/>
        </w:numPr>
        <w:rPr>
          <w:rFonts w:ascii="Arial" w:cs="Arial" w:eastAsia="Arial" w:hAnsi="Arial"/>
          <w:sz w:val="15"/>
          <w:szCs w:val="15"/>
          <w:b w:val="1"/>
          <w:bCs w:val="1"/>
          <w:color w:val="auto"/>
        </w:rPr>
      </w:pPr>
      <w:r>
        <w:rPr>
          <w:rFonts w:ascii="Arial" w:cs="Arial" w:eastAsia="Arial" w:hAnsi="Arial"/>
          <w:sz w:val="15"/>
          <w:szCs w:val="15"/>
          <w:b w:val="1"/>
          <w:bCs w:val="1"/>
          <w:color w:val="auto"/>
        </w:rPr>
        <w:t>553</w:t>
      </w:r>
    </w:p>
    <w:p>
      <w:pPr>
        <w:spacing w:after="0" w:line="98" w:lineRule="exact"/>
        <w:rPr>
          <w:sz w:val="20"/>
          <w:szCs w:val="20"/>
          <w:color w:val="auto"/>
        </w:rPr>
      </w:pPr>
    </w:p>
    <w:p>
      <w:pPr>
        <w:ind w:left="1780" w:hanging="1429"/>
        <w:spacing w:after="0"/>
        <w:tabs>
          <w:tab w:leader="none" w:pos="1780" w:val="left"/>
        </w:tabs>
        <w:numPr>
          <w:ilvl w:val="0"/>
          <w:numId w:val="20"/>
        </w:numPr>
        <w:rPr>
          <w:rFonts w:ascii="Arial" w:cs="Arial" w:eastAsia="Arial" w:hAnsi="Arial"/>
          <w:sz w:val="14"/>
          <w:szCs w:val="14"/>
          <w:b w:val="1"/>
          <w:bCs w:val="1"/>
          <w:color w:val="auto"/>
        </w:rPr>
      </w:pPr>
      <w:r>
        <w:rPr>
          <w:rFonts w:ascii="Arial" w:cs="Arial" w:eastAsia="Arial" w:hAnsi="Arial"/>
          <w:sz w:val="14"/>
          <w:szCs w:val="14"/>
          <w:b w:val="1"/>
          <w:bCs w:val="1"/>
          <w:color w:val="auto"/>
        </w:rPr>
        <w:t>411</w:t>
      </w:r>
    </w:p>
    <w:p>
      <w:pPr>
        <w:spacing w:after="0" w:line="109" w:lineRule="exact"/>
        <w:rPr>
          <w:rFonts w:ascii="Arial" w:cs="Arial" w:eastAsia="Arial" w:hAnsi="Arial"/>
          <w:sz w:val="14"/>
          <w:szCs w:val="14"/>
          <w:b w:val="1"/>
          <w:bCs w:val="1"/>
          <w:color w:val="auto"/>
        </w:rPr>
      </w:pPr>
    </w:p>
    <w:p>
      <w:pPr>
        <w:ind w:left="1760" w:hanging="1409"/>
        <w:spacing w:after="0"/>
        <w:tabs>
          <w:tab w:leader="none" w:pos="1760" w:val="left"/>
        </w:tabs>
        <w:numPr>
          <w:ilvl w:val="0"/>
          <w:numId w:val="20"/>
        </w:numPr>
        <w:rPr>
          <w:rFonts w:ascii="Arial" w:cs="Arial" w:eastAsia="Arial" w:hAnsi="Arial"/>
          <w:sz w:val="15"/>
          <w:szCs w:val="15"/>
          <w:b w:val="1"/>
          <w:bCs w:val="1"/>
          <w:color w:val="auto"/>
        </w:rPr>
      </w:pPr>
      <w:r>
        <w:rPr>
          <w:rFonts w:ascii="Arial" w:cs="Arial" w:eastAsia="Arial" w:hAnsi="Arial"/>
          <w:sz w:val="15"/>
          <w:szCs w:val="15"/>
          <w:b w:val="1"/>
          <w:bCs w:val="1"/>
          <w:color w:val="auto"/>
        </w:rPr>
        <w:t>308</w:t>
      </w:r>
    </w:p>
    <w:p>
      <w:pPr>
        <w:spacing w:after="0" w:line="98" w:lineRule="exact"/>
        <w:rPr>
          <w:sz w:val="20"/>
          <w:szCs w:val="20"/>
          <w:color w:val="auto"/>
        </w:rPr>
      </w:pPr>
    </w:p>
    <w:tbl>
      <w:tblPr>
        <w:tblLayout w:type="fixed"/>
        <w:tblInd w:w="260" w:type="dxa"/>
        <w:tblCellMar>
          <w:top w:w="0" w:type="dxa"/>
          <w:left w:w="0" w:type="dxa"/>
          <w:bottom w:w="0" w:type="dxa"/>
          <w:right w:w="0" w:type="dxa"/>
        </w:tblCellMar>
      </w:tblPr>
      <w:tr>
        <w:trPr>
          <w:trHeight w:val="210"/>
        </w:trPr>
        <w:tc>
          <w:tcPr>
            <w:tcW w:w="780" w:type="dxa"/>
            <w:vAlign w:val="bottom"/>
          </w:tcPr>
          <w:p>
            <w:pPr>
              <w:jc w:val="right"/>
              <w:ind w:right="519"/>
              <w:spacing w:after="0"/>
              <w:rPr>
                <w:sz w:val="20"/>
                <w:szCs w:val="20"/>
                <w:color w:val="auto"/>
              </w:rPr>
            </w:pPr>
            <w:r>
              <w:rPr>
                <w:rFonts w:ascii="Arial" w:cs="Arial" w:eastAsia="Arial" w:hAnsi="Arial"/>
                <w:sz w:val="16"/>
                <w:szCs w:val="16"/>
                <w:b w:val="1"/>
                <w:bCs w:val="1"/>
                <w:color w:val="auto"/>
                <w:w w:val="89"/>
              </w:rPr>
              <w:t>12</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1,239</w:t>
            </w:r>
          </w:p>
        </w:tc>
      </w:tr>
      <w:tr>
        <w:trPr>
          <w:trHeight w:val="270"/>
        </w:trPr>
        <w:tc>
          <w:tcPr>
            <w:tcW w:w="780" w:type="dxa"/>
            <w:vAlign w:val="bottom"/>
          </w:tcPr>
          <w:p>
            <w:pPr>
              <w:jc w:val="right"/>
              <w:ind w:right="519"/>
              <w:spacing w:after="0"/>
              <w:rPr>
                <w:sz w:val="20"/>
                <w:szCs w:val="20"/>
                <w:color w:val="auto"/>
              </w:rPr>
            </w:pPr>
            <w:r>
              <w:rPr>
                <w:rFonts w:ascii="Arial" w:cs="Arial" w:eastAsia="Arial" w:hAnsi="Arial"/>
                <w:sz w:val="16"/>
                <w:szCs w:val="16"/>
                <w:b w:val="1"/>
                <w:bCs w:val="1"/>
                <w:color w:val="auto"/>
              </w:rPr>
              <w:t>1</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34</w:t>
            </w:r>
          </w:p>
        </w:tc>
      </w:tr>
      <w:tr>
        <w:trPr>
          <w:trHeight w:val="270"/>
        </w:trPr>
        <w:tc>
          <w:tcPr>
            <w:tcW w:w="780" w:type="dxa"/>
            <w:vAlign w:val="bottom"/>
          </w:tcPr>
          <w:p>
            <w:pPr>
              <w:jc w:val="right"/>
              <w:ind w:right="519"/>
              <w:spacing w:after="0"/>
              <w:rPr>
                <w:sz w:val="20"/>
                <w:szCs w:val="20"/>
                <w:color w:val="auto"/>
              </w:rPr>
            </w:pPr>
            <w:r>
              <w:rPr>
                <w:rFonts w:ascii="Arial" w:cs="Arial" w:eastAsia="Arial" w:hAnsi="Arial"/>
                <w:sz w:val="16"/>
                <w:szCs w:val="16"/>
                <w:b w:val="1"/>
                <w:bCs w:val="1"/>
                <w:color w:val="auto"/>
                <w:w w:val="89"/>
              </w:rPr>
              <w:t>16</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933</w:t>
            </w:r>
          </w:p>
        </w:tc>
      </w:tr>
    </w:tbl>
    <w:p>
      <w:pPr>
        <w:spacing w:after="0" w:line="60" w:lineRule="exact"/>
        <w:rPr>
          <w:sz w:val="20"/>
          <w:szCs w:val="20"/>
          <w:color w:val="auto"/>
        </w:rPr>
      </w:pPr>
    </w:p>
    <w:p>
      <w:pPr>
        <w:ind w:left="1760" w:hanging="1409"/>
        <w:spacing w:after="0"/>
        <w:tabs>
          <w:tab w:leader="none" w:pos="1760" w:val="left"/>
        </w:tabs>
        <w:numPr>
          <w:ilvl w:val="0"/>
          <w:numId w:val="21"/>
        </w:numPr>
        <w:rPr>
          <w:rFonts w:ascii="Arial" w:cs="Arial" w:eastAsia="Arial" w:hAnsi="Arial"/>
          <w:sz w:val="15"/>
          <w:szCs w:val="15"/>
          <w:b w:val="1"/>
          <w:bCs w:val="1"/>
          <w:color w:val="auto"/>
        </w:rPr>
      </w:pPr>
      <w:r>
        <w:rPr>
          <w:rFonts w:ascii="Arial" w:cs="Arial" w:eastAsia="Arial" w:hAnsi="Arial"/>
          <w:sz w:val="15"/>
          <w:szCs w:val="15"/>
          <w:b w:val="1"/>
          <w:bCs w:val="1"/>
          <w:color w:val="auto"/>
        </w:rPr>
        <w:t>374</w:t>
      </w:r>
    </w:p>
    <w:p>
      <w:pPr>
        <w:spacing w:after="0" w:line="98" w:lineRule="exact"/>
        <w:rPr>
          <w:sz w:val="20"/>
          <w:szCs w:val="20"/>
          <w:color w:val="auto"/>
        </w:rPr>
      </w:pPr>
    </w:p>
    <w:p>
      <w:pPr>
        <w:ind w:left="1760" w:hanging="1409"/>
        <w:spacing w:after="0"/>
        <w:tabs>
          <w:tab w:leader="none" w:pos="1760" w:val="left"/>
        </w:tabs>
        <w:numPr>
          <w:ilvl w:val="0"/>
          <w:numId w:val="22"/>
        </w:numPr>
        <w:rPr>
          <w:rFonts w:ascii="Arial" w:cs="Arial" w:eastAsia="Arial" w:hAnsi="Arial"/>
          <w:sz w:val="15"/>
          <w:szCs w:val="15"/>
          <w:b w:val="1"/>
          <w:bCs w:val="1"/>
          <w:color w:val="auto"/>
        </w:rPr>
      </w:pPr>
      <w:r>
        <w:rPr>
          <w:rFonts w:ascii="Arial" w:cs="Arial" w:eastAsia="Arial" w:hAnsi="Arial"/>
          <w:sz w:val="15"/>
          <w:szCs w:val="15"/>
          <w:b w:val="1"/>
          <w:bCs w:val="1"/>
          <w:color w:val="auto"/>
        </w:rPr>
        <w:t>773</w:t>
      </w:r>
    </w:p>
    <w:p>
      <w:pPr>
        <w:spacing w:after="0" w:line="98" w:lineRule="exact"/>
        <w:rPr>
          <w:sz w:val="20"/>
          <w:szCs w:val="20"/>
          <w:color w:val="auto"/>
        </w:rPr>
      </w:pPr>
    </w:p>
    <w:tbl>
      <w:tblPr>
        <w:tblLayout w:type="fixed"/>
        <w:tblInd w:w="260" w:type="dxa"/>
        <w:tblCellMar>
          <w:top w:w="0" w:type="dxa"/>
          <w:left w:w="0" w:type="dxa"/>
          <w:bottom w:w="0" w:type="dxa"/>
          <w:right w:w="0" w:type="dxa"/>
        </w:tblCellMar>
      </w:tblPr>
      <w:tr>
        <w:trPr>
          <w:trHeight w:val="210"/>
        </w:trPr>
        <w:tc>
          <w:tcPr>
            <w:tcW w:w="840" w:type="dxa"/>
            <w:vAlign w:val="bottom"/>
          </w:tcPr>
          <w:p>
            <w:pPr>
              <w:jc w:val="right"/>
              <w:ind w:right="579"/>
              <w:spacing w:after="0"/>
              <w:rPr>
                <w:sz w:val="20"/>
                <w:szCs w:val="20"/>
                <w:color w:val="auto"/>
              </w:rPr>
            </w:pPr>
            <w:r>
              <w:rPr>
                <w:rFonts w:ascii="Arial" w:cs="Arial" w:eastAsia="Arial" w:hAnsi="Arial"/>
                <w:sz w:val="16"/>
                <w:szCs w:val="16"/>
                <w:b w:val="1"/>
                <w:bCs w:val="1"/>
                <w:color w:val="auto"/>
              </w:rPr>
              <w:t>2</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67</w:t>
            </w:r>
          </w:p>
        </w:tc>
      </w:tr>
      <w:tr>
        <w:trPr>
          <w:trHeight w:val="270"/>
        </w:trPr>
        <w:tc>
          <w:tcPr>
            <w:tcW w:w="840" w:type="dxa"/>
            <w:vAlign w:val="bottom"/>
          </w:tcPr>
          <w:p>
            <w:pPr>
              <w:jc w:val="right"/>
              <w:ind w:right="579"/>
              <w:spacing w:after="0"/>
              <w:rPr>
                <w:sz w:val="20"/>
                <w:szCs w:val="20"/>
                <w:color w:val="auto"/>
              </w:rPr>
            </w:pPr>
            <w:r>
              <w:rPr>
                <w:rFonts w:ascii="Arial" w:cs="Arial" w:eastAsia="Arial" w:hAnsi="Arial"/>
                <w:sz w:val="16"/>
                <w:szCs w:val="16"/>
                <w:b w:val="1"/>
                <w:bCs w:val="1"/>
                <w:color w:val="auto"/>
                <w:w w:val="89"/>
              </w:rPr>
              <w:t>10</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773</w:t>
            </w:r>
          </w:p>
        </w:tc>
      </w:tr>
    </w:tbl>
    <w:p>
      <w:pPr>
        <w:spacing w:after="0" w:line="60" w:lineRule="exact"/>
        <w:rPr>
          <w:sz w:val="20"/>
          <w:szCs w:val="20"/>
          <w:color w:val="auto"/>
        </w:rPr>
      </w:pPr>
    </w:p>
    <w:p>
      <w:pPr>
        <w:ind w:left="1760" w:hanging="1409"/>
        <w:spacing w:after="0"/>
        <w:tabs>
          <w:tab w:leader="none" w:pos="1760" w:val="left"/>
        </w:tabs>
        <w:numPr>
          <w:ilvl w:val="0"/>
          <w:numId w:val="23"/>
        </w:numPr>
        <w:rPr>
          <w:rFonts w:ascii="Arial" w:cs="Arial" w:eastAsia="Arial" w:hAnsi="Arial"/>
          <w:sz w:val="15"/>
          <w:szCs w:val="15"/>
          <w:b w:val="1"/>
          <w:bCs w:val="1"/>
          <w:color w:val="auto"/>
        </w:rPr>
      </w:pPr>
      <w:r>
        <w:rPr>
          <w:rFonts w:ascii="Arial" w:cs="Arial" w:eastAsia="Arial" w:hAnsi="Arial"/>
          <w:sz w:val="15"/>
          <w:szCs w:val="15"/>
          <w:b w:val="1"/>
          <w:bCs w:val="1"/>
          <w:color w:val="auto"/>
        </w:rPr>
        <w:t>595</w:t>
      </w:r>
    </w:p>
    <w:p>
      <w:pPr>
        <w:spacing w:after="0" w:line="98" w:lineRule="exact"/>
        <w:rPr>
          <w:sz w:val="20"/>
          <w:szCs w:val="20"/>
          <w:color w:val="auto"/>
        </w:rPr>
      </w:pPr>
    </w:p>
    <w:p>
      <w:pPr>
        <w:ind w:left="1760" w:hanging="1409"/>
        <w:spacing w:after="0"/>
        <w:tabs>
          <w:tab w:leader="none" w:pos="1760" w:val="left"/>
        </w:tabs>
        <w:numPr>
          <w:ilvl w:val="0"/>
          <w:numId w:val="24"/>
        </w:numPr>
        <w:rPr>
          <w:rFonts w:ascii="Arial" w:cs="Arial" w:eastAsia="Arial" w:hAnsi="Arial"/>
          <w:sz w:val="15"/>
          <w:szCs w:val="15"/>
          <w:b w:val="1"/>
          <w:bCs w:val="1"/>
          <w:color w:val="auto"/>
        </w:rPr>
      </w:pPr>
      <w:r>
        <w:rPr>
          <w:rFonts w:ascii="Arial" w:cs="Arial" w:eastAsia="Arial" w:hAnsi="Arial"/>
          <w:sz w:val="15"/>
          <w:szCs w:val="15"/>
          <w:b w:val="1"/>
          <w:bCs w:val="1"/>
          <w:color w:val="auto"/>
        </w:rPr>
        <w:t>143</w:t>
      </w:r>
    </w:p>
    <w:p>
      <w:pPr>
        <w:spacing w:after="0" w:line="98" w:lineRule="exact"/>
        <w:rPr>
          <w:sz w:val="20"/>
          <w:szCs w:val="20"/>
          <w:color w:val="auto"/>
        </w:rPr>
      </w:pPr>
    </w:p>
    <w:p>
      <w:pPr>
        <w:ind w:left="1760" w:hanging="1409"/>
        <w:spacing w:after="0"/>
        <w:tabs>
          <w:tab w:leader="none" w:pos="1760" w:val="left"/>
        </w:tabs>
        <w:numPr>
          <w:ilvl w:val="0"/>
          <w:numId w:val="25"/>
        </w:numPr>
        <w:rPr>
          <w:rFonts w:ascii="Arial" w:cs="Arial" w:eastAsia="Arial" w:hAnsi="Arial"/>
          <w:sz w:val="15"/>
          <w:szCs w:val="15"/>
          <w:b w:val="1"/>
          <w:bCs w:val="1"/>
          <w:color w:val="auto"/>
        </w:rPr>
      </w:pPr>
      <w:r>
        <w:rPr>
          <w:rFonts w:ascii="Arial" w:cs="Arial" w:eastAsia="Arial" w:hAnsi="Arial"/>
          <w:sz w:val="15"/>
          <w:szCs w:val="15"/>
          <w:b w:val="1"/>
          <w:bCs w:val="1"/>
          <w:color w:val="auto"/>
        </w:rPr>
        <w:t>244</w:t>
      </w:r>
    </w:p>
    <w:p>
      <w:pPr>
        <w:spacing w:after="0" w:line="98" w:lineRule="exact"/>
        <w:rPr>
          <w:sz w:val="20"/>
          <w:szCs w:val="20"/>
          <w:color w:val="auto"/>
        </w:rPr>
      </w:pPr>
    </w:p>
    <w:p>
      <w:pPr>
        <w:ind w:left="1760" w:hanging="1409"/>
        <w:spacing w:after="0"/>
        <w:tabs>
          <w:tab w:leader="none" w:pos="1760" w:val="left"/>
        </w:tabs>
        <w:numPr>
          <w:ilvl w:val="0"/>
          <w:numId w:val="26"/>
        </w:numPr>
        <w:rPr>
          <w:rFonts w:ascii="Arial" w:cs="Arial" w:eastAsia="Arial" w:hAnsi="Arial"/>
          <w:sz w:val="15"/>
          <w:szCs w:val="15"/>
          <w:b w:val="1"/>
          <w:bCs w:val="1"/>
          <w:color w:val="auto"/>
        </w:rPr>
      </w:pPr>
      <w:r>
        <w:rPr>
          <w:rFonts w:ascii="Arial" w:cs="Arial" w:eastAsia="Arial" w:hAnsi="Arial"/>
          <w:sz w:val="15"/>
          <w:szCs w:val="15"/>
          <w:b w:val="1"/>
          <w:bCs w:val="1"/>
          <w:color w:val="auto"/>
        </w:rPr>
        <w:t>104</w:t>
      </w:r>
    </w:p>
    <w:p>
      <w:pPr>
        <w:spacing w:after="0" w:line="98" w:lineRule="exact"/>
        <w:rPr>
          <w:sz w:val="20"/>
          <w:szCs w:val="20"/>
          <w:color w:val="auto"/>
        </w:rPr>
      </w:pPr>
    </w:p>
    <w:p>
      <w:pPr>
        <w:ind w:left="1760" w:hanging="1409"/>
        <w:spacing w:after="0"/>
        <w:tabs>
          <w:tab w:leader="none" w:pos="1760" w:val="left"/>
        </w:tabs>
        <w:numPr>
          <w:ilvl w:val="0"/>
          <w:numId w:val="27"/>
        </w:numPr>
        <w:rPr>
          <w:rFonts w:ascii="Arial" w:cs="Arial" w:eastAsia="Arial" w:hAnsi="Arial"/>
          <w:sz w:val="15"/>
          <w:szCs w:val="15"/>
          <w:b w:val="1"/>
          <w:bCs w:val="1"/>
          <w:color w:val="auto"/>
        </w:rPr>
      </w:pPr>
      <w:r>
        <w:rPr>
          <w:rFonts w:ascii="Arial" w:cs="Arial" w:eastAsia="Arial" w:hAnsi="Arial"/>
          <w:sz w:val="15"/>
          <w:szCs w:val="15"/>
          <w:b w:val="1"/>
          <w:bCs w:val="1"/>
          <w:color w:val="auto"/>
        </w:rPr>
        <w:t>214</w:t>
      </w:r>
    </w:p>
    <w:p>
      <w:pPr>
        <w:spacing w:after="0" w:line="98" w:lineRule="exact"/>
        <w:rPr>
          <w:sz w:val="20"/>
          <w:szCs w:val="20"/>
          <w:color w:val="auto"/>
        </w:rPr>
      </w:pPr>
    </w:p>
    <w:p>
      <w:pPr>
        <w:jc w:val="both"/>
        <w:ind w:left="260"/>
        <w:spacing w:after="0"/>
        <w:tabs>
          <w:tab w:leader="none" w:pos="1620" w:val="left"/>
        </w:tabs>
        <w:rPr>
          <w:sz w:val="20"/>
          <w:szCs w:val="20"/>
          <w:color w:val="auto"/>
        </w:rPr>
      </w:pPr>
      <w:r>
        <w:rPr>
          <w:rFonts w:ascii="Arial" w:cs="Arial" w:eastAsia="Arial" w:hAnsi="Arial"/>
          <w:sz w:val="16"/>
          <w:szCs w:val="16"/>
          <w:b w:val="1"/>
          <w:bCs w:val="1"/>
          <w:color w:val="auto"/>
        </w:rPr>
        <w:t>27</w:t>
      </w:r>
      <w:r>
        <w:rPr>
          <w:sz w:val="20"/>
          <w:szCs w:val="20"/>
          <w:color w:val="auto"/>
        </w:rPr>
        <w:tab/>
      </w:r>
      <w:r>
        <w:rPr>
          <w:rFonts w:ascii="Arial" w:cs="Arial" w:eastAsia="Arial" w:hAnsi="Arial"/>
          <w:sz w:val="16"/>
          <w:szCs w:val="16"/>
          <w:b w:val="1"/>
          <w:bCs w:val="1"/>
          <w:color w:val="auto"/>
        </w:rPr>
        <w:t>2,166</w:t>
      </w:r>
    </w:p>
    <w:p>
      <w:pPr>
        <w:spacing w:after="0" w:line="86" w:lineRule="exact"/>
        <w:rPr>
          <w:sz w:val="20"/>
          <w:szCs w:val="20"/>
          <w:color w:val="auto"/>
        </w:rPr>
      </w:pPr>
    </w:p>
    <w:p>
      <w:pPr>
        <w:ind w:left="1760" w:hanging="1409"/>
        <w:spacing w:after="0"/>
        <w:tabs>
          <w:tab w:leader="none" w:pos="1760" w:val="left"/>
        </w:tabs>
        <w:numPr>
          <w:ilvl w:val="0"/>
          <w:numId w:val="28"/>
        </w:numPr>
        <w:rPr>
          <w:rFonts w:ascii="Arial" w:cs="Arial" w:eastAsia="Arial" w:hAnsi="Arial"/>
          <w:sz w:val="15"/>
          <w:szCs w:val="15"/>
          <w:b w:val="1"/>
          <w:bCs w:val="1"/>
          <w:color w:val="auto"/>
        </w:rPr>
      </w:pPr>
      <w:r>
        <w:rPr>
          <w:rFonts w:ascii="Arial" w:cs="Arial" w:eastAsia="Arial" w:hAnsi="Arial"/>
          <w:sz w:val="15"/>
          <w:szCs w:val="15"/>
          <w:b w:val="1"/>
          <w:bCs w:val="1"/>
          <w:color w:val="auto"/>
        </w:rPr>
        <w:t>403</w:t>
      </w:r>
    </w:p>
    <w:p>
      <w:pPr>
        <w:spacing w:after="0" w:line="98" w:lineRule="exact"/>
        <w:rPr>
          <w:sz w:val="20"/>
          <w:szCs w:val="20"/>
          <w:color w:val="auto"/>
        </w:rPr>
      </w:pPr>
    </w:p>
    <w:tbl>
      <w:tblPr>
        <w:tblLayout w:type="fixed"/>
        <w:tblInd w:w="260" w:type="dxa"/>
        <w:tblCellMar>
          <w:top w:w="0" w:type="dxa"/>
          <w:left w:w="0" w:type="dxa"/>
          <w:bottom w:w="0" w:type="dxa"/>
          <w:right w:w="0" w:type="dxa"/>
        </w:tblCellMar>
      </w:tblPr>
      <w:tr>
        <w:trPr>
          <w:trHeight w:val="210"/>
        </w:trPr>
        <w:tc>
          <w:tcPr>
            <w:tcW w:w="780" w:type="dxa"/>
            <w:vAlign w:val="bottom"/>
          </w:tcPr>
          <w:p>
            <w:pPr>
              <w:jc w:val="right"/>
              <w:ind w:right="519"/>
              <w:spacing w:after="0"/>
              <w:rPr>
                <w:sz w:val="20"/>
                <w:szCs w:val="20"/>
                <w:color w:val="auto"/>
              </w:rPr>
            </w:pPr>
            <w:r>
              <w:rPr>
                <w:rFonts w:ascii="Arial" w:cs="Arial" w:eastAsia="Arial" w:hAnsi="Arial"/>
                <w:sz w:val="16"/>
                <w:szCs w:val="16"/>
                <w:b w:val="1"/>
                <w:bCs w:val="1"/>
                <w:color w:val="auto"/>
                <w:w w:val="89"/>
              </w:rPr>
              <w:t>11</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1,014</w:t>
            </w:r>
          </w:p>
        </w:tc>
      </w:tr>
      <w:tr>
        <w:trPr>
          <w:trHeight w:val="270"/>
        </w:trPr>
        <w:tc>
          <w:tcPr>
            <w:tcW w:w="780" w:type="dxa"/>
            <w:vAlign w:val="bottom"/>
          </w:tcPr>
          <w:p>
            <w:pPr>
              <w:jc w:val="right"/>
              <w:ind w:right="519"/>
              <w:spacing w:after="0"/>
              <w:rPr>
                <w:sz w:val="20"/>
                <w:szCs w:val="20"/>
                <w:color w:val="auto"/>
              </w:rPr>
            </w:pPr>
            <w:r>
              <w:rPr>
                <w:rFonts w:ascii="Arial" w:cs="Arial" w:eastAsia="Arial" w:hAnsi="Arial"/>
                <w:sz w:val="16"/>
                <w:szCs w:val="16"/>
                <w:b w:val="1"/>
                <w:bCs w:val="1"/>
                <w:color w:val="auto"/>
                <w:w w:val="89"/>
              </w:rPr>
              <w:t>16</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1,746</w:t>
            </w:r>
          </w:p>
        </w:tc>
      </w:tr>
    </w:tbl>
    <w:p>
      <w:pPr>
        <w:spacing w:after="0" w:line="60" w:lineRule="exact"/>
        <w:rPr>
          <w:sz w:val="20"/>
          <w:szCs w:val="20"/>
          <w:color w:val="auto"/>
        </w:rPr>
      </w:pPr>
    </w:p>
    <w:p>
      <w:pPr>
        <w:ind w:left="1780" w:hanging="1429"/>
        <w:spacing w:after="0"/>
        <w:tabs>
          <w:tab w:leader="none" w:pos="1780" w:val="left"/>
        </w:tabs>
        <w:numPr>
          <w:ilvl w:val="0"/>
          <w:numId w:val="29"/>
        </w:numPr>
        <w:rPr>
          <w:rFonts w:ascii="Arial" w:cs="Arial" w:eastAsia="Arial" w:hAnsi="Arial"/>
          <w:sz w:val="14"/>
          <w:szCs w:val="14"/>
          <w:b w:val="1"/>
          <w:bCs w:val="1"/>
          <w:color w:val="auto"/>
        </w:rPr>
      </w:pPr>
      <w:r>
        <w:rPr>
          <w:rFonts w:ascii="Arial" w:cs="Arial" w:eastAsia="Arial" w:hAnsi="Arial"/>
          <w:sz w:val="14"/>
          <w:szCs w:val="14"/>
          <w:b w:val="1"/>
          <w:bCs w:val="1"/>
          <w:color w:val="auto"/>
        </w:rPr>
        <w:t>115</w:t>
      </w:r>
    </w:p>
    <w:p>
      <w:pPr>
        <w:spacing w:after="0" w:line="109" w:lineRule="exact"/>
        <w:rPr>
          <w:sz w:val="20"/>
          <w:szCs w:val="20"/>
          <w:color w:val="auto"/>
        </w:rPr>
      </w:pPr>
    </w:p>
    <w:p>
      <w:pPr>
        <w:ind w:left="1760" w:hanging="1409"/>
        <w:spacing w:after="0"/>
        <w:tabs>
          <w:tab w:leader="none" w:pos="1760" w:val="left"/>
        </w:tabs>
        <w:numPr>
          <w:ilvl w:val="0"/>
          <w:numId w:val="30"/>
        </w:numPr>
        <w:rPr>
          <w:rFonts w:ascii="Arial" w:cs="Arial" w:eastAsia="Arial" w:hAnsi="Arial"/>
          <w:sz w:val="15"/>
          <w:szCs w:val="15"/>
          <w:b w:val="1"/>
          <w:bCs w:val="1"/>
          <w:color w:val="auto"/>
        </w:rPr>
      </w:pPr>
      <w:r>
        <w:rPr>
          <w:rFonts w:ascii="Arial" w:cs="Arial" w:eastAsia="Arial" w:hAnsi="Arial"/>
          <w:sz w:val="15"/>
          <w:szCs w:val="15"/>
          <w:b w:val="1"/>
          <w:bCs w:val="1"/>
          <w:color w:val="auto"/>
        </w:rPr>
        <w:t>217</w:t>
      </w:r>
    </w:p>
    <w:p>
      <w:pPr>
        <w:spacing w:after="0" w:line="368" w:lineRule="exact"/>
        <w:rPr>
          <w:sz w:val="20"/>
          <w:szCs w:val="20"/>
          <w:color w:val="auto"/>
        </w:rPr>
      </w:pPr>
    </w:p>
    <w:p>
      <w:pPr>
        <w:sectPr>
          <w:pgSz w:w="11900" w:h="16838" w:orient="portrait"/>
          <w:cols w:equalWidth="0" w:num="3">
            <w:col w:w="5980" w:space="460"/>
            <w:col w:w="2180" w:space="680"/>
            <w:col w:w="2120"/>
          </w:cols>
          <w:pgMar w:left="240" w:top="126" w:right="239" w:bottom="33" w:gutter="0" w:footer="0" w:header="0"/>
          <w:type w:val="continuous"/>
        </w:sectPr>
      </w:pP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340" w:type="dxa"/>
            <w:vAlign w:val="bottom"/>
            <w:gridSpan w:val="2"/>
          </w:tcPr>
          <w:p>
            <w:pPr>
              <w:ind w:left="280"/>
              <w:spacing w:after="0"/>
              <w:rPr>
                <w:sz w:val="20"/>
                <w:szCs w:val="20"/>
                <w:color w:val="auto"/>
              </w:rPr>
            </w:pPr>
            <w:r>
              <w:rPr>
                <w:rFonts w:ascii="Arial" w:cs="Arial" w:eastAsia="Arial" w:hAnsi="Arial"/>
                <w:sz w:val="16"/>
                <w:szCs w:val="16"/>
                <w:color w:val="auto"/>
              </w:rPr>
              <w:t>Alberta</w:t>
            </w:r>
          </w:p>
        </w:tc>
        <w:tc>
          <w:tcPr>
            <w:tcW w:w="1480" w:type="dxa"/>
            <w:vAlign w:val="bottom"/>
          </w:tcPr>
          <w:p>
            <w:pPr>
              <w:jc w:val="right"/>
              <w:ind w:right="499"/>
              <w:spacing w:after="0"/>
              <w:rPr>
                <w:sz w:val="20"/>
                <w:szCs w:val="20"/>
                <w:color w:val="auto"/>
              </w:rPr>
            </w:pPr>
            <w:r>
              <w:rPr>
                <w:rFonts w:ascii="Arial" w:cs="Arial" w:eastAsia="Arial" w:hAnsi="Arial"/>
                <w:sz w:val="16"/>
                <w:szCs w:val="16"/>
                <w:color w:val="auto"/>
              </w:rPr>
              <w:t>1</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142</w:t>
            </w:r>
          </w:p>
        </w:tc>
        <w:tc>
          <w:tcPr>
            <w:tcW w:w="120" w:type="dxa"/>
            <w:vAlign w:val="bottom"/>
          </w:tcPr>
          <w:p>
            <w:pPr>
              <w:spacing w:after="0"/>
              <w:rPr>
                <w:sz w:val="19"/>
                <w:szCs w:val="19"/>
                <w:color w:val="auto"/>
              </w:rPr>
            </w:pPr>
          </w:p>
        </w:tc>
        <w:tc>
          <w:tcPr>
            <w:tcW w:w="1540" w:type="dxa"/>
            <w:vAlign w:val="bottom"/>
          </w:tcPr>
          <w:p>
            <w:pPr>
              <w:jc w:val="right"/>
              <w:ind w:right="5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3340" w:type="dxa"/>
            <w:vAlign w:val="bottom"/>
            <w:gridSpan w:val="2"/>
          </w:tcPr>
          <w:p>
            <w:pPr>
              <w:ind w:left="280"/>
              <w:spacing w:after="0"/>
              <w:rPr>
                <w:sz w:val="20"/>
                <w:szCs w:val="20"/>
                <w:color w:val="auto"/>
              </w:rPr>
            </w:pPr>
            <w:r>
              <w:rPr>
                <w:rFonts w:ascii="Arial" w:cs="Arial" w:eastAsia="Arial" w:hAnsi="Arial"/>
                <w:sz w:val="16"/>
                <w:szCs w:val="16"/>
                <w:color w:val="auto"/>
              </w:rPr>
              <w:t>British Columbia</w:t>
            </w:r>
          </w:p>
        </w:tc>
        <w:tc>
          <w:tcPr>
            <w:tcW w:w="1480" w:type="dxa"/>
            <w:vAlign w:val="bottom"/>
          </w:tcPr>
          <w:p>
            <w:pPr>
              <w:jc w:val="right"/>
              <w:ind w:right="499"/>
              <w:spacing w:after="0"/>
              <w:rPr>
                <w:sz w:val="20"/>
                <w:szCs w:val="20"/>
                <w:color w:val="auto"/>
              </w:rPr>
            </w:pPr>
            <w:r>
              <w:rPr>
                <w:rFonts w:ascii="Arial" w:cs="Arial" w:eastAsia="Arial" w:hAnsi="Arial"/>
                <w:sz w:val="16"/>
                <w:szCs w:val="16"/>
                <w:color w:val="auto"/>
              </w:rPr>
              <w:t>1</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231</w:t>
            </w:r>
          </w:p>
        </w:tc>
        <w:tc>
          <w:tcPr>
            <w:tcW w:w="120" w:type="dxa"/>
            <w:vAlign w:val="bottom"/>
          </w:tcPr>
          <w:p>
            <w:pPr>
              <w:spacing w:after="0"/>
              <w:rPr>
                <w:sz w:val="23"/>
                <w:szCs w:val="23"/>
                <w:color w:val="auto"/>
              </w:rPr>
            </w:pPr>
          </w:p>
        </w:tc>
        <w:tc>
          <w:tcPr>
            <w:tcW w:w="1540" w:type="dxa"/>
            <w:vAlign w:val="bottom"/>
          </w:tcPr>
          <w:p>
            <w:pPr>
              <w:jc w:val="right"/>
              <w:ind w:right="5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3340" w:type="dxa"/>
            <w:vAlign w:val="bottom"/>
            <w:gridSpan w:val="2"/>
          </w:tcPr>
          <w:p>
            <w:pPr>
              <w:ind w:left="280"/>
              <w:spacing w:after="0"/>
              <w:rPr>
                <w:sz w:val="20"/>
                <w:szCs w:val="20"/>
                <w:color w:val="auto"/>
              </w:rPr>
            </w:pPr>
            <w:r>
              <w:rPr>
                <w:rFonts w:ascii="Arial" w:cs="Arial" w:eastAsia="Arial" w:hAnsi="Arial"/>
                <w:sz w:val="16"/>
                <w:szCs w:val="16"/>
                <w:color w:val="auto"/>
              </w:rPr>
              <w:t>Ontario</w:t>
            </w:r>
          </w:p>
        </w:tc>
        <w:tc>
          <w:tcPr>
            <w:tcW w:w="1480" w:type="dxa"/>
            <w:vAlign w:val="bottom"/>
          </w:tcPr>
          <w:p>
            <w:pPr>
              <w:jc w:val="right"/>
              <w:ind w:right="499"/>
              <w:spacing w:after="0"/>
              <w:rPr>
                <w:sz w:val="20"/>
                <w:szCs w:val="20"/>
                <w:color w:val="auto"/>
              </w:rPr>
            </w:pPr>
            <w:r>
              <w:rPr>
                <w:rFonts w:ascii="Arial" w:cs="Arial" w:eastAsia="Arial" w:hAnsi="Arial"/>
                <w:sz w:val="16"/>
                <w:szCs w:val="16"/>
                <w:color w:val="auto"/>
              </w:rPr>
              <w:t>4</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750</w:t>
            </w:r>
          </w:p>
        </w:tc>
        <w:tc>
          <w:tcPr>
            <w:tcW w:w="120" w:type="dxa"/>
            <w:vAlign w:val="bottom"/>
          </w:tcPr>
          <w:p>
            <w:pPr>
              <w:spacing w:after="0"/>
              <w:rPr>
                <w:sz w:val="23"/>
                <w:szCs w:val="23"/>
                <w:color w:val="auto"/>
              </w:rPr>
            </w:pPr>
          </w:p>
        </w:tc>
        <w:tc>
          <w:tcPr>
            <w:tcW w:w="1540" w:type="dxa"/>
            <w:vAlign w:val="bottom"/>
          </w:tcPr>
          <w:p>
            <w:pPr>
              <w:jc w:val="right"/>
              <w:ind w:right="5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7"/>
        </w:trPr>
        <w:tc>
          <w:tcPr>
            <w:tcW w:w="334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w:t>
            </w:r>
          </w:p>
        </w:tc>
        <w:tc>
          <w:tcPr>
            <w:tcW w:w="1480" w:type="dxa"/>
            <w:vAlign w:val="bottom"/>
          </w:tcPr>
          <w:p>
            <w:pPr>
              <w:jc w:val="right"/>
              <w:ind w:right="499"/>
              <w:spacing w:after="0"/>
              <w:rPr>
                <w:sz w:val="20"/>
                <w:szCs w:val="20"/>
                <w:color w:val="auto"/>
              </w:rPr>
            </w:pPr>
            <w:r>
              <w:rPr>
                <w:rFonts w:ascii="Arial" w:cs="Arial" w:eastAsia="Arial" w:hAnsi="Arial"/>
                <w:sz w:val="16"/>
                <w:szCs w:val="16"/>
                <w:b w:val="1"/>
                <w:bCs w:val="1"/>
                <w:color w:val="auto"/>
              </w:rPr>
              <w:t>123</w:t>
            </w:r>
          </w:p>
        </w:tc>
        <w:tc>
          <w:tcPr>
            <w:tcW w:w="1160" w:type="dxa"/>
            <w:vAlign w:val="bottom"/>
          </w:tcPr>
          <w:p>
            <w:pPr>
              <w:jc w:val="right"/>
              <w:ind w:right="39"/>
              <w:spacing w:after="0"/>
              <w:rPr>
                <w:sz w:val="20"/>
                <w:szCs w:val="20"/>
                <w:color w:val="auto"/>
              </w:rPr>
            </w:pPr>
            <w:r>
              <w:rPr>
                <w:rFonts w:ascii="Arial" w:cs="Arial" w:eastAsia="Arial" w:hAnsi="Arial"/>
                <w:sz w:val="16"/>
                <w:szCs w:val="16"/>
                <w:b w:val="1"/>
                <w:bCs w:val="1"/>
                <w:color w:val="auto"/>
              </w:rPr>
              <w:t>21,636</w:t>
            </w:r>
          </w:p>
        </w:tc>
        <w:tc>
          <w:tcPr>
            <w:tcW w:w="120" w:type="dxa"/>
            <w:vAlign w:val="bottom"/>
          </w:tcPr>
          <w:p>
            <w:pPr>
              <w:spacing w:after="0"/>
              <w:rPr>
                <w:sz w:val="18"/>
                <w:szCs w:val="18"/>
                <w:color w:val="auto"/>
              </w:rPr>
            </w:pPr>
          </w:p>
        </w:tc>
        <w:tc>
          <w:tcPr>
            <w:tcW w:w="1540" w:type="dxa"/>
            <w:vAlign w:val="bottom"/>
          </w:tcPr>
          <w:p>
            <w:pPr>
              <w:jc w:val="right"/>
              <w:ind w:right="539"/>
              <w:spacing w:after="0"/>
              <w:rPr>
                <w:sz w:val="20"/>
                <w:szCs w:val="20"/>
                <w:color w:val="auto"/>
              </w:rPr>
            </w:pPr>
            <w:r>
              <w:rPr>
                <w:rFonts w:ascii="Arial" w:cs="Arial" w:eastAsia="Arial" w:hAnsi="Arial"/>
                <w:sz w:val="16"/>
                <w:szCs w:val="16"/>
                <w:b w:val="1"/>
                <w:bCs w:val="1"/>
                <w:color w:val="auto"/>
              </w:rPr>
              <w:t>243</w:t>
            </w:r>
          </w:p>
        </w:tc>
        <w:tc>
          <w:tcPr>
            <w:tcW w:w="1080" w:type="dxa"/>
            <w:vAlign w:val="bottom"/>
          </w:tcPr>
          <w:p>
            <w:pPr>
              <w:jc w:val="right"/>
              <w:ind w:right="19"/>
              <w:spacing w:after="0"/>
              <w:rPr>
                <w:sz w:val="20"/>
                <w:szCs w:val="20"/>
                <w:color w:val="auto"/>
              </w:rPr>
            </w:pPr>
            <w:r>
              <w:rPr>
                <w:rFonts w:ascii="Arial" w:cs="Arial" w:eastAsia="Arial" w:hAnsi="Arial"/>
                <w:sz w:val="16"/>
                <w:szCs w:val="16"/>
                <w:b w:val="1"/>
                <w:bCs w:val="1"/>
                <w:color w:val="auto"/>
              </w:rPr>
              <w:t>8,582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-321310</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 w:lineRule="exact"/>
        <w:rPr>
          <w:sz w:val="20"/>
          <w:szCs w:val="20"/>
          <w:color w:val="auto"/>
        </w:rPr>
      </w:pPr>
    </w:p>
    <w:p>
      <w:pPr>
        <w:ind w:left="80" w:hanging="72"/>
        <w:spacing w:after="0"/>
        <w:tabs>
          <w:tab w:leader="none" w:pos="80" w:val="left"/>
        </w:tabs>
        <w:numPr>
          <w:ilvl w:val="0"/>
          <w:numId w:val="31"/>
        </w:numPr>
        <w:rPr>
          <w:rFonts w:ascii="Arial" w:cs="Arial" w:eastAsia="Arial" w:hAnsi="Arial"/>
          <w:sz w:val="9"/>
          <w:szCs w:val="9"/>
          <w:color w:val="auto"/>
        </w:rPr>
      </w:pPr>
      <w:r>
        <w:rPr>
          <w:rFonts w:ascii="Arial" w:cs="Arial" w:eastAsia="Arial" w:hAnsi="Arial"/>
          <w:sz w:val="14"/>
          <w:szCs w:val="14"/>
          <w:color w:val="auto"/>
        </w:rPr>
        <w:t>Nordstrom full-line stores include U.S. full line stores, Canada full-line stores and Nordstrom Local.</w:t>
      </w:r>
    </w:p>
    <w:p>
      <w:pPr>
        <w:spacing w:after="0" w:line="13" w:lineRule="exact"/>
        <w:rPr>
          <w:rFonts w:ascii="Arial" w:cs="Arial" w:eastAsia="Arial" w:hAnsi="Arial"/>
          <w:sz w:val="9"/>
          <w:szCs w:val="9"/>
          <w:color w:val="auto"/>
        </w:rPr>
      </w:pPr>
    </w:p>
    <w:p>
      <w:pPr>
        <w:spacing w:after="0"/>
        <w:rPr>
          <w:rFonts w:ascii="Arial" w:cs="Arial" w:eastAsia="Arial" w:hAnsi="Arial"/>
          <w:sz w:val="9"/>
          <w:szCs w:val="9"/>
          <w:color w:val="auto"/>
        </w:rPr>
      </w:pPr>
      <w:r>
        <w:rPr>
          <w:rFonts w:ascii="Arial" w:cs="Arial" w:eastAsia="Arial" w:hAnsi="Arial"/>
          <w:sz w:val="9"/>
          <w:szCs w:val="9"/>
          <w:color w:val="auto"/>
        </w:rPr>
        <w:t xml:space="preserve">2 </w:t>
      </w:r>
      <w:r>
        <w:rPr>
          <w:rFonts w:ascii="Arial" w:cs="Arial" w:eastAsia="Arial" w:hAnsi="Arial"/>
          <w:sz w:val="14"/>
          <w:szCs w:val="14"/>
          <w:color w:val="auto"/>
        </w:rPr>
        <w:t>Other includes seven Trunk Club clubhouses, two Jeffrey boutiques and two Last Chance stores.</w:t>
      </w:r>
    </w:p>
    <w:p>
      <w:pPr>
        <w:spacing w:after="0" w:line="1" w:lineRule="exact"/>
        <w:rPr>
          <w:rFonts w:ascii="Arial" w:cs="Arial" w:eastAsia="Arial" w:hAnsi="Arial"/>
          <w:sz w:val="9"/>
          <w:szCs w:val="9"/>
          <w:color w:val="auto"/>
        </w:rPr>
      </w:pPr>
    </w:p>
    <w:p>
      <w:pPr>
        <w:spacing w:after="0"/>
        <w:rPr>
          <w:rFonts w:ascii="Arial" w:cs="Arial" w:eastAsia="Arial" w:hAnsi="Arial"/>
          <w:sz w:val="9"/>
          <w:szCs w:val="9"/>
          <w:color w:val="auto"/>
        </w:rPr>
      </w:pPr>
      <w:r>
        <w:rPr>
          <w:rFonts w:ascii="Arial" w:cs="Arial" w:eastAsia="Arial" w:hAnsi="Arial"/>
          <w:sz w:val="8"/>
          <w:szCs w:val="8"/>
          <w:color w:val="auto"/>
        </w:rPr>
        <w:t xml:space="preserve">3 </w:t>
      </w:r>
      <w:r>
        <w:rPr>
          <w:rFonts w:ascii="Arial" w:cs="Arial" w:eastAsia="Arial" w:hAnsi="Arial"/>
          <w:sz w:val="13"/>
          <w:szCs w:val="13"/>
          <w:color w:val="auto"/>
        </w:rPr>
        <w:t>California and Texas had the highest square footage, with a combined 9,325 square feet, representing 31% of our total Company square footage.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-304165</wp:posOffset>
            </wp:positionV>
            <wp:extent cx="553148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580" w:hanging="1409"/>
        <w:spacing w:after="0"/>
        <w:tabs>
          <w:tab w:leader="none" w:pos="1580" w:val="left"/>
        </w:tabs>
        <w:numPr>
          <w:ilvl w:val="0"/>
          <w:numId w:val="32"/>
        </w:numPr>
        <w:rPr>
          <w:rFonts w:ascii="Arial" w:cs="Arial" w:eastAsia="Arial" w:hAnsi="Arial"/>
          <w:sz w:val="15"/>
          <w:szCs w:val="15"/>
          <w:b w:val="1"/>
          <w:bCs w:val="1"/>
          <w:color w:val="auto"/>
        </w:rPr>
      </w:pPr>
      <w:r>
        <w:rPr>
          <w:rFonts w:ascii="Arial" w:cs="Arial" w:eastAsia="Arial" w:hAnsi="Arial"/>
          <w:sz w:val="15"/>
          <w:szCs w:val="15"/>
          <w:b w:val="1"/>
          <w:bCs w:val="1"/>
          <w:color w:val="auto"/>
        </w:rPr>
        <w:t>142</w:t>
      </w:r>
    </w:p>
    <w:p>
      <w:pPr>
        <w:spacing w:after="0" w:line="97" w:lineRule="exact"/>
        <w:rPr>
          <w:rFonts w:ascii="Arial" w:cs="Arial" w:eastAsia="Arial" w:hAnsi="Arial"/>
          <w:sz w:val="15"/>
          <w:szCs w:val="15"/>
          <w:b w:val="1"/>
          <w:bCs w:val="1"/>
          <w:color w:val="auto"/>
        </w:rPr>
      </w:pPr>
    </w:p>
    <w:p>
      <w:pPr>
        <w:ind w:left="1580" w:hanging="1409"/>
        <w:spacing w:after="0"/>
        <w:tabs>
          <w:tab w:leader="none" w:pos="1580" w:val="left"/>
        </w:tabs>
        <w:numPr>
          <w:ilvl w:val="0"/>
          <w:numId w:val="32"/>
        </w:numPr>
        <w:rPr>
          <w:rFonts w:ascii="Arial" w:cs="Arial" w:eastAsia="Arial" w:hAnsi="Arial"/>
          <w:sz w:val="15"/>
          <w:szCs w:val="15"/>
          <w:b w:val="1"/>
          <w:bCs w:val="1"/>
          <w:color w:val="auto"/>
        </w:rPr>
      </w:pPr>
      <w:r>
        <w:rPr>
          <w:rFonts w:ascii="Arial" w:cs="Arial" w:eastAsia="Arial" w:hAnsi="Arial"/>
          <w:sz w:val="15"/>
          <w:szCs w:val="15"/>
          <w:b w:val="1"/>
          <w:bCs w:val="1"/>
          <w:color w:val="auto"/>
        </w:rPr>
        <w:t>231</w:t>
      </w:r>
    </w:p>
    <w:p>
      <w:pPr>
        <w:spacing w:after="0" w:line="98" w:lineRule="exact"/>
        <w:rPr>
          <w:sz w:val="20"/>
          <w:szCs w:val="20"/>
          <w:color w:val="auto"/>
        </w:rPr>
      </w:pPr>
    </w:p>
    <w:p>
      <w:pPr>
        <w:ind w:left="1580" w:hanging="1409"/>
        <w:spacing w:after="0"/>
        <w:tabs>
          <w:tab w:leader="none" w:pos="1580" w:val="left"/>
        </w:tabs>
        <w:numPr>
          <w:ilvl w:val="0"/>
          <w:numId w:val="33"/>
        </w:numPr>
        <w:rPr>
          <w:rFonts w:ascii="Arial" w:cs="Arial" w:eastAsia="Arial" w:hAnsi="Arial"/>
          <w:sz w:val="15"/>
          <w:szCs w:val="15"/>
          <w:b w:val="1"/>
          <w:bCs w:val="1"/>
          <w:color w:val="auto"/>
        </w:rPr>
      </w:pPr>
      <w:r>
        <w:rPr>
          <w:rFonts w:ascii="Arial" w:cs="Arial" w:eastAsia="Arial" w:hAnsi="Arial"/>
          <w:sz w:val="15"/>
          <w:szCs w:val="15"/>
          <w:b w:val="1"/>
          <w:bCs w:val="1"/>
          <w:color w:val="auto"/>
        </w:rPr>
        <w:t>750</w:t>
      </w:r>
    </w:p>
    <w:p>
      <w:pPr>
        <w:spacing w:after="0" w:line="111" w:lineRule="exact"/>
        <w:rPr>
          <w:rFonts w:ascii="Arial" w:cs="Arial" w:eastAsia="Arial" w:hAnsi="Arial"/>
          <w:sz w:val="15"/>
          <w:szCs w:val="15"/>
          <w:b w:val="1"/>
          <w:bCs w:val="1"/>
          <w:color w:val="auto"/>
        </w:rPr>
      </w:pPr>
    </w:p>
    <w:p>
      <w:pPr>
        <w:spacing w:after="0"/>
        <w:rPr>
          <w:rFonts w:ascii="Arial" w:cs="Arial" w:eastAsia="Arial" w:hAnsi="Arial"/>
          <w:sz w:val="15"/>
          <w:szCs w:val="15"/>
          <w:b w:val="1"/>
          <w:bCs w:val="1"/>
          <w:color w:val="auto"/>
        </w:rPr>
      </w:pPr>
      <w:r>
        <w:rPr>
          <w:rFonts w:ascii="Arial" w:cs="Arial" w:eastAsia="Arial" w:hAnsi="Arial"/>
          <w:sz w:val="16"/>
          <w:szCs w:val="16"/>
          <w:b w:val="1"/>
          <w:bCs w:val="1"/>
          <w:color w:val="auto"/>
        </w:rPr>
        <w:t>366</w:t>
      </w:r>
      <w:r>
        <w:rPr>
          <w:rFonts w:ascii="Arial" w:cs="Arial" w:eastAsia="Arial" w:hAnsi="Arial"/>
          <w:sz w:val="15"/>
          <w:szCs w:val="15"/>
          <w:b w:val="1"/>
          <w:bCs w:val="1"/>
          <w:color w:val="auto"/>
        </w:rPr>
        <w:t>30,218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37465</wp:posOffset>
            </wp:positionV>
            <wp:extent cx="16465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646555" cy="8890"/>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-133350</wp:posOffset>
            </wp:positionV>
            <wp:extent cx="16465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739" w:lineRule="exact"/>
        <w:rPr>
          <w:sz w:val="20"/>
          <w:szCs w:val="20"/>
          <w:color w:val="auto"/>
        </w:rPr>
      </w:pPr>
    </w:p>
    <w:p>
      <w:pPr>
        <w:sectPr>
          <w:pgSz w:w="11900" w:h="16838" w:orient="portrait"/>
          <w:cols w:equalWidth="0" w:num="2">
            <w:col w:w="8760" w:space="720"/>
            <w:col w:w="1940"/>
          </w:cols>
          <w:pgMar w:left="240" w:top="126" w:right="239" w:bottom="33" w:gutter="0" w:footer="0" w:header="0"/>
          <w:type w:val="continuous"/>
        </w:sectPr>
      </w:pPr>
    </w:p>
    <w:p>
      <w:pPr>
        <w:spacing w:after="0" w:line="215" w:lineRule="exact"/>
        <w:rPr>
          <w:sz w:val="20"/>
          <w:szCs w:val="20"/>
          <w:color w:val="auto"/>
        </w:rPr>
      </w:pPr>
    </w:p>
    <w:p>
      <w:pPr>
        <w:ind w:left="9580"/>
        <w:spacing w:after="0"/>
        <w:rPr>
          <w:sz w:val="20"/>
          <w:szCs w:val="20"/>
          <w:color w:val="auto"/>
        </w:rPr>
      </w:pPr>
      <w:r>
        <w:rPr>
          <w:rFonts w:ascii="Arial" w:cs="Arial" w:eastAsia="Arial" w:hAnsi="Arial"/>
          <w:sz w:val="11"/>
          <w:szCs w:val="11"/>
          <w:color w:val="auto"/>
        </w:rPr>
        <w:t xml:space="preserve">Nordstrom, Inc. and subsidiaries </w:t>
      </w:r>
      <w:r>
        <w:rPr>
          <w:rFonts w:ascii="Arial" w:cs="Arial" w:eastAsia="Arial" w:hAnsi="Arial"/>
          <w:sz w:val="14"/>
          <w:szCs w:val="14"/>
          <w:color w:val="auto"/>
        </w:rPr>
        <w:t>13</w:t>
      </w:r>
    </w:p>
    <w:p>
      <w:pPr>
        <w:sectPr>
          <w:pgSz w:w="11900" w:h="16838" w:orient="portrait"/>
          <w:cols w:equalWidth="0" w:num="1">
            <w:col w:w="11420"/>
          </w:cols>
          <w:pgMar w:left="240" w:top="126" w:right="239" w:bottom="33" w:gutter="0" w:footer="0" w:header="0"/>
          <w:type w:val="continuous"/>
        </w:sectPr>
      </w:pPr>
    </w:p>
    <w:bookmarkStart w:id="13" w:name="page14"/>
    <w:bookmarkEnd w:id="13"/>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Our headquarters are located in Seattle, Washington, where our offices consist of both leased and owned space.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For use by our Retail segment, we have:</w:t>
      </w:r>
    </w:p>
    <w:p>
      <w:pPr>
        <w:spacing w:after="0" w:line="117" w:lineRule="exact"/>
        <w:rPr>
          <w:sz w:val="20"/>
          <w:szCs w:val="20"/>
          <w:color w:val="auto"/>
        </w:rPr>
      </w:pPr>
    </w:p>
    <w:p>
      <w:pPr>
        <w:ind w:left="340" w:hanging="170"/>
        <w:spacing w:after="0" w:line="277"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six owned merchandise distribution centers (Portland, Oregon; Dubuque, Iowa; Ontario, California; Newark, California; Upper Marlboro, Maryland and Gainesville, Florida),</w:t>
      </w:r>
    </w:p>
    <w:p>
      <w:pPr>
        <w:spacing w:after="0" w:line="8" w:lineRule="exact"/>
        <w:rPr>
          <w:rFonts w:ascii="Arial" w:cs="Arial" w:eastAsia="Arial" w:hAnsi="Arial"/>
          <w:sz w:val="18"/>
          <w:szCs w:val="18"/>
          <w:color w:val="auto"/>
        </w:rPr>
      </w:pPr>
    </w:p>
    <w:p>
      <w:pPr>
        <w:ind w:left="340" w:hanging="170"/>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two owned fulfillment centers (Cedar Rapids, Iowa and Elizabethtown, Pennsylvania),</w:t>
      </w:r>
    </w:p>
    <w:p>
      <w:pPr>
        <w:spacing w:after="0" w:line="63" w:lineRule="exact"/>
        <w:rPr>
          <w:rFonts w:ascii="Arial" w:cs="Arial" w:eastAsia="Arial" w:hAnsi="Arial"/>
          <w:sz w:val="18"/>
          <w:szCs w:val="18"/>
          <w:color w:val="auto"/>
        </w:rPr>
      </w:pPr>
    </w:p>
    <w:p>
      <w:pPr>
        <w:ind w:left="340" w:hanging="170"/>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one leased fulfillment center (San Bernardino, California) and</w:t>
      </w:r>
    </w:p>
    <w:p>
      <w:pPr>
        <w:spacing w:after="0" w:line="63" w:lineRule="exact"/>
        <w:rPr>
          <w:rFonts w:ascii="Arial" w:cs="Arial" w:eastAsia="Arial" w:hAnsi="Arial"/>
          <w:sz w:val="18"/>
          <w:szCs w:val="18"/>
          <w:color w:val="auto"/>
        </w:rPr>
      </w:pPr>
    </w:p>
    <w:p>
      <w:pPr>
        <w:ind w:left="340" w:hanging="170"/>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three leased administrative offices (Chicago, Illinois; Los Angeles, California and New York City, New York).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For use by our Credit segment, we have one leased office building (Centennial, Colorado).</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Legal Proceedings.</w:t>
      </w:r>
    </w:p>
    <w:p>
      <w:pPr>
        <w:spacing w:after="0" w:line="16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are subject from time to time to various claims and lawsuits arising in the ordinary course of business, including lawsuits alleging violations of state and/or federal wage and hour and other employment laws, privacy and other consumer-based claims. Some of these lawsuits include certified classes of litigants, or purport or may be determined to be class or collective actions and seek substantial damages or injunctive relief, or both, and some may remain unresolved for several years. We believe the recorded reserves in our Consolidated Financial Statements are adequate in light of the probable and estimable liabilities. As of the date of this report, we do not believe any currently identified claim, proceeding or litigation, either alone or in the aggregate, will have a material impact on our results of operations, financial position or cash flows. Since these matters are subject to inherent uncertainties, our view of them may change in the future.</w:t>
      </w:r>
    </w:p>
    <w:p>
      <w:pPr>
        <w:spacing w:after="0" w:line="1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Mine Safety Disclosures.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320"/>
          </w:cols>
          <w:pgMar w:left="240" w:top="126" w:right="339" w:bottom="1440" w:gutter="0" w:footer="0" w:header="0"/>
        </w:sectPr>
      </w:pPr>
    </w:p>
    <w:bookmarkStart w:id="14" w:name="page15"/>
    <w:bookmarkEnd w:id="14"/>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w:t>
      </w:r>
    </w:p>
    <w:p>
      <w:pPr>
        <w:spacing w:after="0" w:line="166" w:lineRule="exact"/>
        <w:rPr>
          <w:sz w:val="20"/>
          <w:szCs w:val="20"/>
          <w:color w:val="auto"/>
        </w:rPr>
      </w:pPr>
    </w:p>
    <w:p>
      <w:pPr>
        <w:jc w:val="center"/>
        <w:ind w:right="200"/>
        <w:spacing w:after="0"/>
        <w:rPr>
          <w:sz w:val="20"/>
          <w:szCs w:val="20"/>
          <w:color w:val="auto"/>
        </w:rPr>
      </w:pPr>
      <w:r>
        <w:rPr>
          <w:rFonts w:ascii="Arial" w:cs="Arial" w:eastAsia="Arial" w:hAnsi="Arial"/>
          <w:sz w:val="19"/>
          <w:szCs w:val="19"/>
          <w:b w:val="1"/>
          <w:bCs w:val="1"/>
          <w:color w:val="auto"/>
        </w:rPr>
        <w:t>Item 5. Market for Registrant’s Common Equity, Related Shareholder Matters and Issuer Purchases of Equity Securities.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SHAREHOLDER AND DIVIDEND INFORMATION</w:t>
      </w:r>
    </w:p>
    <w:p>
      <w:pPr>
        <w:spacing w:after="0" w:line="2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common stock, without par value, is traded on the New York Stock Exchange under the symbol “JWN.” The approximate number of holders of common stock as of March 12, 2018 was 154,000, based upon the number of registered and beneficial shareholders and the number of employee shareholders in the Nordstrom 401(k) Plan. On this date, we had 167,790,511 shares of common stock outstanding.</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The high and low prices of our common stock and dividends declared for each quarter of 2017 and 2016 are presented in the table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80" w:type="dxa"/>
            <w:vAlign w:val="bottom"/>
            <w:gridSpan w:val="3"/>
          </w:tcPr>
          <w:p>
            <w:pPr>
              <w:ind w:left="500"/>
              <w:spacing w:after="0"/>
              <w:rPr>
                <w:sz w:val="20"/>
                <w:szCs w:val="20"/>
                <w:color w:val="auto"/>
              </w:rPr>
            </w:pPr>
            <w:r>
              <w:rPr>
                <w:rFonts w:ascii="Arial" w:cs="Arial" w:eastAsia="Arial" w:hAnsi="Arial"/>
                <w:sz w:val="16"/>
                <w:szCs w:val="16"/>
                <w:b w:val="1"/>
                <w:bCs w:val="1"/>
                <w:color w:val="auto"/>
              </w:rPr>
              <w:t>Common Stock Price</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33"/>
        </w:trPr>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3060" w:type="dxa"/>
            <w:vAlign w:val="bottom"/>
            <w:gridSpan w:val="3"/>
          </w:tcPr>
          <w:p>
            <w:pPr>
              <w:spacing w:after="0"/>
              <w:rPr>
                <w:sz w:val="2"/>
                <w:szCs w:val="2"/>
                <w:color w:val="auto"/>
              </w:rPr>
            </w:pPr>
          </w:p>
        </w:tc>
      </w:tr>
      <w:tr>
        <w:trPr>
          <w:trHeight w:val="231"/>
        </w:trPr>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rPr>
              <w:t>2017</w:t>
            </w: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900" w:type="dxa"/>
            <w:vAlign w:val="bottom"/>
            <w:gridSpan w:val="3"/>
          </w:tcPr>
          <w:p>
            <w:pPr>
              <w:jc w:val="right"/>
              <w:ind w:right="129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060" w:type="dxa"/>
            <w:vAlign w:val="bottom"/>
            <w:gridSpan w:val="3"/>
          </w:tcPr>
          <w:p>
            <w:pPr>
              <w:ind w:left="840"/>
              <w:spacing w:after="0"/>
              <w:rPr>
                <w:sz w:val="20"/>
                <w:szCs w:val="20"/>
                <w:color w:val="auto"/>
              </w:rPr>
            </w:pPr>
            <w:r>
              <w:rPr>
                <w:rFonts w:ascii="Arial" w:cs="Arial" w:eastAsia="Arial" w:hAnsi="Arial"/>
                <w:sz w:val="16"/>
                <w:szCs w:val="16"/>
                <w:b w:val="1"/>
                <w:bCs w:val="1"/>
                <w:color w:val="auto"/>
              </w:rPr>
              <w:t>Dividends per Share</w:t>
            </w:r>
          </w:p>
        </w:tc>
      </w:tr>
      <w:tr>
        <w:trPr>
          <w:trHeight w:val="33"/>
        </w:trPr>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1"/>
        </w:trPr>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gridSpan w:val="3"/>
          </w:tcPr>
          <w:p>
            <w:pPr>
              <w:jc w:val="center"/>
              <w:ind w:right="420"/>
              <w:spacing w:after="0"/>
              <w:rPr>
                <w:sz w:val="20"/>
                <w:szCs w:val="20"/>
                <w:color w:val="auto"/>
              </w:rPr>
            </w:pPr>
            <w:r>
              <w:rPr>
                <w:rFonts w:ascii="Arial" w:cs="Arial" w:eastAsia="Arial" w:hAnsi="Arial"/>
                <w:sz w:val="16"/>
                <w:szCs w:val="16"/>
                <w:b w:val="1"/>
                <w:bCs w:val="1"/>
                <w:color w:val="auto"/>
                <w:w w:val="95"/>
              </w:rPr>
              <w:t>High</w:t>
            </w:r>
          </w:p>
        </w:tc>
        <w:tc>
          <w:tcPr>
            <w:tcW w:w="130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3"/>
              </w:rPr>
              <w:t>Low</w:t>
            </w:r>
          </w:p>
        </w:tc>
        <w:tc>
          <w:tcPr>
            <w:tcW w:w="1180" w:type="dxa"/>
            <w:vAlign w:val="bottom"/>
          </w:tcPr>
          <w:p>
            <w:pPr>
              <w:jc w:val="center"/>
              <w:ind w:left="239"/>
              <w:spacing w:after="0"/>
              <w:rPr>
                <w:sz w:val="20"/>
                <w:szCs w:val="20"/>
                <w:color w:val="auto"/>
              </w:rPr>
            </w:pPr>
            <w:r>
              <w:rPr>
                <w:rFonts w:ascii="Arial" w:cs="Arial" w:eastAsia="Arial" w:hAnsi="Arial"/>
                <w:sz w:val="16"/>
                <w:szCs w:val="16"/>
                <w:b w:val="1"/>
                <w:bCs w:val="1"/>
                <w:color w:val="auto"/>
                <w:w w:val="95"/>
              </w:rPr>
              <w:t>High</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3"/>
              </w:rPr>
              <w:t>Low</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89"/>
              </w:rPr>
              <w:t>2017</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89"/>
              </w:rPr>
              <w:t>2016</w:t>
            </w:r>
          </w:p>
        </w:tc>
      </w:tr>
      <w:tr>
        <w:trPr>
          <w:trHeight w:val="33"/>
        </w:trPr>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0"/>
        </w:trPr>
        <w:tc>
          <w:tcPr>
            <w:tcW w:w="19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1st Quarter</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93"/>
              </w:rPr>
              <w:t>$48.45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center"/>
              <w:ind w:right="219"/>
              <w:spacing w:after="0"/>
              <w:rPr>
                <w:sz w:val="20"/>
                <w:szCs w:val="20"/>
                <w:color w:val="auto"/>
              </w:rPr>
            </w:pPr>
            <w:r>
              <w:rPr>
                <w:rFonts w:ascii="Arial" w:cs="Arial" w:eastAsia="Arial" w:hAnsi="Arial"/>
                <w:sz w:val="16"/>
                <w:szCs w:val="16"/>
                <w:b w:val="1"/>
                <w:bCs w:val="1"/>
                <w:color w:val="auto"/>
                <w:w w:val="89"/>
              </w:rPr>
              <w:t>$40.70</w:t>
            </w: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center"/>
              <w:ind w:left="219"/>
              <w:spacing w:after="0"/>
              <w:rPr>
                <w:sz w:val="20"/>
                <w:szCs w:val="20"/>
                <w:color w:val="auto"/>
              </w:rPr>
            </w:pPr>
            <w:r>
              <w:rPr>
                <w:rFonts w:ascii="Arial" w:cs="Arial" w:eastAsia="Arial" w:hAnsi="Arial"/>
                <w:sz w:val="16"/>
                <w:szCs w:val="16"/>
                <w:color w:val="auto"/>
                <w:w w:val="89"/>
              </w:rPr>
              <w:t>$59.37</w:t>
            </w:r>
          </w:p>
        </w:tc>
        <w:tc>
          <w:tcPr>
            <w:tcW w:w="1900" w:type="dxa"/>
            <w:vAlign w:val="bottom"/>
            <w:tcBorders>
              <w:bottom w:val="single" w:sz="8" w:color="CCEEFF"/>
            </w:tcBorders>
            <w:gridSpan w:val="3"/>
            <w:shd w:val="clear" w:color="auto" w:fill="CCEEFF"/>
          </w:tcPr>
          <w:p>
            <w:pPr>
              <w:jc w:val="center"/>
              <w:ind w:left="339"/>
              <w:spacing w:after="0"/>
              <w:rPr>
                <w:sz w:val="20"/>
                <w:szCs w:val="20"/>
                <w:color w:val="auto"/>
              </w:rPr>
            </w:pPr>
            <w:r>
              <w:rPr>
                <w:rFonts w:ascii="Arial" w:cs="Arial" w:eastAsia="Arial" w:hAnsi="Arial"/>
                <w:sz w:val="16"/>
                <w:szCs w:val="16"/>
                <w:color w:val="auto"/>
                <w:w w:val="89"/>
              </w:rPr>
              <w:t>$46.65</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$0.37</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$0.37</w:t>
            </w:r>
          </w:p>
        </w:tc>
      </w:tr>
      <w:tr>
        <w:trPr>
          <w:trHeight w:val="237"/>
        </w:trPr>
        <w:tc>
          <w:tcPr>
            <w:tcW w:w="1960" w:type="dxa"/>
            <w:vAlign w:val="bottom"/>
            <w:gridSpan w:val="2"/>
          </w:tcPr>
          <w:p>
            <w:pPr>
              <w:ind w:left="180"/>
              <w:spacing w:after="0"/>
              <w:rPr>
                <w:sz w:val="20"/>
                <w:szCs w:val="20"/>
                <w:color w:val="auto"/>
              </w:rPr>
            </w:pPr>
            <w:r>
              <w:rPr>
                <w:rFonts w:ascii="Arial" w:cs="Arial" w:eastAsia="Arial" w:hAnsi="Arial"/>
                <w:sz w:val="16"/>
                <w:szCs w:val="16"/>
                <w:color w:val="auto"/>
              </w:rPr>
              <w:t>2nd Quarter</w:t>
            </w: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93"/>
              </w:rPr>
              <w:t>$50.32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center"/>
              <w:ind w:right="219"/>
              <w:spacing w:after="0"/>
              <w:rPr>
                <w:sz w:val="20"/>
                <w:szCs w:val="20"/>
                <w:color w:val="auto"/>
              </w:rPr>
            </w:pPr>
            <w:r>
              <w:rPr>
                <w:rFonts w:ascii="Arial" w:cs="Arial" w:eastAsia="Arial" w:hAnsi="Arial"/>
                <w:sz w:val="16"/>
                <w:szCs w:val="16"/>
                <w:b w:val="1"/>
                <w:bCs w:val="1"/>
                <w:color w:val="auto"/>
                <w:w w:val="89"/>
              </w:rPr>
              <w:t>$39.53</w:t>
            </w:r>
          </w:p>
        </w:tc>
        <w:tc>
          <w:tcPr>
            <w:tcW w:w="120" w:type="dxa"/>
            <w:vAlign w:val="bottom"/>
          </w:tcPr>
          <w:p>
            <w:pPr>
              <w:spacing w:after="0"/>
              <w:rPr>
                <w:sz w:val="20"/>
                <w:szCs w:val="20"/>
                <w:color w:val="auto"/>
              </w:rPr>
            </w:pPr>
          </w:p>
        </w:tc>
        <w:tc>
          <w:tcPr>
            <w:tcW w:w="1180" w:type="dxa"/>
            <w:vAlign w:val="bottom"/>
          </w:tcPr>
          <w:p>
            <w:pPr>
              <w:jc w:val="center"/>
              <w:ind w:left="219"/>
              <w:spacing w:after="0"/>
              <w:rPr>
                <w:sz w:val="20"/>
                <w:szCs w:val="20"/>
                <w:color w:val="auto"/>
              </w:rPr>
            </w:pPr>
            <w:r>
              <w:rPr>
                <w:rFonts w:ascii="Arial" w:cs="Arial" w:eastAsia="Arial" w:hAnsi="Arial"/>
                <w:sz w:val="16"/>
                <w:szCs w:val="16"/>
                <w:color w:val="auto"/>
                <w:w w:val="89"/>
              </w:rPr>
              <w:t>$51.74</w:t>
            </w:r>
          </w:p>
        </w:tc>
        <w:tc>
          <w:tcPr>
            <w:tcW w:w="1900" w:type="dxa"/>
            <w:vAlign w:val="bottom"/>
            <w:gridSpan w:val="3"/>
          </w:tcPr>
          <w:p>
            <w:pPr>
              <w:jc w:val="center"/>
              <w:ind w:left="339"/>
              <w:spacing w:after="0"/>
              <w:rPr>
                <w:sz w:val="20"/>
                <w:szCs w:val="20"/>
                <w:color w:val="auto"/>
              </w:rPr>
            </w:pPr>
            <w:r>
              <w:rPr>
                <w:rFonts w:ascii="Arial" w:cs="Arial" w:eastAsia="Arial" w:hAnsi="Arial"/>
                <w:sz w:val="16"/>
                <w:szCs w:val="16"/>
                <w:color w:val="auto"/>
                <w:w w:val="89"/>
              </w:rPr>
              <w:t>$35.01</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89"/>
              </w:rPr>
              <w:t>$0.37</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89"/>
              </w:rPr>
              <w:t>$0.37</w:t>
            </w:r>
          </w:p>
        </w:tc>
      </w:tr>
      <w:tr>
        <w:trPr>
          <w:trHeight w:val="33"/>
        </w:trPr>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19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3rd Quarter</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93"/>
              </w:rPr>
              <w:t>$49.00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center"/>
              <w:ind w:right="219"/>
              <w:spacing w:after="0"/>
              <w:rPr>
                <w:sz w:val="20"/>
                <w:szCs w:val="20"/>
                <w:color w:val="auto"/>
              </w:rPr>
            </w:pPr>
            <w:r>
              <w:rPr>
                <w:rFonts w:ascii="Arial" w:cs="Arial" w:eastAsia="Arial" w:hAnsi="Arial"/>
                <w:sz w:val="16"/>
                <w:szCs w:val="16"/>
                <w:b w:val="1"/>
                <w:bCs w:val="1"/>
                <w:color w:val="auto"/>
                <w:w w:val="89"/>
              </w:rPr>
              <w:t>$39.63</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center"/>
              <w:ind w:left="219"/>
              <w:spacing w:after="0"/>
              <w:rPr>
                <w:sz w:val="20"/>
                <w:szCs w:val="20"/>
                <w:color w:val="auto"/>
              </w:rPr>
            </w:pPr>
            <w:r>
              <w:rPr>
                <w:rFonts w:ascii="Arial" w:cs="Arial" w:eastAsia="Arial" w:hAnsi="Arial"/>
                <w:sz w:val="16"/>
                <w:szCs w:val="16"/>
                <w:color w:val="auto"/>
                <w:w w:val="89"/>
              </w:rPr>
              <w:t>$55.23</w:t>
            </w:r>
          </w:p>
        </w:tc>
        <w:tc>
          <w:tcPr>
            <w:tcW w:w="1900" w:type="dxa"/>
            <w:vAlign w:val="bottom"/>
            <w:tcBorders>
              <w:bottom w:val="single" w:sz="8" w:color="CCEEFF"/>
            </w:tcBorders>
            <w:gridSpan w:val="3"/>
            <w:shd w:val="clear" w:color="auto" w:fill="CCEEFF"/>
          </w:tcPr>
          <w:p>
            <w:pPr>
              <w:jc w:val="center"/>
              <w:ind w:left="339"/>
              <w:spacing w:after="0"/>
              <w:rPr>
                <w:sz w:val="20"/>
                <w:szCs w:val="20"/>
                <w:color w:val="auto"/>
              </w:rPr>
            </w:pPr>
            <w:r>
              <w:rPr>
                <w:rFonts w:ascii="Arial" w:cs="Arial" w:eastAsia="Arial" w:hAnsi="Arial"/>
                <w:sz w:val="16"/>
                <w:szCs w:val="16"/>
                <w:color w:val="auto"/>
                <w:w w:val="89"/>
              </w:rPr>
              <w:t>$39.05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$0.37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$0.37</w:t>
            </w:r>
          </w:p>
        </w:tc>
      </w:tr>
      <w:tr>
        <w:trPr>
          <w:trHeight w:val="237"/>
        </w:trPr>
        <w:tc>
          <w:tcPr>
            <w:tcW w:w="1960" w:type="dxa"/>
            <w:vAlign w:val="bottom"/>
            <w:gridSpan w:val="2"/>
          </w:tcPr>
          <w:p>
            <w:pPr>
              <w:ind w:left="180"/>
              <w:spacing w:after="0"/>
              <w:rPr>
                <w:sz w:val="20"/>
                <w:szCs w:val="20"/>
                <w:color w:val="auto"/>
              </w:rPr>
            </w:pPr>
            <w:r>
              <w:rPr>
                <w:rFonts w:ascii="Arial" w:cs="Arial" w:eastAsia="Arial" w:hAnsi="Arial"/>
                <w:sz w:val="16"/>
                <w:szCs w:val="16"/>
                <w:color w:val="auto"/>
              </w:rPr>
              <w:t>4th Quarter</w:t>
            </w: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93"/>
              </w:rPr>
              <w:t>$53.00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center"/>
              <w:ind w:right="219"/>
              <w:spacing w:after="0"/>
              <w:rPr>
                <w:sz w:val="20"/>
                <w:szCs w:val="20"/>
                <w:color w:val="auto"/>
              </w:rPr>
            </w:pPr>
            <w:r>
              <w:rPr>
                <w:rFonts w:ascii="Arial" w:cs="Arial" w:eastAsia="Arial" w:hAnsi="Arial"/>
                <w:sz w:val="16"/>
                <w:szCs w:val="16"/>
                <w:b w:val="1"/>
                <w:bCs w:val="1"/>
                <w:color w:val="auto"/>
                <w:w w:val="89"/>
              </w:rPr>
              <w:t>$37.79</w:t>
            </w:r>
          </w:p>
        </w:tc>
        <w:tc>
          <w:tcPr>
            <w:tcW w:w="120" w:type="dxa"/>
            <w:vAlign w:val="bottom"/>
          </w:tcPr>
          <w:p>
            <w:pPr>
              <w:spacing w:after="0"/>
              <w:rPr>
                <w:sz w:val="20"/>
                <w:szCs w:val="20"/>
                <w:color w:val="auto"/>
              </w:rPr>
            </w:pPr>
          </w:p>
        </w:tc>
        <w:tc>
          <w:tcPr>
            <w:tcW w:w="1180" w:type="dxa"/>
            <w:vAlign w:val="bottom"/>
          </w:tcPr>
          <w:p>
            <w:pPr>
              <w:jc w:val="center"/>
              <w:ind w:left="219"/>
              <w:spacing w:after="0"/>
              <w:rPr>
                <w:sz w:val="20"/>
                <w:szCs w:val="20"/>
                <w:color w:val="auto"/>
              </w:rPr>
            </w:pPr>
            <w:r>
              <w:rPr>
                <w:rFonts w:ascii="Arial" w:cs="Arial" w:eastAsia="Arial" w:hAnsi="Arial"/>
                <w:sz w:val="16"/>
                <w:szCs w:val="16"/>
                <w:color w:val="auto"/>
                <w:w w:val="89"/>
              </w:rPr>
              <w:t>$62.82</w:t>
            </w:r>
          </w:p>
        </w:tc>
        <w:tc>
          <w:tcPr>
            <w:tcW w:w="1900" w:type="dxa"/>
            <w:vAlign w:val="bottom"/>
            <w:gridSpan w:val="3"/>
          </w:tcPr>
          <w:p>
            <w:pPr>
              <w:jc w:val="center"/>
              <w:ind w:left="339"/>
              <w:spacing w:after="0"/>
              <w:rPr>
                <w:sz w:val="20"/>
                <w:szCs w:val="20"/>
                <w:color w:val="auto"/>
              </w:rPr>
            </w:pPr>
            <w:r>
              <w:rPr>
                <w:rFonts w:ascii="Arial" w:cs="Arial" w:eastAsia="Arial" w:hAnsi="Arial"/>
                <w:sz w:val="16"/>
                <w:szCs w:val="16"/>
                <w:color w:val="auto"/>
                <w:w w:val="89"/>
              </w:rPr>
              <w:t>$42.32</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89"/>
              </w:rPr>
              <w:t>$0.37</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89"/>
              </w:rPr>
              <w:t>$0.37</w:t>
            </w:r>
          </w:p>
        </w:tc>
      </w:tr>
      <w:tr>
        <w:trPr>
          <w:trHeight w:val="33"/>
        </w:trPr>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19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Full Year</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93"/>
              </w:rPr>
              <w:t>$53.00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center"/>
              <w:ind w:right="219"/>
              <w:spacing w:after="0"/>
              <w:rPr>
                <w:sz w:val="20"/>
                <w:szCs w:val="20"/>
                <w:color w:val="auto"/>
              </w:rPr>
            </w:pPr>
            <w:r>
              <w:rPr>
                <w:rFonts w:ascii="Arial" w:cs="Arial" w:eastAsia="Arial" w:hAnsi="Arial"/>
                <w:sz w:val="16"/>
                <w:szCs w:val="16"/>
                <w:b w:val="1"/>
                <w:bCs w:val="1"/>
                <w:color w:val="auto"/>
                <w:w w:val="89"/>
              </w:rPr>
              <w:t>$37.79</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center"/>
              <w:ind w:left="219"/>
              <w:spacing w:after="0"/>
              <w:rPr>
                <w:sz w:val="20"/>
                <w:szCs w:val="20"/>
                <w:color w:val="auto"/>
              </w:rPr>
            </w:pPr>
            <w:r>
              <w:rPr>
                <w:rFonts w:ascii="Arial" w:cs="Arial" w:eastAsia="Arial" w:hAnsi="Arial"/>
                <w:sz w:val="16"/>
                <w:szCs w:val="16"/>
                <w:color w:val="auto"/>
                <w:w w:val="89"/>
              </w:rPr>
              <w:t>$62.82</w:t>
            </w:r>
          </w:p>
        </w:tc>
        <w:tc>
          <w:tcPr>
            <w:tcW w:w="1900" w:type="dxa"/>
            <w:vAlign w:val="bottom"/>
            <w:tcBorders>
              <w:bottom w:val="single" w:sz="8" w:color="CCEEFF"/>
            </w:tcBorders>
            <w:gridSpan w:val="3"/>
            <w:shd w:val="clear" w:color="auto" w:fill="CCEEFF"/>
          </w:tcPr>
          <w:p>
            <w:pPr>
              <w:jc w:val="center"/>
              <w:ind w:left="339"/>
              <w:spacing w:after="0"/>
              <w:rPr>
                <w:sz w:val="20"/>
                <w:szCs w:val="20"/>
                <w:color w:val="auto"/>
              </w:rPr>
            </w:pPr>
            <w:r>
              <w:rPr>
                <w:rFonts w:ascii="Arial" w:cs="Arial" w:eastAsia="Arial" w:hAnsi="Arial"/>
                <w:sz w:val="16"/>
                <w:szCs w:val="16"/>
                <w:color w:val="auto"/>
                <w:w w:val="89"/>
              </w:rPr>
              <w:t>$35.01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$1.48</w:t>
            </w:r>
          </w:p>
        </w:tc>
      </w:tr>
      <w:tr>
        <w:trPr>
          <w:trHeight w:val="20"/>
        </w:trPr>
        <w:tc>
          <w:tcPr>
            <w:tcW w:w="1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millions)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color w:val="auto"/>
        </w:rPr>
        <w:t>In February 2017, our Board of Directors authorized a program to repurchase up to $500 of our outstanding common stock through August 31, 2018.</w:t>
      </w:r>
    </w:p>
    <w:p>
      <w:pPr>
        <w:spacing w:after="0" w:line="18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the fourth quarter of 2017, we made no share repurchases and we had $414 of remaining share repurchase capacity as of February 3, 2018. We do not plan to repurchase shares while the Group explores the possibility of making a going private proposal. The actual timing, price, manner and amounts of future share repurchases, if any, will be subject to market and economic conditions and applicable SEC rules.</w:t>
      </w:r>
    </w:p>
    <w:p>
      <w:pPr>
        <w:spacing w:after="0" w:line="37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15</w:t>
      </w:r>
    </w:p>
    <w:p>
      <w:pPr>
        <w:sectPr>
          <w:pgSz w:w="11900" w:h="16838" w:orient="portrait"/>
          <w:cols w:equalWidth="0" w:num="1">
            <w:col w:w="11420"/>
          </w:cols>
          <w:pgMar w:left="240" w:top="126" w:right="239" w:bottom="1440" w:gutter="0" w:footer="0" w:header="0"/>
        </w:sectPr>
      </w:pPr>
    </w:p>
    <w:bookmarkStart w:id="15" w:name="page16"/>
    <w:bookmarkEnd w:id="15"/>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PRICE PERFORMANCE</w:t>
      </w:r>
    </w:p>
    <w:p>
      <w:pPr>
        <w:spacing w:after="0" w:line="2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following graph compares the cumulative total return of Nordstrom common stock, Standard &amp; Poor’s Retail Index (“S&amp;P Retail”) and Standard &amp; Poor’s 500 Index (“S&amp;P 500”) for each of the last five fiscal years, ending February 3, 2018. The Retail Index is composed of 29 retail companies, including Nordstrom, representing an industry group of the S&amp;P 500. The following graph assumes an initial investment of $100 each in Nordstrom common stock, the S&amp;P Retail and the S&amp;P 500 on February 2, 2013 and assumes reinvestment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198120</wp:posOffset>
            </wp:positionV>
            <wp:extent cx="5848985" cy="4845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848985" cy="4845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20" w:type="dxa"/>
            <w:vAlign w:val="bottom"/>
          </w:tcPr>
          <w:p>
            <w:pPr>
              <w:ind w:left="40"/>
              <w:spacing w:after="0"/>
              <w:rPr>
                <w:sz w:val="20"/>
                <w:szCs w:val="20"/>
                <w:color w:val="auto"/>
              </w:rPr>
            </w:pPr>
            <w:r>
              <w:rPr>
                <w:rFonts w:ascii="Arial" w:cs="Arial" w:eastAsia="Arial" w:hAnsi="Arial"/>
                <w:sz w:val="16"/>
                <w:szCs w:val="16"/>
                <w:b w:val="1"/>
                <w:bCs w:val="1"/>
                <w:color w:val="auto"/>
              </w:rPr>
              <w:t>End of fiscal year</w:t>
            </w:r>
          </w:p>
        </w:tc>
        <w:tc>
          <w:tcPr>
            <w:tcW w:w="1660" w:type="dxa"/>
            <w:vAlign w:val="bottom"/>
          </w:tcPr>
          <w:p>
            <w:pPr>
              <w:jc w:val="right"/>
              <w:ind w:right="499"/>
              <w:spacing w:after="0"/>
              <w:rPr>
                <w:sz w:val="20"/>
                <w:szCs w:val="20"/>
                <w:color w:val="auto"/>
              </w:rPr>
            </w:pPr>
            <w:r>
              <w:rPr>
                <w:rFonts w:ascii="Arial" w:cs="Arial" w:eastAsia="Arial" w:hAnsi="Arial"/>
                <w:sz w:val="16"/>
                <w:szCs w:val="16"/>
                <w:b w:val="1"/>
                <w:bCs w:val="1"/>
                <w:color w:val="auto"/>
              </w:rPr>
              <w:t>2012</w:t>
            </w:r>
          </w:p>
        </w:tc>
        <w:tc>
          <w:tcPr>
            <w:tcW w:w="1500" w:type="dxa"/>
            <w:vAlign w:val="bottom"/>
          </w:tcPr>
          <w:p>
            <w:pPr>
              <w:jc w:val="right"/>
              <w:ind w:right="499"/>
              <w:spacing w:after="0"/>
              <w:rPr>
                <w:sz w:val="20"/>
                <w:szCs w:val="20"/>
                <w:color w:val="auto"/>
              </w:rPr>
            </w:pPr>
            <w:r>
              <w:rPr>
                <w:rFonts w:ascii="Arial" w:cs="Arial" w:eastAsia="Arial" w:hAnsi="Arial"/>
                <w:sz w:val="16"/>
                <w:szCs w:val="16"/>
                <w:b w:val="1"/>
                <w:bCs w:val="1"/>
                <w:color w:val="auto"/>
              </w:rPr>
              <w:t>2013</w:t>
            </w:r>
          </w:p>
        </w:tc>
        <w:tc>
          <w:tcPr>
            <w:tcW w:w="1500" w:type="dxa"/>
            <w:vAlign w:val="bottom"/>
          </w:tcPr>
          <w:p>
            <w:pPr>
              <w:jc w:val="right"/>
              <w:ind w:right="499"/>
              <w:spacing w:after="0"/>
              <w:rPr>
                <w:sz w:val="20"/>
                <w:szCs w:val="20"/>
                <w:color w:val="auto"/>
              </w:rPr>
            </w:pPr>
            <w:r>
              <w:rPr>
                <w:rFonts w:ascii="Arial" w:cs="Arial" w:eastAsia="Arial" w:hAnsi="Arial"/>
                <w:sz w:val="16"/>
                <w:szCs w:val="16"/>
                <w:b w:val="1"/>
                <w:bCs w:val="1"/>
                <w:color w:val="auto"/>
              </w:rPr>
              <w:t>2014</w:t>
            </w:r>
          </w:p>
        </w:tc>
        <w:tc>
          <w:tcPr>
            <w:tcW w:w="1480" w:type="dxa"/>
            <w:vAlign w:val="bottom"/>
          </w:tcPr>
          <w:p>
            <w:pPr>
              <w:jc w:val="right"/>
              <w:ind w:right="479"/>
              <w:spacing w:after="0"/>
              <w:rPr>
                <w:sz w:val="20"/>
                <w:szCs w:val="20"/>
                <w:color w:val="auto"/>
              </w:rPr>
            </w:pPr>
            <w:r>
              <w:rPr>
                <w:rFonts w:ascii="Arial" w:cs="Arial" w:eastAsia="Arial" w:hAnsi="Arial"/>
                <w:sz w:val="16"/>
                <w:szCs w:val="16"/>
                <w:b w:val="1"/>
                <w:bCs w:val="1"/>
                <w:color w:val="auto"/>
              </w:rPr>
              <w:t>2015</w:t>
            </w:r>
          </w:p>
        </w:tc>
        <w:tc>
          <w:tcPr>
            <w:tcW w:w="1460" w:type="dxa"/>
            <w:vAlign w:val="bottom"/>
          </w:tcPr>
          <w:p>
            <w:pPr>
              <w:jc w:val="right"/>
              <w:ind w:right="479"/>
              <w:spacing w:after="0"/>
              <w:rPr>
                <w:sz w:val="20"/>
                <w:szCs w:val="20"/>
                <w:color w:val="auto"/>
              </w:rPr>
            </w:pPr>
            <w:r>
              <w:rPr>
                <w:rFonts w:ascii="Arial" w:cs="Arial" w:eastAsia="Arial" w:hAnsi="Arial"/>
                <w:sz w:val="16"/>
                <w:szCs w:val="16"/>
                <w:b w:val="1"/>
                <w:bCs w:val="1"/>
                <w:color w:val="auto"/>
              </w:rPr>
              <w:t>2016</w:t>
            </w:r>
          </w:p>
        </w:tc>
        <w:tc>
          <w:tcPr>
            <w:tcW w:w="1000" w:type="dxa"/>
            <w:vAlign w:val="bottom"/>
          </w:tcPr>
          <w:p>
            <w:pPr>
              <w:jc w:val="right"/>
              <w:ind w:right="19"/>
              <w:spacing w:after="0"/>
              <w:rPr>
                <w:sz w:val="20"/>
                <w:szCs w:val="20"/>
                <w:color w:val="auto"/>
              </w:rPr>
            </w:pPr>
            <w:r>
              <w:rPr>
                <w:rFonts w:ascii="Arial" w:cs="Arial" w:eastAsia="Arial" w:hAnsi="Arial"/>
                <w:sz w:val="16"/>
                <w:szCs w:val="16"/>
                <w:b w:val="1"/>
                <w:bCs w:val="1"/>
                <w:color w:val="auto"/>
              </w:rPr>
              <w:t>2017</w:t>
            </w:r>
          </w:p>
        </w:tc>
      </w:tr>
      <w:tr>
        <w:trPr>
          <w:trHeight w:val="33"/>
        </w:trPr>
        <w:tc>
          <w:tcPr>
            <w:tcW w:w="28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2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Nordstrom common stock</w:t>
            </w:r>
          </w:p>
        </w:tc>
        <w:tc>
          <w:tcPr>
            <w:tcW w:w="166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100</w:t>
            </w:r>
          </w:p>
        </w:tc>
        <w:tc>
          <w:tcPr>
            <w:tcW w:w="150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106</w:t>
            </w:r>
          </w:p>
        </w:tc>
        <w:tc>
          <w:tcPr>
            <w:tcW w:w="150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144</w:t>
            </w:r>
          </w:p>
        </w:tc>
        <w:tc>
          <w:tcPr>
            <w:tcW w:w="148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102</w:t>
            </w:r>
          </w:p>
        </w:tc>
        <w:tc>
          <w:tcPr>
            <w:tcW w:w="146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91</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105</w:t>
            </w:r>
          </w:p>
        </w:tc>
      </w:tr>
      <w:tr>
        <w:trPr>
          <w:trHeight w:val="237"/>
        </w:trPr>
        <w:tc>
          <w:tcPr>
            <w:tcW w:w="2820" w:type="dxa"/>
            <w:vAlign w:val="bottom"/>
          </w:tcPr>
          <w:p>
            <w:pPr>
              <w:ind w:left="40"/>
              <w:spacing w:after="0"/>
              <w:rPr>
                <w:sz w:val="20"/>
                <w:szCs w:val="20"/>
                <w:color w:val="auto"/>
              </w:rPr>
            </w:pPr>
            <w:r>
              <w:rPr>
                <w:rFonts w:ascii="Arial" w:cs="Arial" w:eastAsia="Arial" w:hAnsi="Arial"/>
                <w:sz w:val="16"/>
                <w:szCs w:val="16"/>
                <w:color w:val="auto"/>
              </w:rPr>
              <w:t>Standard &amp; Poor’s Retail Index</w:t>
            </w:r>
          </w:p>
        </w:tc>
        <w:tc>
          <w:tcPr>
            <w:tcW w:w="1660" w:type="dxa"/>
            <w:vAlign w:val="bottom"/>
          </w:tcPr>
          <w:p>
            <w:pPr>
              <w:jc w:val="right"/>
              <w:ind w:right="499"/>
              <w:spacing w:after="0"/>
              <w:rPr>
                <w:sz w:val="20"/>
                <w:szCs w:val="20"/>
                <w:color w:val="auto"/>
              </w:rPr>
            </w:pPr>
            <w:r>
              <w:rPr>
                <w:rFonts w:ascii="Arial" w:cs="Arial" w:eastAsia="Arial" w:hAnsi="Arial"/>
                <w:sz w:val="16"/>
                <w:szCs w:val="16"/>
                <w:color w:val="auto"/>
              </w:rPr>
              <w:t>100</w:t>
            </w:r>
          </w:p>
        </w:tc>
        <w:tc>
          <w:tcPr>
            <w:tcW w:w="1500" w:type="dxa"/>
            <w:vAlign w:val="bottom"/>
          </w:tcPr>
          <w:p>
            <w:pPr>
              <w:jc w:val="right"/>
              <w:ind w:right="499"/>
              <w:spacing w:after="0"/>
              <w:rPr>
                <w:sz w:val="20"/>
                <w:szCs w:val="20"/>
                <w:color w:val="auto"/>
              </w:rPr>
            </w:pPr>
            <w:r>
              <w:rPr>
                <w:rFonts w:ascii="Arial" w:cs="Arial" w:eastAsia="Arial" w:hAnsi="Arial"/>
                <w:sz w:val="16"/>
                <w:szCs w:val="16"/>
                <w:color w:val="auto"/>
              </w:rPr>
              <w:t>125</w:t>
            </w:r>
          </w:p>
        </w:tc>
        <w:tc>
          <w:tcPr>
            <w:tcW w:w="1500" w:type="dxa"/>
            <w:vAlign w:val="bottom"/>
          </w:tcPr>
          <w:p>
            <w:pPr>
              <w:jc w:val="right"/>
              <w:ind w:right="499"/>
              <w:spacing w:after="0"/>
              <w:rPr>
                <w:sz w:val="20"/>
                <w:szCs w:val="20"/>
                <w:color w:val="auto"/>
              </w:rPr>
            </w:pPr>
            <w:r>
              <w:rPr>
                <w:rFonts w:ascii="Arial" w:cs="Arial" w:eastAsia="Arial" w:hAnsi="Arial"/>
                <w:sz w:val="16"/>
                <w:szCs w:val="16"/>
                <w:color w:val="auto"/>
              </w:rPr>
              <w:t>154</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179</w:t>
            </w:r>
          </w:p>
        </w:tc>
        <w:tc>
          <w:tcPr>
            <w:tcW w:w="1460" w:type="dxa"/>
            <w:vAlign w:val="bottom"/>
          </w:tcPr>
          <w:p>
            <w:pPr>
              <w:jc w:val="right"/>
              <w:ind w:right="479"/>
              <w:spacing w:after="0"/>
              <w:rPr>
                <w:sz w:val="20"/>
                <w:szCs w:val="20"/>
                <w:color w:val="auto"/>
              </w:rPr>
            </w:pPr>
            <w:r>
              <w:rPr>
                <w:rFonts w:ascii="Arial" w:cs="Arial" w:eastAsia="Arial" w:hAnsi="Arial"/>
                <w:sz w:val="16"/>
                <w:szCs w:val="16"/>
                <w:color w:val="auto"/>
              </w:rPr>
              <w:t>211</w:t>
            </w:r>
          </w:p>
        </w:tc>
        <w:tc>
          <w:tcPr>
            <w:tcW w:w="1000" w:type="dxa"/>
            <w:vAlign w:val="bottom"/>
          </w:tcPr>
          <w:p>
            <w:pPr>
              <w:jc w:val="right"/>
              <w:ind w:right="19"/>
              <w:spacing w:after="0"/>
              <w:rPr>
                <w:sz w:val="20"/>
                <w:szCs w:val="20"/>
                <w:color w:val="auto"/>
              </w:rPr>
            </w:pPr>
            <w:r>
              <w:rPr>
                <w:rFonts w:ascii="Arial" w:cs="Arial" w:eastAsia="Arial" w:hAnsi="Arial"/>
                <w:sz w:val="16"/>
                <w:szCs w:val="16"/>
                <w:b w:val="1"/>
                <w:bCs w:val="1"/>
                <w:color w:val="auto"/>
              </w:rPr>
              <w:t>299</w:t>
            </w:r>
          </w:p>
        </w:tc>
      </w:tr>
      <w:tr>
        <w:trPr>
          <w:trHeight w:val="33"/>
        </w:trPr>
        <w:tc>
          <w:tcPr>
            <w:tcW w:w="28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2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Standard &amp; Poor’s 500 Index</w:t>
            </w:r>
          </w:p>
        </w:tc>
        <w:tc>
          <w:tcPr>
            <w:tcW w:w="166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100</w:t>
            </w:r>
          </w:p>
        </w:tc>
        <w:tc>
          <w:tcPr>
            <w:tcW w:w="150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120</w:t>
            </w:r>
          </w:p>
        </w:tc>
        <w:tc>
          <w:tcPr>
            <w:tcW w:w="150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141</w:t>
            </w:r>
          </w:p>
        </w:tc>
        <w:tc>
          <w:tcPr>
            <w:tcW w:w="148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138</w:t>
            </w:r>
          </w:p>
        </w:tc>
        <w:tc>
          <w:tcPr>
            <w:tcW w:w="146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167</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206</w:t>
            </w:r>
          </w:p>
        </w:tc>
      </w:tr>
      <w:tr>
        <w:trPr>
          <w:trHeight w:val="649"/>
        </w:trPr>
        <w:tc>
          <w:tcPr>
            <w:tcW w:w="282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16</w:t>
            </w:r>
          </w:p>
        </w:tc>
        <w:tc>
          <w:tcPr>
            <w:tcW w:w="166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126" w:right="239" w:bottom="1440" w:gutter="0" w:footer="0" w:header="0"/>
        </w:sectPr>
      </w:pPr>
    </w:p>
    <w:bookmarkStart w:id="16" w:name="page17"/>
    <w:bookmarkEnd w:id="16"/>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Selected Financial Data.</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Dollars in millions except per square foot and per share amounts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selected financial data are derived from the audited Consolidated Financial Statements and should be read in conjunction with Item 1A: Risk</w:t>
      </w:r>
    </w:p>
    <w:p>
      <w:pPr>
        <w:spacing w:after="0" w:line="46" w:lineRule="exact"/>
        <w:rPr>
          <w:sz w:val="20"/>
          <w:szCs w:val="20"/>
          <w:color w:val="auto"/>
        </w:rPr>
      </w:pPr>
    </w:p>
    <w:p>
      <w:pPr>
        <w:ind w:right="1060"/>
        <w:spacing w:after="0" w:line="261" w:lineRule="auto"/>
        <w:rPr>
          <w:sz w:val="20"/>
          <w:szCs w:val="20"/>
          <w:color w:val="auto"/>
        </w:rPr>
      </w:pPr>
      <w:r>
        <w:rPr>
          <w:rFonts w:ascii="Arial" w:cs="Arial" w:eastAsia="Arial" w:hAnsi="Arial"/>
          <w:sz w:val="18"/>
          <w:szCs w:val="18"/>
          <w:color w:val="auto"/>
        </w:rPr>
        <w:t>Factors, Item 7: Management’s Discussion and Analysis of Financial Condition and Results of Operations and Item 8: Financial Statements and Supplementary Data of this Annual Report on Form 10-K.</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00" w:type="dxa"/>
            <w:vAlign w:val="bottom"/>
          </w:tcPr>
          <w:p>
            <w:pPr>
              <w:ind w:left="40"/>
              <w:spacing w:after="0"/>
              <w:rPr>
                <w:sz w:val="20"/>
                <w:szCs w:val="20"/>
                <w:color w:val="auto"/>
              </w:rPr>
            </w:pPr>
            <w:r>
              <w:rPr>
                <w:rFonts w:ascii="Arial" w:cs="Arial" w:eastAsia="Arial" w:hAnsi="Arial"/>
                <w:sz w:val="16"/>
                <w:szCs w:val="16"/>
                <w:b w:val="1"/>
                <w:bCs w:val="1"/>
                <w:color w:val="auto"/>
              </w:rPr>
              <w:t>Fiscal year</w:t>
            </w:r>
          </w:p>
        </w:tc>
        <w:tc>
          <w:tcPr>
            <w:tcW w:w="1480" w:type="dxa"/>
            <w:vAlign w:val="bottom"/>
          </w:tcPr>
          <w:p>
            <w:pPr>
              <w:jc w:val="right"/>
              <w:ind w:right="419"/>
              <w:spacing w:after="0"/>
              <w:rPr>
                <w:sz w:val="20"/>
                <w:szCs w:val="20"/>
                <w:color w:val="auto"/>
              </w:rPr>
            </w:pPr>
            <w:r>
              <w:rPr>
                <w:rFonts w:ascii="Arial" w:cs="Arial" w:eastAsia="Arial" w:hAnsi="Arial"/>
                <w:sz w:val="16"/>
                <w:szCs w:val="16"/>
                <w:b w:val="1"/>
                <w:bCs w:val="1"/>
                <w:color w:val="auto"/>
              </w:rPr>
              <w:t>2017</w:t>
            </w:r>
          </w:p>
        </w:tc>
        <w:tc>
          <w:tcPr>
            <w:tcW w:w="1600" w:type="dxa"/>
            <w:vAlign w:val="bottom"/>
          </w:tcPr>
          <w:p>
            <w:pPr>
              <w:jc w:val="right"/>
              <w:ind w:right="439"/>
              <w:spacing w:after="0"/>
              <w:rPr>
                <w:sz w:val="20"/>
                <w:szCs w:val="20"/>
                <w:color w:val="auto"/>
              </w:rPr>
            </w:pPr>
            <w:r>
              <w:rPr>
                <w:rFonts w:ascii="Arial" w:cs="Arial" w:eastAsia="Arial" w:hAnsi="Arial"/>
                <w:sz w:val="16"/>
                <w:szCs w:val="16"/>
                <w:b w:val="1"/>
                <w:bCs w:val="1"/>
                <w:color w:val="auto"/>
              </w:rPr>
              <w:t>2016</w:t>
            </w:r>
          </w:p>
        </w:tc>
        <w:tc>
          <w:tcPr>
            <w:tcW w:w="1540" w:type="dxa"/>
            <w:vAlign w:val="bottom"/>
          </w:tcPr>
          <w:p>
            <w:pPr>
              <w:jc w:val="right"/>
              <w:ind w:right="399"/>
              <w:spacing w:after="0"/>
              <w:rPr>
                <w:sz w:val="20"/>
                <w:szCs w:val="20"/>
                <w:color w:val="auto"/>
              </w:rPr>
            </w:pPr>
            <w:r>
              <w:rPr>
                <w:rFonts w:ascii="Arial" w:cs="Arial" w:eastAsia="Arial" w:hAnsi="Arial"/>
                <w:sz w:val="16"/>
                <w:szCs w:val="16"/>
                <w:b w:val="1"/>
                <w:bCs w:val="1"/>
                <w:color w:val="auto"/>
              </w:rPr>
              <w:t>2015</w:t>
            </w:r>
          </w:p>
        </w:tc>
        <w:tc>
          <w:tcPr>
            <w:tcW w:w="1540" w:type="dxa"/>
            <w:vAlign w:val="bottom"/>
          </w:tcPr>
          <w:p>
            <w:pPr>
              <w:jc w:val="right"/>
              <w:ind w:right="399"/>
              <w:spacing w:after="0"/>
              <w:rPr>
                <w:sz w:val="20"/>
                <w:szCs w:val="20"/>
                <w:color w:val="auto"/>
              </w:rPr>
            </w:pPr>
            <w:r>
              <w:rPr>
                <w:rFonts w:ascii="Arial" w:cs="Arial" w:eastAsia="Arial" w:hAnsi="Arial"/>
                <w:sz w:val="16"/>
                <w:szCs w:val="16"/>
                <w:b w:val="1"/>
                <w:bCs w:val="1"/>
                <w:color w:val="auto"/>
              </w:rPr>
              <w:t>2014</w:t>
            </w:r>
          </w:p>
        </w:tc>
        <w:tc>
          <w:tcPr>
            <w:tcW w:w="1360" w:type="dxa"/>
            <w:vAlign w:val="bottom"/>
          </w:tcPr>
          <w:p>
            <w:pPr>
              <w:jc w:val="right"/>
              <w:ind w:right="219"/>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33"/>
        </w:trPr>
        <w:tc>
          <w:tcPr>
            <w:tcW w:w="39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Earnings Results</w:t>
            </w:r>
          </w:p>
        </w:tc>
        <w:tc>
          <w:tcPr>
            <w:tcW w:w="14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00" w:type="dxa"/>
            <w:vAlign w:val="bottom"/>
          </w:tcPr>
          <w:p>
            <w:pPr>
              <w:ind w:left="280"/>
              <w:spacing w:after="0"/>
              <w:rPr>
                <w:sz w:val="20"/>
                <w:szCs w:val="20"/>
                <w:color w:val="auto"/>
              </w:rPr>
            </w:pPr>
            <w:r>
              <w:rPr>
                <w:rFonts w:ascii="Arial" w:cs="Arial" w:eastAsia="Arial" w:hAnsi="Arial"/>
                <w:sz w:val="16"/>
                <w:szCs w:val="16"/>
                <w:color w:val="auto"/>
              </w:rPr>
              <w:t>Net sales</w:t>
            </w:r>
          </w:p>
        </w:tc>
        <w:tc>
          <w:tcPr>
            <w:tcW w:w="1480" w:type="dxa"/>
            <w:vAlign w:val="bottom"/>
          </w:tcPr>
          <w:p>
            <w:pPr>
              <w:jc w:val="right"/>
              <w:ind w:right="419"/>
              <w:spacing w:after="0"/>
              <w:rPr>
                <w:sz w:val="20"/>
                <w:szCs w:val="20"/>
                <w:color w:val="auto"/>
              </w:rPr>
            </w:pPr>
            <w:r>
              <w:rPr>
                <w:rFonts w:ascii="Arial" w:cs="Arial" w:eastAsia="Arial" w:hAnsi="Arial"/>
                <w:sz w:val="16"/>
                <w:szCs w:val="16"/>
                <w:b w:val="1"/>
                <w:bCs w:val="1"/>
                <w:color w:val="auto"/>
              </w:rPr>
              <w:t>$15,137</w:t>
            </w:r>
          </w:p>
        </w:tc>
        <w:tc>
          <w:tcPr>
            <w:tcW w:w="1600" w:type="dxa"/>
            <w:vAlign w:val="bottom"/>
          </w:tcPr>
          <w:p>
            <w:pPr>
              <w:jc w:val="right"/>
              <w:ind w:right="439"/>
              <w:spacing w:after="0"/>
              <w:rPr>
                <w:sz w:val="20"/>
                <w:szCs w:val="20"/>
                <w:color w:val="auto"/>
              </w:rPr>
            </w:pPr>
            <w:r>
              <w:rPr>
                <w:rFonts w:ascii="Arial" w:cs="Arial" w:eastAsia="Arial" w:hAnsi="Arial"/>
                <w:sz w:val="16"/>
                <w:szCs w:val="16"/>
                <w:color w:val="auto"/>
              </w:rPr>
              <w:t>$14,498</w:t>
            </w:r>
          </w:p>
        </w:tc>
        <w:tc>
          <w:tcPr>
            <w:tcW w:w="1540" w:type="dxa"/>
            <w:vAlign w:val="bottom"/>
          </w:tcPr>
          <w:p>
            <w:pPr>
              <w:jc w:val="right"/>
              <w:ind w:right="399"/>
              <w:spacing w:after="0"/>
              <w:rPr>
                <w:sz w:val="20"/>
                <w:szCs w:val="20"/>
                <w:color w:val="auto"/>
              </w:rPr>
            </w:pPr>
            <w:r>
              <w:rPr>
                <w:rFonts w:ascii="Arial" w:cs="Arial" w:eastAsia="Arial" w:hAnsi="Arial"/>
                <w:sz w:val="16"/>
                <w:szCs w:val="16"/>
                <w:color w:val="auto"/>
              </w:rPr>
              <w:t>$14,095</w:t>
            </w:r>
          </w:p>
        </w:tc>
        <w:tc>
          <w:tcPr>
            <w:tcW w:w="1540" w:type="dxa"/>
            <w:vAlign w:val="bottom"/>
          </w:tcPr>
          <w:p>
            <w:pPr>
              <w:jc w:val="right"/>
              <w:ind w:right="399"/>
              <w:spacing w:after="0"/>
              <w:rPr>
                <w:sz w:val="20"/>
                <w:szCs w:val="20"/>
                <w:color w:val="auto"/>
              </w:rPr>
            </w:pPr>
            <w:r>
              <w:rPr>
                <w:rFonts w:ascii="Arial" w:cs="Arial" w:eastAsia="Arial" w:hAnsi="Arial"/>
                <w:sz w:val="16"/>
                <w:szCs w:val="16"/>
                <w:color w:val="auto"/>
              </w:rPr>
              <w:t>$13,110</w:t>
            </w:r>
          </w:p>
        </w:tc>
        <w:tc>
          <w:tcPr>
            <w:tcW w:w="1360" w:type="dxa"/>
            <w:vAlign w:val="bottom"/>
          </w:tcPr>
          <w:p>
            <w:pPr>
              <w:jc w:val="right"/>
              <w:ind w:right="219"/>
              <w:spacing w:after="0"/>
              <w:rPr>
                <w:sz w:val="20"/>
                <w:szCs w:val="20"/>
                <w:color w:val="auto"/>
              </w:rPr>
            </w:pPr>
            <w:r>
              <w:rPr>
                <w:rFonts w:ascii="Arial" w:cs="Arial" w:eastAsia="Arial" w:hAnsi="Arial"/>
                <w:sz w:val="16"/>
                <w:szCs w:val="16"/>
                <w:color w:val="auto"/>
              </w:rPr>
              <w:t>$12,166</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Credit card revenues, net</w:t>
            </w:r>
            <w:r>
              <w:rPr>
                <w:rFonts w:ascii="Arial" w:cs="Arial" w:eastAsia="Arial" w:hAnsi="Arial"/>
                <w:sz w:val="21"/>
                <w:szCs w:val="21"/>
                <w:color w:val="auto"/>
                <w:vertAlign w:val="superscript"/>
              </w:rPr>
              <w:t>1</w:t>
            </w:r>
          </w:p>
        </w:tc>
        <w:tc>
          <w:tcPr>
            <w:tcW w:w="1480" w:type="dxa"/>
            <w:vAlign w:val="bottom"/>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341</w:t>
            </w:r>
          </w:p>
        </w:tc>
        <w:tc>
          <w:tcPr>
            <w:tcW w:w="160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259</w:t>
            </w:r>
          </w:p>
        </w:tc>
        <w:tc>
          <w:tcPr>
            <w:tcW w:w="154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342</w:t>
            </w:r>
          </w:p>
        </w:tc>
        <w:tc>
          <w:tcPr>
            <w:tcW w:w="154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396</w:t>
            </w:r>
          </w:p>
        </w:tc>
        <w:tc>
          <w:tcPr>
            <w:tcW w:w="136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374</w:t>
            </w:r>
          </w:p>
        </w:tc>
        <w:tc>
          <w:tcPr>
            <w:tcW w:w="0" w:type="dxa"/>
            <w:vAlign w:val="bottom"/>
          </w:tcPr>
          <w:p>
            <w:pPr>
              <w:spacing w:after="0"/>
              <w:rPr>
                <w:sz w:val="1"/>
                <w:szCs w:val="1"/>
                <w:color w:val="auto"/>
              </w:rPr>
            </w:pPr>
          </w:p>
        </w:tc>
      </w:tr>
      <w:tr>
        <w:trPr>
          <w:trHeight w:val="237"/>
        </w:trPr>
        <w:tc>
          <w:tcPr>
            <w:tcW w:w="3900" w:type="dxa"/>
            <w:vAlign w:val="bottom"/>
          </w:tcPr>
          <w:p>
            <w:pPr>
              <w:ind w:left="280"/>
              <w:spacing w:after="0"/>
              <w:rPr>
                <w:sz w:val="20"/>
                <w:szCs w:val="20"/>
                <w:color w:val="auto"/>
              </w:rPr>
            </w:pPr>
            <w:r>
              <w:rPr>
                <w:rFonts w:ascii="Arial" w:cs="Arial" w:eastAsia="Arial" w:hAnsi="Arial"/>
                <w:sz w:val="16"/>
                <w:szCs w:val="16"/>
                <w:color w:val="auto"/>
              </w:rPr>
              <w:t>Gross profit</w:t>
            </w:r>
          </w:p>
        </w:tc>
        <w:tc>
          <w:tcPr>
            <w:tcW w:w="1480" w:type="dxa"/>
            <w:vAlign w:val="bottom"/>
          </w:tcPr>
          <w:p>
            <w:pPr>
              <w:jc w:val="right"/>
              <w:ind w:right="419"/>
              <w:spacing w:after="0"/>
              <w:rPr>
                <w:sz w:val="20"/>
                <w:szCs w:val="20"/>
                <w:color w:val="auto"/>
              </w:rPr>
            </w:pPr>
            <w:r>
              <w:rPr>
                <w:rFonts w:ascii="Arial" w:cs="Arial" w:eastAsia="Arial" w:hAnsi="Arial"/>
                <w:sz w:val="16"/>
                <w:szCs w:val="16"/>
                <w:b w:val="1"/>
                <w:bCs w:val="1"/>
                <w:color w:val="auto"/>
              </w:rPr>
              <w:t>5,247</w:t>
            </w:r>
          </w:p>
        </w:tc>
        <w:tc>
          <w:tcPr>
            <w:tcW w:w="1600" w:type="dxa"/>
            <w:vAlign w:val="bottom"/>
          </w:tcPr>
          <w:p>
            <w:pPr>
              <w:jc w:val="right"/>
              <w:ind w:right="439"/>
              <w:spacing w:after="0"/>
              <w:rPr>
                <w:sz w:val="20"/>
                <w:szCs w:val="20"/>
                <w:color w:val="auto"/>
              </w:rPr>
            </w:pPr>
            <w:r>
              <w:rPr>
                <w:rFonts w:ascii="Arial" w:cs="Arial" w:eastAsia="Arial" w:hAnsi="Arial"/>
                <w:sz w:val="16"/>
                <w:szCs w:val="16"/>
                <w:color w:val="auto"/>
              </w:rPr>
              <w:t>5,058</w:t>
            </w:r>
          </w:p>
        </w:tc>
        <w:tc>
          <w:tcPr>
            <w:tcW w:w="1540" w:type="dxa"/>
            <w:vAlign w:val="bottom"/>
          </w:tcPr>
          <w:p>
            <w:pPr>
              <w:jc w:val="right"/>
              <w:ind w:right="399"/>
              <w:spacing w:after="0"/>
              <w:rPr>
                <w:sz w:val="20"/>
                <w:szCs w:val="20"/>
                <w:color w:val="auto"/>
              </w:rPr>
            </w:pPr>
            <w:r>
              <w:rPr>
                <w:rFonts w:ascii="Arial" w:cs="Arial" w:eastAsia="Arial" w:hAnsi="Arial"/>
                <w:sz w:val="16"/>
                <w:szCs w:val="16"/>
                <w:color w:val="auto"/>
              </w:rPr>
              <w:t>4,927</w:t>
            </w:r>
          </w:p>
        </w:tc>
        <w:tc>
          <w:tcPr>
            <w:tcW w:w="1540" w:type="dxa"/>
            <w:vAlign w:val="bottom"/>
          </w:tcPr>
          <w:p>
            <w:pPr>
              <w:jc w:val="right"/>
              <w:ind w:right="399"/>
              <w:spacing w:after="0"/>
              <w:rPr>
                <w:sz w:val="20"/>
                <w:szCs w:val="20"/>
                <w:color w:val="auto"/>
              </w:rPr>
            </w:pPr>
            <w:r>
              <w:rPr>
                <w:rFonts w:ascii="Arial" w:cs="Arial" w:eastAsia="Arial" w:hAnsi="Arial"/>
                <w:sz w:val="16"/>
                <w:szCs w:val="16"/>
                <w:color w:val="auto"/>
              </w:rPr>
              <w:t>4,704</w:t>
            </w:r>
          </w:p>
        </w:tc>
        <w:tc>
          <w:tcPr>
            <w:tcW w:w="1360" w:type="dxa"/>
            <w:vAlign w:val="bottom"/>
          </w:tcPr>
          <w:p>
            <w:pPr>
              <w:jc w:val="right"/>
              <w:ind w:right="219"/>
              <w:spacing w:after="0"/>
              <w:rPr>
                <w:sz w:val="20"/>
                <w:szCs w:val="20"/>
                <w:color w:val="auto"/>
              </w:rPr>
            </w:pPr>
            <w:r>
              <w:rPr>
                <w:rFonts w:ascii="Arial" w:cs="Arial" w:eastAsia="Arial" w:hAnsi="Arial"/>
                <w:sz w:val="16"/>
                <w:szCs w:val="16"/>
                <w:color w:val="auto"/>
              </w:rPr>
              <w:t>4,429</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Selling, general and administrative (“SG&amp;A”)</w:t>
            </w:r>
          </w:p>
        </w:tc>
        <w:tc>
          <w:tcPr>
            <w:tcW w:w="1480" w:type="dxa"/>
            <w:vAlign w:val="bottom"/>
            <w:vMerge w:val="restart"/>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(4,662)</w:t>
            </w:r>
          </w:p>
        </w:tc>
        <w:tc>
          <w:tcPr>
            <w:tcW w:w="16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expenses</w:t>
            </w:r>
          </w:p>
        </w:tc>
        <w:tc>
          <w:tcPr>
            <w:tcW w:w="1480" w:type="dxa"/>
            <w:vAlign w:val="bottom"/>
            <w:tcBorders>
              <w:bottom w:val="single" w:sz="8" w:color="CCEEFF"/>
            </w:tcBorders>
            <w:vMerge w:val="continue"/>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(4,315)</w:t>
            </w:r>
          </w:p>
        </w:tc>
        <w:tc>
          <w:tcPr>
            <w:tcW w:w="15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(4,168)</w:t>
            </w:r>
          </w:p>
        </w:tc>
        <w:tc>
          <w:tcPr>
            <w:tcW w:w="15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(3,777)</w:t>
            </w:r>
          </w:p>
        </w:tc>
        <w:tc>
          <w:tcPr>
            <w:tcW w:w="1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(3,453)</w:t>
            </w:r>
          </w:p>
        </w:tc>
        <w:tc>
          <w:tcPr>
            <w:tcW w:w="0" w:type="dxa"/>
            <w:vAlign w:val="bottom"/>
          </w:tcPr>
          <w:p>
            <w:pPr>
              <w:spacing w:after="0"/>
              <w:rPr>
                <w:sz w:val="1"/>
                <w:szCs w:val="1"/>
                <w:color w:val="auto"/>
              </w:rPr>
            </w:pPr>
          </w:p>
        </w:tc>
      </w:tr>
      <w:tr>
        <w:trPr>
          <w:trHeight w:val="237"/>
        </w:trPr>
        <w:tc>
          <w:tcPr>
            <w:tcW w:w="3900" w:type="dxa"/>
            <w:vAlign w:val="bottom"/>
          </w:tcPr>
          <w:p>
            <w:pPr>
              <w:ind w:left="280"/>
              <w:spacing w:after="0"/>
              <w:rPr>
                <w:sz w:val="20"/>
                <w:szCs w:val="20"/>
                <w:color w:val="auto"/>
              </w:rPr>
            </w:pPr>
            <w:r>
              <w:rPr>
                <w:rFonts w:ascii="Arial" w:cs="Arial" w:eastAsia="Arial" w:hAnsi="Arial"/>
                <w:sz w:val="16"/>
                <w:szCs w:val="16"/>
                <w:color w:val="auto"/>
                <w:w w:val="99"/>
              </w:rPr>
              <w:t>Earnings before interest and income taxes (“EBIT”)</w:t>
            </w:r>
          </w:p>
        </w:tc>
        <w:tc>
          <w:tcPr>
            <w:tcW w:w="1480" w:type="dxa"/>
            <w:vAlign w:val="bottom"/>
          </w:tcPr>
          <w:p>
            <w:pPr>
              <w:jc w:val="right"/>
              <w:ind w:right="419"/>
              <w:spacing w:after="0"/>
              <w:rPr>
                <w:sz w:val="20"/>
                <w:szCs w:val="20"/>
                <w:color w:val="auto"/>
              </w:rPr>
            </w:pPr>
            <w:r>
              <w:rPr>
                <w:rFonts w:ascii="Arial" w:cs="Arial" w:eastAsia="Arial" w:hAnsi="Arial"/>
                <w:sz w:val="16"/>
                <w:szCs w:val="16"/>
                <w:b w:val="1"/>
                <w:bCs w:val="1"/>
                <w:color w:val="auto"/>
              </w:rPr>
              <w:t>926</w:t>
            </w:r>
          </w:p>
        </w:tc>
        <w:tc>
          <w:tcPr>
            <w:tcW w:w="1600" w:type="dxa"/>
            <w:vAlign w:val="bottom"/>
          </w:tcPr>
          <w:p>
            <w:pPr>
              <w:jc w:val="right"/>
              <w:ind w:right="439"/>
              <w:spacing w:after="0"/>
              <w:rPr>
                <w:sz w:val="20"/>
                <w:szCs w:val="20"/>
                <w:color w:val="auto"/>
              </w:rPr>
            </w:pPr>
            <w:r>
              <w:rPr>
                <w:rFonts w:ascii="Arial" w:cs="Arial" w:eastAsia="Arial" w:hAnsi="Arial"/>
                <w:sz w:val="16"/>
                <w:szCs w:val="16"/>
                <w:color w:val="auto"/>
              </w:rPr>
              <w:t>805</w:t>
            </w:r>
          </w:p>
        </w:tc>
        <w:tc>
          <w:tcPr>
            <w:tcW w:w="1540" w:type="dxa"/>
            <w:vAlign w:val="bottom"/>
          </w:tcPr>
          <w:p>
            <w:pPr>
              <w:jc w:val="right"/>
              <w:ind w:right="399"/>
              <w:spacing w:after="0"/>
              <w:rPr>
                <w:sz w:val="20"/>
                <w:szCs w:val="20"/>
                <w:color w:val="auto"/>
              </w:rPr>
            </w:pPr>
            <w:r>
              <w:rPr>
                <w:rFonts w:ascii="Arial" w:cs="Arial" w:eastAsia="Arial" w:hAnsi="Arial"/>
                <w:sz w:val="16"/>
                <w:szCs w:val="16"/>
                <w:color w:val="auto"/>
              </w:rPr>
              <w:t>1,101</w:t>
            </w:r>
          </w:p>
        </w:tc>
        <w:tc>
          <w:tcPr>
            <w:tcW w:w="1540" w:type="dxa"/>
            <w:vAlign w:val="bottom"/>
          </w:tcPr>
          <w:p>
            <w:pPr>
              <w:jc w:val="right"/>
              <w:ind w:right="399"/>
              <w:spacing w:after="0"/>
              <w:rPr>
                <w:sz w:val="20"/>
                <w:szCs w:val="20"/>
                <w:color w:val="auto"/>
              </w:rPr>
            </w:pPr>
            <w:r>
              <w:rPr>
                <w:rFonts w:ascii="Arial" w:cs="Arial" w:eastAsia="Arial" w:hAnsi="Arial"/>
                <w:sz w:val="16"/>
                <w:szCs w:val="16"/>
                <w:color w:val="auto"/>
              </w:rPr>
              <w:t>1,323</w:t>
            </w:r>
          </w:p>
        </w:tc>
        <w:tc>
          <w:tcPr>
            <w:tcW w:w="1360" w:type="dxa"/>
            <w:vAlign w:val="bottom"/>
          </w:tcPr>
          <w:p>
            <w:pPr>
              <w:jc w:val="right"/>
              <w:ind w:right="219"/>
              <w:spacing w:after="0"/>
              <w:rPr>
                <w:sz w:val="20"/>
                <w:szCs w:val="20"/>
                <w:color w:val="auto"/>
              </w:rPr>
            </w:pPr>
            <w:r>
              <w:rPr>
                <w:rFonts w:ascii="Arial" w:cs="Arial" w:eastAsia="Arial" w:hAnsi="Arial"/>
                <w:sz w:val="16"/>
                <w:szCs w:val="16"/>
                <w:color w:val="auto"/>
              </w:rPr>
              <w:t>1,350</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earnings</w:t>
            </w:r>
          </w:p>
        </w:tc>
        <w:tc>
          <w:tcPr>
            <w:tcW w:w="148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437</w:t>
            </w:r>
          </w:p>
        </w:tc>
        <w:tc>
          <w:tcPr>
            <w:tcW w:w="160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354</w:t>
            </w:r>
          </w:p>
        </w:tc>
        <w:tc>
          <w:tcPr>
            <w:tcW w:w="154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600</w:t>
            </w:r>
          </w:p>
        </w:tc>
        <w:tc>
          <w:tcPr>
            <w:tcW w:w="154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720</w:t>
            </w:r>
          </w:p>
        </w:tc>
        <w:tc>
          <w:tcPr>
            <w:tcW w:w="13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734</w:t>
            </w:r>
          </w:p>
        </w:tc>
        <w:tc>
          <w:tcPr>
            <w:tcW w:w="0" w:type="dxa"/>
            <w:vAlign w:val="bottom"/>
          </w:tcPr>
          <w:p>
            <w:pPr>
              <w:spacing w:after="0"/>
              <w:rPr>
                <w:sz w:val="1"/>
                <w:szCs w:val="1"/>
                <w:color w:val="auto"/>
              </w:rPr>
            </w:pPr>
          </w:p>
        </w:tc>
      </w:tr>
      <w:tr>
        <w:trPr>
          <w:trHeight w:val="284"/>
        </w:trPr>
        <w:tc>
          <w:tcPr>
            <w:tcW w:w="39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Sheet and Cash Flow Data</w:t>
            </w:r>
          </w:p>
        </w:tc>
        <w:tc>
          <w:tcPr>
            <w:tcW w:w="14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00" w:type="dxa"/>
            <w:vAlign w:val="bottom"/>
          </w:tcPr>
          <w:p>
            <w:pPr>
              <w:ind w:left="280"/>
              <w:spacing w:after="0"/>
              <w:rPr>
                <w:sz w:val="20"/>
                <w:szCs w:val="20"/>
                <w:color w:val="auto"/>
              </w:rPr>
            </w:pPr>
            <w:r>
              <w:rPr>
                <w:rFonts w:ascii="Arial" w:cs="Arial" w:eastAsia="Arial" w:hAnsi="Arial"/>
                <w:sz w:val="16"/>
                <w:szCs w:val="16"/>
                <w:color w:val="auto"/>
              </w:rPr>
              <w:t>Cash and cash equivalents</w:t>
            </w:r>
          </w:p>
        </w:tc>
        <w:tc>
          <w:tcPr>
            <w:tcW w:w="1480" w:type="dxa"/>
            <w:vAlign w:val="bottom"/>
          </w:tcPr>
          <w:p>
            <w:pPr>
              <w:jc w:val="right"/>
              <w:ind w:right="419"/>
              <w:spacing w:after="0"/>
              <w:rPr>
                <w:sz w:val="20"/>
                <w:szCs w:val="20"/>
                <w:color w:val="auto"/>
              </w:rPr>
            </w:pPr>
            <w:r>
              <w:rPr>
                <w:rFonts w:ascii="Arial" w:cs="Arial" w:eastAsia="Arial" w:hAnsi="Arial"/>
                <w:sz w:val="16"/>
                <w:szCs w:val="16"/>
                <w:b w:val="1"/>
                <w:bCs w:val="1"/>
                <w:color w:val="auto"/>
              </w:rPr>
              <w:t>$1,181</w:t>
            </w:r>
          </w:p>
        </w:tc>
        <w:tc>
          <w:tcPr>
            <w:tcW w:w="1600" w:type="dxa"/>
            <w:vAlign w:val="bottom"/>
          </w:tcPr>
          <w:p>
            <w:pPr>
              <w:jc w:val="right"/>
              <w:ind w:right="439"/>
              <w:spacing w:after="0"/>
              <w:rPr>
                <w:sz w:val="20"/>
                <w:szCs w:val="20"/>
                <w:color w:val="auto"/>
              </w:rPr>
            </w:pPr>
            <w:r>
              <w:rPr>
                <w:rFonts w:ascii="Arial" w:cs="Arial" w:eastAsia="Arial" w:hAnsi="Arial"/>
                <w:sz w:val="16"/>
                <w:szCs w:val="16"/>
                <w:color w:val="auto"/>
              </w:rPr>
              <w:t>$1,007</w:t>
            </w:r>
          </w:p>
        </w:tc>
        <w:tc>
          <w:tcPr>
            <w:tcW w:w="1540" w:type="dxa"/>
            <w:vAlign w:val="bottom"/>
          </w:tcPr>
          <w:p>
            <w:pPr>
              <w:jc w:val="right"/>
              <w:ind w:right="399"/>
              <w:spacing w:after="0"/>
              <w:rPr>
                <w:sz w:val="20"/>
                <w:szCs w:val="20"/>
                <w:color w:val="auto"/>
              </w:rPr>
            </w:pPr>
            <w:r>
              <w:rPr>
                <w:rFonts w:ascii="Arial" w:cs="Arial" w:eastAsia="Arial" w:hAnsi="Arial"/>
                <w:sz w:val="16"/>
                <w:szCs w:val="16"/>
                <w:color w:val="auto"/>
              </w:rPr>
              <w:t>$595</w:t>
            </w:r>
          </w:p>
        </w:tc>
        <w:tc>
          <w:tcPr>
            <w:tcW w:w="1540" w:type="dxa"/>
            <w:vAlign w:val="bottom"/>
          </w:tcPr>
          <w:p>
            <w:pPr>
              <w:jc w:val="right"/>
              <w:ind w:right="399"/>
              <w:spacing w:after="0"/>
              <w:rPr>
                <w:sz w:val="20"/>
                <w:szCs w:val="20"/>
                <w:color w:val="auto"/>
              </w:rPr>
            </w:pPr>
            <w:r>
              <w:rPr>
                <w:rFonts w:ascii="Arial" w:cs="Arial" w:eastAsia="Arial" w:hAnsi="Arial"/>
                <w:sz w:val="16"/>
                <w:szCs w:val="16"/>
                <w:color w:val="auto"/>
              </w:rPr>
              <w:t>$827</w:t>
            </w:r>
          </w:p>
        </w:tc>
        <w:tc>
          <w:tcPr>
            <w:tcW w:w="1360" w:type="dxa"/>
            <w:vAlign w:val="bottom"/>
          </w:tcPr>
          <w:p>
            <w:pPr>
              <w:jc w:val="right"/>
              <w:ind w:right="219"/>
              <w:spacing w:after="0"/>
              <w:rPr>
                <w:sz w:val="20"/>
                <w:szCs w:val="20"/>
                <w:color w:val="auto"/>
              </w:rPr>
            </w:pPr>
            <w:r>
              <w:rPr>
                <w:rFonts w:ascii="Arial" w:cs="Arial" w:eastAsia="Arial" w:hAnsi="Arial"/>
                <w:sz w:val="16"/>
                <w:szCs w:val="16"/>
                <w:color w:val="auto"/>
              </w:rPr>
              <w:t>$1,194</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Merchandise inventories</w:t>
            </w:r>
          </w:p>
        </w:tc>
        <w:tc>
          <w:tcPr>
            <w:tcW w:w="148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2,027</w:t>
            </w:r>
          </w:p>
        </w:tc>
        <w:tc>
          <w:tcPr>
            <w:tcW w:w="160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1,896</w:t>
            </w:r>
          </w:p>
        </w:tc>
        <w:tc>
          <w:tcPr>
            <w:tcW w:w="154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1,945</w:t>
            </w:r>
          </w:p>
        </w:tc>
        <w:tc>
          <w:tcPr>
            <w:tcW w:w="154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1,733</w:t>
            </w:r>
          </w:p>
        </w:tc>
        <w:tc>
          <w:tcPr>
            <w:tcW w:w="13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1,531</w:t>
            </w:r>
          </w:p>
        </w:tc>
        <w:tc>
          <w:tcPr>
            <w:tcW w:w="0" w:type="dxa"/>
            <w:vAlign w:val="bottom"/>
          </w:tcPr>
          <w:p>
            <w:pPr>
              <w:spacing w:after="0"/>
              <w:rPr>
                <w:sz w:val="1"/>
                <w:szCs w:val="1"/>
                <w:color w:val="auto"/>
              </w:rPr>
            </w:pPr>
          </w:p>
        </w:tc>
      </w:tr>
      <w:tr>
        <w:trPr>
          <w:trHeight w:val="237"/>
        </w:trPr>
        <w:tc>
          <w:tcPr>
            <w:tcW w:w="3900" w:type="dxa"/>
            <w:vAlign w:val="bottom"/>
          </w:tcPr>
          <w:p>
            <w:pPr>
              <w:ind w:left="280"/>
              <w:spacing w:after="0"/>
              <w:rPr>
                <w:sz w:val="20"/>
                <w:szCs w:val="20"/>
                <w:color w:val="auto"/>
              </w:rPr>
            </w:pPr>
            <w:r>
              <w:rPr>
                <w:rFonts w:ascii="Arial" w:cs="Arial" w:eastAsia="Arial" w:hAnsi="Arial"/>
                <w:sz w:val="16"/>
                <w:szCs w:val="16"/>
                <w:color w:val="auto"/>
              </w:rPr>
              <w:t>Land, property and equipment, net</w:t>
            </w:r>
          </w:p>
        </w:tc>
        <w:tc>
          <w:tcPr>
            <w:tcW w:w="1480" w:type="dxa"/>
            <w:vAlign w:val="bottom"/>
          </w:tcPr>
          <w:p>
            <w:pPr>
              <w:jc w:val="right"/>
              <w:ind w:right="419"/>
              <w:spacing w:after="0"/>
              <w:rPr>
                <w:sz w:val="20"/>
                <w:szCs w:val="20"/>
                <w:color w:val="auto"/>
              </w:rPr>
            </w:pPr>
            <w:r>
              <w:rPr>
                <w:rFonts w:ascii="Arial" w:cs="Arial" w:eastAsia="Arial" w:hAnsi="Arial"/>
                <w:sz w:val="16"/>
                <w:szCs w:val="16"/>
                <w:b w:val="1"/>
                <w:bCs w:val="1"/>
                <w:color w:val="auto"/>
              </w:rPr>
              <w:t>3,939</w:t>
            </w:r>
          </w:p>
        </w:tc>
        <w:tc>
          <w:tcPr>
            <w:tcW w:w="1600" w:type="dxa"/>
            <w:vAlign w:val="bottom"/>
          </w:tcPr>
          <w:p>
            <w:pPr>
              <w:jc w:val="right"/>
              <w:ind w:right="439"/>
              <w:spacing w:after="0"/>
              <w:rPr>
                <w:sz w:val="20"/>
                <w:szCs w:val="20"/>
                <w:color w:val="auto"/>
              </w:rPr>
            </w:pPr>
            <w:r>
              <w:rPr>
                <w:rFonts w:ascii="Arial" w:cs="Arial" w:eastAsia="Arial" w:hAnsi="Arial"/>
                <w:sz w:val="16"/>
                <w:szCs w:val="16"/>
                <w:color w:val="auto"/>
              </w:rPr>
              <w:t>3,897</w:t>
            </w:r>
          </w:p>
        </w:tc>
        <w:tc>
          <w:tcPr>
            <w:tcW w:w="1540" w:type="dxa"/>
            <w:vAlign w:val="bottom"/>
          </w:tcPr>
          <w:p>
            <w:pPr>
              <w:jc w:val="right"/>
              <w:ind w:right="399"/>
              <w:spacing w:after="0"/>
              <w:rPr>
                <w:sz w:val="20"/>
                <w:szCs w:val="20"/>
                <w:color w:val="auto"/>
              </w:rPr>
            </w:pPr>
            <w:r>
              <w:rPr>
                <w:rFonts w:ascii="Arial" w:cs="Arial" w:eastAsia="Arial" w:hAnsi="Arial"/>
                <w:sz w:val="16"/>
                <w:szCs w:val="16"/>
                <w:color w:val="auto"/>
              </w:rPr>
              <w:t>3,735</w:t>
            </w:r>
          </w:p>
        </w:tc>
        <w:tc>
          <w:tcPr>
            <w:tcW w:w="1540" w:type="dxa"/>
            <w:vAlign w:val="bottom"/>
          </w:tcPr>
          <w:p>
            <w:pPr>
              <w:jc w:val="right"/>
              <w:ind w:right="399"/>
              <w:spacing w:after="0"/>
              <w:rPr>
                <w:sz w:val="20"/>
                <w:szCs w:val="20"/>
                <w:color w:val="auto"/>
              </w:rPr>
            </w:pPr>
            <w:r>
              <w:rPr>
                <w:rFonts w:ascii="Arial" w:cs="Arial" w:eastAsia="Arial" w:hAnsi="Arial"/>
                <w:sz w:val="16"/>
                <w:szCs w:val="16"/>
                <w:color w:val="auto"/>
              </w:rPr>
              <w:t>3,340</w:t>
            </w:r>
          </w:p>
        </w:tc>
        <w:tc>
          <w:tcPr>
            <w:tcW w:w="1360" w:type="dxa"/>
            <w:vAlign w:val="bottom"/>
          </w:tcPr>
          <w:p>
            <w:pPr>
              <w:jc w:val="right"/>
              <w:ind w:right="219"/>
              <w:spacing w:after="0"/>
              <w:rPr>
                <w:sz w:val="20"/>
                <w:szCs w:val="20"/>
                <w:color w:val="auto"/>
              </w:rPr>
            </w:pPr>
            <w:r>
              <w:rPr>
                <w:rFonts w:ascii="Arial" w:cs="Arial" w:eastAsia="Arial" w:hAnsi="Arial"/>
                <w:sz w:val="16"/>
                <w:szCs w:val="16"/>
                <w:color w:val="auto"/>
              </w:rPr>
              <w:t>2,949</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assets</w:t>
            </w:r>
            <w:r>
              <w:rPr>
                <w:rFonts w:ascii="Arial" w:cs="Arial" w:eastAsia="Arial" w:hAnsi="Arial"/>
                <w:sz w:val="21"/>
                <w:szCs w:val="21"/>
                <w:color w:val="auto"/>
                <w:vertAlign w:val="superscript"/>
              </w:rPr>
              <w:t>1</w:t>
            </w:r>
          </w:p>
        </w:tc>
        <w:tc>
          <w:tcPr>
            <w:tcW w:w="1480" w:type="dxa"/>
            <w:vAlign w:val="bottom"/>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8,115</w:t>
            </w:r>
          </w:p>
        </w:tc>
        <w:tc>
          <w:tcPr>
            <w:tcW w:w="160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7,858</w:t>
            </w:r>
          </w:p>
        </w:tc>
        <w:tc>
          <w:tcPr>
            <w:tcW w:w="154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7,698</w:t>
            </w:r>
          </w:p>
        </w:tc>
        <w:tc>
          <w:tcPr>
            <w:tcW w:w="154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9,245</w:t>
            </w:r>
          </w:p>
        </w:tc>
        <w:tc>
          <w:tcPr>
            <w:tcW w:w="136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8,574</w:t>
            </w:r>
          </w:p>
        </w:tc>
        <w:tc>
          <w:tcPr>
            <w:tcW w:w="0" w:type="dxa"/>
            <w:vAlign w:val="bottom"/>
          </w:tcPr>
          <w:p>
            <w:pPr>
              <w:spacing w:after="0"/>
              <w:rPr>
                <w:sz w:val="1"/>
                <w:szCs w:val="1"/>
                <w:color w:val="auto"/>
              </w:rPr>
            </w:pPr>
          </w:p>
        </w:tc>
      </w:tr>
      <w:tr>
        <w:trPr>
          <w:trHeight w:val="270"/>
        </w:trPr>
        <w:tc>
          <w:tcPr>
            <w:tcW w:w="3900" w:type="dxa"/>
            <w:vAlign w:val="bottom"/>
          </w:tcPr>
          <w:p>
            <w:pPr>
              <w:ind w:left="280"/>
              <w:spacing w:after="0"/>
              <w:rPr>
                <w:sz w:val="20"/>
                <w:szCs w:val="20"/>
                <w:color w:val="auto"/>
              </w:rPr>
            </w:pPr>
            <w:r>
              <w:rPr>
                <w:rFonts w:ascii="Arial" w:cs="Arial" w:eastAsia="Arial" w:hAnsi="Arial"/>
                <w:sz w:val="16"/>
                <w:szCs w:val="16"/>
                <w:color w:val="auto"/>
              </w:rPr>
              <w:t>Total long-term debt</w:t>
            </w:r>
            <w:r>
              <w:rPr>
                <w:rFonts w:ascii="Arial" w:cs="Arial" w:eastAsia="Arial" w:hAnsi="Arial"/>
                <w:sz w:val="21"/>
                <w:szCs w:val="21"/>
                <w:color w:val="auto"/>
                <w:vertAlign w:val="superscript"/>
              </w:rPr>
              <w:t>1</w:t>
            </w:r>
          </w:p>
        </w:tc>
        <w:tc>
          <w:tcPr>
            <w:tcW w:w="1480" w:type="dxa"/>
            <w:vAlign w:val="bottom"/>
          </w:tcPr>
          <w:p>
            <w:pPr>
              <w:jc w:val="right"/>
              <w:ind w:right="419"/>
              <w:spacing w:after="0"/>
              <w:rPr>
                <w:sz w:val="20"/>
                <w:szCs w:val="20"/>
                <w:color w:val="auto"/>
              </w:rPr>
            </w:pPr>
            <w:r>
              <w:rPr>
                <w:rFonts w:ascii="Arial" w:cs="Arial" w:eastAsia="Arial" w:hAnsi="Arial"/>
                <w:sz w:val="16"/>
                <w:szCs w:val="16"/>
                <w:b w:val="1"/>
                <w:bCs w:val="1"/>
                <w:color w:val="auto"/>
              </w:rPr>
              <w:t>2,737</w:t>
            </w:r>
          </w:p>
        </w:tc>
        <w:tc>
          <w:tcPr>
            <w:tcW w:w="1600" w:type="dxa"/>
            <w:vAlign w:val="bottom"/>
          </w:tcPr>
          <w:p>
            <w:pPr>
              <w:jc w:val="right"/>
              <w:ind w:right="439"/>
              <w:spacing w:after="0"/>
              <w:rPr>
                <w:sz w:val="20"/>
                <w:szCs w:val="20"/>
                <w:color w:val="auto"/>
              </w:rPr>
            </w:pPr>
            <w:r>
              <w:rPr>
                <w:rFonts w:ascii="Arial" w:cs="Arial" w:eastAsia="Arial" w:hAnsi="Arial"/>
                <w:sz w:val="16"/>
                <w:szCs w:val="16"/>
                <w:color w:val="auto"/>
              </w:rPr>
              <w:t>2,774</w:t>
            </w:r>
          </w:p>
        </w:tc>
        <w:tc>
          <w:tcPr>
            <w:tcW w:w="1540" w:type="dxa"/>
            <w:vAlign w:val="bottom"/>
          </w:tcPr>
          <w:p>
            <w:pPr>
              <w:jc w:val="right"/>
              <w:ind w:right="399"/>
              <w:spacing w:after="0"/>
              <w:rPr>
                <w:sz w:val="20"/>
                <w:szCs w:val="20"/>
                <w:color w:val="auto"/>
              </w:rPr>
            </w:pPr>
            <w:r>
              <w:rPr>
                <w:rFonts w:ascii="Arial" w:cs="Arial" w:eastAsia="Arial" w:hAnsi="Arial"/>
                <w:sz w:val="16"/>
                <w:szCs w:val="16"/>
                <w:color w:val="auto"/>
              </w:rPr>
              <w:t>2,805</w:t>
            </w:r>
          </w:p>
        </w:tc>
        <w:tc>
          <w:tcPr>
            <w:tcW w:w="1540" w:type="dxa"/>
            <w:vAlign w:val="bottom"/>
          </w:tcPr>
          <w:p>
            <w:pPr>
              <w:jc w:val="right"/>
              <w:ind w:right="399"/>
              <w:spacing w:after="0"/>
              <w:rPr>
                <w:sz w:val="20"/>
                <w:szCs w:val="20"/>
                <w:color w:val="auto"/>
              </w:rPr>
            </w:pPr>
            <w:r>
              <w:rPr>
                <w:rFonts w:ascii="Arial" w:cs="Arial" w:eastAsia="Arial" w:hAnsi="Arial"/>
                <w:sz w:val="16"/>
                <w:szCs w:val="16"/>
                <w:color w:val="auto"/>
              </w:rPr>
              <w:t>3,131</w:t>
            </w:r>
          </w:p>
        </w:tc>
        <w:tc>
          <w:tcPr>
            <w:tcW w:w="1360" w:type="dxa"/>
            <w:vAlign w:val="bottom"/>
          </w:tcPr>
          <w:p>
            <w:pPr>
              <w:jc w:val="right"/>
              <w:ind w:right="219"/>
              <w:spacing w:after="0"/>
              <w:rPr>
                <w:sz w:val="20"/>
                <w:szCs w:val="20"/>
                <w:color w:val="auto"/>
              </w:rPr>
            </w:pPr>
            <w:r>
              <w:rPr>
                <w:rFonts w:ascii="Arial" w:cs="Arial" w:eastAsia="Arial" w:hAnsi="Arial"/>
                <w:sz w:val="16"/>
                <w:szCs w:val="16"/>
                <w:color w:val="auto"/>
              </w:rPr>
              <w:t>3,113</w:t>
            </w:r>
          </w:p>
        </w:tc>
        <w:tc>
          <w:tcPr>
            <w:tcW w:w="0" w:type="dxa"/>
            <w:vAlign w:val="bottom"/>
          </w:tcPr>
          <w:p>
            <w:pPr>
              <w:spacing w:after="0"/>
              <w:rPr>
                <w:sz w:val="1"/>
                <w:szCs w:val="1"/>
                <w:color w:val="auto"/>
              </w:rPr>
            </w:pPr>
          </w:p>
        </w:tc>
      </w:tr>
      <w:tr>
        <w:trPr>
          <w:trHeight w:val="270"/>
        </w:trPr>
        <w:tc>
          <w:tcPr>
            <w:tcW w:w="3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Cash flow from operations</w:t>
            </w:r>
            <w:r>
              <w:rPr>
                <w:rFonts w:ascii="Arial" w:cs="Arial" w:eastAsia="Arial" w:hAnsi="Arial"/>
                <w:sz w:val="21"/>
                <w:szCs w:val="21"/>
                <w:color w:val="auto"/>
                <w:vertAlign w:val="superscript"/>
              </w:rPr>
              <w:t>1</w:t>
            </w:r>
          </w:p>
        </w:tc>
        <w:tc>
          <w:tcPr>
            <w:tcW w:w="1480" w:type="dxa"/>
            <w:vAlign w:val="bottom"/>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1,400</w:t>
            </w:r>
          </w:p>
        </w:tc>
        <w:tc>
          <w:tcPr>
            <w:tcW w:w="160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1,658</w:t>
            </w:r>
          </w:p>
        </w:tc>
        <w:tc>
          <w:tcPr>
            <w:tcW w:w="154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2,470</w:t>
            </w:r>
          </w:p>
        </w:tc>
        <w:tc>
          <w:tcPr>
            <w:tcW w:w="154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1,243</w:t>
            </w:r>
          </w:p>
        </w:tc>
        <w:tc>
          <w:tcPr>
            <w:tcW w:w="136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1,345</w:t>
            </w:r>
          </w:p>
        </w:tc>
        <w:tc>
          <w:tcPr>
            <w:tcW w:w="0" w:type="dxa"/>
            <w:vAlign w:val="bottom"/>
          </w:tcPr>
          <w:p>
            <w:pPr>
              <w:spacing w:after="0"/>
              <w:rPr>
                <w:sz w:val="1"/>
                <w:szCs w:val="1"/>
                <w:color w:val="auto"/>
              </w:rPr>
            </w:pPr>
          </w:p>
        </w:tc>
      </w:tr>
      <w:tr>
        <w:trPr>
          <w:trHeight w:val="237"/>
        </w:trPr>
        <w:tc>
          <w:tcPr>
            <w:tcW w:w="3900" w:type="dxa"/>
            <w:vAlign w:val="bottom"/>
          </w:tcPr>
          <w:p>
            <w:pPr>
              <w:ind w:left="280"/>
              <w:spacing w:after="0"/>
              <w:rPr>
                <w:sz w:val="20"/>
                <w:szCs w:val="20"/>
                <w:color w:val="auto"/>
              </w:rPr>
            </w:pPr>
            <w:r>
              <w:rPr>
                <w:rFonts w:ascii="Arial" w:cs="Arial" w:eastAsia="Arial" w:hAnsi="Arial"/>
                <w:sz w:val="16"/>
                <w:szCs w:val="16"/>
                <w:color w:val="auto"/>
              </w:rPr>
              <w:t>Capital expenditures</w:t>
            </w:r>
          </w:p>
        </w:tc>
        <w:tc>
          <w:tcPr>
            <w:tcW w:w="1480" w:type="dxa"/>
            <w:vAlign w:val="bottom"/>
          </w:tcPr>
          <w:p>
            <w:pPr>
              <w:jc w:val="right"/>
              <w:ind w:right="419"/>
              <w:spacing w:after="0"/>
              <w:rPr>
                <w:sz w:val="20"/>
                <w:szCs w:val="20"/>
                <w:color w:val="auto"/>
              </w:rPr>
            </w:pPr>
            <w:r>
              <w:rPr>
                <w:rFonts w:ascii="Arial" w:cs="Arial" w:eastAsia="Arial" w:hAnsi="Arial"/>
                <w:sz w:val="16"/>
                <w:szCs w:val="16"/>
                <w:b w:val="1"/>
                <w:bCs w:val="1"/>
                <w:color w:val="auto"/>
              </w:rPr>
              <w:t>731</w:t>
            </w:r>
          </w:p>
        </w:tc>
        <w:tc>
          <w:tcPr>
            <w:tcW w:w="1600" w:type="dxa"/>
            <w:vAlign w:val="bottom"/>
          </w:tcPr>
          <w:p>
            <w:pPr>
              <w:jc w:val="right"/>
              <w:ind w:right="439"/>
              <w:spacing w:after="0"/>
              <w:rPr>
                <w:sz w:val="20"/>
                <w:szCs w:val="20"/>
                <w:color w:val="auto"/>
              </w:rPr>
            </w:pPr>
            <w:r>
              <w:rPr>
                <w:rFonts w:ascii="Arial" w:cs="Arial" w:eastAsia="Arial" w:hAnsi="Arial"/>
                <w:sz w:val="16"/>
                <w:szCs w:val="16"/>
                <w:color w:val="auto"/>
              </w:rPr>
              <w:t>846</w:t>
            </w:r>
          </w:p>
        </w:tc>
        <w:tc>
          <w:tcPr>
            <w:tcW w:w="1540" w:type="dxa"/>
            <w:vAlign w:val="bottom"/>
          </w:tcPr>
          <w:p>
            <w:pPr>
              <w:jc w:val="right"/>
              <w:ind w:right="399"/>
              <w:spacing w:after="0"/>
              <w:rPr>
                <w:sz w:val="20"/>
                <w:szCs w:val="20"/>
                <w:color w:val="auto"/>
              </w:rPr>
            </w:pPr>
            <w:r>
              <w:rPr>
                <w:rFonts w:ascii="Arial" w:cs="Arial" w:eastAsia="Arial" w:hAnsi="Arial"/>
                <w:sz w:val="16"/>
                <w:szCs w:val="16"/>
                <w:color w:val="auto"/>
              </w:rPr>
              <w:t>1,082</w:t>
            </w:r>
          </w:p>
        </w:tc>
        <w:tc>
          <w:tcPr>
            <w:tcW w:w="1540" w:type="dxa"/>
            <w:vAlign w:val="bottom"/>
          </w:tcPr>
          <w:p>
            <w:pPr>
              <w:jc w:val="right"/>
              <w:ind w:right="399"/>
              <w:spacing w:after="0"/>
              <w:rPr>
                <w:sz w:val="20"/>
                <w:szCs w:val="20"/>
                <w:color w:val="auto"/>
              </w:rPr>
            </w:pPr>
            <w:r>
              <w:rPr>
                <w:rFonts w:ascii="Arial" w:cs="Arial" w:eastAsia="Arial" w:hAnsi="Arial"/>
                <w:sz w:val="16"/>
                <w:szCs w:val="16"/>
                <w:color w:val="auto"/>
              </w:rPr>
              <w:t>861</w:t>
            </w:r>
          </w:p>
        </w:tc>
        <w:tc>
          <w:tcPr>
            <w:tcW w:w="1360" w:type="dxa"/>
            <w:vAlign w:val="bottom"/>
          </w:tcPr>
          <w:p>
            <w:pPr>
              <w:jc w:val="right"/>
              <w:ind w:right="219"/>
              <w:spacing w:after="0"/>
              <w:rPr>
                <w:sz w:val="20"/>
                <w:szCs w:val="20"/>
                <w:color w:val="auto"/>
              </w:rPr>
            </w:pPr>
            <w:r>
              <w:rPr>
                <w:rFonts w:ascii="Arial" w:cs="Arial" w:eastAsia="Arial" w:hAnsi="Arial"/>
                <w:sz w:val="16"/>
                <w:szCs w:val="16"/>
                <w:color w:val="auto"/>
              </w:rPr>
              <w:t>803</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39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6"/>
                <w:szCs w:val="16"/>
                <w:b w:val="1"/>
                <w:bCs w:val="1"/>
                <w:color w:val="auto"/>
              </w:rPr>
              <w:t>Performance Metrics</w:t>
            </w:r>
          </w:p>
        </w:tc>
        <w:tc>
          <w:tcPr>
            <w:tcW w:w="14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sales increase</w:t>
            </w:r>
          </w:p>
        </w:tc>
        <w:tc>
          <w:tcPr>
            <w:tcW w:w="148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4.4%</w:t>
            </w:r>
          </w:p>
        </w:tc>
        <w:tc>
          <w:tcPr>
            <w:tcW w:w="16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2.9%</w:t>
            </w:r>
          </w:p>
        </w:tc>
        <w:tc>
          <w:tcPr>
            <w:tcW w:w="15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7.5%</w:t>
            </w:r>
          </w:p>
        </w:tc>
        <w:tc>
          <w:tcPr>
            <w:tcW w:w="15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7.8%</w:t>
            </w:r>
          </w:p>
        </w:tc>
        <w:tc>
          <w:tcPr>
            <w:tcW w:w="1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70"/>
        </w:trPr>
        <w:tc>
          <w:tcPr>
            <w:tcW w:w="3900" w:type="dxa"/>
            <w:vAlign w:val="bottom"/>
          </w:tcPr>
          <w:p>
            <w:pPr>
              <w:ind w:left="280"/>
              <w:spacing w:after="0"/>
              <w:rPr>
                <w:sz w:val="20"/>
                <w:szCs w:val="20"/>
                <w:color w:val="auto"/>
              </w:rPr>
            </w:pPr>
            <w:r>
              <w:rPr>
                <w:rFonts w:ascii="Arial" w:cs="Arial" w:eastAsia="Arial" w:hAnsi="Arial"/>
                <w:sz w:val="16"/>
                <w:szCs w:val="16"/>
                <w:color w:val="auto"/>
              </w:rPr>
              <w:t>Comparable sales increase (decrease)</w:t>
            </w:r>
            <w:r>
              <w:rPr>
                <w:rFonts w:ascii="Arial" w:cs="Arial" w:eastAsia="Arial" w:hAnsi="Arial"/>
                <w:sz w:val="21"/>
                <w:szCs w:val="21"/>
                <w:color w:val="auto"/>
                <w:vertAlign w:val="superscript"/>
              </w:rPr>
              <w:t>2</w:t>
            </w:r>
          </w:p>
        </w:tc>
        <w:tc>
          <w:tcPr>
            <w:tcW w:w="1480" w:type="dxa"/>
            <w:vAlign w:val="bottom"/>
          </w:tcPr>
          <w:p>
            <w:pPr>
              <w:jc w:val="right"/>
              <w:ind w:right="259"/>
              <w:spacing w:after="0"/>
              <w:rPr>
                <w:sz w:val="20"/>
                <w:szCs w:val="20"/>
                <w:color w:val="auto"/>
              </w:rPr>
            </w:pPr>
            <w:r>
              <w:rPr>
                <w:rFonts w:ascii="Arial" w:cs="Arial" w:eastAsia="Arial" w:hAnsi="Arial"/>
                <w:sz w:val="16"/>
                <w:szCs w:val="16"/>
                <w:b w:val="1"/>
                <w:bCs w:val="1"/>
                <w:color w:val="auto"/>
              </w:rPr>
              <w:t>0.8%</w:t>
            </w:r>
          </w:p>
        </w:tc>
        <w:tc>
          <w:tcPr>
            <w:tcW w:w="1600" w:type="dxa"/>
            <w:vAlign w:val="bottom"/>
          </w:tcPr>
          <w:p>
            <w:pPr>
              <w:jc w:val="right"/>
              <w:ind w:right="259"/>
              <w:spacing w:after="0"/>
              <w:rPr>
                <w:sz w:val="20"/>
                <w:szCs w:val="20"/>
                <w:color w:val="auto"/>
              </w:rPr>
            </w:pPr>
            <w:r>
              <w:rPr>
                <w:rFonts w:ascii="Arial" w:cs="Arial" w:eastAsia="Arial" w:hAnsi="Arial"/>
                <w:sz w:val="16"/>
                <w:szCs w:val="16"/>
                <w:color w:val="auto"/>
              </w:rPr>
              <w:t>(0.4%)</w:t>
            </w:r>
          </w:p>
        </w:tc>
        <w:tc>
          <w:tcPr>
            <w:tcW w:w="1540" w:type="dxa"/>
            <w:vAlign w:val="bottom"/>
          </w:tcPr>
          <w:p>
            <w:pPr>
              <w:jc w:val="right"/>
              <w:ind w:right="259"/>
              <w:spacing w:after="0"/>
              <w:rPr>
                <w:sz w:val="20"/>
                <w:szCs w:val="20"/>
                <w:color w:val="auto"/>
              </w:rPr>
            </w:pPr>
            <w:r>
              <w:rPr>
                <w:rFonts w:ascii="Arial" w:cs="Arial" w:eastAsia="Arial" w:hAnsi="Arial"/>
                <w:sz w:val="16"/>
                <w:szCs w:val="16"/>
                <w:color w:val="auto"/>
              </w:rPr>
              <w:t>2.7%</w:t>
            </w:r>
          </w:p>
        </w:tc>
        <w:tc>
          <w:tcPr>
            <w:tcW w:w="1540" w:type="dxa"/>
            <w:vAlign w:val="bottom"/>
          </w:tcPr>
          <w:p>
            <w:pPr>
              <w:jc w:val="right"/>
              <w:ind w:right="259"/>
              <w:spacing w:after="0"/>
              <w:rPr>
                <w:sz w:val="20"/>
                <w:szCs w:val="20"/>
                <w:color w:val="auto"/>
              </w:rPr>
            </w:pPr>
            <w:r>
              <w:rPr>
                <w:rFonts w:ascii="Arial" w:cs="Arial" w:eastAsia="Arial" w:hAnsi="Arial"/>
                <w:sz w:val="16"/>
                <w:szCs w:val="16"/>
                <w:color w:val="auto"/>
              </w:rPr>
              <w:t>4.0%</w:t>
            </w: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50"/>
        </w:trPr>
        <w:tc>
          <w:tcPr>
            <w:tcW w:w="3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Gross profit % of net sales</w:t>
            </w:r>
          </w:p>
        </w:tc>
        <w:tc>
          <w:tcPr>
            <w:tcW w:w="148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34.7%</w:t>
            </w:r>
          </w:p>
        </w:tc>
        <w:tc>
          <w:tcPr>
            <w:tcW w:w="16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34.9%</w:t>
            </w:r>
          </w:p>
        </w:tc>
        <w:tc>
          <w:tcPr>
            <w:tcW w:w="15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35.0%</w:t>
            </w:r>
          </w:p>
        </w:tc>
        <w:tc>
          <w:tcPr>
            <w:tcW w:w="15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35.9%</w:t>
            </w:r>
          </w:p>
        </w:tc>
        <w:tc>
          <w:tcPr>
            <w:tcW w:w="1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36.4%</w:t>
            </w:r>
          </w:p>
        </w:tc>
        <w:tc>
          <w:tcPr>
            <w:tcW w:w="0" w:type="dxa"/>
            <w:vAlign w:val="bottom"/>
          </w:tcPr>
          <w:p>
            <w:pPr>
              <w:spacing w:after="0"/>
              <w:rPr>
                <w:sz w:val="1"/>
                <w:szCs w:val="1"/>
                <w:color w:val="auto"/>
              </w:rPr>
            </w:pPr>
          </w:p>
        </w:tc>
      </w:tr>
      <w:tr>
        <w:trPr>
          <w:trHeight w:val="237"/>
        </w:trPr>
        <w:tc>
          <w:tcPr>
            <w:tcW w:w="3900" w:type="dxa"/>
            <w:vAlign w:val="bottom"/>
          </w:tcPr>
          <w:p>
            <w:pPr>
              <w:ind w:left="280"/>
              <w:spacing w:after="0"/>
              <w:rPr>
                <w:sz w:val="20"/>
                <w:szCs w:val="20"/>
                <w:color w:val="auto"/>
              </w:rPr>
            </w:pPr>
            <w:r>
              <w:rPr>
                <w:rFonts w:ascii="Arial" w:cs="Arial" w:eastAsia="Arial" w:hAnsi="Arial"/>
                <w:sz w:val="16"/>
                <w:szCs w:val="16"/>
                <w:color w:val="auto"/>
              </w:rPr>
              <w:t>SG&amp;A % of net sales</w:t>
            </w:r>
          </w:p>
        </w:tc>
        <w:tc>
          <w:tcPr>
            <w:tcW w:w="1480" w:type="dxa"/>
            <w:vAlign w:val="bottom"/>
          </w:tcPr>
          <w:p>
            <w:pPr>
              <w:jc w:val="right"/>
              <w:ind w:right="259"/>
              <w:spacing w:after="0"/>
              <w:rPr>
                <w:sz w:val="20"/>
                <w:szCs w:val="20"/>
                <w:color w:val="auto"/>
              </w:rPr>
            </w:pPr>
            <w:r>
              <w:rPr>
                <w:rFonts w:ascii="Arial" w:cs="Arial" w:eastAsia="Arial" w:hAnsi="Arial"/>
                <w:sz w:val="16"/>
                <w:szCs w:val="16"/>
                <w:b w:val="1"/>
                <w:bCs w:val="1"/>
                <w:color w:val="auto"/>
              </w:rPr>
              <w:t>30.8%</w:t>
            </w:r>
          </w:p>
        </w:tc>
        <w:tc>
          <w:tcPr>
            <w:tcW w:w="1600" w:type="dxa"/>
            <w:vAlign w:val="bottom"/>
          </w:tcPr>
          <w:p>
            <w:pPr>
              <w:jc w:val="right"/>
              <w:ind w:right="319"/>
              <w:spacing w:after="0"/>
              <w:rPr>
                <w:sz w:val="20"/>
                <w:szCs w:val="20"/>
                <w:color w:val="auto"/>
              </w:rPr>
            </w:pPr>
            <w:r>
              <w:rPr>
                <w:rFonts w:ascii="Arial" w:cs="Arial" w:eastAsia="Arial" w:hAnsi="Arial"/>
                <w:sz w:val="16"/>
                <w:szCs w:val="16"/>
                <w:color w:val="auto"/>
              </w:rPr>
              <w:t>29.8%</w:t>
            </w:r>
          </w:p>
        </w:tc>
        <w:tc>
          <w:tcPr>
            <w:tcW w:w="1540" w:type="dxa"/>
            <w:vAlign w:val="bottom"/>
          </w:tcPr>
          <w:p>
            <w:pPr>
              <w:jc w:val="right"/>
              <w:ind w:right="259"/>
              <w:spacing w:after="0"/>
              <w:rPr>
                <w:sz w:val="20"/>
                <w:szCs w:val="20"/>
                <w:color w:val="auto"/>
              </w:rPr>
            </w:pPr>
            <w:r>
              <w:rPr>
                <w:rFonts w:ascii="Arial" w:cs="Arial" w:eastAsia="Arial" w:hAnsi="Arial"/>
                <w:sz w:val="16"/>
                <w:szCs w:val="16"/>
                <w:color w:val="auto"/>
              </w:rPr>
              <w:t>29.6%</w:t>
            </w:r>
          </w:p>
        </w:tc>
        <w:tc>
          <w:tcPr>
            <w:tcW w:w="1540" w:type="dxa"/>
            <w:vAlign w:val="bottom"/>
          </w:tcPr>
          <w:p>
            <w:pPr>
              <w:jc w:val="right"/>
              <w:ind w:right="259"/>
              <w:spacing w:after="0"/>
              <w:rPr>
                <w:sz w:val="20"/>
                <w:szCs w:val="20"/>
                <w:color w:val="auto"/>
              </w:rPr>
            </w:pPr>
            <w:r>
              <w:rPr>
                <w:rFonts w:ascii="Arial" w:cs="Arial" w:eastAsia="Arial" w:hAnsi="Arial"/>
                <w:sz w:val="16"/>
                <w:szCs w:val="16"/>
                <w:color w:val="auto"/>
              </w:rPr>
              <w:t>28.8%</w:t>
            </w: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28.4%</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EBIT % of net sales</w:t>
            </w:r>
          </w:p>
        </w:tc>
        <w:tc>
          <w:tcPr>
            <w:tcW w:w="148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6.1%</w:t>
            </w:r>
          </w:p>
        </w:tc>
        <w:tc>
          <w:tcPr>
            <w:tcW w:w="16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5.6%</w:t>
            </w:r>
          </w:p>
        </w:tc>
        <w:tc>
          <w:tcPr>
            <w:tcW w:w="15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7.8%</w:t>
            </w:r>
          </w:p>
        </w:tc>
        <w:tc>
          <w:tcPr>
            <w:tcW w:w="15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10.1%</w:t>
            </w:r>
          </w:p>
        </w:tc>
        <w:tc>
          <w:tcPr>
            <w:tcW w:w="1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237"/>
        </w:trPr>
        <w:tc>
          <w:tcPr>
            <w:tcW w:w="3900" w:type="dxa"/>
            <w:vAlign w:val="bottom"/>
          </w:tcPr>
          <w:p>
            <w:pPr>
              <w:ind w:left="280"/>
              <w:spacing w:after="0"/>
              <w:rPr>
                <w:sz w:val="20"/>
                <w:szCs w:val="20"/>
                <w:color w:val="auto"/>
              </w:rPr>
            </w:pPr>
            <w:r>
              <w:rPr>
                <w:rFonts w:ascii="Arial" w:cs="Arial" w:eastAsia="Arial" w:hAnsi="Arial"/>
                <w:sz w:val="16"/>
                <w:szCs w:val="16"/>
                <w:color w:val="auto"/>
              </w:rPr>
              <w:t>Capital expenditures % of net sales</w:t>
            </w:r>
          </w:p>
        </w:tc>
        <w:tc>
          <w:tcPr>
            <w:tcW w:w="1480" w:type="dxa"/>
            <w:vAlign w:val="bottom"/>
          </w:tcPr>
          <w:p>
            <w:pPr>
              <w:jc w:val="right"/>
              <w:ind w:right="259"/>
              <w:spacing w:after="0"/>
              <w:rPr>
                <w:sz w:val="20"/>
                <w:szCs w:val="20"/>
                <w:color w:val="auto"/>
              </w:rPr>
            </w:pPr>
            <w:r>
              <w:rPr>
                <w:rFonts w:ascii="Arial" w:cs="Arial" w:eastAsia="Arial" w:hAnsi="Arial"/>
                <w:sz w:val="16"/>
                <w:szCs w:val="16"/>
                <w:b w:val="1"/>
                <w:bCs w:val="1"/>
                <w:color w:val="auto"/>
              </w:rPr>
              <w:t>4.8%</w:t>
            </w:r>
          </w:p>
        </w:tc>
        <w:tc>
          <w:tcPr>
            <w:tcW w:w="1600" w:type="dxa"/>
            <w:vAlign w:val="bottom"/>
          </w:tcPr>
          <w:p>
            <w:pPr>
              <w:jc w:val="right"/>
              <w:ind w:right="319"/>
              <w:spacing w:after="0"/>
              <w:rPr>
                <w:sz w:val="20"/>
                <w:szCs w:val="20"/>
                <w:color w:val="auto"/>
              </w:rPr>
            </w:pPr>
            <w:r>
              <w:rPr>
                <w:rFonts w:ascii="Arial" w:cs="Arial" w:eastAsia="Arial" w:hAnsi="Arial"/>
                <w:sz w:val="16"/>
                <w:szCs w:val="16"/>
                <w:color w:val="auto"/>
              </w:rPr>
              <w:t>5.8%</w:t>
            </w:r>
          </w:p>
        </w:tc>
        <w:tc>
          <w:tcPr>
            <w:tcW w:w="1540" w:type="dxa"/>
            <w:vAlign w:val="bottom"/>
          </w:tcPr>
          <w:p>
            <w:pPr>
              <w:jc w:val="right"/>
              <w:ind w:right="259"/>
              <w:spacing w:after="0"/>
              <w:rPr>
                <w:sz w:val="20"/>
                <w:szCs w:val="20"/>
                <w:color w:val="auto"/>
              </w:rPr>
            </w:pPr>
            <w:r>
              <w:rPr>
                <w:rFonts w:ascii="Arial" w:cs="Arial" w:eastAsia="Arial" w:hAnsi="Arial"/>
                <w:sz w:val="16"/>
                <w:szCs w:val="16"/>
                <w:color w:val="auto"/>
              </w:rPr>
              <w:t>7.7%</w:t>
            </w:r>
          </w:p>
        </w:tc>
        <w:tc>
          <w:tcPr>
            <w:tcW w:w="1540" w:type="dxa"/>
            <w:vAlign w:val="bottom"/>
          </w:tcPr>
          <w:p>
            <w:pPr>
              <w:jc w:val="right"/>
              <w:ind w:right="259"/>
              <w:spacing w:after="0"/>
              <w:rPr>
                <w:sz w:val="20"/>
                <w:szCs w:val="20"/>
                <w:color w:val="auto"/>
              </w:rPr>
            </w:pPr>
            <w:r>
              <w:rPr>
                <w:rFonts w:ascii="Arial" w:cs="Arial" w:eastAsia="Arial" w:hAnsi="Arial"/>
                <w:sz w:val="16"/>
                <w:szCs w:val="16"/>
                <w:color w:val="auto"/>
              </w:rPr>
              <w:t>6.6%</w:t>
            </w: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Return on assets</w:t>
            </w:r>
          </w:p>
        </w:tc>
        <w:tc>
          <w:tcPr>
            <w:tcW w:w="148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5.4%</w:t>
            </w:r>
          </w:p>
        </w:tc>
        <w:tc>
          <w:tcPr>
            <w:tcW w:w="16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4.5%</w:t>
            </w:r>
          </w:p>
        </w:tc>
        <w:tc>
          <w:tcPr>
            <w:tcW w:w="15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6.6%</w:t>
            </w:r>
          </w:p>
        </w:tc>
        <w:tc>
          <w:tcPr>
            <w:tcW w:w="15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8.1%</w:t>
            </w:r>
          </w:p>
        </w:tc>
        <w:tc>
          <w:tcPr>
            <w:tcW w:w="1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57"/>
        </w:trPr>
        <w:tc>
          <w:tcPr>
            <w:tcW w:w="3900" w:type="dxa"/>
            <w:vAlign w:val="bottom"/>
          </w:tcPr>
          <w:p>
            <w:pPr>
              <w:ind w:left="280"/>
              <w:spacing w:after="0"/>
              <w:rPr>
                <w:sz w:val="20"/>
                <w:szCs w:val="20"/>
                <w:color w:val="auto"/>
              </w:rPr>
            </w:pPr>
            <w:r>
              <w:rPr>
                <w:rFonts w:ascii="Arial" w:cs="Arial" w:eastAsia="Arial" w:hAnsi="Arial"/>
                <w:sz w:val="16"/>
                <w:szCs w:val="16"/>
                <w:color w:val="auto"/>
              </w:rPr>
              <w:t>Return on invested capital (“ROIC”)</w:t>
            </w:r>
            <w:r>
              <w:rPr>
                <w:rFonts w:ascii="Arial" w:cs="Arial" w:eastAsia="Arial" w:hAnsi="Arial"/>
                <w:sz w:val="21"/>
                <w:szCs w:val="21"/>
                <w:color w:val="auto"/>
                <w:vertAlign w:val="superscript"/>
              </w:rPr>
              <w:t>3</w:t>
            </w:r>
          </w:p>
        </w:tc>
        <w:tc>
          <w:tcPr>
            <w:tcW w:w="1480" w:type="dxa"/>
            <w:vAlign w:val="bottom"/>
          </w:tcPr>
          <w:p>
            <w:pPr>
              <w:jc w:val="right"/>
              <w:ind w:right="259"/>
              <w:spacing w:after="0"/>
              <w:rPr>
                <w:sz w:val="20"/>
                <w:szCs w:val="20"/>
                <w:color w:val="auto"/>
              </w:rPr>
            </w:pPr>
            <w:r>
              <w:rPr>
                <w:rFonts w:ascii="Arial" w:cs="Arial" w:eastAsia="Arial" w:hAnsi="Arial"/>
                <w:sz w:val="16"/>
                <w:szCs w:val="16"/>
                <w:b w:val="1"/>
                <w:bCs w:val="1"/>
                <w:color w:val="auto"/>
              </w:rPr>
              <w:t>9.7%</w:t>
            </w:r>
          </w:p>
        </w:tc>
        <w:tc>
          <w:tcPr>
            <w:tcW w:w="1600" w:type="dxa"/>
            <w:vAlign w:val="bottom"/>
          </w:tcPr>
          <w:p>
            <w:pPr>
              <w:jc w:val="right"/>
              <w:ind w:right="319"/>
              <w:spacing w:after="0"/>
              <w:rPr>
                <w:sz w:val="20"/>
                <w:szCs w:val="20"/>
                <w:color w:val="auto"/>
              </w:rPr>
            </w:pPr>
            <w:r>
              <w:rPr>
                <w:rFonts w:ascii="Arial" w:cs="Arial" w:eastAsia="Arial" w:hAnsi="Arial"/>
                <w:sz w:val="16"/>
                <w:szCs w:val="16"/>
                <w:color w:val="auto"/>
              </w:rPr>
              <w:t>8.4%</w:t>
            </w:r>
          </w:p>
        </w:tc>
        <w:tc>
          <w:tcPr>
            <w:tcW w:w="1540" w:type="dxa"/>
            <w:vAlign w:val="bottom"/>
          </w:tcPr>
          <w:p>
            <w:pPr>
              <w:jc w:val="right"/>
              <w:ind w:right="259"/>
              <w:spacing w:after="0"/>
              <w:rPr>
                <w:sz w:val="20"/>
                <w:szCs w:val="20"/>
                <w:color w:val="auto"/>
              </w:rPr>
            </w:pPr>
            <w:r>
              <w:rPr>
                <w:rFonts w:ascii="Arial" w:cs="Arial" w:eastAsia="Arial" w:hAnsi="Arial"/>
                <w:sz w:val="16"/>
                <w:szCs w:val="16"/>
                <w:color w:val="auto"/>
              </w:rPr>
              <w:t>10.7%</w:t>
            </w:r>
          </w:p>
        </w:tc>
        <w:tc>
          <w:tcPr>
            <w:tcW w:w="1540" w:type="dxa"/>
            <w:vAlign w:val="bottom"/>
          </w:tcPr>
          <w:p>
            <w:pPr>
              <w:jc w:val="right"/>
              <w:ind w:right="259"/>
              <w:spacing w:after="0"/>
              <w:rPr>
                <w:sz w:val="20"/>
                <w:szCs w:val="20"/>
                <w:color w:val="auto"/>
              </w:rPr>
            </w:pPr>
            <w:r>
              <w:rPr>
                <w:rFonts w:ascii="Arial" w:cs="Arial" w:eastAsia="Arial" w:hAnsi="Arial"/>
                <w:sz w:val="16"/>
                <w:szCs w:val="16"/>
                <w:color w:val="auto"/>
              </w:rPr>
              <w:t>12.6%</w:t>
            </w: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50"/>
        </w:trPr>
        <w:tc>
          <w:tcPr>
            <w:tcW w:w="3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Sales per square foot</w:t>
            </w:r>
          </w:p>
        </w:tc>
        <w:tc>
          <w:tcPr>
            <w:tcW w:w="148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$506</w:t>
            </w:r>
          </w:p>
        </w:tc>
        <w:tc>
          <w:tcPr>
            <w:tcW w:w="160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$498</w:t>
            </w:r>
          </w:p>
        </w:tc>
        <w:tc>
          <w:tcPr>
            <w:tcW w:w="154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$507</w:t>
            </w:r>
          </w:p>
        </w:tc>
        <w:tc>
          <w:tcPr>
            <w:tcW w:w="154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$493</w:t>
            </w:r>
          </w:p>
        </w:tc>
        <w:tc>
          <w:tcPr>
            <w:tcW w:w="13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$474</w:t>
            </w:r>
          </w:p>
        </w:tc>
        <w:tc>
          <w:tcPr>
            <w:tcW w:w="0" w:type="dxa"/>
            <w:vAlign w:val="bottom"/>
          </w:tcPr>
          <w:p>
            <w:pPr>
              <w:spacing w:after="0"/>
              <w:rPr>
                <w:sz w:val="1"/>
                <w:szCs w:val="1"/>
                <w:color w:val="auto"/>
              </w:rPr>
            </w:pPr>
          </w:p>
        </w:tc>
      </w:tr>
      <w:tr>
        <w:trPr>
          <w:trHeight w:val="237"/>
        </w:trPr>
        <w:tc>
          <w:tcPr>
            <w:tcW w:w="3900" w:type="dxa"/>
            <w:vAlign w:val="bottom"/>
          </w:tcPr>
          <w:p>
            <w:pPr>
              <w:ind w:left="280"/>
              <w:spacing w:after="0"/>
              <w:rPr>
                <w:sz w:val="20"/>
                <w:szCs w:val="20"/>
                <w:color w:val="auto"/>
              </w:rPr>
            </w:pPr>
            <w:r>
              <w:rPr>
                <w:rFonts w:ascii="Arial" w:cs="Arial" w:eastAsia="Arial" w:hAnsi="Arial"/>
                <w:sz w:val="16"/>
                <w:szCs w:val="16"/>
                <w:color w:val="auto"/>
              </w:rPr>
              <w:t>4-wall sales per square foot</w:t>
            </w:r>
          </w:p>
        </w:tc>
        <w:tc>
          <w:tcPr>
            <w:tcW w:w="1480" w:type="dxa"/>
            <w:vAlign w:val="bottom"/>
          </w:tcPr>
          <w:p>
            <w:pPr>
              <w:jc w:val="right"/>
              <w:ind w:right="419"/>
              <w:spacing w:after="0"/>
              <w:rPr>
                <w:sz w:val="20"/>
                <w:szCs w:val="20"/>
                <w:color w:val="auto"/>
              </w:rPr>
            </w:pPr>
            <w:r>
              <w:rPr>
                <w:rFonts w:ascii="Arial" w:cs="Arial" w:eastAsia="Arial" w:hAnsi="Arial"/>
                <w:sz w:val="16"/>
                <w:szCs w:val="16"/>
                <w:b w:val="1"/>
                <w:bCs w:val="1"/>
                <w:color w:val="auto"/>
              </w:rPr>
              <w:t>$384</w:t>
            </w:r>
          </w:p>
        </w:tc>
        <w:tc>
          <w:tcPr>
            <w:tcW w:w="1600" w:type="dxa"/>
            <w:vAlign w:val="bottom"/>
          </w:tcPr>
          <w:p>
            <w:pPr>
              <w:jc w:val="right"/>
              <w:ind w:right="439"/>
              <w:spacing w:after="0"/>
              <w:rPr>
                <w:sz w:val="20"/>
                <w:szCs w:val="20"/>
                <w:color w:val="auto"/>
              </w:rPr>
            </w:pPr>
            <w:r>
              <w:rPr>
                <w:rFonts w:ascii="Arial" w:cs="Arial" w:eastAsia="Arial" w:hAnsi="Arial"/>
                <w:sz w:val="16"/>
                <w:szCs w:val="16"/>
                <w:color w:val="auto"/>
              </w:rPr>
              <w:t>$392</w:t>
            </w:r>
          </w:p>
        </w:tc>
        <w:tc>
          <w:tcPr>
            <w:tcW w:w="1540" w:type="dxa"/>
            <w:vAlign w:val="bottom"/>
          </w:tcPr>
          <w:p>
            <w:pPr>
              <w:jc w:val="right"/>
              <w:ind w:right="399"/>
              <w:spacing w:after="0"/>
              <w:rPr>
                <w:sz w:val="20"/>
                <w:szCs w:val="20"/>
                <w:color w:val="auto"/>
              </w:rPr>
            </w:pPr>
            <w:r>
              <w:rPr>
                <w:rFonts w:ascii="Arial" w:cs="Arial" w:eastAsia="Arial" w:hAnsi="Arial"/>
                <w:sz w:val="16"/>
                <w:szCs w:val="16"/>
                <w:color w:val="auto"/>
              </w:rPr>
              <w:t>$410</w:t>
            </w:r>
          </w:p>
        </w:tc>
        <w:tc>
          <w:tcPr>
            <w:tcW w:w="1540" w:type="dxa"/>
            <w:vAlign w:val="bottom"/>
          </w:tcPr>
          <w:p>
            <w:pPr>
              <w:jc w:val="right"/>
              <w:ind w:right="399"/>
              <w:spacing w:after="0"/>
              <w:rPr>
                <w:sz w:val="20"/>
                <w:szCs w:val="20"/>
                <w:color w:val="auto"/>
              </w:rPr>
            </w:pPr>
            <w:r>
              <w:rPr>
                <w:rFonts w:ascii="Arial" w:cs="Arial" w:eastAsia="Arial" w:hAnsi="Arial"/>
                <w:sz w:val="16"/>
                <w:szCs w:val="16"/>
                <w:color w:val="auto"/>
              </w:rPr>
              <w:t>$413</w:t>
            </w:r>
          </w:p>
        </w:tc>
        <w:tc>
          <w:tcPr>
            <w:tcW w:w="1360" w:type="dxa"/>
            <w:vAlign w:val="bottom"/>
          </w:tcPr>
          <w:p>
            <w:pPr>
              <w:jc w:val="right"/>
              <w:ind w:right="219"/>
              <w:spacing w:after="0"/>
              <w:rPr>
                <w:sz w:val="20"/>
                <w:szCs w:val="20"/>
                <w:color w:val="auto"/>
              </w:rPr>
            </w:pPr>
            <w:r>
              <w:rPr>
                <w:rFonts w:ascii="Arial" w:cs="Arial" w:eastAsia="Arial" w:hAnsi="Arial"/>
                <w:sz w:val="16"/>
                <w:szCs w:val="16"/>
                <w:color w:val="auto"/>
              </w:rPr>
              <w:t>$408</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Inventory turnover rate</w:t>
            </w:r>
          </w:p>
        </w:tc>
        <w:tc>
          <w:tcPr>
            <w:tcW w:w="148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4.67</w:t>
            </w:r>
          </w:p>
        </w:tc>
        <w:tc>
          <w:tcPr>
            <w:tcW w:w="160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4.53</w:t>
            </w:r>
          </w:p>
        </w:tc>
        <w:tc>
          <w:tcPr>
            <w:tcW w:w="154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4.54</w:t>
            </w:r>
          </w:p>
        </w:tc>
        <w:tc>
          <w:tcPr>
            <w:tcW w:w="154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4.67</w:t>
            </w:r>
          </w:p>
        </w:tc>
        <w:tc>
          <w:tcPr>
            <w:tcW w:w="13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5.07</w:t>
            </w:r>
          </w:p>
        </w:tc>
        <w:tc>
          <w:tcPr>
            <w:tcW w:w="0" w:type="dxa"/>
            <w:vAlign w:val="bottom"/>
          </w:tcPr>
          <w:p>
            <w:pPr>
              <w:spacing w:after="0"/>
              <w:rPr>
                <w:sz w:val="1"/>
                <w:szCs w:val="1"/>
                <w:color w:val="auto"/>
              </w:rPr>
            </w:pPr>
          </w:p>
        </w:tc>
      </w:tr>
      <w:tr>
        <w:trPr>
          <w:trHeight w:val="284"/>
        </w:trPr>
        <w:tc>
          <w:tcPr>
            <w:tcW w:w="39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Per Share Information</w:t>
            </w:r>
          </w:p>
        </w:tc>
        <w:tc>
          <w:tcPr>
            <w:tcW w:w="14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900" w:type="dxa"/>
            <w:vAlign w:val="bottom"/>
          </w:tcPr>
          <w:p>
            <w:pPr>
              <w:ind w:left="280"/>
              <w:spacing w:after="0"/>
              <w:rPr>
                <w:sz w:val="20"/>
                <w:szCs w:val="20"/>
                <w:color w:val="auto"/>
              </w:rPr>
            </w:pPr>
            <w:r>
              <w:rPr>
                <w:rFonts w:ascii="Arial" w:cs="Arial" w:eastAsia="Arial" w:hAnsi="Arial"/>
                <w:sz w:val="16"/>
                <w:szCs w:val="16"/>
                <w:color w:val="auto"/>
              </w:rPr>
              <w:t>Earnings per diluted share</w:t>
            </w:r>
            <w:r>
              <w:rPr>
                <w:rFonts w:ascii="Arial" w:cs="Arial" w:eastAsia="Arial" w:hAnsi="Arial"/>
                <w:sz w:val="21"/>
                <w:szCs w:val="21"/>
                <w:color w:val="auto"/>
                <w:vertAlign w:val="superscript"/>
              </w:rPr>
              <w:t>4</w:t>
            </w:r>
          </w:p>
        </w:tc>
        <w:tc>
          <w:tcPr>
            <w:tcW w:w="1480" w:type="dxa"/>
            <w:vAlign w:val="bottom"/>
          </w:tcPr>
          <w:p>
            <w:pPr>
              <w:jc w:val="right"/>
              <w:ind w:right="419"/>
              <w:spacing w:after="0"/>
              <w:rPr>
                <w:sz w:val="20"/>
                <w:szCs w:val="20"/>
                <w:color w:val="auto"/>
              </w:rPr>
            </w:pPr>
            <w:r>
              <w:rPr>
                <w:rFonts w:ascii="Arial" w:cs="Arial" w:eastAsia="Arial" w:hAnsi="Arial"/>
                <w:sz w:val="16"/>
                <w:szCs w:val="16"/>
                <w:b w:val="1"/>
                <w:bCs w:val="1"/>
                <w:color w:val="auto"/>
              </w:rPr>
              <w:t>$2.59</w:t>
            </w:r>
          </w:p>
        </w:tc>
        <w:tc>
          <w:tcPr>
            <w:tcW w:w="1600" w:type="dxa"/>
            <w:vAlign w:val="bottom"/>
          </w:tcPr>
          <w:p>
            <w:pPr>
              <w:jc w:val="right"/>
              <w:ind w:right="439"/>
              <w:spacing w:after="0"/>
              <w:rPr>
                <w:sz w:val="20"/>
                <w:szCs w:val="20"/>
                <w:color w:val="auto"/>
              </w:rPr>
            </w:pPr>
            <w:r>
              <w:rPr>
                <w:rFonts w:ascii="Arial" w:cs="Arial" w:eastAsia="Arial" w:hAnsi="Arial"/>
                <w:sz w:val="16"/>
                <w:szCs w:val="16"/>
                <w:color w:val="auto"/>
              </w:rPr>
              <w:t>$2.02</w:t>
            </w:r>
          </w:p>
        </w:tc>
        <w:tc>
          <w:tcPr>
            <w:tcW w:w="1540" w:type="dxa"/>
            <w:vAlign w:val="bottom"/>
          </w:tcPr>
          <w:p>
            <w:pPr>
              <w:jc w:val="right"/>
              <w:ind w:right="399"/>
              <w:spacing w:after="0"/>
              <w:rPr>
                <w:sz w:val="20"/>
                <w:szCs w:val="20"/>
                <w:color w:val="auto"/>
              </w:rPr>
            </w:pPr>
            <w:r>
              <w:rPr>
                <w:rFonts w:ascii="Arial" w:cs="Arial" w:eastAsia="Arial" w:hAnsi="Arial"/>
                <w:sz w:val="16"/>
                <w:szCs w:val="16"/>
                <w:color w:val="auto"/>
              </w:rPr>
              <w:t>$3.15</w:t>
            </w:r>
          </w:p>
        </w:tc>
        <w:tc>
          <w:tcPr>
            <w:tcW w:w="1540" w:type="dxa"/>
            <w:vAlign w:val="bottom"/>
          </w:tcPr>
          <w:p>
            <w:pPr>
              <w:jc w:val="right"/>
              <w:ind w:right="399"/>
              <w:spacing w:after="0"/>
              <w:rPr>
                <w:sz w:val="20"/>
                <w:szCs w:val="20"/>
                <w:color w:val="auto"/>
              </w:rPr>
            </w:pPr>
            <w:r>
              <w:rPr>
                <w:rFonts w:ascii="Arial" w:cs="Arial" w:eastAsia="Arial" w:hAnsi="Arial"/>
                <w:sz w:val="16"/>
                <w:szCs w:val="16"/>
                <w:color w:val="auto"/>
              </w:rPr>
              <w:t>$3.72</w:t>
            </w:r>
          </w:p>
        </w:tc>
        <w:tc>
          <w:tcPr>
            <w:tcW w:w="1360" w:type="dxa"/>
            <w:vAlign w:val="bottom"/>
          </w:tcPr>
          <w:p>
            <w:pPr>
              <w:jc w:val="right"/>
              <w:ind w:right="219"/>
              <w:spacing w:after="0"/>
              <w:rPr>
                <w:sz w:val="20"/>
                <w:szCs w:val="20"/>
                <w:color w:val="auto"/>
              </w:rPr>
            </w:pPr>
            <w:r>
              <w:rPr>
                <w:rFonts w:ascii="Arial" w:cs="Arial" w:eastAsia="Arial" w:hAnsi="Arial"/>
                <w:sz w:val="16"/>
                <w:szCs w:val="16"/>
                <w:color w:val="auto"/>
              </w:rPr>
              <w:t>$3.71</w:t>
            </w:r>
          </w:p>
        </w:tc>
        <w:tc>
          <w:tcPr>
            <w:tcW w:w="0" w:type="dxa"/>
            <w:vAlign w:val="bottom"/>
          </w:tcPr>
          <w:p>
            <w:pPr>
              <w:spacing w:after="0"/>
              <w:rPr>
                <w:sz w:val="1"/>
                <w:szCs w:val="1"/>
                <w:color w:val="auto"/>
              </w:rPr>
            </w:pPr>
          </w:p>
        </w:tc>
      </w:tr>
      <w:tr>
        <w:trPr>
          <w:trHeight w:val="270"/>
        </w:trPr>
        <w:tc>
          <w:tcPr>
            <w:tcW w:w="3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Dividends declared per share</w:t>
            </w:r>
            <w:r>
              <w:rPr>
                <w:rFonts w:ascii="Arial" w:cs="Arial" w:eastAsia="Arial" w:hAnsi="Arial"/>
                <w:sz w:val="21"/>
                <w:szCs w:val="21"/>
                <w:color w:val="auto"/>
                <w:vertAlign w:val="superscript"/>
              </w:rPr>
              <w:t>1</w:t>
            </w:r>
          </w:p>
        </w:tc>
        <w:tc>
          <w:tcPr>
            <w:tcW w:w="1480" w:type="dxa"/>
            <w:vAlign w:val="bottom"/>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1.48</w:t>
            </w:r>
          </w:p>
        </w:tc>
        <w:tc>
          <w:tcPr>
            <w:tcW w:w="160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1.48</w:t>
            </w:r>
          </w:p>
        </w:tc>
        <w:tc>
          <w:tcPr>
            <w:tcW w:w="154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6.33</w:t>
            </w:r>
          </w:p>
        </w:tc>
        <w:tc>
          <w:tcPr>
            <w:tcW w:w="154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1.32</w:t>
            </w:r>
          </w:p>
        </w:tc>
        <w:tc>
          <w:tcPr>
            <w:tcW w:w="136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84"/>
        </w:trPr>
        <w:tc>
          <w:tcPr>
            <w:tcW w:w="39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Store Information (at year-end)</w:t>
            </w:r>
          </w:p>
        </w:tc>
        <w:tc>
          <w:tcPr>
            <w:tcW w:w="14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900" w:type="dxa"/>
            <w:vAlign w:val="bottom"/>
          </w:tcPr>
          <w:p>
            <w:pPr>
              <w:ind w:left="280"/>
              <w:spacing w:after="0"/>
              <w:rPr>
                <w:sz w:val="20"/>
                <w:szCs w:val="20"/>
                <w:color w:val="auto"/>
              </w:rPr>
            </w:pPr>
            <w:r>
              <w:rPr>
                <w:rFonts w:ascii="Arial" w:cs="Arial" w:eastAsia="Arial" w:hAnsi="Arial"/>
                <w:sz w:val="16"/>
                <w:szCs w:val="16"/>
                <w:color w:val="auto"/>
              </w:rPr>
              <w:t>Nordstrom full-line stores</w:t>
            </w:r>
            <w:r>
              <w:rPr>
                <w:rFonts w:ascii="Arial" w:cs="Arial" w:eastAsia="Arial" w:hAnsi="Arial"/>
                <w:sz w:val="21"/>
                <w:szCs w:val="21"/>
                <w:color w:val="auto"/>
                <w:vertAlign w:val="superscript"/>
              </w:rPr>
              <w:t>5</w:t>
            </w:r>
          </w:p>
        </w:tc>
        <w:tc>
          <w:tcPr>
            <w:tcW w:w="1480" w:type="dxa"/>
            <w:vAlign w:val="bottom"/>
          </w:tcPr>
          <w:p>
            <w:pPr>
              <w:jc w:val="right"/>
              <w:ind w:right="419"/>
              <w:spacing w:after="0"/>
              <w:rPr>
                <w:sz w:val="20"/>
                <w:szCs w:val="20"/>
                <w:color w:val="auto"/>
              </w:rPr>
            </w:pPr>
            <w:r>
              <w:rPr>
                <w:rFonts w:ascii="Arial" w:cs="Arial" w:eastAsia="Arial" w:hAnsi="Arial"/>
                <w:sz w:val="16"/>
                <w:szCs w:val="16"/>
                <w:b w:val="1"/>
                <w:bCs w:val="1"/>
                <w:color w:val="auto"/>
              </w:rPr>
              <w:t>123</w:t>
            </w:r>
          </w:p>
        </w:tc>
        <w:tc>
          <w:tcPr>
            <w:tcW w:w="1600" w:type="dxa"/>
            <w:vAlign w:val="bottom"/>
          </w:tcPr>
          <w:p>
            <w:pPr>
              <w:jc w:val="right"/>
              <w:ind w:right="439"/>
              <w:spacing w:after="0"/>
              <w:rPr>
                <w:sz w:val="20"/>
                <w:szCs w:val="20"/>
                <w:color w:val="auto"/>
              </w:rPr>
            </w:pPr>
            <w:r>
              <w:rPr>
                <w:rFonts w:ascii="Arial" w:cs="Arial" w:eastAsia="Arial" w:hAnsi="Arial"/>
                <w:sz w:val="16"/>
                <w:szCs w:val="16"/>
                <w:color w:val="auto"/>
              </w:rPr>
              <w:t>123</w:t>
            </w:r>
          </w:p>
        </w:tc>
        <w:tc>
          <w:tcPr>
            <w:tcW w:w="1540" w:type="dxa"/>
            <w:vAlign w:val="bottom"/>
          </w:tcPr>
          <w:p>
            <w:pPr>
              <w:jc w:val="right"/>
              <w:ind w:right="399"/>
              <w:spacing w:after="0"/>
              <w:rPr>
                <w:sz w:val="20"/>
                <w:szCs w:val="20"/>
                <w:color w:val="auto"/>
              </w:rPr>
            </w:pPr>
            <w:r>
              <w:rPr>
                <w:rFonts w:ascii="Arial" w:cs="Arial" w:eastAsia="Arial" w:hAnsi="Arial"/>
                <w:sz w:val="16"/>
                <w:szCs w:val="16"/>
                <w:color w:val="auto"/>
              </w:rPr>
              <w:t>121</w:t>
            </w:r>
          </w:p>
        </w:tc>
        <w:tc>
          <w:tcPr>
            <w:tcW w:w="1540" w:type="dxa"/>
            <w:vAlign w:val="bottom"/>
          </w:tcPr>
          <w:p>
            <w:pPr>
              <w:jc w:val="right"/>
              <w:ind w:right="399"/>
              <w:spacing w:after="0"/>
              <w:rPr>
                <w:sz w:val="20"/>
                <w:szCs w:val="20"/>
                <w:color w:val="auto"/>
              </w:rPr>
            </w:pPr>
            <w:r>
              <w:rPr>
                <w:rFonts w:ascii="Arial" w:cs="Arial" w:eastAsia="Arial" w:hAnsi="Arial"/>
                <w:sz w:val="16"/>
                <w:szCs w:val="16"/>
                <w:color w:val="auto"/>
              </w:rPr>
              <w:t>117</w:t>
            </w:r>
          </w:p>
        </w:tc>
        <w:tc>
          <w:tcPr>
            <w:tcW w:w="1360" w:type="dxa"/>
            <w:vAlign w:val="bottom"/>
          </w:tcPr>
          <w:p>
            <w:pPr>
              <w:jc w:val="right"/>
              <w:ind w:right="219"/>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270"/>
        </w:trPr>
        <w:tc>
          <w:tcPr>
            <w:tcW w:w="3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Nordstrom Rack and other</w:t>
            </w:r>
            <w:r>
              <w:rPr>
                <w:rFonts w:ascii="Arial" w:cs="Arial" w:eastAsia="Arial" w:hAnsi="Arial"/>
                <w:sz w:val="21"/>
                <w:szCs w:val="21"/>
                <w:color w:val="auto"/>
                <w:vertAlign w:val="superscript"/>
              </w:rPr>
              <w:t>6</w:t>
            </w:r>
          </w:p>
        </w:tc>
        <w:tc>
          <w:tcPr>
            <w:tcW w:w="1480" w:type="dxa"/>
            <w:vAlign w:val="bottom"/>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243</w:t>
            </w:r>
          </w:p>
        </w:tc>
        <w:tc>
          <w:tcPr>
            <w:tcW w:w="160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226</w:t>
            </w:r>
          </w:p>
        </w:tc>
        <w:tc>
          <w:tcPr>
            <w:tcW w:w="154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202</w:t>
            </w:r>
          </w:p>
        </w:tc>
        <w:tc>
          <w:tcPr>
            <w:tcW w:w="154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175</w:t>
            </w:r>
          </w:p>
        </w:tc>
        <w:tc>
          <w:tcPr>
            <w:tcW w:w="136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237"/>
        </w:trPr>
        <w:tc>
          <w:tcPr>
            <w:tcW w:w="3900" w:type="dxa"/>
            <w:vAlign w:val="bottom"/>
          </w:tcPr>
          <w:p>
            <w:pPr>
              <w:ind w:left="280"/>
              <w:spacing w:after="0"/>
              <w:rPr>
                <w:sz w:val="20"/>
                <w:szCs w:val="20"/>
                <w:color w:val="auto"/>
              </w:rPr>
            </w:pPr>
            <w:r>
              <w:rPr>
                <w:rFonts w:ascii="Arial" w:cs="Arial" w:eastAsia="Arial" w:hAnsi="Arial"/>
                <w:sz w:val="16"/>
                <w:szCs w:val="16"/>
                <w:color w:val="auto"/>
              </w:rPr>
              <w:t>Total square footage</w:t>
            </w:r>
          </w:p>
        </w:tc>
        <w:tc>
          <w:tcPr>
            <w:tcW w:w="1480" w:type="dxa"/>
            <w:vAlign w:val="bottom"/>
          </w:tcPr>
          <w:p>
            <w:pPr>
              <w:jc w:val="right"/>
              <w:ind w:right="419"/>
              <w:spacing w:after="0"/>
              <w:rPr>
                <w:sz w:val="20"/>
                <w:szCs w:val="20"/>
                <w:color w:val="auto"/>
              </w:rPr>
            </w:pPr>
            <w:r>
              <w:rPr>
                <w:rFonts w:ascii="Arial" w:cs="Arial" w:eastAsia="Arial" w:hAnsi="Arial"/>
                <w:sz w:val="16"/>
                <w:szCs w:val="16"/>
                <w:b w:val="1"/>
                <w:bCs w:val="1"/>
                <w:color w:val="auto"/>
              </w:rPr>
              <w:t>30,218,000</w:t>
            </w:r>
          </w:p>
        </w:tc>
        <w:tc>
          <w:tcPr>
            <w:tcW w:w="1600" w:type="dxa"/>
            <w:vAlign w:val="bottom"/>
          </w:tcPr>
          <w:p>
            <w:pPr>
              <w:jc w:val="right"/>
              <w:ind w:right="439"/>
              <w:spacing w:after="0"/>
              <w:rPr>
                <w:sz w:val="20"/>
                <w:szCs w:val="20"/>
                <w:color w:val="auto"/>
              </w:rPr>
            </w:pPr>
            <w:r>
              <w:rPr>
                <w:rFonts w:ascii="Arial" w:cs="Arial" w:eastAsia="Arial" w:hAnsi="Arial"/>
                <w:sz w:val="16"/>
                <w:szCs w:val="16"/>
                <w:color w:val="auto"/>
              </w:rPr>
              <w:t>29,792,000</w:t>
            </w:r>
          </w:p>
        </w:tc>
        <w:tc>
          <w:tcPr>
            <w:tcW w:w="1540" w:type="dxa"/>
            <w:vAlign w:val="bottom"/>
          </w:tcPr>
          <w:p>
            <w:pPr>
              <w:jc w:val="right"/>
              <w:ind w:right="399"/>
              <w:spacing w:after="0"/>
              <w:rPr>
                <w:sz w:val="20"/>
                <w:szCs w:val="20"/>
                <w:color w:val="auto"/>
              </w:rPr>
            </w:pPr>
            <w:r>
              <w:rPr>
                <w:rFonts w:ascii="Arial" w:cs="Arial" w:eastAsia="Arial" w:hAnsi="Arial"/>
                <w:sz w:val="16"/>
                <w:szCs w:val="16"/>
                <w:color w:val="auto"/>
              </w:rPr>
              <w:t>28,610,000</w:t>
            </w:r>
          </w:p>
        </w:tc>
        <w:tc>
          <w:tcPr>
            <w:tcW w:w="1540" w:type="dxa"/>
            <w:vAlign w:val="bottom"/>
          </w:tcPr>
          <w:p>
            <w:pPr>
              <w:jc w:val="right"/>
              <w:ind w:right="399"/>
              <w:spacing w:after="0"/>
              <w:rPr>
                <w:sz w:val="20"/>
                <w:szCs w:val="20"/>
                <w:color w:val="auto"/>
              </w:rPr>
            </w:pPr>
            <w:r>
              <w:rPr>
                <w:rFonts w:ascii="Arial" w:cs="Arial" w:eastAsia="Arial" w:hAnsi="Arial"/>
                <w:sz w:val="16"/>
                <w:szCs w:val="16"/>
                <w:color w:val="auto"/>
              </w:rPr>
              <w:t>27,061,000</w:t>
            </w:r>
          </w:p>
        </w:tc>
        <w:tc>
          <w:tcPr>
            <w:tcW w:w="1360" w:type="dxa"/>
            <w:vAlign w:val="bottom"/>
          </w:tcPr>
          <w:p>
            <w:pPr>
              <w:jc w:val="right"/>
              <w:ind w:right="219"/>
              <w:spacing w:after="0"/>
              <w:rPr>
                <w:sz w:val="20"/>
                <w:szCs w:val="20"/>
                <w:color w:val="auto"/>
              </w:rPr>
            </w:pPr>
            <w:r>
              <w:rPr>
                <w:rFonts w:ascii="Arial" w:cs="Arial" w:eastAsia="Arial" w:hAnsi="Arial"/>
                <w:sz w:val="16"/>
                <w:szCs w:val="16"/>
                <w:color w:val="auto"/>
              </w:rPr>
              <w:t>26,017,000</w:t>
            </w:r>
          </w:p>
        </w:tc>
        <w:tc>
          <w:tcPr>
            <w:tcW w:w="0" w:type="dxa"/>
            <w:vAlign w:val="bottom"/>
          </w:tcPr>
          <w:p>
            <w:pPr>
              <w:spacing w:after="0"/>
              <w:rPr>
                <w:sz w:val="1"/>
                <w:szCs w:val="1"/>
                <w:color w:val="auto"/>
              </w:rPr>
            </w:pPr>
          </w:p>
        </w:tc>
      </w:tr>
    </w:tbl>
    <w:p>
      <w:pPr>
        <w:spacing w:after="0" w:line="28" w:lineRule="exact"/>
        <w:rPr>
          <w:sz w:val="20"/>
          <w:szCs w:val="20"/>
          <w:color w:val="auto"/>
        </w:rPr>
      </w:pPr>
    </w:p>
    <w:p>
      <w:pPr>
        <w:ind w:left="80" w:hanging="72"/>
        <w:spacing w:after="0" w:line="250" w:lineRule="auto"/>
        <w:tabs>
          <w:tab w:leader="none" w:pos="80" w:val="left"/>
        </w:tabs>
        <w:numPr>
          <w:ilvl w:val="0"/>
          <w:numId w:val="35"/>
        </w:numPr>
        <w:rPr>
          <w:rFonts w:ascii="Arial" w:cs="Arial" w:eastAsia="Arial" w:hAnsi="Arial"/>
          <w:sz w:val="9"/>
          <w:szCs w:val="9"/>
          <w:color w:val="auto"/>
        </w:rPr>
      </w:pPr>
      <w:r>
        <w:rPr>
          <w:rFonts w:ascii="Arial" w:cs="Arial" w:eastAsia="Arial" w:hAnsi="Arial"/>
          <w:sz w:val="14"/>
          <w:szCs w:val="14"/>
          <w:color w:val="auto"/>
        </w:rPr>
        <w:t>Amounts were impacted by the October 1, 2015, credit card receivable transaction. As a result of the transaction, the dividends paid in the fiscal year 2015 included a special cash dividend of $4.85 per share. For further information regarding these impacts, see Note 2: Credit Card Receivable Transaction and Note 11: Shareholders’ Equity in Item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80" w:right="160" w:hanging="72"/>
        <w:spacing w:after="0" w:line="241" w:lineRule="auto"/>
        <w:tabs>
          <w:tab w:leader="none" w:pos="80" w:val="left"/>
        </w:tabs>
        <w:numPr>
          <w:ilvl w:val="0"/>
          <w:numId w:val="36"/>
        </w:numPr>
        <w:rPr>
          <w:rFonts w:ascii="Arial" w:cs="Arial" w:eastAsia="Arial" w:hAnsi="Arial"/>
          <w:sz w:val="9"/>
          <w:szCs w:val="9"/>
          <w:color w:val="auto"/>
        </w:rPr>
      </w:pPr>
      <w:r>
        <w:rPr>
          <w:rFonts w:ascii="Arial" w:cs="Arial" w:eastAsia="Arial" w:hAnsi="Arial"/>
          <w:sz w:val="14"/>
          <w:szCs w:val="14"/>
          <w:color w:val="auto"/>
        </w:rPr>
        <w:t>The 53rd week is not included in comparable sales calculations (see Item 7: Management’s Discussion and Analysis of Financial Condition and Results of Operations for more information about the 53rd week).</w:t>
      </w:r>
    </w:p>
    <w:p>
      <w:pPr>
        <w:spacing w:after="0" w:line="1" w:lineRule="exact"/>
        <w:rPr>
          <w:sz w:val="20"/>
          <w:szCs w:val="20"/>
          <w:color w:val="auto"/>
        </w:rPr>
      </w:pPr>
    </w:p>
    <w:p>
      <w:pPr>
        <w:ind w:left="80" w:right="140" w:hanging="72"/>
        <w:spacing w:after="0" w:line="241" w:lineRule="auto"/>
        <w:tabs>
          <w:tab w:leader="none" w:pos="80" w:val="left"/>
        </w:tabs>
        <w:numPr>
          <w:ilvl w:val="0"/>
          <w:numId w:val="37"/>
        </w:numPr>
        <w:rPr>
          <w:rFonts w:ascii="Arial" w:cs="Arial" w:eastAsia="Arial" w:hAnsi="Arial"/>
          <w:sz w:val="9"/>
          <w:szCs w:val="9"/>
          <w:color w:val="auto"/>
        </w:rPr>
      </w:pPr>
      <w:r>
        <w:rPr>
          <w:rFonts w:ascii="Arial" w:cs="Arial" w:eastAsia="Arial" w:hAnsi="Arial"/>
          <w:sz w:val="14"/>
          <w:szCs w:val="14"/>
          <w:color w:val="auto"/>
        </w:rPr>
        <w:t>See ROIC (non-GAAP financial measure) in Item 7: Management’s Discussion and Analysis of Financial Condition and Results of Operations for additional information and reconciliation to the most directly comparable GAAP financial measure.</w:t>
      </w:r>
    </w:p>
    <w:p>
      <w:pPr>
        <w:spacing w:after="0" w:line="1" w:lineRule="exact"/>
        <w:rPr>
          <w:sz w:val="20"/>
          <w:szCs w:val="20"/>
          <w:color w:val="auto"/>
        </w:rPr>
      </w:pPr>
    </w:p>
    <w:p>
      <w:pPr>
        <w:ind w:left="80" w:hanging="72"/>
        <w:spacing w:after="0"/>
        <w:tabs>
          <w:tab w:leader="none" w:pos="80" w:val="left"/>
        </w:tabs>
        <w:numPr>
          <w:ilvl w:val="0"/>
          <w:numId w:val="38"/>
        </w:numPr>
        <w:rPr>
          <w:rFonts w:ascii="Arial" w:cs="Arial" w:eastAsia="Arial" w:hAnsi="Arial"/>
          <w:sz w:val="9"/>
          <w:szCs w:val="9"/>
          <w:color w:val="auto"/>
        </w:rPr>
      </w:pPr>
      <w:r>
        <w:rPr>
          <w:rFonts w:ascii="Arial" w:cs="Arial" w:eastAsia="Arial" w:hAnsi="Arial"/>
          <w:sz w:val="14"/>
          <w:szCs w:val="14"/>
          <w:color w:val="auto"/>
        </w:rPr>
        <w:t>Earnings per diluted share included the impact of the Trunk Club goodwill impairment charge of $1.12 per share in fiscal year 2016.</w:t>
      </w:r>
    </w:p>
    <w:p>
      <w:pPr>
        <w:spacing w:after="0" w:line="1" w:lineRule="exact"/>
        <w:rPr>
          <w:rFonts w:ascii="Arial" w:cs="Arial" w:eastAsia="Arial" w:hAnsi="Arial"/>
          <w:sz w:val="9"/>
          <w:szCs w:val="9"/>
          <w:color w:val="auto"/>
        </w:rPr>
      </w:pPr>
    </w:p>
    <w:p>
      <w:pPr>
        <w:ind w:right="5560"/>
        <w:spacing w:after="0" w:line="255" w:lineRule="auto"/>
        <w:rPr>
          <w:rFonts w:ascii="Arial" w:cs="Arial" w:eastAsia="Arial" w:hAnsi="Arial"/>
          <w:sz w:val="9"/>
          <w:szCs w:val="9"/>
          <w:color w:val="auto"/>
        </w:rPr>
      </w:pPr>
      <w:r>
        <w:rPr>
          <w:rFonts w:ascii="Arial" w:cs="Arial" w:eastAsia="Arial" w:hAnsi="Arial"/>
          <w:sz w:val="9"/>
          <w:szCs w:val="9"/>
          <w:color w:val="auto"/>
        </w:rPr>
        <w:t xml:space="preserve">5 </w:t>
      </w:r>
      <w:r>
        <w:rPr>
          <w:rFonts w:ascii="Arial" w:cs="Arial" w:eastAsia="Arial" w:hAnsi="Arial"/>
          <w:sz w:val="14"/>
          <w:szCs w:val="14"/>
          <w:color w:val="auto"/>
        </w:rPr>
        <w:t>Nordstrom full-line stores include U.S. full line stores, Canada full-line stores and Nordstrom Local.</w:t>
      </w:r>
      <w:r>
        <w:rPr>
          <w:rFonts w:ascii="Arial" w:cs="Arial" w:eastAsia="Arial" w:hAnsi="Arial"/>
          <w:sz w:val="9"/>
          <w:szCs w:val="9"/>
          <w:color w:val="auto"/>
        </w:rPr>
        <w:t xml:space="preserve"> 6 </w:t>
      </w:r>
      <w:r>
        <w:rPr>
          <w:rFonts w:ascii="Arial" w:cs="Arial" w:eastAsia="Arial" w:hAnsi="Arial"/>
          <w:sz w:val="14"/>
          <w:szCs w:val="14"/>
          <w:color w:val="auto"/>
        </w:rPr>
        <w:t>Other includes Trunk Club clubhouses, Jeffrey boutiques and Last Chance stores.</w:t>
      </w:r>
    </w:p>
    <w:p>
      <w:pPr>
        <w:sectPr>
          <w:pgSz w:w="11900" w:h="16838" w:orient="portrait"/>
          <w:cols w:equalWidth="0" w:num="1">
            <w:col w:w="11420"/>
          </w:cols>
          <w:pgMar w:left="240" w:top="126" w:right="239" w:bottom="951" w:gutter="0" w:footer="0" w:header="0"/>
        </w:sectPr>
      </w:pPr>
    </w:p>
    <w:p>
      <w:pPr>
        <w:spacing w:after="0" w:line="384" w:lineRule="exact"/>
        <w:rPr>
          <w:sz w:val="20"/>
          <w:szCs w:val="20"/>
          <w:color w:val="auto"/>
        </w:rPr>
      </w:pPr>
    </w:p>
    <w:p>
      <w:pPr>
        <w:ind w:left="9580"/>
        <w:spacing w:after="0"/>
        <w:rPr>
          <w:sz w:val="20"/>
          <w:szCs w:val="20"/>
          <w:color w:val="auto"/>
        </w:rPr>
      </w:pPr>
      <w:r>
        <w:rPr>
          <w:rFonts w:ascii="Arial" w:cs="Arial" w:eastAsia="Arial" w:hAnsi="Arial"/>
          <w:sz w:val="11"/>
          <w:szCs w:val="11"/>
          <w:color w:val="auto"/>
        </w:rPr>
        <w:t xml:space="preserve">Nordstrom, Inc. and subsidiaries </w:t>
      </w:r>
      <w:r>
        <w:rPr>
          <w:rFonts w:ascii="Arial" w:cs="Arial" w:eastAsia="Arial" w:hAnsi="Arial"/>
          <w:sz w:val="14"/>
          <w:szCs w:val="14"/>
          <w:color w:val="auto"/>
        </w:rPr>
        <w:t>17</w:t>
      </w:r>
    </w:p>
    <w:p>
      <w:pPr>
        <w:sectPr>
          <w:pgSz w:w="11900" w:h="16838" w:orient="portrait"/>
          <w:cols w:equalWidth="0" w:num="1">
            <w:col w:w="11420"/>
          </w:cols>
          <w:pgMar w:left="240" w:top="126" w:right="239" w:bottom="951" w:gutter="0" w:footer="0" w:header="0"/>
          <w:type w:val="continuous"/>
        </w:sectPr>
      </w:pPr>
    </w:p>
    <w:bookmarkStart w:id="17" w:name="page18"/>
    <w:bookmarkEnd w:id="17"/>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 Management’s Discussion and Analysis of Financial Condition and Results of Operations.</w:t>
      </w:r>
    </w:p>
    <w:p>
      <w:pPr>
        <w:spacing w:after="0" w:line="19" w:lineRule="exact"/>
        <w:rPr>
          <w:sz w:val="20"/>
          <w:szCs w:val="20"/>
          <w:color w:val="auto"/>
        </w:rPr>
      </w:pPr>
    </w:p>
    <w:p>
      <w:pPr>
        <w:ind w:right="3360"/>
        <w:spacing w:after="0" w:line="343" w:lineRule="auto"/>
        <w:rPr>
          <w:sz w:val="20"/>
          <w:szCs w:val="20"/>
          <w:color w:val="auto"/>
        </w:rPr>
      </w:pPr>
      <w:r>
        <w:rPr>
          <w:rFonts w:ascii="Arial" w:cs="Arial" w:eastAsia="Arial" w:hAnsi="Arial"/>
          <w:sz w:val="18"/>
          <w:szCs w:val="18"/>
          <w:color w:val="auto"/>
        </w:rPr>
        <w:t xml:space="preserve">Dollar, share and square footage amounts in millions except percentages, per share and per square foot amounts </w:t>
      </w:r>
      <w:r>
        <w:rPr>
          <w:rFonts w:ascii="Arial" w:cs="Arial" w:eastAsia="Arial" w:hAnsi="Arial"/>
          <w:sz w:val="18"/>
          <w:szCs w:val="18"/>
          <w:b w:val="1"/>
          <w:bCs w:val="1"/>
          <w:color w:val="auto"/>
        </w:rPr>
        <w:t>OVERVIEW</w:t>
      </w:r>
    </w:p>
    <w:p>
      <w:pPr>
        <w:spacing w:after="0" w:line="1"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Nordstrom is a leading fashion retailer offering apparel, shoes, cosmetics and accessories for women, men, young adults and children. We offer an extensive selection of high-quality brand-name and private label merchandise in the U.S. and Canada. We serve customers through two brands — Nordstrom full-price and Nordstrom Rack off-price. With customers increasingly engaging with Nordstrom in multiple ways, we’re focused on providing a seamless experience across stores and online. Our operations currently consist of our Nordstrom U.S. and Canada full-line stores, Nordstrom.com, Nordstrom Rack stores, Nordstromrack.com/HauteLook, Trunk Club, Jeffrey boutiques, Last Chance clearance stores and Nordstrom Local. Our customers can participate in our Nordstrom Rewards loyalty program which allows them to earn merchandise, services and other experiences. We also offer our customers a variety of payment products and services, including our Nordstrom co-branded credit cards. As we aspire to be the best fashion retailer, our customer strategy is centered on three strategic pillars: providing a differentiated product offering, delivering exceptional services and experiences, and leveraging the strength of our brand.</w:t>
      </w:r>
    </w:p>
    <w:p>
      <w:pPr>
        <w:spacing w:after="0" w:line="14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2017, net earnings were $437, or $2.59 per diluted share, which included impacts associated with the Tax Cuts and Jobs Act (the “Tax Act”), consisting of a $0.25 per share reduction related to our income tax provision and a $0.06 per share decrease for a one-time investment in our employees. We reached record sales of $15 billion in 2017. Our net sales increased 4.4%, inclusive of approximately $220 or 150 basis points from the impact of the 53rd week, while comparable sales increased 0.8% and are not inclusive of the 53rd week.</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We achieved the following milestones in executing our growth plans:</w:t>
      </w:r>
    </w:p>
    <w:p>
      <w:pPr>
        <w:spacing w:after="0" w:line="171" w:lineRule="exact"/>
        <w:rPr>
          <w:sz w:val="20"/>
          <w:szCs w:val="20"/>
          <w:color w:val="auto"/>
        </w:rPr>
      </w:pPr>
    </w:p>
    <w:p>
      <w:pPr>
        <w:ind w:left="340" w:right="40" w:hanging="170"/>
        <w:spacing w:after="0" w:line="277"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Nordstrom experienced continued positive customer trends, reflecting customer growth of 4% to 33 million customers. Additionally, 9 million customers are shopping with us in multiple ways, a 6% increase over the previous year.</w:t>
      </w:r>
    </w:p>
    <w:p>
      <w:pPr>
        <w:spacing w:after="0" w:line="8" w:lineRule="exact"/>
        <w:rPr>
          <w:rFonts w:ascii="Arial" w:cs="Arial" w:eastAsia="Arial" w:hAnsi="Arial"/>
          <w:sz w:val="18"/>
          <w:szCs w:val="18"/>
          <w:color w:val="auto"/>
        </w:rPr>
      </w:pPr>
    </w:p>
    <w:p>
      <w:pPr>
        <w:ind w:left="340" w:hanging="170"/>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Generational investments, which include Nordstromrack.com/HauteLook, Canada and Trunk Club, contributed $1.5 billion in sales.</w:t>
      </w:r>
    </w:p>
    <w:p>
      <w:pPr>
        <w:spacing w:after="0" w:line="63" w:lineRule="exact"/>
        <w:rPr>
          <w:rFonts w:ascii="Arial" w:cs="Arial" w:eastAsia="Arial" w:hAnsi="Arial"/>
          <w:sz w:val="18"/>
          <w:szCs w:val="18"/>
          <w:color w:val="auto"/>
        </w:rPr>
      </w:pPr>
    </w:p>
    <w:p>
      <w:pPr>
        <w:ind w:left="340" w:right="100" w:hanging="170"/>
        <w:spacing w:after="0" w:line="277"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the Nordstrom full-price business, strategic brands, including product with limited distribution and Nordstrom proprietary labels, continued to deliver outsized sales growth.</w:t>
      </w:r>
    </w:p>
    <w:p>
      <w:pPr>
        <w:spacing w:after="0" w:line="8" w:lineRule="exact"/>
        <w:rPr>
          <w:rFonts w:ascii="Arial" w:cs="Arial" w:eastAsia="Arial" w:hAnsi="Arial"/>
          <w:sz w:val="18"/>
          <w:szCs w:val="18"/>
          <w:color w:val="auto"/>
        </w:rPr>
      </w:pPr>
    </w:p>
    <w:p>
      <w:pPr>
        <w:ind w:left="340" w:right="140" w:hanging="170"/>
        <w:spacing w:after="0" w:line="277"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Nordstrom Rack off-price business gained 6 million new customers with approximately one-third of off-price customers expected to cross-shop the full-price business over time.</w:t>
      </w:r>
    </w:p>
    <w:p>
      <w:pPr>
        <w:spacing w:after="0" w:line="8" w:lineRule="exact"/>
        <w:rPr>
          <w:rFonts w:ascii="Arial" w:cs="Arial" w:eastAsia="Arial" w:hAnsi="Arial"/>
          <w:sz w:val="18"/>
          <w:szCs w:val="18"/>
          <w:color w:val="auto"/>
        </w:rPr>
      </w:pPr>
    </w:p>
    <w:p>
      <w:pPr>
        <w:ind w:left="340" w:right="180" w:hanging="170"/>
        <w:spacing w:after="0" w:line="277"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Nordstrom Rewards loyalty program customers increased by 35% to 10.5 million. Sales from Nordstrom Rewards customers represented 51% of sales, an increase from 44% in 2016.</w:t>
      </w:r>
    </w:p>
    <w:p>
      <w:pPr>
        <w:spacing w:after="0" w:line="116"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Looking ahead to 2018, we are executing on our three strategic pillars through a series of initiatives. On April 12, our Nordstrom Men’s Store NYC is slated to open, with our Nordstrom NYC store opening in Fall 2019. We expect this store to be the biggest and best statement of the Nordstrom brand, serving as a gateway to new customers both domestically and internationally.</w:t>
      </w:r>
    </w:p>
    <w:p>
      <w:pPr>
        <w:spacing w:after="0" w:line="12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are also focusing on further integrating our digital and physical assets in our top markets in order to deliver best-in-class services and experiences to customers in those areas. We will bring our capabilities across supply chain, technology, marketing, product and services to create a digitally-connected and differentiated experience for customers to shop on their terms, starting in Los Angeles, our largest market. We believe that we will gain learnings from our experiences in the Los Angeles market that we can apply to other markets in the future.</w:t>
      </w:r>
    </w:p>
    <w:p>
      <w:pPr>
        <w:spacing w:after="0" w:line="187"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Another key initiative for 2018 is the introduction of six Nordstrom Rack stores in Canada, where we completed our full-line store expansion plans last September. Similar to our experience in the U.S., we expect strong synergies between our full-price and off-price businesses.</w:t>
      </w:r>
    </w:p>
    <w:p>
      <w:pPr>
        <w:spacing w:after="0" w:line="14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Finally, we will continue to curate our assortment to provide newness and the opportunity for discovery for our customers. In our full-price business, our focus is on strategic brand growth through new launches and our existing partners. In our off-price business, leveraging our vendor partnerships enables us to offer the best brands at the best prices.</w:t>
      </w:r>
    </w:p>
    <w:p>
      <w:pPr>
        <w:spacing w:after="0" w:line="12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Our strategic brand partnerships and combined digital and physical assets make us uniquely positioned in the marketplace. We believe our diversified and resilient business model will continue to serve us well while creating value for our shareholders, customers and employees.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00"/>
          </w:cols>
          <w:pgMar w:left="240" w:top="126" w:right="259" w:bottom="1440" w:gutter="0" w:footer="0" w:header="0"/>
        </w:sectPr>
      </w:pPr>
    </w:p>
    <w:bookmarkStart w:id="18" w:name="page19"/>
    <w:bookmarkEnd w:id="18"/>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7" w:lineRule="exact"/>
        <w:rPr>
          <w:sz w:val="20"/>
          <w:szCs w:val="20"/>
          <w:color w:val="auto"/>
        </w:rPr>
      </w:pPr>
    </w:p>
    <w:p>
      <w:pPr>
        <w:ind w:right="160"/>
        <w:spacing w:after="0" w:line="290" w:lineRule="auto"/>
        <w:rPr>
          <w:sz w:val="20"/>
          <w:szCs w:val="20"/>
          <w:color w:val="auto"/>
        </w:rPr>
      </w:pPr>
      <w:r>
        <w:rPr>
          <w:rFonts w:ascii="Arial" w:cs="Arial" w:eastAsia="Arial" w:hAnsi="Arial"/>
          <w:sz w:val="17"/>
          <w:szCs w:val="17"/>
          <w:color w:val="auto"/>
        </w:rPr>
        <w:t>Our reportable segments in 2017 are Retail and Credit. We analyze our results of operations through earnings before interest and income taxes for our Retail Business and Credit, while interest expense, income taxes and earnings per share are discussed on a total Company basis.</w:t>
      </w:r>
    </w:p>
    <w:p>
      <w:pPr>
        <w:spacing w:after="0" w:line="108"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Similar to many other retailers, Nordstrom follows the retail 4-5-4 reporting calendar, which included an extra week in the fourth quarter of 2017 (the “53rd week”). References to 2017 relate to the 53-week fiscal year ended February 3, 2018. References to 2016 and 2015 are based on a 52-week fiscal year. However, the 53rd week is not included in the comparable sales calculations.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RETAIL BUSINESS</w:t>
      </w:r>
    </w:p>
    <w:p>
      <w:pPr>
        <w:spacing w:after="0" w:line="23"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Our Retail Business includes our Nordstrom U.S. and Canada full-line stores, Nordstrom.com, Nordstrom Rack stores, Nordstromrack.com/HauteLook, Trunk Club, Jeffrey boutiques, Last Chance clearance stores and Nordstrom Local. For purposes of discussion and analysis of our results of operations of our Retail Business, we combine our Retail segment results with revenues and expenses in the “Corporate/Other” column of Note 15: Segment Reporting in Item 8 (collectively, the “Retail Business”). Amounts in the “Corporate/Other” column include unallocated corporate expenses and assets (including unallocated assets in corporate headquarters, consisting primarily of cash, land, buildings and equipment and deferred tax assets), sales return reserves, inter-segment eliminations and other adjustments to segment results necessary for the presentation of consolidated financial results in accordance with generally accepted accounting principles.</w:t>
      </w:r>
    </w:p>
    <w:p>
      <w:pPr>
        <w:spacing w:after="0" w:line="12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Certain metrics we use to evaluate the Retail Business may not be calculated in a consistent manner among industry peers. Provided below are definitions of metrics we present within our analysis of the Retail Business:</w:t>
      </w:r>
    </w:p>
    <w:p>
      <w:pPr>
        <w:spacing w:after="0" w:line="116" w:lineRule="exact"/>
        <w:rPr>
          <w:sz w:val="20"/>
          <w:szCs w:val="20"/>
          <w:color w:val="auto"/>
        </w:rPr>
      </w:pPr>
    </w:p>
    <w:p>
      <w:pPr>
        <w:ind w:left="340" w:hanging="170"/>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Comparable Sales </w:t>
      </w:r>
      <w:r>
        <w:rPr>
          <w:rFonts w:ascii="Arial" w:cs="Arial" w:eastAsia="Arial" w:hAnsi="Arial"/>
          <w:sz w:val="16"/>
          <w:szCs w:val="16"/>
          <w:color w:val="auto"/>
        </w:rPr>
        <w:t>–</w:t>
      </w:r>
      <w:r>
        <w:rPr>
          <w:rFonts w:ascii="Arial" w:cs="Arial" w:eastAsia="Arial" w:hAnsi="Arial"/>
          <w:sz w:val="18"/>
          <w:szCs w:val="18"/>
          <w:color w:val="auto"/>
        </w:rPr>
        <w:t xml:space="preserve"> sales from stores that have been open at least one full year at the beginning of the year</w:t>
      </w:r>
    </w:p>
    <w:p>
      <w:pPr>
        <w:spacing w:after="0" w:line="63" w:lineRule="exact"/>
        <w:rPr>
          <w:rFonts w:ascii="Arial" w:cs="Arial" w:eastAsia="Arial" w:hAnsi="Arial"/>
          <w:sz w:val="18"/>
          <w:szCs w:val="18"/>
          <w:color w:val="auto"/>
        </w:rPr>
      </w:pPr>
    </w:p>
    <w:p>
      <w:pPr>
        <w:ind w:left="820" w:hanging="164"/>
        <w:spacing w:after="0"/>
        <w:tabs>
          <w:tab w:leader="none" w:pos="8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Total Company comparable sales include sales from our online channels</w:t>
      </w:r>
    </w:p>
    <w:p>
      <w:pPr>
        <w:spacing w:after="0" w:line="63" w:lineRule="exact"/>
        <w:rPr>
          <w:rFonts w:ascii="Arial" w:cs="Arial" w:eastAsia="Arial" w:hAnsi="Arial"/>
          <w:sz w:val="18"/>
          <w:szCs w:val="18"/>
          <w:color w:val="auto"/>
        </w:rPr>
      </w:pPr>
    </w:p>
    <w:p>
      <w:pPr>
        <w:ind w:left="340" w:hanging="170"/>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Gross Profit – net sales less cost of sales and related buying and occupancy costs</w:t>
      </w:r>
    </w:p>
    <w:p>
      <w:pPr>
        <w:spacing w:after="0" w:line="63" w:lineRule="exact"/>
        <w:rPr>
          <w:rFonts w:ascii="Arial" w:cs="Arial" w:eastAsia="Arial" w:hAnsi="Arial"/>
          <w:sz w:val="18"/>
          <w:szCs w:val="18"/>
          <w:color w:val="auto"/>
        </w:rPr>
      </w:pPr>
    </w:p>
    <w:p>
      <w:pPr>
        <w:ind w:left="340" w:right="300" w:hanging="170"/>
        <w:spacing w:after="0" w:line="277"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Inventory Turnover Rate – trailing 12-months cost of sales and related buying and occupancy costs (for all segments) divided by the trailing 4-quarter average inventory</w:t>
      </w:r>
    </w:p>
    <w:p>
      <w:pPr>
        <w:spacing w:after="0" w:line="8" w:lineRule="exact"/>
        <w:rPr>
          <w:rFonts w:ascii="Arial" w:cs="Arial" w:eastAsia="Arial" w:hAnsi="Arial"/>
          <w:sz w:val="18"/>
          <w:szCs w:val="18"/>
          <w:color w:val="auto"/>
        </w:rPr>
      </w:pPr>
    </w:p>
    <w:p>
      <w:pPr>
        <w:ind w:left="340" w:hanging="170"/>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Total Sales Per Square Foot – net sales divided by weighted-average square footage</w:t>
      </w:r>
    </w:p>
    <w:p>
      <w:pPr>
        <w:spacing w:after="0" w:line="63" w:lineRule="exact"/>
        <w:rPr>
          <w:rFonts w:ascii="Arial" w:cs="Arial" w:eastAsia="Arial" w:hAnsi="Arial"/>
          <w:sz w:val="18"/>
          <w:szCs w:val="18"/>
          <w:color w:val="auto"/>
        </w:rPr>
      </w:pPr>
    </w:p>
    <w:p>
      <w:pPr>
        <w:ind w:left="340" w:right="160" w:hanging="170"/>
        <w:spacing w:after="0" w:line="277"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4-wall Sales Per Square Foot – sales for Nordstrom U.S. and Canada full-line stores, Nordstrom Rack stores, Trunk Club clubhouses, Jeffrey boutiques, Last Chance clearance stores and Nordstrom Local divided by their weighted-average square footage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results of our Retail Business: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60" w:type="dxa"/>
            <w:vAlign w:val="bottom"/>
            <w:gridSpan w:val="2"/>
          </w:tcPr>
          <w:p>
            <w:pPr>
              <w:ind w:left="40"/>
              <w:spacing w:after="0"/>
              <w:rPr>
                <w:sz w:val="20"/>
                <w:szCs w:val="20"/>
                <w:color w:val="auto"/>
              </w:rPr>
            </w:pPr>
            <w:r>
              <w:rPr>
                <w:rFonts w:ascii="Arial" w:cs="Arial" w:eastAsia="Arial" w:hAnsi="Arial"/>
                <w:sz w:val="16"/>
                <w:szCs w:val="16"/>
                <w:b w:val="1"/>
                <w:bCs w:val="1"/>
                <w:color w:val="auto"/>
              </w:rPr>
              <w:t>Fiscal year</w:t>
            </w:r>
          </w:p>
        </w:tc>
        <w:tc>
          <w:tcPr>
            <w:tcW w:w="1700" w:type="dxa"/>
            <w:vAlign w:val="bottom"/>
          </w:tcPr>
          <w:p>
            <w:pPr>
              <w:jc w:val="right"/>
              <w:ind w:right="99"/>
              <w:spacing w:after="0"/>
              <w:rPr>
                <w:sz w:val="20"/>
                <w:szCs w:val="20"/>
                <w:color w:val="auto"/>
              </w:rPr>
            </w:pPr>
            <w:r>
              <w:rPr>
                <w:rFonts w:ascii="Arial" w:cs="Arial" w:eastAsia="Arial" w:hAnsi="Arial"/>
                <w:sz w:val="16"/>
                <w:szCs w:val="16"/>
                <w:b w:val="1"/>
                <w:bCs w:val="1"/>
                <w:color w:val="auto"/>
              </w:rPr>
              <w:t>2017</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jc w:val="right"/>
              <w:ind w:right="99"/>
              <w:spacing w:after="0"/>
              <w:rPr>
                <w:sz w:val="20"/>
                <w:szCs w:val="20"/>
                <w:color w:val="auto"/>
              </w:rPr>
            </w:pPr>
            <w:r>
              <w:rPr>
                <w:rFonts w:ascii="Arial" w:cs="Arial" w:eastAsia="Arial" w:hAnsi="Arial"/>
                <w:sz w:val="16"/>
                <w:szCs w:val="16"/>
                <w:b w:val="1"/>
                <w:bCs w:val="1"/>
                <w:color w:val="auto"/>
              </w:rPr>
              <w:t>2016</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500" w:type="dxa"/>
            <w:vAlign w:val="bottom"/>
          </w:tcPr>
          <w:p>
            <w:pPr>
              <w:jc w:val="right"/>
              <w:ind w:right="1079"/>
              <w:spacing w:after="0"/>
              <w:rPr>
                <w:sz w:val="20"/>
                <w:szCs w:val="20"/>
                <w:color w:val="auto"/>
              </w:rPr>
            </w:pPr>
            <w:r>
              <w:rPr>
                <w:rFonts w:ascii="Arial" w:cs="Arial" w:eastAsia="Arial" w:hAnsi="Arial"/>
                <w:sz w:val="16"/>
                <w:szCs w:val="16"/>
                <w:b w:val="1"/>
                <w:bCs w:val="1"/>
                <w:color w:val="auto"/>
                <w:w w:val="89"/>
              </w:rPr>
              <w:t>2015</w:t>
            </w:r>
          </w:p>
        </w:tc>
        <w:tc>
          <w:tcPr>
            <w:tcW w:w="0" w:type="dxa"/>
            <w:vAlign w:val="bottom"/>
          </w:tcPr>
          <w:p>
            <w:pPr>
              <w:spacing w:after="0"/>
              <w:rPr>
                <w:sz w:val="1"/>
                <w:szCs w:val="1"/>
                <w:color w:val="auto"/>
              </w:rPr>
            </w:pPr>
          </w:p>
        </w:tc>
      </w:tr>
      <w:tr>
        <w:trPr>
          <w:trHeight w:val="33"/>
        </w:trPr>
        <w:tc>
          <w:tcPr>
            <w:tcW w:w="3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 of net</w:t>
            </w:r>
          </w:p>
        </w:tc>
        <w:tc>
          <w:tcPr>
            <w:tcW w:w="170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 of net</w:t>
            </w:r>
          </w:p>
        </w:tc>
        <w:tc>
          <w:tcPr>
            <w:tcW w:w="1180" w:type="dxa"/>
            <w:vAlign w:val="bottom"/>
          </w:tcPr>
          <w:p>
            <w:pPr>
              <w:spacing w:after="0"/>
              <w:rPr>
                <w:sz w:val="18"/>
                <w:szCs w:val="18"/>
                <w:color w:val="auto"/>
              </w:rPr>
            </w:pPr>
          </w:p>
        </w:tc>
        <w:tc>
          <w:tcPr>
            <w:tcW w:w="1500" w:type="dxa"/>
            <w:vAlign w:val="bottom"/>
          </w:tcPr>
          <w:p>
            <w:pPr>
              <w:jc w:val="right"/>
              <w:ind w:right="139"/>
              <w:spacing w:after="0"/>
              <w:rPr>
                <w:sz w:val="20"/>
                <w:szCs w:val="20"/>
                <w:color w:val="auto"/>
              </w:rPr>
            </w:pPr>
            <w:r>
              <w:rPr>
                <w:rFonts w:ascii="Arial" w:cs="Arial" w:eastAsia="Arial" w:hAnsi="Arial"/>
                <w:sz w:val="16"/>
                <w:szCs w:val="16"/>
                <w:b w:val="1"/>
                <w:bCs w:val="1"/>
                <w:color w:val="auto"/>
              </w:rPr>
              <w:t>% of net</w:t>
            </w:r>
          </w:p>
        </w:tc>
        <w:tc>
          <w:tcPr>
            <w:tcW w:w="0" w:type="dxa"/>
            <w:vAlign w:val="bottom"/>
          </w:tcPr>
          <w:p>
            <w:pPr>
              <w:spacing w:after="0"/>
              <w:rPr>
                <w:sz w:val="1"/>
                <w:szCs w:val="1"/>
                <w:color w:val="auto"/>
              </w:rPr>
            </w:pPr>
          </w:p>
        </w:tc>
      </w:tr>
      <w:tr>
        <w:trPr>
          <w:trHeight w:val="243"/>
        </w:trPr>
        <w:tc>
          <w:tcPr>
            <w:tcW w:w="30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7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Amount</w:t>
            </w:r>
          </w:p>
        </w:tc>
        <w:tc>
          <w:tcPr>
            <w:tcW w:w="10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sales</w:t>
            </w:r>
            <w:r>
              <w:rPr>
                <w:rFonts w:ascii="Arial" w:cs="Arial" w:eastAsia="Arial" w:hAnsi="Arial"/>
                <w:sz w:val="21"/>
                <w:szCs w:val="21"/>
                <w:color w:val="auto"/>
                <w:vertAlign w:val="superscript"/>
              </w:rPr>
              <w:t>1</w:t>
            </w:r>
          </w:p>
        </w:tc>
        <w:tc>
          <w:tcPr>
            <w:tcW w:w="100" w:type="dxa"/>
            <w:vAlign w:val="bottom"/>
            <w:tcBorders>
              <w:bottom w:val="single" w:sz="8" w:color="CCEEFF"/>
            </w:tcBorders>
          </w:tcPr>
          <w:p>
            <w:pPr>
              <w:spacing w:after="0"/>
              <w:rPr>
                <w:sz w:val="21"/>
                <w:szCs w:val="21"/>
                <w:color w:val="auto"/>
              </w:rPr>
            </w:pPr>
          </w:p>
        </w:tc>
        <w:tc>
          <w:tcPr>
            <w:tcW w:w="17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Amount</w:t>
            </w:r>
          </w:p>
        </w:tc>
        <w:tc>
          <w:tcPr>
            <w:tcW w:w="9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sales</w:t>
            </w:r>
            <w:r>
              <w:rPr>
                <w:rFonts w:ascii="Arial" w:cs="Arial" w:eastAsia="Arial" w:hAnsi="Arial"/>
                <w:sz w:val="21"/>
                <w:szCs w:val="21"/>
                <w:color w:val="auto"/>
                <w:vertAlign w:val="superscript"/>
              </w:rPr>
              <w:t>1</w:t>
            </w: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Amount</w:t>
            </w:r>
          </w:p>
        </w:tc>
        <w:tc>
          <w:tcPr>
            <w:tcW w:w="15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sales</w:t>
            </w:r>
            <w:r>
              <w:rPr>
                <w:rFonts w:ascii="Arial" w:cs="Arial" w:eastAsia="Arial" w:hAnsi="Arial"/>
                <w:sz w:val="21"/>
                <w:szCs w:val="21"/>
                <w:color w:val="auto"/>
                <w:vertAlign w:val="superscript"/>
              </w:rPr>
              <w:t>1</w:t>
            </w:r>
          </w:p>
        </w:tc>
        <w:tc>
          <w:tcPr>
            <w:tcW w:w="0" w:type="dxa"/>
            <w:vAlign w:val="bottom"/>
          </w:tcPr>
          <w:p>
            <w:pPr>
              <w:spacing w:after="0"/>
              <w:rPr>
                <w:sz w:val="1"/>
                <w:szCs w:val="1"/>
                <w:color w:val="auto"/>
              </w:rPr>
            </w:pPr>
          </w:p>
        </w:tc>
      </w:tr>
      <w:tr>
        <w:trPr>
          <w:trHeight w:val="244"/>
        </w:trPr>
        <w:tc>
          <w:tcPr>
            <w:tcW w:w="3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170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b w:val="1"/>
                <w:bCs w:val="1"/>
                <w:color w:val="auto"/>
              </w:rPr>
              <w:t>$15,137</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$14,498</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$14,095</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20"/>
        </w:trPr>
        <w:tc>
          <w:tcPr>
            <w:tcW w:w="3160" w:type="dxa"/>
            <w:vAlign w:val="bottom"/>
            <w:gridSpan w:val="2"/>
          </w:tcPr>
          <w:p>
            <w:pPr>
              <w:ind w:left="40"/>
              <w:spacing w:after="0"/>
              <w:rPr>
                <w:sz w:val="20"/>
                <w:szCs w:val="20"/>
                <w:color w:val="auto"/>
              </w:rPr>
            </w:pPr>
            <w:r>
              <w:rPr>
                <w:rFonts w:ascii="Arial" w:cs="Arial" w:eastAsia="Arial" w:hAnsi="Arial"/>
                <w:sz w:val="16"/>
                <w:szCs w:val="16"/>
                <w:color w:val="auto"/>
              </w:rPr>
              <w:t>Cost of sales and related buying and</w:t>
            </w:r>
          </w:p>
        </w:tc>
        <w:tc>
          <w:tcPr>
            <w:tcW w:w="1700" w:type="dxa"/>
            <w:vAlign w:val="bottom"/>
            <w:vMerge w:val="restart"/>
          </w:tcPr>
          <w:p>
            <w:pPr>
              <w:jc w:val="right"/>
              <w:ind w:right="439"/>
              <w:spacing w:after="0"/>
              <w:rPr>
                <w:sz w:val="20"/>
                <w:szCs w:val="20"/>
                <w:color w:val="auto"/>
              </w:rPr>
            </w:pPr>
            <w:r>
              <w:rPr>
                <w:rFonts w:ascii="Arial" w:cs="Arial" w:eastAsia="Arial" w:hAnsi="Arial"/>
                <w:sz w:val="16"/>
                <w:szCs w:val="16"/>
                <w:b w:val="1"/>
                <w:bCs w:val="1"/>
                <w:color w:val="auto"/>
              </w:rPr>
              <w:t>(9,877)</w:t>
            </w:r>
          </w:p>
        </w:tc>
        <w:tc>
          <w:tcPr>
            <w:tcW w:w="10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(65.3%)</w:t>
            </w: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160" w:type="dxa"/>
            <w:vAlign w:val="bottom"/>
            <w:gridSpan w:val="2"/>
          </w:tcPr>
          <w:p>
            <w:pPr>
              <w:ind w:left="200"/>
              <w:spacing w:after="0"/>
              <w:rPr>
                <w:sz w:val="20"/>
                <w:szCs w:val="20"/>
                <w:color w:val="auto"/>
              </w:rPr>
            </w:pPr>
            <w:r>
              <w:rPr>
                <w:rFonts w:ascii="Arial" w:cs="Arial" w:eastAsia="Arial" w:hAnsi="Arial"/>
                <w:sz w:val="16"/>
                <w:szCs w:val="16"/>
                <w:color w:val="auto"/>
              </w:rPr>
              <w:t>occupancy costs</w:t>
            </w:r>
          </w:p>
        </w:tc>
        <w:tc>
          <w:tcPr>
            <w:tcW w:w="170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right"/>
              <w:ind w:right="439"/>
              <w:spacing w:after="0"/>
              <w:rPr>
                <w:sz w:val="20"/>
                <w:szCs w:val="20"/>
                <w:color w:val="auto"/>
              </w:rPr>
            </w:pPr>
            <w:r>
              <w:rPr>
                <w:rFonts w:ascii="Arial" w:cs="Arial" w:eastAsia="Arial" w:hAnsi="Arial"/>
                <w:sz w:val="16"/>
                <w:szCs w:val="16"/>
                <w:color w:val="auto"/>
              </w:rPr>
              <w:t>(9,434)</w:t>
            </w:r>
          </w:p>
        </w:tc>
        <w:tc>
          <w:tcPr>
            <w:tcW w:w="980" w:type="dxa"/>
            <w:vAlign w:val="bottom"/>
          </w:tcPr>
          <w:p>
            <w:pPr>
              <w:jc w:val="right"/>
              <w:spacing w:after="0"/>
              <w:rPr>
                <w:sz w:val="20"/>
                <w:szCs w:val="20"/>
                <w:color w:val="auto"/>
              </w:rPr>
            </w:pPr>
            <w:r>
              <w:rPr>
                <w:rFonts w:ascii="Arial" w:cs="Arial" w:eastAsia="Arial" w:hAnsi="Arial"/>
                <w:sz w:val="16"/>
                <w:szCs w:val="16"/>
                <w:color w:val="auto"/>
              </w:rPr>
              <w:t>(65.1%)</w:t>
            </w: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(9,161)</w:t>
            </w:r>
          </w:p>
        </w:tc>
        <w:tc>
          <w:tcPr>
            <w:tcW w:w="1500" w:type="dxa"/>
            <w:vAlign w:val="bottom"/>
          </w:tcPr>
          <w:p>
            <w:pPr>
              <w:jc w:val="right"/>
              <w:spacing w:after="0"/>
              <w:rPr>
                <w:sz w:val="20"/>
                <w:szCs w:val="20"/>
                <w:color w:val="auto"/>
              </w:rPr>
            </w:pPr>
            <w:r>
              <w:rPr>
                <w:rFonts w:ascii="Arial" w:cs="Arial" w:eastAsia="Arial" w:hAnsi="Arial"/>
                <w:sz w:val="16"/>
                <w:szCs w:val="16"/>
                <w:color w:val="auto"/>
              </w:rPr>
              <w:t>(65.0%)</w:t>
            </w:r>
          </w:p>
        </w:tc>
        <w:tc>
          <w:tcPr>
            <w:tcW w:w="0" w:type="dxa"/>
            <w:vAlign w:val="bottom"/>
          </w:tcPr>
          <w:p>
            <w:pPr>
              <w:spacing w:after="0"/>
              <w:rPr>
                <w:sz w:val="1"/>
                <w:szCs w:val="1"/>
                <w:color w:val="auto"/>
              </w:rPr>
            </w:pPr>
          </w:p>
        </w:tc>
      </w:tr>
      <w:tr>
        <w:trPr>
          <w:trHeight w:val="33"/>
        </w:trPr>
        <w:tc>
          <w:tcPr>
            <w:tcW w:w="3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170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b w:val="1"/>
                <w:bCs w:val="1"/>
                <w:color w:val="auto"/>
              </w:rPr>
              <w:t>5,260</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34.7%</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5,064</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34.9%</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4,934</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0" w:type="dxa"/>
            <w:vAlign w:val="bottom"/>
          </w:tcPr>
          <w:p>
            <w:pPr>
              <w:spacing w:after="0"/>
              <w:rPr>
                <w:sz w:val="1"/>
                <w:szCs w:val="1"/>
                <w:color w:val="auto"/>
              </w:rPr>
            </w:pPr>
          </w:p>
        </w:tc>
      </w:tr>
      <w:tr>
        <w:trPr>
          <w:trHeight w:val="237"/>
        </w:trPr>
        <w:tc>
          <w:tcPr>
            <w:tcW w:w="3160" w:type="dxa"/>
            <w:vAlign w:val="bottom"/>
            <w:gridSpan w:val="2"/>
          </w:tcPr>
          <w:p>
            <w:pPr>
              <w:ind w:left="40"/>
              <w:spacing w:after="0"/>
              <w:rPr>
                <w:sz w:val="20"/>
                <w:szCs w:val="20"/>
                <w:color w:val="auto"/>
              </w:rPr>
            </w:pPr>
            <w:r>
              <w:rPr>
                <w:rFonts w:ascii="Arial" w:cs="Arial" w:eastAsia="Arial" w:hAnsi="Arial"/>
                <w:sz w:val="16"/>
                <w:szCs w:val="16"/>
                <w:color w:val="auto"/>
                <w:w w:val="97"/>
              </w:rPr>
              <w:t>Selling, general and administrative expenses</w:t>
            </w:r>
          </w:p>
        </w:tc>
        <w:tc>
          <w:tcPr>
            <w:tcW w:w="1700" w:type="dxa"/>
            <w:vAlign w:val="bottom"/>
          </w:tcPr>
          <w:p>
            <w:pPr>
              <w:jc w:val="right"/>
              <w:ind w:right="439"/>
              <w:spacing w:after="0"/>
              <w:rPr>
                <w:sz w:val="20"/>
                <w:szCs w:val="20"/>
                <w:color w:val="auto"/>
              </w:rPr>
            </w:pPr>
            <w:r>
              <w:rPr>
                <w:rFonts w:ascii="Arial" w:cs="Arial" w:eastAsia="Arial" w:hAnsi="Arial"/>
                <w:sz w:val="16"/>
                <w:szCs w:val="16"/>
                <w:b w:val="1"/>
                <w:bCs w:val="1"/>
                <w:color w:val="auto"/>
              </w:rPr>
              <w:t>(4,508)</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(29.8%)</w:t>
            </w:r>
          </w:p>
        </w:tc>
        <w:tc>
          <w:tcPr>
            <w:tcW w:w="100" w:type="dxa"/>
            <w:vAlign w:val="bottom"/>
          </w:tcPr>
          <w:p>
            <w:pPr>
              <w:spacing w:after="0"/>
              <w:rPr>
                <w:sz w:val="20"/>
                <w:szCs w:val="20"/>
                <w:color w:val="auto"/>
              </w:rPr>
            </w:pPr>
          </w:p>
        </w:tc>
        <w:tc>
          <w:tcPr>
            <w:tcW w:w="1700" w:type="dxa"/>
            <w:vAlign w:val="bottom"/>
          </w:tcPr>
          <w:p>
            <w:pPr>
              <w:jc w:val="right"/>
              <w:ind w:right="439"/>
              <w:spacing w:after="0"/>
              <w:rPr>
                <w:sz w:val="20"/>
                <w:szCs w:val="20"/>
                <w:color w:val="auto"/>
              </w:rPr>
            </w:pPr>
            <w:r>
              <w:rPr>
                <w:rFonts w:ascii="Arial" w:cs="Arial" w:eastAsia="Arial" w:hAnsi="Arial"/>
                <w:sz w:val="16"/>
                <w:szCs w:val="16"/>
                <w:color w:val="auto"/>
              </w:rPr>
              <w:t>(4,159)</w:t>
            </w:r>
          </w:p>
        </w:tc>
        <w:tc>
          <w:tcPr>
            <w:tcW w:w="980" w:type="dxa"/>
            <w:vAlign w:val="bottom"/>
          </w:tcPr>
          <w:p>
            <w:pPr>
              <w:jc w:val="right"/>
              <w:spacing w:after="0"/>
              <w:rPr>
                <w:sz w:val="20"/>
                <w:szCs w:val="20"/>
                <w:color w:val="auto"/>
              </w:rPr>
            </w:pPr>
            <w:r>
              <w:rPr>
                <w:rFonts w:ascii="Arial" w:cs="Arial" w:eastAsia="Arial" w:hAnsi="Arial"/>
                <w:sz w:val="16"/>
                <w:szCs w:val="16"/>
                <w:color w:val="auto"/>
              </w:rPr>
              <w:t>(28.7%)</w:t>
            </w: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(4,016)</w:t>
            </w:r>
          </w:p>
        </w:tc>
        <w:tc>
          <w:tcPr>
            <w:tcW w:w="1500" w:type="dxa"/>
            <w:vAlign w:val="bottom"/>
          </w:tcPr>
          <w:p>
            <w:pPr>
              <w:jc w:val="right"/>
              <w:spacing w:after="0"/>
              <w:rPr>
                <w:sz w:val="20"/>
                <w:szCs w:val="20"/>
                <w:color w:val="auto"/>
              </w:rPr>
            </w:pPr>
            <w:r>
              <w:rPr>
                <w:rFonts w:ascii="Arial" w:cs="Arial" w:eastAsia="Arial" w:hAnsi="Arial"/>
                <w:sz w:val="16"/>
                <w:szCs w:val="16"/>
                <w:color w:val="auto"/>
              </w:rPr>
              <w:t>(28.5%)</w:t>
            </w:r>
          </w:p>
        </w:tc>
        <w:tc>
          <w:tcPr>
            <w:tcW w:w="0" w:type="dxa"/>
            <w:vAlign w:val="bottom"/>
          </w:tcPr>
          <w:p>
            <w:pPr>
              <w:spacing w:after="0"/>
              <w:rPr>
                <w:sz w:val="1"/>
                <w:szCs w:val="1"/>
                <w:color w:val="auto"/>
              </w:rPr>
            </w:pPr>
          </w:p>
        </w:tc>
      </w:tr>
      <w:tr>
        <w:trPr>
          <w:trHeight w:val="33"/>
        </w:trPr>
        <w:tc>
          <w:tcPr>
            <w:tcW w:w="3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Goodwill impairment</w:t>
            </w:r>
          </w:p>
        </w:tc>
        <w:tc>
          <w:tcPr>
            <w:tcW w:w="170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b w:val="1"/>
                <w:bCs w:val="1"/>
                <w:color w:val="auto"/>
              </w:rPr>
              <w:t>—</w:t>
            </w:r>
          </w:p>
        </w:tc>
        <w:tc>
          <w:tcPr>
            <w:tcW w:w="170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(197)</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1"/>
        </w:trPr>
        <w:tc>
          <w:tcPr>
            <w:tcW w:w="30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w w:val="92"/>
              </w:rPr>
              <w:t>Earnings before interest and income taxes</w:t>
            </w:r>
          </w:p>
        </w:tc>
        <w:tc>
          <w:tcPr>
            <w:tcW w:w="100" w:type="dxa"/>
            <w:vAlign w:val="bottom"/>
          </w:tcPr>
          <w:p>
            <w:pPr>
              <w:spacing w:after="0"/>
              <w:rPr>
                <w:sz w:val="20"/>
                <w:szCs w:val="20"/>
                <w:color w:val="auto"/>
              </w:rPr>
            </w:pPr>
          </w:p>
        </w:tc>
        <w:tc>
          <w:tcPr>
            <w:tcW w:w="1700" w:type="dxa"/>
            <w:vAlign w:val="bottom"/>
            <w:tcBorders>
              <w:top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$752</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5.0%</w:t>
            </w:r>
          </w:p>
        </w:tc>
        <w:tc>
          <w:tcPr>
            <w:tcW w:w="100" w:type="dxa"/>
            <w:vAlign w:val="bottom"/>
          </w:tcPr>
          <w:p>
            <w:pPr>
              <w:spacing w:after="0"/>
              <w:rPr>
                <w:sz w:val="20"/>
                <w:szCs w:val="20"/>
                <w:color w:val="auto"/>
              </w:rPr>
            </w:pPr>
          </w:p>
        </w:tc>
        <w:tc>
          <w:tcPr>
            <w:tcW w:w="1700" w:type="dxa"/>
            <w:vAlign w:val="bottom"/>
            <w:tcBorders>
              <w:top w:val="single" w:sz="8" w:color="auto"/>
            </w:tcBorders>
          </w:tcPr>
          <w:p>
            <w:pPr>
              <w:jc w:val="right"/>
              <w:ind w:right="499"/>
              <w:spacing w:after="0"/>
              <w:rPr>
                <w:sz w:val="20"/>
                <w:szCs w:val="20"/>
                <w:color w:val="auto"/>
              </w:rPr>
            </w:pPr>
            <w:r>
              <w:rPr>
                <w:rFonts w:ascii="Arial" w:cs="Arial" w:eastAsia="Arial" w:hAnsi="Arial"/>
                <w:sz w:val="16"/>
                <w:szCs w:val="16"/>
                <w:color w:val="auto"/>
              </w:rPr>
              <w:t>$708</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$918</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bl>
    <w:p>
      <w:pPr>
        <w:spacing w:after="0" w:line="28" w:lineRule="exact"/>
        <w:rPr>
          <w:sz w:val="20"/>
          <w:szCs w:val="20"/>
          <w:color w:val="auto"/>
        </w:rPr>
      </w:pPr>
    </w:p>
    <w:p>
      <w:pPr>
        <w:ind w:left="80" w:hanging="72"/>
        <w:spacing w:after="0"/>
        <w:tabs>
          <w:tab w:leader="none" w:pos="80" w:val="left"/>
        </w:tabs>
        <w:numPr>
          <w:ilvl w:val="0"/>
          <w:numId w:val="41"/>
        </w:numPr>
        <w:rPr>
          <w:rFonts w:ascii="Arial" w:cs="Arial" w:eastAsia="Arial" w:hAnsi="Arial"/>
          <w:sz w:val="9"/>
          <w:szCs w:val="9"/>
          <w:color w:val="auto"/>
        </w:rPr>
      </w:pPr>
      <w:r>
        <w:rPr>
          <w:rFonts w:ascii="Arial" w:cs="Arial" w:eastAsia="Arial" w:hAnsi="Arial"/>
          <w:sz w:val="14"/>
          <w:szCs w:val="14"/>
          <w:color w:val="auto"/>
        </w:rPr>
        <w:t>Subtotals and totals may not foot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19</w:t>
      </w:r>
    </w:p>
    <w:p>
      <w:pPr>
        <w:sectPr>
          <w:pgSz w:w="11900" w:h="16838" w:orient="portrait"/>
          <w:cols w:equalWidth="0" w:num="1">
            <w:col w:w="11420"/>
          </w:cols>
          <w:pgMar w:left="240" w:top="126" w:right="239" w:bottom="1440" w:gutter="0" w:footer="0" w:header="0"/>
        </w:sectPr>
      </w:pPr>
    </w:p>
    <w:bookmarkStart w:id="19" w:name="page20"/>
    <w:bookmarkEnd w:id="19"/>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 Business Net Sales</w:t>
      </w:r>
    </w:p>
    <w:p>
      <w:pPr>
        <w:spacing w:after="0" w:line="27" w:lineRule="exact"/>
        <w:rPr>
          <w:sz w:val="20"/>
          <w:szCs w:val="20"/>
          <w:color w:val="auto"/>
        </w:rPr>
      </w:pPr>
    </w:p>
    <w:p>
      <w:pPr>
        <w:ind w:right="100"/>
        <w:spacing w:after="0" w:line="277" w:lineRule="auto"/>
        <w:rPr>
          <w:sz w:val="20"/>
          <w:szCs w:val="20"/>
          <w:color w:val="auto"/>
        </w:rPr>
      </w:pPr>
      <w:r>
        <w:rPr>
          <w:rFonts w:ascii="Arial" w:cs="Arial" w:eastAsia="Arial" w:hAnsi="Arial"/>
          <w:sz w:val="17"/>
          <w:szCs w:val="17"/>
          <w:color w:val="auto"/>
        </w:rPr>
        <w:t>In our ongoing effort to enhance the customer experience, we are focused on providing customers with a seamless experience across our channels. While our customers may engage with us through multiple channels, we know they value the overall Nordstrom brand experience and view us simply as Nordstrom, which is ultimately how we view our business. The following is a summary of our net sales by channel for our Retail Business: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60" w:type="dxa"/>
            <w:vAlign w:val="bottom"/>
          </w:tcPr>
          <w:p>
            <w:pPr>
              <w:ind w:left="40"/>
              <w:spacing w:after="0"/>
              <w:rPr>
                <w:sz w:val="20"/>
                <w:szCs w:val="20"/>
                <w:color w:val="auto"/>
              </w:rPr>
            </w:pPr>
            <w:r>
              <w:rPr>
                <w:rFonts w:ascii="Arial" w:cs="Arial" w:eastAsia="Arial" w:hAnsi="Arial"/>
                <w:sz w:val="16"/>
                <w:szCs w:val="16"/>
                <w:b w:val="1"/>
                <w:bCs w:val="1"/>
                <w:color w:val="auto"/>
              </w:rPr>
              <w:t>Fiscal year</w:t>
            </w:r>
          </w:p>
        </w:tc>
        <w:tc>
          <w:tcPr>
            <w:tcW w:w="2860" w:type="dxa"/>
            <w:vAlign w:val="bottom"/>
          </w:tcPr>
          <w:p>
            <w:pPr>
              <w:jc w:val="right"/>
              <w:ind w:right="799"/>
              <w:spacing w:after="0"/>
              <w:rPr>
                <w:sz w:val="20"/>
                <w:szCs w:val="20"/>
                <w:color w:val="auto"/>
              </w:rPr>
            </w:pPr>
            <w:r>
              <w:rPr>
                <w:rFonts w:ascii="Arial" w:cs="Arial" w:eastAsia="Arial" w:hAnsi="Arial"/>
                <w:sz w:val="16"/>
                <w:szCs w:val="16"/>
                <w:b w:val="1"/>
                <w:bCs w:val="1"/>
                <w:color w:val="auto"/>
              </w:rPr>
              <w:t>2017</w:t>
            </w:r>
          </w:p>
        </w:tc>
        <w:tc>
          <w:tcPr>
            <w:tcW w:w="2060" w:type="dxa"/>
            <w:vAlign w:val="bottom"/>
          </w:tcPr>
          <w:p>
            <w:pPr>
              <w:jc w:val="right"/>
              <w:ind w:right="779"/>
              <w:spacing w:after="0"/>
              <w:rPr>
                <w:sz w:val="20"/>
                <w:szCs w:val="20"/>
                <w:color w:val="auto"/>
              </w:rPr>
            </w:pPr>
            <w:r>
              <w:rPr>
                <w:rFonts w:ascii="Arial" w:cs="Arial" w:eastAsia="Arial" w:hAnsi="Arial"/>
                <w:sz w:val="16"/>
                <w:szCs w:val="16"/>
                <w:b w:val="1"/>
                <w:bCs w:val="1"/>
                <w:color w:val="auto"/>
              </w:rPr>
              <w:t>2016</w:t>
            </w:r>
          </w:p>
        </w:tc>
        <w:tc>
          <w:tcPr>
            <w:tcW w:w="1540" w:type="dxa"/>
            <w:vAlign w:val="bottom"/>
          </w:tcPr>
          <w:p>
            <w:pPr>
              <w:jc w:val="right"/>
              <w:ind w:right="279"/>
              <w:spacing w:after="0"/>
              <w:rPr>
                <w:sz w:val="20"/>
                <w:szCs w:val="20"/>
                <w:color w:val="auto"/>
              </w:rPr>
            </w:pPr>
            <w:r>
              <w:rPr>
                <w:rFonts w:ascii="Arial" w:cs="Arial" w:eastAsia="Arial" w:hAnsi="Arial"/>
                <w:sz w:val="16"/>
                <w:szCs w:val="16"/>
                <w:b w:val="1"/>
                <w:bCs w:val="1"/>
                <w:color w:val="auto"/>
              </w:rPr>
              <w:t>2015</w:t>
            </w:r>
          </w:p>
        </w:tc>
      </w:tr>
      <w:tr>
        <w:trPr>
          <w:trHeight w:val="33"/>
        </w:trPr>
        <w:tc>
          <w:tcPr>
            <w:tcW w:w="496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sales by channel:</w:t>
            </w:r>
          </w:p>
        </w:tc>
        <w:tc>
          <w:tcPr>
            <w:tcW w:w="286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70"/>
        </w:trPr>
        <w:tc>
          <w:tcPr>
            <w:tcW w:w="4960" w:type="dxa"/>
            <w:vAlign w:val="bottom"/>
          </w:tcPr>
          <w:p>
            <w:pPr>
              <w:ind w:left="40"/>
              <w:spacing w:after="0"/>
              <w:rPr>
                <w:sz w:val="20"/>
                <w:szCs w:val="20"/>
                <w:color w:val="auto"/>
              </w:rPr>
            </w:pPr>
            <w:r>
              <w:rPr>
                <w:rFonts w:ascii="Arial" w:cs="Arial" w:eastAsia="Arial" w:hAnsi="Arial"/>
                <w:sz w:val="16"/>
                <w:szCs w:val="16"/>
                <w:color w:val="auto"/>
              </w:rPr>
              <w:t>Nordstrom full-line stores - U.S.</w:t>
            </w:r>
            <w:r>
              <w:rPr>
                <w:rFonts w:ascii="Arial" w:cs="Arial" w:eastAsia="Arial" w:hAnsi="Arial"/>
                <w:sz w:val="21"/>
                <w:szCs w:val="21"/>
                <w:color w:val="auto"/>
                <w:vertAlign w:val="superscript"/>
              </w:rPr>
              <w:t>1</w:t>
            </w:r>
          </w:p>
        </w:tc>
        <w:tc>
          <w:tcPr>
            <w:tcW w:w="2860" w:type="dxa"/>
            <w:vAlign w:val="bottom"/>
          </w:tcPr>
          <w:p>
            <w:pPr>
              <w:jc w:val="right"/>
              <w:ind w:right="799"/>
              <w:spacing w:after="0"/>
              <w:rPr>
                <w:sz w:val="20"/>
                <w:szCs w:val="20"/>
                <w:color w:val="auto"/>
              </w:rPr>
            </w:pPr>
            <w:r>
              <w:rPr>
                <w:rFonts w:ascii="Arial" w:cs="Arial" w:eastAsia="Arial" w:hAnsi="Arial"/>
                <w:sz w:val="16"/>
                <w:szCs w:val="16"/>
                <w:b w:val="1"/>
                <w:bCs w:val="1"/>
                <w:color w:val="auto"/>
              </w:rPr>
              <w:t>$6,951</w:t>
            </w:r>
          </w:p>
        </w:tc>
        <w:tc>
          <w:tcPr>
            <w:tcW w:w="2060" w:type="dxa"/>
            <w:vAlign w:val="bottom"/>
          </w:tcPr>
          <w:p>
            <w:pPr>
              <w:jc w:val="right"/>
              <w:ind w:right="779"/>
              <w:spacing w:after="0"/>
              <w:rPr>
                <w:sz w:val="20"/>
                <w:szCs w:val="20"/>
                <w:color w:val="auto"/>
              </w:rPr>
            </w:pPr>
            <w:r>
              <w:rPr>
                <w:rFonts w:ascii="Arial" w:cs="Arial" w:eastAsia="Arial" w:hAnsi="Arial"/>
                <w:sz w:val="16"/>
                <w:szCs w:val="16"/>
                <w:color w:val="auto"/>
              </w:rPr>
              <w:t>$7,186</w:t>
            </w:r>
          </w:p>
        </w:tc>
        <w:tc>
          <w:tcPr>
            <w:tcW w:w="1540" w:type="dxa"/>
            <w:vAlign w:val="bottom"/>
          </w:tcPr>
          <w:p>
            <w:pPr>
              <w:jc w:val="right"/>
              <w:ind w:right="279"/>
              <w:spacing w:after="0"/>
              <w:rPr>
                <w:sz w:val="20"/>
                <w:szCs w:val="20"/>
                <w:color w:val="auto"/>
              </w:rPr>
            </w:pPr>
            <w:r>
              <w:rPr>
                <w:rFonts w:ascii="Arial" w:cs="Arial" w:eastAsia="Arial" w:hAnsi="Arial"/>
                <w:sz w:val="16"/>
                <w:szCs w:val="16"/>
                <w:color w:val="auto"/>
              </w:rPr>
              <w:t>$7,633</w:t>
            </w:r>
          </w:p>
        </w:tc>
      </w:tr>
      <w:tr>
        <w:trPr>
          <w:trHeight w:val="275"/>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Nordstrom.com</w:t>
            </w:r>
          </w:p>
        </w:tc>
        <w:tc>
          <w:tcPr>
            <w:tcW w:w="286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b w:val="1"/>
                <w:bCs w:val="1"/>
                <w:color w:val="auto"/>
              </w:rPr>
              <w:t>2,887</w:t>
            </w:r>
          </w:p>
        </w:tc>
        <w:tc>
          <w:tcPr>
            <w:tcW w:w="20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color w:val="auto"/>
              </w:rPr>
              <w:t>2,519</w:t>
            </w:r>
          </w:p>
        </w:tc>
        <w:tc>
          <w:tcPr>
            <w:tcW w:w="154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2,300</w:t>
            </w:r>
          </w:p>
        </w:tc>
      </w:tr>
      <w:tr>
        <w:trPr>
          <w:trHeight w:val="231"/>
        </w:trPr>
        <w:tc>
          <w:tcPr>
            <w:tcW w:w="49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Full-price</w:t>
            </w:r>
          </w:p>
        </w:tc>
        <w:tc>
          <w:tcPr>
            <w:tcW w:w="2860" w:type="dxa"/>
            <w:vAlign w:val="bottom"/>
            <w:tcBorders>
              <w:top w:val="single" w:sz="8" w:color="auto"/>
            </w:tcBorders>
          </w:tcPr>
          <w:p>
            <w:pPr>
              <w:jc w:val="right"/>
              <w:ind w:right="799"/>
              <w:spacing w:after="0"/>
              <w:rPr>
                <w:sz w:val="20"/>
                <w:szCs w:val="20"/>
                <w:color w:val="auto"/>
              </w:rPr>
            </w:pPr>
            <w:r>
              <w:rPr>
                <w:rFonts w:ascii="Arial" w:cs="Arial" w:eastAsia="Arial" w:hAnsi="Arial"/>
                <w:sz w:val="16"/>
                <w:szCs w:val="16"/>
                <w:b w:val="1"/>
                <w:bCs w:val="1"/>
                <w:color w:val="auto"/>
              </w:rPr>
              <w:t>9,838</w:t>
            </w:r>
          </w:p>
        </w:tc>
        <w:tc>
          <w:tcPr>
            <w:tcW w:w="2060" w:type="dxa"/>
            <w:vAlign w:val="bottom"/>
            <w:tcBorders>
              <w:top w:val="single" w:sz="8" w:color="auto"/>
            </w:tcBorders>
          </w:tcPr>
          <w:p>
            <w:pPr>
              <w:jc w:val="right"/>
              <w:ind w:right="779"/>
              <w:spacing w:after="0"/>
              <w:rPr>
                <w:sz w:val="20"/>
                <w:szCs w:val="20"/>
                <w:color w:val="auto"/>
              </w:rPr>
            </w:pPr>
            <w:r>
              <w:rPr>
                <w:rFonts w:ascii="Arial" w:cs="Arial" w:eastAsia="Arial" w:hAnsi="Arial"/>
                <w:sz w:val="16"/>
                <w:szCs w:val="16"/>
                <w:color w:val="auto"/>
              </w:rPr>
              <w:t>9,705</w:t>
            </w:r>
          </w:p>
        </w:tc>
        <w:tc>
          <w:tcPr>
            <w:tcW w:w="154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rPr>
              <w:t>9,933</w:t>
            </w:r>
          </w:p>
        </w:tc>
      </w:tr>
      <w:tr>
        <w:trPr>
          <w:trHeight w:val="33"/>
        </w:trPr>
        <w:tc>
          <w:tcPr>
            <w:tcW w:w="49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97"/>
        </w:trPr>
        <w:tc>
          <w:tcPr>
            <w:tcW w:w="4960" w:type="dxa"/>
            <w:vAlign w:val="bottom"/>
            <w:shd w:val="clear" w:color="auto" w:fill="CCEEFF"/>
          </w:tcPr>
          <w:p>
            <w:pPr>
              <w:spacing w:after="0"/>
              <w:rPr>
                <w:sz w:val="24"/>
                <w:szCs w:val="24"/>
                <w:color w:val="auto"/>
              </w:rPr>
            </w:pPr>
          </w:p>
        </w:tc>
        <w:tc>
          <w:tcPr>
            <w:tcW w:w="2860" w:type="dxa"/>
            <w:vAlign w:val="bottom"/>
            <w:shd w:val="clear" w:color="auto" w:fill="CCEEFF"/>
          </w:tcPr>
          <w:p>
            <w:pPr>
              <w:spacing w:after="0"/>
              <w:rPr>
                <w:sz w:val="24"/>
                <w:szCs w:val="24"/>
                <w:color w:val="auto"/>
              </w:rPr>
            </w:pPr>
          </w:p>
        </w:tc>
        <w:tc>
          <w:tcPr>
            <w:tcW w:w="206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6"/>
                <w:szCs w:val="16"/>
                <w:color w:val="auto"/>
              </w:rPr>
              <w:t>Nordstrom Rack</w:t>
            </w:r>
          </w:p>
        </w:tc>
        <w:tc>
          <w:tcPr>
            <w:tcW w:w="2860" w:type="dxa"/>
            <w:vAlign w:val="bottom"/>
          </w:tcPr>
          <w:p>
            <w:pPr>
              <w:jc w:val="right"/>
              <w:ind w:right="799"/>
              <w:spacing w:after="0"/>
              <w:rPr>
                <w:sz w:val="20"/>
                <w:szCs w:val="20"/>
                <w:color w:val="auto"/>
              </w:rPr>
            </w:pPr>
            <w:r>
              <w:rPr>
                <w:rFonts w:ascii="Arial" w:cs="Arial" w:eastAsia="Arial" w:hAnsi="Arial"/>
                <w:sz w:val="16"/>
                <w:szCs w:val="16"/>
                <w:b w:val="1"/>
                <w:bCs w:val="1"/>
                <w:color w:val="auto"/>
              </w:rPr>
              <w:t>4,059</w:t>
            </w:r>
          </w:p>
        </w:tc>
        <w:tc>
          <w:tcPr>
            <w:tcW w:w="2060" w:type="dxa"/>
            <w:vAlign w:val="bottom"/>
          </w:tcPr>
          <w:p>
            <w:pPr>
              <w:jc w:val="right"/>
              <w:ind w:right="779"/>
              <w:spacing w:after="0"/>
              <w:rPr>
                <w:sz w:val="20"/>
                <w:szCs w:val="20"/>
                <w:color w:val="auto"/>
              </w:rPr>
            </w:pPr>
            <w:r>
              <w:rPr>
                <w:rFonts w:ascii="Arial" w:cs="Arial" w:eastAsia="Arial" w:hAnsi="Arial"/>
                <w:sz w:val="16"/>
                <w:szCs w:val="16"/>
                <w:color w:val="auto"/>
              </w:rPr>
              <w:t>3,809</w:t>
            </w:r>
          </w:p>
        </w:tc>
        <w:tc>
          <w:tcPr>
            <w:tcW w:w="1540" w:type="dxa"/>
            <w:vAlign w:val="bottom"/>
          </w:tcPr>
          <w:p>
            <w:pPr>
              <w:jc w:val="right"/>
              <w:ind w:right="279"/>
              <w:spacing w:after="0"/>
              <w:rPr>
                <w:sz w:val="20"/>
                <w:szCs w:val="20"/>
                <w:color w:val="auto"/>
              </w:rPr>
            </w:pPr>
            <w:r>
              <w:rPr>
                <w:rFonts w:ascii="Arial" w:cs="Arial" w:eastAsia="Arial" w:hAnsi="Arial"/>
                <w:sz w:val="16"/>
                <w:szCs w:val="16"/>
                <w:color w:val="auto"/>
              </w:rPr>
              <w:t>3,533</w:t>
            </w:r>
          </w:p>
        </w:tc>
      </w:tr>
      <w:tr>
        <w:trPr>
          <w:trHeight w:val="33"/>
        </w:trPr>
        <w:tc>
          <w:tcPr>
            <w:tcW w:w="49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62"/>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Nordstromrack.com/HauteLook</w:t>
            </w:r>
          </w:p>
        </w:tc>
        <w:tc>
          <w:tcPr>
            <w:tcW w:w="286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b w:val="1"/>
                <w:bCs w:val="1"/>
                <w:color w:val="auto"/>
              </w:rPr>
              <w:t>897</w:t>
            </w:r>
          </w:p>
        </w:tc>
        <w:tc>
          <w:tcPr>
            <w:tcW w:w="20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color w:val="auto"/>
              </w:rPr>
              <w:t>700</w:t>
            </w:r>
          </w:p>
        </w:tc>
        <w:tc>
          <w:tcPr>
            <w:tcW w:w="154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532</w:t>
            </w:r>
          </w:p>
        </w:tc>
      </w:tr>
      <w:tr>
        <w:trPr>
          <w:trHeight w:val="231"/>
        </w:trPr>
        <w:tc>
          <w:tcPr>
            <w:tcW w:w="49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Off-price</w:t>
            </w:r>
          </w:p>
        </w:tc>
        <w:tc>
          <w:tcPr>
            <w:tcW w:w="2860" w:type="dxa"/>
            <w:vAlign w:val="bottom"/>
            <w:tcBorders>
              <w:top w:val="single" w:sz="8" w:color="auto"/>
            </w:tcBorders>
          </w:tcPr>
          <w:p>
            <w:pPr>
              <w:jc w:val="right"/>
              <w:ind w:right="799"/>
              <w:spacing w:after="0"/>
              <w:rPr>
                <w:sz w:val="20"/>
                <w:szCs w:val="20"/>
                <w:color w:val="auto"/>
              </w:rPr>
            </w:pPr>
            <w:r>
              <w:rPr>
                <w:rFonts w:ascii="Arial" w:cs="Arial" w:eastAsia="Arial" w:hAnsi="Arial"/>
                <w:sz w:val="16"/>
                <w:szCs w:val="16"/>
                <w:b w:val="1"/>
                <w:bCs w:val="1"/>
                <w:color w:val="auto"/>
              </w:rPr>
              <w:t>4,956</w:t>
            </w:r>
          </w:p>
        </w:tc>
        <w:tc>
          <w:tcPr>
            <w:tcW w:w="2060" w:type="dxa"/>
            <w:vAlign w:val="bottom"/>
            <w:tcBorders>
              <w:top w:val="single" w:sz="8" w:color="auto"/>
            </w:tcBorders>
          </w:tcPr>
          <w:p>
            <w:pPr>
              <w:jc w:val="right"/>
              <w:ind w:right="779"/>
              <w:spacing w:after="0"/>
              <w:rPr>
                <w:sz w:val="20"/>
                <w:szCs w:val="20"/>
                <w:color w:val="auto"/>
              </w:rPr>
            </w:pPr>
            <w:r>
              <w:rPr>
                <w:rFonts w:ascii="Arial" w:cs="Arial" w:eastAsia="Arial" w:hAnsi="Arial"/>
                <w:sz w:val="16"/>
                <w:szCs w:val="16"/>
                <w:color w:val="auto"/>
              </w:rPr>
              <w:t>4,509</w:t>
            </w:r>
          </w:p>
        </w:tc>
        <w:tc>
          <w:tcPr>
            <w:tcW w:w="154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rPr>
              <w:t>4,065</w:t>
            </w:r>
          </w:p>
        </w:tc>
      </w:tr>
      <w:tr>
        <w:trPr>
          <w:trHeight w:val="33"/>
        </w:trPr>
        <w:tc>
          <w:tcPr>
            <w:tcW w:w="49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97"/>
        </w:trPr>
        <w:tc>
          <w:tcPr>
            <w:tcW w:w="4960" w:type="dxa"/>
            <w:vAlign w:val="bottom"/>
            <w:shd w:val="clear" w:color="auto" w:fill="CCEEFF"/>
          </w:tcPr>
          <w:p>
            <w:pPr>
              <w:spacing w:after="0"/>
              <w:rPr>
                <w:sz w:val="24"/>
                <w:szCs w:val="24"/>
                <w:color w:val="auto"/>
              </w:rPr>
            </w:pPr>
          </w:p>
        </w:tc>
        <w:tc>
          <w:tcPr>
            <w:tcW w:w="2860" w:type="dxa"/>
            <w:vAlign w:val="bottom"/>
            <w:shd w:val="clear" w:color="auto" w:fill="CCEEFF"/>
          </w:tcPr>
          <w:p>
            <w:pPr>
              <w:spacing w:after="0"/>
              <w:rPr>
                <w:sz w:val="24"/>
                <w:szCs w:val="24"/>
                <w:color w:val="auto"/>
              </w:rPr>
            </w:pPr>
          </w:p>
        </w:tc>
        <w:tc>
          <w:tcPr>
            <w:tcW w:w="206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r>
      <w:tr>
        <w:trPr>
          <w:trHeight w:val="270"/>
        </w:trPr>
        <w:tc>
          <w:tcPr>
            <w:tcW w:w="49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Other retail</w:t>
            </w:r>
            <w:r>
              <w:rPr>
                <w:rFonts w:ascii="Arial" w:cs="Arial" w:eastAsia="Arial" w:hAnsi="Arial"/>
                <w:sz w:val="21"/>
                <w:szCs w:val="21"/>
                <w:color w:val="auto"/>
                <w:vertAlign w:val="superscript"/>
              </w:rPr>
              <w:t>2</w:t>
            </w:r>
          </w:p>
        </w:tc>
        <w:tc>
          <w:tcPr>
            <w:tcW w:w="286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b w:val="1"/>
                <w:bCs w:val="1"/>
                <w:color w:val="auto"/>
              </w:rPr>
              <w:t>614</w:t>
            </w:r>
          </w:p>
        </w:tc>
        <w:tc>
          <w:tcPr>
            <w:tcW w:w="206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color w:val="auto"/>
              </w:rPr>
              <w:t>554</w:t>
            </w:r>
          </w:p>
        </w:tc>
        <w:tc>
          <w:tcPr>
            <w:tcW w:w="15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378</w:t>
            </w:r>
          </w:p>
        </w:tc>
      </w:tr>
      <w:tr>
        <w:trPr>
          <w:trHeight w:val="244"/>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Retail segment</w:t>
            </w:r>
          </w:p>
        </w:tc>
        <w:tc>
          <w:tcPr>
            <w:tcW w:w="286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b w:val="1"/>
                <w:bCs w:val="1"/>
                <w:color w:val="auto"/>
              </w:rPr>
              <w:t>15,408</w:t>
            </w:r>
          </w:p>
        </w:tc>
        <w:tc>
          <w:tcPr>
            <w:tcW w:w="20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color w:val="auto"/>
              </w:rPr>
              <w:t>14,768</w:t>
            </w:r>
          </w:p>
        </w:tc>
        <w:tc>
          <w:tcPr>
            <w:tcW w:w="154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14,376</w:t>
            </w:r>
          </w:p>
        </w:tc>
      </w:tr>
      <w:tr>
        <w:trPr>
          <w:trHeight w:val="237"/>
        </w:trPr>
        <w:tc>
          <w:tcPr>
            <w:tcW w:w="4960" w:type="dxa"/>
            <w:vAlign w:val="bottom"/>
          </w:tcPr>
          <w:p>
            <w:pPr>
              <w:ind w:left="40"/>
              <w:spacing w:after="0"/>
              <w:rPr>
                <w:sz w:val="20"/>
                <w:szCs w:val="20"/>
                <w:color w:val="auto"/>
              </w:rPr>
            </w:pPr>
            <w:r>
              <w:rPr>
                <w:rFonts w:ascii="Arial" w:cs="Arial" w:eastAsia="Arial" w:hAnsi="Arial"/>
                <w:sz w:val="16"/>
                <w:szCs w:val="16"/>
                <w:color w:val="auto"/>
              </w:rPr>
              <w:t>Corporate/Other</w:t>
            </w:r>
          </w:p>
        </w:tc>
        <w:tc>
          <w:tcPr>
            <w:tcW w:w="2860" w:type="dxa"/>
            <w:vAlign w:val="bottom"/>
          </w:tcPr>
          <w:p>
            <w:pPr>
              <w:jc w:val="right"/>
              <w:ind w:right="739"/>
              <w:spacing w:after="0"/>
              <w:rPr>
                <w:sz w:val="20"/>
                <w:szCs w:val="20"/>
                <w:color w:val="auto"/>
              </w:rPr>
            </w:pPr>
            <w:r>
              <w:rPr>
                <w:rFonts w:ascii="Arial" w:cs="Arial" w:eastAsia="Arial" w:hAnsi="Arial"/>
                <w:sz w:val="16"/>
                <w:szCs w:val="16"/>
                <w:b w:val="1"/>
                <w:bCs w:val="1"/>
                <w:color w:val="auto"/>
              </w:rPr>
              <w:t>(271)</w:t>
            </w:r>
          </w:p>
        </w:tc>
        <w:tc>
          <w:tcPr>
            <w:tcW w:w="2060" w:type="dxa"/>
            <w:vAlign w:val="bottom"/>
          </w:tcPr>
          <w:p>
            <w:pPr>
              <w:jc w:val="right"/>
              <w:ind w:right="719"/>
              <w:spacing w:after="0"/>
              <w:rPr>
                <w:sz w:val="20"/>
                <w:szCs w:val="20"/>
                <w:color w:val="auto"/>
              </w:rPr>
            </w:pPr>
            <w:r>
              <w:rPr>
                <w:rFonts w:ascii="Arial" w:cs="Arial" w:eastAsia="Arial" w:hAnsi="Arial"/>
                <w:sz w:val="16"/>
                <w:szCs w:val="16"/>
                <w:color w:val="auto"/>
              </w:rPr>
              <w:t>(270)</w:t>
            </w:r>
          </w:p>
        </w:tc>
        <w:tc>
          <w:tcPr>
            <w:tcW w:w="1540" w:type="dxa"/>
            <w:vAlign w:val="bottom"/>
          </w:tcPr>
          <w:p>
            <w:pPr>
              <w:jc w:val="right"/>
              <w:ind w:right="219"/>
              <w:spacing w:after="0"/>
              <w:rPr>
                <w:sz w:val="20"/>
                <w:szCs w:val="20"/>
                <w:color w:val="auto"/>
              </w:rPr>
            </w:pPr>
            <w:r>
              <w:rPr>
                <w:rFonts w:ascii="Arial" w:cs="Arial" w:eastAsia="Arial" w:hAnsi="Arial"/>
                <w:sz w:val="16"/>
                <w:szCs w:val="16"/>
                <w:color w:val="auto"/>
              </w:rPr>
              <w:t>(281)</w:t>
            </w:r>
          </w:p>
        </w:tc>
      </w:tr>
      <w:tr>
        <w:trPr>
          <w:trHeight w:val="33"/>
        </w:trPr>
        <w:tc>
          <w:tcPr>
            <w:tcW w:w="496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net sales</w:t>
            </w:r>
          </w:p>
        </w:tc>
        <w:tc>
          <w:tcPr>
            <w:tcW w:w="286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b w:val="1"/>
                <w:bCs w:val="1"/>
                <w:color w:val="auto"/>
              </w:rPr>
              <w:t>$15,137</w:t>
            </w:r>
          </w:p>
        </w:tc>
        <w:tc>
          <w:tcPr>
            <w:tcW w:w="20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color w:val="auto"/>
              </w:rPr>
              <w:t>$14,498</w:t>
            </w:r>
          </w:p>
        </w:tc>
        <w:tc>
          <w:tcPr>
            <w:tcW w:w="154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$14,095</w:t>
            </w:r>
          </w:p>
        </w:tc>
      </w:tr>
      <w:tr>
        <w:trPr>
          <w:trHeight w:val="264"/>
        </w:trPr>
        <w:tc>
          <w:tcPr>
            <w:tcW w:w="4960" w:type="dxa"/>
            <w:vAlign w:val="bottom"/>
            <w:tcBorders>
              <w:top w:val="single" w:sz="8" w:color="auto"/>
            </w:tcBorders>
          </w:tcPr>
          <w:p>
            <w:pPr>
              <w:spacing w:after="0"/>
              <w:rPr>
                <w:sz w:val="22"/>
                <w:szCs w:val="22"/>
                <w:color w:val="auto"/>
              </w:rPr>
            </w:pPr>
          </w:p>
        </w:tc>
        <w:tc>
          <w:tcPr>
            <w:tcW w:w="2860" w:type="dxa"/>
            <w:vAlign w:val="bottom"/>
            <w:tcBorders>
              <w:top w:val="single" w:sz="8" w:color="auto"/>
            </w:tcBorders>
          </w:tcPr>
          <w:p>
            <w:pPr>
              <w:spacing w:after="0"/>
              <w:rPr>
                <w:sz w:val="22"/>
                <w:szCs w:val="22"/>
                <w:color w:val="auto"/>
              </w:rPr>
            </w:pPr>
          </w:p>
        </w:tc>
        <w:tc>
          <w:tcPr>
            <w:tcW w:w="2060" w:type="dxa"/>
            <w:vAlign w:val="bottom"/>
            <w:tcBorders>
              <w:top w:val="single" w:sz="8" w:color="auto"/>
            </w:tcBorders>
          </w:tcPr>
          <w:p>
            <w:pPr>
              <w:spacing w:after="0"/>
              <w:rPr>
                <w:sz w:val="22"/>
                <w:szCs w:val="22"/>
                <w:color w:val="auto"/>
              </w:rPr>
            </w:pPr>
          </w:p>
        </w:tc>
        <w:tc>
          <w:tcPr>
            <w:tcW w:w="1540" w:type="dxa"/>
            <w:vAlign w:val="bottom"/>
            <w:tcBorders>
              <w:top w:val="single" w:sz="8" w:color="auto"/>
            </w:tcBorders>
          </w:tcPr>
          <w:p>
            <w:pPr>
              <w:spacing w:after="0"/>
              <w:rPr>
                <w:sz w:val="22"/>
                <w:szCs w:val="22"/>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 increase</w:t>
            </w:r>
          </w:p>
        </w:tc>
        <w:tc>
          <w:tcPr>
            <w:tcW w:w="286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4.4%</w:t>
            </w:r>
          </w:p>
        </w:tc>
        <w:tc>
          <w:tcPr>
            <w:tcW w:w="206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color w:val="auto"/>
              </w:rPr>
              <w:t>2.9%</w:t>
            </w:r>
          </w:p>
        </w:tc>
        <w:tc>
          <w:tcPr>
            <w:tcW w:w="15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7.5%</w:t>
            </w:r>
          </w:p>
        </w:tc>
      </w:tr>
      <w:tr>
        <w:trPr>
          <w:trHeight w:val="270"/>
        </w:trPr>
        <w:tc>
          <w:tcPr>
            <w:tcW w:w="496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70"/>
        </w:trPr>
        <w:tc>
          <w:tcPr>
            <w:tcW w:w="49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Comparable sales increase (decrease) by channel</w:t>
            </w:r>
            <w:r>
              <w:rPr>
                <w:rFonts w:ascii="Arial" w:cs="Arial" w:eastAsia="Arial" w:hAnsi="Arial"/>
                <w:sz w:val="21"/>
                <w:szCs w:val="21"/>
                <w:color w:val="auto"/>
                <w:vertAlign w:val="superscript"/>
              </w:rPr>
              <w:t>3</w:t>
            </w:r>
            <w:r>
              <w:rPr>
                <w:rFonts w:ascii="Arial" w:cs="Arial" w:eastAsia="Arial" w:hAnsi="Arial"/>
                <w:sz w:val="16"/>
                <w:szCs w:val="16"/>
                <w:b w:val="1"/>
                <w:bCs w:val="1"/>
                <w:color w:val="auto"/>
              </w:rPr>
              <w:t>:</w:t>
            </w:r>
          </w:p>
        </w:tc>
        <w:tc>
          <w:tcPr>
            <w:tcW w:w="2860" w:type="dxa"/>
            <w:vAlign w:val="bottom"/>
            <w:shd w:val="clear" w:color="auto" w:fill="CCEEFF"/>
          </w:tcPr>
          <w:p>
            <w:pPr>
              <w:spacing w:after="0"/>
              <w:rPr>
                <w:sz w:val="23"/>
                <w:szCs w:val="23"/>
                <w:color w:val="auto"/>
              </w:rPr>
            </w:pPr>
          </w:p>
        </w:tc>
        <w:tc>
          <w:tcPr>
            <w:tcW w:w="206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r>
      <w:tr>
        <w:trPr>
          <w:trHeight w:val="237"/>
        </w:trPr>
        <w:tc>
          <w:tcPr>
            <w:tcW w:w="4960" w:type="dxa"/>
            <w:vAlign w:val="bottom"/>
          </w:tcPr>
          <w:p>
            <w:pPr>
              <w:ind w:left="280"/>
              <w:spacing w:after="0"/>
              <w:rPr>
                <w:sz w:val="20"/>
                <w:szCs w:val="20"/>
                <w:color w:val="auto"/>
              </w:rPr>
            </w:pPr>
            <w:r>
              <w:rPr>
                <w:rFonts w:ascii="Arial" w:cs="Arial" w:eastAsia="Arial" w:hAnsi="Arial"/>
                <w:sz w:val="16"/>
                <w:szCs w:val="16"/>
                <w:color w:val="auto"/>
              </w:rPr>
              <w:t>Nordstrom full-line stores - U.S.</w:t>
            </w:r>
          </w:p>
        </w:tc>
        <w:tc>
          <w:tcPr>
            <w:tcW w:w="2860" w:type="dxa"/>
            <w:vAlign w:val="bottom"/>
          </w:tcPr>
          <w:p>
            <w:pPr>
              <w:jc w:val="right"/>
              <w:ind w:right="579"/>
              <w:spacing w:after="0"/>
              <w:rPr>
                <w:sz w:val="20"/>
                <w:szCs w:val="20"/>
                <w:color w:val="auto"/>
              </w:rPr>
            </w:pPr>
            <w:r>
              <w:rPr>
                <w:rFonts w:ascii="Arial" w:cs="Arial" w:eastAsia="Arial" w:hAnsi="Arial"/>
                <w:sz w:val="16"/>
                <w:szCs w:val="16"/>
                <w:b w:val="1"/>
                <w:bCs w:val="1"/>
                <w:color w:val="auto"/>
              </w:rPr>
              <w:t>(4.2%)</w:t>
            </w:r>
          </w:p>
        </w:tc>
        <w:tc>
          <w:tcPr>
            <w:tcW w:w="2060" w:type="dxa"/>
            <w:vAlign w:val="bottom"/>
          </w:tcPr>
          <w:p>
            <w:pPr>
              <w:jc w:val="right"/>
              <w:ind w:right="599"/>
              <w:spacing w:after="0"/>
              <w:rPr>
                <w:sz w:val="20"/>
                <w:szCs w:val="20"/>
                <w:color w:val="auto"/>
              </w:rPr>
            </w:pPr>
            <w:r>
              <w:rPr>
                <w:rFonts w:ascii="Arial" w:cs="Arial" w:eastAsia="Arial" w:hAnsi="Arial"/>
                <w:sz w:val="16"/>
                <w:szCs w:val="16"/>
                <w:color w:val="auto"/>
              </w:rPr>
              <w:t>(6.4%)</w:t>
            </w:r>
          </w:p>
        </w:tc>
        <w:tc>
          <w:tcPr>
            <w:tcW w:w="1540" w:type="dxa"/>
            <w:vAlign w:val="bottom"/>
          </w:tcPr>
          <w:p>
            <w:pPr>
              <w:jc w:val="right"/>
              <w:ind w:right="79"/>
              <w:spacing w:after="0"/>
              <w:rPr>
                <w:sz w:val="20"/>
                <w:szCs w:val="20"/>
                <w:color w:val="auto"/>
              </w:rPr>
            </w:pPr>
            <w:r>
              <w:rPr>
                <w:rFonts w:ascii="Arial" w:cs="Arial" w:eastAsia="Arial" w:hAnsi="Arial"/>
                <w:sz w:val="16"/>
                <w:szCs w:val="16"/>
                <w:color w:val="auto"/>
              </w:rPr>
              <w:t>(1.1%)</w:t>
            </w:r>
          </w:p>
        </w:tc>
      </w:tr>
      <w:tr>
        <w:trPr>
          <w:trHeight w:val="33"/>
        </w:trPr>
        <w:tc>
          <w:tcPr>
            <w:tcW w:w="49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Nordstrom.com</w:t>
            </w:r>
          </w:p>
        </w:tc>
        <w:tc>
          <w:tcPr>
            <w:tcW w:w="286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13.1%</w:t>
            </w:r>
          </w:p>
        </w:tc>
        <w:tc>
          <w:tcPr>
            <w:tcW w:w="206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color w:val="auto"/>
              </w:rPr>
              <w:t>9.5%</w:t>
            </w:r>
          </w:p>
        </w:tc>
        <w:tc>
          <w:tcPr>
            <w:tcW w:w="15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15.2%</w:t>
            </w:r>
          </w:p>
        </w:tc>
      </w:tr>
      <w:tr>
        <w:trPr>
          <w:trHeight w:val="237"/>
        </w:trPr>
        <w:tc>
          <w:tcPr>
            <w:tcW w:w="4960" w:type="dxa"/>
            <w:vAlign w:val="bottom"/>
          </w:tcPr>
          <w:p>
            <w:pPr>
              <w:ind w:left="40"/>
              <w:spacing w:after="0"/>
              <w:rPr>
                <w:sz w:val="20"/>
                <w:szCs w:val="20"/>
                <w:color w:val="auto"/>
              </w:rPr>
            </w:pPr>
            <w:r>
              <w:rPr>
                <w:rFonts w:ascii="Arial" w:cs="Arial" w:eastAsia="Arial" w:hAnsi="Arial"/>
                <w:sz w:val="16"/>
                <w:szCs w:val="16"/>
                <w:color w:val="auto"/>
              </w:rPr>
              <w:t>Full-price</w:t>
            </w:r>
          </w:p>
        </w:tc>
        <w:tc>
          <w:tcPr>
            <w:tcW w:w="2860" w:type="dxa"/>
            <w:vAlign w:val="bottom"/>
          </w:tcPr>
          <w:p>
            <w:pPr>
              <w:jc w:val="right"/>
              <w:ind w:right="639"/>
              <w:spacing w:after="0"/>
              <w:rPr>
                <w:sz w:val="20"/>
                <w:szCs w:val="20"/>
                <w:color w:val="auto"/>
              </w:rPr>
            </w:pPr>
            <w:r>
              <w:rPr>
                <w:rFonts w:ascii="Arial" w:cs="Arial" w:eastAsia="Arial" w:hAnsi="Arial"/>
                <w:sz w:val="16"/>
                <w:szCs w:val="16"/>
                <w:b w:val="1"/>
                <w:bCs w:val="1"/>
                <w:color w:val="auto"/>
              </w:rPr>
              <w:t>0.4%</w:t>
            </w:r>
          </w:p>
        </w:tc>
        <w:tc>
          <w:tcPr>
            <w:tcW w:w="2060" w:type="dxa"/>
            <w:vAlign w:val="bottom"/>
          </w:tcPr>
          <w:p>
            <w:pPr>
              <w:jc w:val="right"/>
              <w:ind w:right="599"/>
              <w:spacing w:after="0"/>
              <w:rPr>
                <w:sz w:val="20"/>
                <w:szCs w:val="20"/>
                <w:color w:val="auto"/>
              </w:rPr>
            </w:pPr>
            <w:r>
              <w:rPr>
                <w:rFonts w:ascii="Arial" w:cs="Arial" w:eastAsia="Arial" w:hAnsi="Arial"/>
                <w:sz w:val="16"/>
                <w:szCs w:val="16"/>
                <w:color w:val="auto"/>
              </w:rPr>
              <w:t>(2.7%)</w:t>
            </w:r>
          </w:p>
        </w:tc>
        <w:tc>
          <w:tcPr>
            <w:tcW w:w="1540" w:type="dxa"/>
            <w:vAlign w:val="bottom"/>
          </w:tcPr>
          <w:p>
            <w:pPr>
              <w:jc w:val="right"/>
              <w:ind w:right="139"/>
              <w:spacing w:after="0"/>
              <w:rPr>
                <w:sz w:val="20"/>
                <w:szCs w:val="20"/>
                <w:color w:val="auto"/>
              </w:rPr>
            </w:pPr>
            <w:r>
              <w:rPr>
                <w:rFonts w:ascii="Arial" w:cs="Arial" w:eastAsia="Arial" w:hAnsi="Arial"/>
                <w:sz w:val="16"/>
                <w:szCs w:val="16"/>
                <w:color w:val="auto"/>
              </w:rPr>
              <w:t>2.3%</w:t>
            </w:r>
          </w:p>
        </w:tc>
      </w:tr>
      <w:tr>
        <w:trPr>
          <w:trHeight w:val="33"/>
        </w:trPr>
        <w:tc>
          <w:tcPr>
            <w:tcW w:w="49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Nordstrom Rack</w:t>
            </w:r>
          </w:p>
        </w:tc>
        <w:tc>
          <w:tcPr>
            <w:tcW w:w="2860" w:type="dxa"/>
            <w:vAlign w:val="bottom"/>
            <w:tcBorders>
              <w:bottom w:val="single" w:sz="8" w:color="CCEEFF"/>
            </w:tcBorders>
            <w:shd w:val="clear" w:color="auto" w:fill="CCEEFF"/>
          </w:tcPr>
          <w:p>
            <w:pPr>
              <w:jc w:val="right"/>
              <w:ind w:right="579"/>
              <w:spacing w:after="0"/>
              <w:rPr>
                <w:sz w:val="20"/>
                <w:szCs w:val="20"/>
                <w:color w:val="auto"/>
              </w:rPr>
            </w:pPr>
            <w:r>
              <w:rPr>
                <w:rFonts w:ascii="Arial" w:cs="Arial" w:eastAsia="Arial" w:hAnsi="Arial"/>
                <w:sz w:val="16"/>
                <w:szCs w:val="16"/>
                <w:b w:val="1"/>
                <w:bCs w:val="1"/>
                <w:color w:val="auto"/>
              </w:rPr>
              <w:t>(1.9%)</w:t>
            </w:r>
          </w:p>
        </w:tc>
        <w:tc>
          <w:tcPr>
            <w:tcW w:w="206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color w:val="auto"/>
              </w:rPr>
              <w:t>0.2%</w:t>
            </w:r>
          </w:p>
        </w:tc>
        <w:tc>
          <w:tcPr>
            <w:tcW w:w="1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w:t>
            </w:r>
          </w:p>
        </w:tc>
      </w:tr>
      <w:tr>
        <w:trPr>
          <w:trHeight w:val="237"/>
        </w:trPr>
        <w:tc>
          <w:tcPr>
            <w:tcW w:w="4960" w:type="dxa"/>
            <w:vAlign w:val="bottom"/>
          </w:tcPr>
          <w:p>
            <w:pPr>
              <w:ind w:left="280"/>
              <w:spacing w:after="0"/>
              <w:rPr>
                <w:sz w:val="20"/>
                <w:szCs w:val="20"/>
                <w:color w:val="auto"/>
              </w:rPr>
            </w:pPr>
            <w:r>
              <w:rPr>
                <w:rFonts w:ascii="Arial" w:cs="Arial" w:eastAsia="Arial" w:hAnsi="Arial"/>
                <w:sz w:val="16"/>
                <w:szCs w:val="16"/>
                <w:color w:val="auto"/>
              </w:rPr>
              <w:t>Nordstromrack.com/HauteLook</w:t>
            </w:r>
          </w:p>
        </w:tc>
        <w:tc>
          <w:tcPr>
            <w:tcW w:w="2860" w:type="dxa"/>
            <w:vAlign w:val="bottom"/>
          </w:tcPr>
          <w:p>
            <w:pPr>
              <w:jc w:val="right"/>
              <w:ind w:right="639"/>
              <w:spacing w:after="0"/>
              <w:rPr>
                <w:sz w:val="20"/>
                <w:szCs w:val="20"/>
                <w:color w:val="auto"/>
              </w:rPr>
            </w:pPr>
            <w:r>
              <w:rPr>
                <w:rFonts w:ascii="Arial" w:cs="Arial" w:eastAsia="Arial" w:hAnsi="Arial"/>
                <w:sz w:val="16"/>
                <w:szCs w:val="16"/>
                <w:b w:val="1"/>
                <w:bCs w:val="1"/>
                <w:color w:val="auto"/>
              </w:rPr>
              <w:t>25.5%</w:t>
            </w:r>
          </w:p>
        </w:tc>
        <w:tc>
          <w:tcPr>
            <w:tcW w:w="2060" w:type="dxa"/>
            <w:vAlign w:val="bottom"/>
          </w:tcPr>
          <w:p>
            <w:pPr>
              <w:jc w:val="right"/>
              <w:ind w:right="639"/>
              <w:spacing w:after="0"/>
              <w:rPr>
                <w:sz w:val="20"/>
                <w:szCs w:val="20"/>
                <w:color w:val="auto"/>
              </w:rPr>
            </w:pPr>
            <w:r>
              <w:rPr>
                <w:rFonts w:ascii="Arial" w:cs="Arial" w:eastAsia="Arial" w:hAnsi="Arial"/>
                <w:sz w:val="16"/>
                <w:szCs w:val="16"/>
                <w:color w:val="auto"/>
              </w:rPr>
              <w:t>31.7%</w:t>
            </w:r>
          </w:p>
        </w:tc>
        <w:tc>
          <w:tcPr>
            <w:tcW w:w="1540" w:type="dxa"/>
            <w:vAlign w:val="bottom"/>
          </w:tcPr>
          <w:p>
            <w:pPr>
              <w:jc w:val="right"/>
              <w:ind w:right="139"/>
              <w:spacing w:after="0"/>
              <w:rPr>
                <w:sz w:val="20"/>
                <w:szCs w:val="20"/>
                <w:color w:val="auto"/>
              </w:rPr>
            </w:pPr>
            <w:r>
              <w:rPr>
                <w:rFonts w:ascii="Arial" w:cs="Arial" w:eastAsia="Arial" w:hAnsi="Arial"/>
                <w:sz w:val="16"/>
                <w:szCs w:val="16"/>
                <w:color w:val="auto"/>
              </w:rPr>
              <w:t>47.4%</w:t>
            </w:r>
          </w:p>
        </w:tc>
      </w:tr>
      <w:tr>
        <w:trPr>
          <w:trHeight w:val="33"/>
        </w:trPr>
        <w:tc>
          <w:tcPr>
            <w:tcW w:w="49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Off-price</w:t>
            </w:r>
          </w:p>
        </w:tc>
        <w:tc>
          <w:tcPr>
            <w:tcW w:w="286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2.5%</w:t>
            </w:r>
          </w:p>
        </w:tc>
        <w:tc>
          <w:tcPr>
            <w:tcW w:w="206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color w:val="auto"/>
              </w:rPr>
              <w:t>4.5%</w:t>
            </w:r>
          </w:p>
        </w:tc>
        <w:tc>
          <w:tcPr>
            <w:tcW w:w="15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4.3%</w:t>
            </w:r>
          </w:p>
        </w:tc>
      </w:tr>
      <w:tr>
        <w:trPr>
          <w:trHeight w:val="237"/>
        </w:trPr>
        <w:tc>
          <w:tcPr>
            <w:tcW w:w="4960" w:type="dxa"/>
            <w:vAlign w:val="bottom"/>
          </w:tcPr>
          <w:p>
            <w:pPr>
              <w:ind w:left="40"/>
              <w:spacing w:after="0"/>
              <w:rPr>
                <w:sz w:val="20"/>
                <w:szCs w:val="20"/>
                <w:color w:val="auto"/>
              </w:rPr>
            </w:pPr>
            <w:r>
              <w:rPr>
                <w:rFonts w:ascii="Arial" w:cs="Arial" w:eastAsia="Arial" w:hAnsi="Arial"/>
                <w:sz w:val="16"/>
                <w:szCs w:val="16"/>
                <w:b w:val="1"/>
                <w:bCs w:val="1"/>
                <w:color w:val="auto"/>
              </w:rPr>
              <w:t>Total Company</w:t>
            </w:r>
          </w:p>
        </w:tc>
        <w:tc>
          <w:tcPr>
            <w:tcW w:w="2860" w:type="dxa"/>
            <w:vAlign w:val="bottom"/>
          </w:tcPr>
          <w:p>
            <w:pPr>
              <w:jc w:val="right"/>
              <w:ind w:right="639"/>
              <w:spacing w:after="0"/>
              <w:rPr>
                <w:sz w:val="20"/>
                <w:szCs w:val="20"/>
                <w:color w:val="auto"/>
              </w:rPr>
            </w:pPr>
            <w:r>
              <w:rPr>
                <w:rFonts w:ascii="Arial" w:cs="Arial" w:eastAsia="Arial" w:hAnsi="Arial"/>
                <w:sz w:val="16"/>
                <w:szCs w:val="16"/>
                <w:b w:val="1"/>
                <w:bCs w:val="1"/>
                <w:color w:val="auto"/>
              </w:rPr>
              <w:t>0.8%</w:t>
            </w:r>
          </w:p>
        </w:tc>
        <w:tc>
          <w:tcPr>
            <w:tcW w:w="2060" w:type="dxa"/>
            <w:vAlign w:val="bottom"/>
          </w:tcPr>
          <w:p>
            <w:pPr>
              <w:jc w:val="right"/>
              <w:ind w:right="599"/>
              <w:spacing w:after="0"/>
              <w:rPr>
                <w:sz w:val="20"/>
                <w:szCs w:val="20"/>
                <w:color w:val="auto"/>
              </w:rPr>
            </w:pPr>
            <w:r>
              <w:rPr>
                <w:rFonts w:ascii="Arial" w:cs="Arial" w:eastAsia="Arial" w:hAnsi="Arial"/>
                <w:sz w:val="16"/>
                <w:szCs w:val="16"/>
                <w:color w:val="auto"/>
              </w:rPr>
              <w:t>(0.4%)</w:t>
            </w:r>
          </w:p>
        </w:tc>
        <w:tc>
          <w:tcPr>
            <w:tcW w:w="1540" w:type="dxa"/>
            <w:vAlign w:val="bottom"/>
          </w:tcPr>
          <w:p>
            <w:pPr>
              <w:jc w:val="right"/>
              <w:ind w:right="139"/>
              <w:spacing w:after="0"/>
              <w:rPr>
                <w:sz w:val="20"/>
                <w:szCs w:val="20"/>
                <w:color w:val="auto"/>
              </w:rPr>
            </w:pPr>
            <w:r>
              <w:rPr>
                <w:rFonts w:ascii="Arial" w:cs="Arial" w:eastAsia="Arial" w:hAnsi="Arial"/>
                <w:sz w:val="16"/>
                <w:szCs w:val="16"/>
                <w:color w:val="auto"/>
              </w:rPr>
              <w:t>2.7%</w:t>
            </w:r>
          </w:p>
        </w:tc>
      </w:tr>
      <w:tr>
        <w:trPr>
          <w:trHeight w:val="33"/>
        </w:trPr>
        <w:tc>
          <w:tcPr>
            <w:tcW w:w="49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4960" w:type="dxa"/>
            <w:vAlign w:val="bottom"/>
            <w:shd w:val="clear" w:color="auto" w:fill="CCEEFF"/>
          </w:tcPr>
          <w:p>
            <w:pPr>
              <w:spacing w:after="0"/>
              <w:rPr>
                <w:sz w:val="23"/>
                <w:szCs w:val="23"/>
                <w:color w:val="auto"/>
              </w:rPr>
            </w:pPr>
          </w:p>
        </w:tc>
        <w:tc>
          <w:tcPr>
            <w:tcW w:w="2860" w:type="dxa"/>
            <w:vAlign w:val="bottom"/>
            <w:shd w:val="clear" w:color="auto" w:fill="CCEEFF"/>
          </w:tcPr>
          <w:p>
            <w:pPr>
              <w:spacing w:after="0"/>
              <w:rPr>
                <w:sz w:val="23"/>
                <w:szCs w:val="23"/>
                <w:color w:val="auto"/>
              </w:rPr>
            </w:pPr>
          </w:p>
        </w:tc>
        <w:tc>
          <w:tcPr>
            <w:tcW w:w="206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6"/>
                <w:szCs w:val="16"/>
                <w:b w:val="1"/>
                <w:bCs w:val="1"/>
                <w:color w:val="auto"/>
              </w:rPr>
              <w:t>Sales per square foot:</w:t>
            </w:r>
          </w:p>
        </w:tc>
        <w:tc>
          <w:tcPr>
            <w:tcW w:w="28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33"/>
        </w:trPr>
        <w:tc>
          <w:tcPr>
            <w:tcW w:w="49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sales per square foot</w:t>
            </w:r>
          </w:p>
        </w:tc>
        <w:tc>
          <w:tcPr>
            <w:tcW w:w="286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b w:val="1"/>
                <w:bCs w:val="1"/>
                <w:color w:val="auto"/>
              </w:rPr>
              <w:t>$506</w:t>
            </w:r>
          </w:p>
        </w:tc>
        <w:tc>
          <w:tcPr>
            <w:tcW w:w="20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color w:val="auto"/>
              </w:rPr>
              <w:t>$498</w:t>
            </w:r>
          </w:p>
        </w:tc>
        <w:tc>
          <w:tcPr>
            <w:tcW w:w="154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$507</w:t>
            </w:r>
          </w:p>
        </w:tc>
      </w:tr>
      <w:tr>
        <w:trPr>
          <w:trHeight w:val="237"/>
        </w:trPr>
        <w:tc>
          <w:tcPr>
            <w:tcW w:w="4960" w:type="dxa"/>
            <w:vAlign w:val="bottom"/>
          </w:tcPr>
          <w:p>
            <w:pPr>
              <w:ind w:left="40"/>
              <w:spacing w:after="0"/>
              <w:rPr>
                <w:sz w:val="20"/>
                <w:szCs w:val="20"/>
                <w:color w:val="auto"/>
              </w:rPr>
            </w:pPr>
            <w:r>
              <w:rPr>
                <w:rFonts w:ascii="Arial" w:cs="Arial" w:eastAsia="Arial" w:hAnsi="Arial"/>
                <w:sz w:val="16"/>
                <w:szCs w:val="16"/>
                <w:color w:val="auto"/>
              </w:rPr>
              <w:t>4-wall sales per square foot</w:t>
            </w:r>
          </w:p>
        </w:tc>
        <w:tc>
          <w:tcPr>
            <w:tcW w:w="2860" w:type="dxa"/>
            <w:vAlign w:val="bottom"/>
          </w:tcPr>
          <w:p>
            <w:pPr>
              <w:jc w:val="right"/>
              <w:ind w:right="799"/>
              <w:spacing w:after="0"/>
              <w:rPr>
                <w:sz w:val="20"/>
                <w:szCs w:val="20"/>
                <w:color w:val="auto"/>
              </w:rPr>
            </w:pPr>
            <w:r>
              <w:rPr>
                <w:rFonts w:ascii="Arial" w:cs="Arial" w:eastAsia="Arial" w:hAnsi="Arial"/>
                <w:sz w:val="16"/>
                <w:szCs w:val="16"/>
                <w:b w:val="1"/>
                <w:bCs w:val="1"/>
                <w:color w:val="auto"/>
              </w:rPr>
              <w:t>384</w:t>
            </w:r>
          </w:p>
        </w:tc>
        <w:tc>
          <w:tcPr>
            <w:tcW w:w="2060" w:type="dxa"/>
            <w:vAlign w:val="bottom"/>
          </w:tcPr>
          <w:p>
            <w:pPr>
              <w:jc w:val="right"/>
              <w:ind w:right="779"/>
              <w:spacing w:after="0"/>
              <w:rPr>
                <w:sz w:val="20"/>
                <w:szCs w:val="20"/>
                <w:color w:val="auto"/>
              </w:rPr>
            </w:pPr>
            <w:r>
              <w:rPr>
                <w:rFonts w:ascii="Arial" w:cs="Arial" w:eastAsia="Arial" w:hAnsi="Arial"/>
                <w:sz w:val="16"/>
                <w:szCs w:val="16"/>
                <w:color w:val="auto"/>
              </w:rPr>
              <w:t>392</w:t>
            </w:r>
          </w:p>
        </w:tc>
        <w:tc>
          <w:tcPr>
            <w:tcW w:w="1540" w:type="dxa"/>
            <w:vAlign w:val="bottom"/>
          </w:tcPr>
          <w:p>
            <w:pPr>
              <w:jc w:val="right"/>
              <w:ind w:right="279"/>
              <w:spacing w:after="0"/>
              <w:rPr>
                <w:sz w:val="20"/>
                <w:szCs w:val="20"/>
                <w:color w:val="auto"/>
              </w:rPr>
            </w:pPr>
            <w:r>
              <w:rPr>
                <w:rFonts w:ascii="Arial" w:cs="Arial" w:eastAsia="Arial" w:hAnsi="Arial"/>
                <w:sz w:val="16"/>
                <w:szCs w:val="16"/>
                <w:color w:val="auto"/>
              </w:rPr>
              <w:t>410</w:t>
            </w:r>
          </w:p>
        </w:tc>
      </w:tr>
      <w:tr>
        <w:trPr>
          <w:trHeight w:val="33"/>
        </w:trPr>
        <w:tc>
          <w:tcPr>
            <w:tcW w:w="49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Full-line sales per square foot - U.S.</w:t>
            </w:r>
          </w:p>
        </w:tc>
        <w:tc>
          <w:tcPr>
            <w:tcW w:w="286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b w:val="1"/>
                <w:bCs w:val="1"/>
                <w:color w:val="auto"/>
              </w:rPr>
              <w:t>337</w:t>
            </w:r>
          </w:p>
        </w:tc>
        <w:tc>
          <w:tcPr>
            <w:tcW w:w="20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color w:val="auto"/>
              </w:rPr>
              <w:t>346</w:t>
            </w:r>
          </w:p>
        </w:tc>
        <w:tc>
          <w:tcPr>
            <w:tcW w:w="154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370</w:t>
            </w:r>
          </w:p>
        </w:tc>
      </w:tr>
      <w:tr>
        <w:trPr>
          <w:trHeight w:val="237"/>
        </w:trPr>
        <w:tc>
          <w:tcPr>
            <w:tcW w:w="4960" w:type="dxa"/>
            <w:vAlign w:val="bottom"/>
          </w:tcPr>
          <w:p>
            <w:pPr>
              <w:ind w:left="40"/>
              <w:spacing w:after="0"/>
              <w:rPr>
                <w:sz w:val="20"/>
                <w:szCs w:val="20"/>
                <w:color w:val="auto"/>
              </w:rPr>
            </w:pPr>
            <w:r>
              <w:rPr>
                <w:rFonts w:ascii="Arial" w:cs="Arial" w:eastAsia="Arial" w:hAnsi="Arial"/>
                <w:sz w:val="16"/>
                <w:szCs w:val="16"/>
                <w:color w:val="auto"/>
              </w:rPr>
              <w:t>Nordstrom Rack sales per square foot</w:t>
            </w:r>
          </w:p>
        </w:tc>
        <w:tc>
          <w:tcPr>
            <w:tcW w:w="2860" w:type="dxa"/>
            <w:vAlign w:val="bottom"/>
          </w:tcPr>
          <w:p>
            <w:pPr>
              <w:jc w:val="right"/>
              <w:ind w:right="799"/>
              <w:spacing w:after="0"/>
              <w:rPr>
                <w:sz w:val="20"/>
                <w:szCs w:val="20"/>
                <w:color w:val="auto"/>
              </w:rPr>
            </w:pPr>
            <w:r>
              <w:rPr>
                <w:rFonts w:ascii="Arial" w:cs="Arial" w:eastAsia="Arial" w:hAnsi="Arial"/>
                <w:sz w:val="16"/>
                <w:szCs w:val="16"/>
                <w:b w:val="1"/>
                <w:bCs w:val="1"/>
                <w:color w:val="auto"/>
              </w:rPr>
              <w:t>497</w:t>
            </w:r>
          </w:p>
        </w:tc>
        <w:tc>
          <w:tcPr>
            <w:tcW w:w="2060" w:type="dxa"/>
            <w:vAlign w:val="bottom"/>
          </w:tcPr>
          <w:p>
            <w:pPr>
              <w:jc w:val="right"/>
              <w:ind w:right="779"/>
              <w:spacing w:after="0"/>
              <w:rPr>
                <w:sz w:val="20"/>
                <w:szCs w:val="20"/>
                <w:color w:val="auto"/>
              </w:rPr>
            </w:pPr>
            <w:r>
              <w:rPr>
                <w:rFonts w:ascii="Arial" w:cs="Arial" w:eastAsia="Arial" w:hAnsi="Arial"/>
                <w:sz w:val="16"/>
                <w:szCs w:val="16"/>
                <w:color w:val="auto"/>
              </w:rPr>
              <w:t>507</w:t>
            </w:r>
          </w:p>
        </w:tc>
        <w:tc>
          <w:tcPr>
            <w:tcW w:w="1540" w:type="dxa"/>
            <w:vAlign w:val="bottom"/>
          </w:tcPr>
          <w:p>
            <w:pPr>
              <w:jc w:val="right"/>
              <w:ind w:right="279"/>
              <w:spacing w:after="0"/>
              <w:rPr>
                <w:sz w:val="20"/>
                <w:szCs w:val="20"/>
                <w:color w:val="auto"/>
              </w:rPr>
            </w:pPr>
            <w:r>
              <w:rPr>
                <w:rFonts w:ascii="Arial" w:cs="Arial" w:eastAsia="Arial" w:hAnsi="Arial"/>
                <w:sz w:val="16"/>
                <w:szCs w:val="16"/>
                <w:color w:val="auto"/>
              </w:rPr>
              <w:t>523</w:t>
            </w:r>
          </w:p>
        </w:tc>
      </w:tr>
    </w:tbl>
    <w:p>
      <w:pPr>
        <w:spacing w:after="0" w:line="28" w:lineRule="exact"/>
        <w:rPr>
          <w:sz w:val="20"/>
          <w:szCs w:val="20"/>
          <w:color w:val="auto"/>
        </w:rPr>
      </w:pPr>
    </w:p>
    <w:p>
      <w:pPr>
        <w:ind w:left="80" w:hanging="72"/>
        <w:spacing w:after="0"/>
        <w:tabs>
          <w:tab w:leader="none" w:pos="80" w:val="left"/>
        </w:tabs>
        <w:numPr>
          <w:ilvl w:val="0"/>
          <w:numId w:val="42"/>
        </w:numPr>
        <w:rPr>
          <w:rFonts w:ascii="Arial" w:cs="Arial" w:eastAsia="Arial" w:hAnsi="Arial"/>
          <w:sz w:val="9"/>
          <w:szCs w:val="9"/>
          <w:color w:val="auto"/>
        </w:rPr>
      </w:pPr>
      <w:r>
        <w:rPr>
          <w:rFonts w:ascii="Arial" w:cs="Arial" w:eastAsia="Arial" w:hAnsi="Arial"/>
          <w:sz w:val="14"/>
          <w:szCs w:val="14"/>
          <w:color w:val="auto"/>
        </w:rPr>
        <w:t>Nordstrom full-line stores - U.S. includes Nordstrom Local.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80" w:hanging="72"/>
        <w:spacing w:after="0"/>
        <w:tabs>
          <w:tab w:leader="none" w:pos="80" w:val="left"/>
        </w:tabs>
        <w:numPr>
          <w:ilvl w:val="0"/>
          <w:numId w:val="43"/>
        </w:numPr>
        <w:rPr>
          <w:rFonts w:ascii="Arial" w:cs="Arial" w:eastAsia="Arial" w:hAnsi="Arial"/>
          <w:sz w:val="9"/>
          <w:szCs w:val="9"/>
          <w:color w:val="auto"/>
        </w:rPr>
      </w:pPr>
      <w:r>
        <w:rPr>
          <w:rFonts w:ascii="Arial" w:cs="Arial" w:eastAsia="Arial" w:hAnsi="Arial"/>
          <w:sz w:val="14"/>
          <w:szCs w:val="14"/>
          <w:color w:val="auto"/>
        </w:rPr>
        <w:t>Other retail includes Nordstrom Canada full-line stores, Trunk Club and Jeffrey boutiques.</w:t>
      </w:r>
    </w:p>
    <w:p>
      <w:pPr>
        <w:spacing w:after="0" w:line="1" w:lineRule="exact"/>
        <w:rPr>
          <w:rFonts w:ascii="Arial" w:cs="Arial" w:eastAsia="Arial" w:hAnsi="Arial"/>
          <w:sz w:val="9"/>
          <w:szCs w:val="9"/>
          <w:color w:val="auto"/>
        </w:rPr>
      </w:pPr>
    </w:p>
    <w:p>
      <w:pPr>
        <w:spacing w:after="0"/>
        <w:rPr>
          <w:rFonts w:ascii="Arial" w:cs="Arial" w:eastAsia="Arial" w:hAnsi="Arial"/>
          <w:sz w:val="9"/>
          <w:szCs w:val="9"/>
          <w:color w:val="auto"/>
        </w:rPr>
      </w:pPr>
      <w:r>
        <w:rPr>
          <w:rFonts w:ascii="Arial" w:cs="Arial" w:eastAsia="Arial" w:hAnsi="Arial"/>
          <w:sz w:val="9"/>
          <w:szCs w:val="9"/>
          <w:color w:val="auto"/>
        </w:rPr>
        <w:t xml:space="preserve">3 </w:t>
      </w:r>
      <w:r>
        <w:rPr>
          <w:rFonts w:ascii="Arial" w:cs="Arial" w:eastAsia="Arial" w:hAnsi="Arial"/>
          <w:sz w:val="14"/>
          <w:szCs w:val="14"/>
          <w:color w:val="auto"/>
        </w:rPr>
        <w:t>The 53rd week is not included in comparable sales calculations.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Net Sales (2017 vs. 2016)</w:t>
      </w:r>
    </w:p>
    <w:p>
      <w:pPr>
        <w:spacing w:after="0" w:line="23" w:lineRule="exact"/>
        <w:rPr>
          <w:sz w:val="20"/>
          <w:szCs w:val="20"/>
          <w:color w:val="auto"/>
        </w:rPr>
      </w:pPr>
    </w:p>
    <w:p>
      <w:pPr>
        <w:ind w:right="640"/>
        <w:spacing w:after="0" w:line="290" w:lineRule="auto"/>
        <w:rPr>
          <w:sz w:val="20"/>
          <w:szCs w:val="20"/>
          <w:color w:val="auto"/>
        </w:rPr>
      </w:pPr>
      <w:r>
        <w:rPr>
          <w:rFonts w:ascii="Arial" w:cs="Arial" w:eastAsia="Arial" w:hAnsi="Arial"/>
          <w:sz w:val="17"/>
          <w:szCs w:val="17"/>
          <w:color w:val="auto"/>
        </w:rPr>
        <w:t>In 2017, total Company net sales increased 4.4%, while comparable sales increased 0.8%. During the year, we opened two Nordstrom full-line stores, including one in Canada, and 17 Nordstrom Rack stores. The 53rd week contributed approximately $220 in additional net sales.</w:t>
      </w:r>
    </w:p>
    <w:p>
      <w:pPr>
        <w:spacing w:after="0" w:line="108"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Full-price net sales, which consists of the U.S. full-line and Nordstrom.com channels, increased 1.4% compared with 2016, while comparable sales increased 0.4%. Also on a comparable basis, full-price sales reflected an increase in the average selling price per item sold, partially offset by a decrease in the number of items sold. Kids was the top-performing merchandise category.</w:t>
      </w:r>
    </w:p>
    <w:p>
      <w:pPr>
        <w:spacing w:after="0" w:line="12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Off-price net sales, which consists of Nordstrom Rack and Nordstromrack.com/HauteLook channels, increased 9.9%, compared with 2016 and comparable sales increased 2.5%. Nordstromrack.com/HauteLook had a comparable sales increase of 25.5% and now represents over 18% of off-price sales. Nordstrom Rack net sales increased 6.6%, primarily attributable to 17 new store openings in 2017, while comparable sales decreased 1.9%. On a comparable basis, the average selling price per item sold and the total number of items sold decreased at Nordstrom Rack. The top-performing Nordstrom Rack merchandise category was Beauty.</w:t>
      </w:r>
    </w:p>
    <w:p>
      <w:pPr>
        <w:sectPr>
          <w:pgSz w:w="11900" w:h="16838" w:orient="portrait"/>
          <w:cols w:equalWidth="0" w:num="1">
            <w:col w:w="11420"/>
          </w:cols>
          <w:pgMar w:left="240" w:top="126" w:right="239" w:bottom="1440" w:gutter="0" w:footer="0" w:header="0"/>
        </w:sect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26" w:right="239" w:bottom="1440" w:gutter="0" w:footer="0" w:header="0"/>
          <w:type w:val="continuous"/>
        </w:sectPr>
      </w:pPr>
    </w:p>
    <w:bookmarkStart w:id="20" w:name="page21"/>
    <w:bookmarkEnd w:id="20"/>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Net Sales (2016 vs. 2015)</w:t>
      </w:r>
    </w:p>
    <w:p>
      <w:pPr>
        <w:spacing w:after="0" w:line="23"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In 2016, total Company net sales increased 2.9%, while comparable sales decreased 0.4%. During the year, we opened three Nordstrom full-line stores, including two in Canada, and 21 Nordstrom Rack stores.</w:t>
      </w:r>
    </w:p>
    <w:p>
      <w:pPr>
        <w:spacing w:after="0" w:line="13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Full-price net sales decreased 2.3% compared with 2015, while comparable sales decreased 2.7%. Also on a comparable basis, full-price sales reflected a decrease in the total number of items sold, partially offset by an increase in the average selling price per item sold. The top-performing merchandise category was Beauty.</w:t>
      </w:r>
    </w:p>
    <w:p>
      <w:pPr>
        <w:spacing w:after="0" w:line="12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Off-price net sales increased 10.9%, compared with 2015 and comparable sales increased 4.5%. Nordstromrack.com/HauteLook had comparable sales increase of 31.7% and represented 15% of off-price sales. Nordstrom Rack net sales increased 7.8%, primarily attributable to 21 new store openings in 2016. On a comparable basis, the total number of items sold increased at Nordstrom Rack, partially offset by a decrease in the average selling price per item sold. Kids was the top-performing Nordstrom Rack merchandise category.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 Business Gross Profit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Retail Business gross profit (“Retail GP”):</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40" w:type="dxa"/>
            <w:vAlign w:val="bottom"/>
          </w:tcPr>
          <w:p>
            <w:pPr>
              <w:ind w:left="40"/>
              <w:spacing w:after="0"/>
              <w:rPr>
                <w:sz w:val="20"/>
                <w:szCs w:val="20"/>
                <w:color w:val="auto"/>
              </w:rPr>
            </w:pPr>
            <w:r>
              <w:rPr>
                <w:rFonts w:ascii="Arial" w:cs="Arial" w:eastAsia="Arial" w:hAnsi="Arial"/>
                <w:sz w:val="16"/>
                <w:szCs w:val="16"/>
                <w:b w:val="1"/>
                <w:bCs w:val="1"/>
                <w:color w:val="auto"/>
              </w:rPr>
              <w:t>Fiscal year</w:t>
            </w:r>
          </w:p>
        </w:tc>
        <w:tc>
          <w:tcPr>
            <w:tcW w:w="3300" w:type="dxa"/>
            <w:vAlign w:val="bottom"/>
          </w:tcPr>
          <w:p>
            <w:pPr>
              <w:jc w:val="right"/>
              <w:ind w:right="799"/>
              <w:spacing w:after="0"/>
              <w:rPr>
                <w:sz w:val="20"/>
                <w:szCs w:val="20"/>
                <w:color w:val="auto"/>
              </w:rPr>
            </w:pPr>
            <w:r>
              <w:rPr>
                <w:rFonts w:ascii="Arial" w:cs="Arial" w:eastAsia="Arial" w:hAnsi="Arial"/>
                <w:sz w:val="16"/>
                <w:szCs w:val="16"/>
                <w:b w:val="1"/>
                <w:bCs w:val="1"/>
                <w:color w:val="auto"/>
              </w:rPr>
              <w:t>2017</w:t>
            </w:r>
          </w:p>
        </w:tc>
        <w:tc>
          <w:tcPr>
            <w:tcW w:w="2120" w:type="dxa"/>
            <w:vAlign w:val="bottom"/>
          </w:tcPr>
          <w:p>
            <w:pPr>
              <w:jc w:val="right"/>
              <w:ind w:right="879"/>
              <w:spacing w:after="0"/>
              <w:rPr>
                <w:sz w:val="20"/>
                <w:szCs w:val="20"/>
                <w:color w:val="auto"/>
              </w:rPr>
            </w:pPr>
            <w:r>
              <w:rPr>
                <w:rFonts w:ascii="Arial" w:cs="Arial" w:eastAsia="Arial" w:hAnsi="Arial"/>
                <w:sz w:val="16"/>
                <w:szCs w:val="16"/>
                <w:b w:val="1"/>
                <w:bCs w:val="1"/>
                <w:color w:val="auto"/>
              </w:rPr>
              <w:t>2016</w:t>
            </w:r>
          </w:p>
        </w:tc>
        <w:tc>
          <w:tcPr>
            <w:tcW w:w="1560" w:type="dxa"/>
            <w:vAlign w:val="bottom"/>
          </w:tcPr>
          <w:p>
            <w:pPr>
              <w:jc w:val="right"/>
              <w:ind w:right="219"/>
              <w:spacing w:after="0"/>
              <w:rPr>
                <w:sz w:val="20"/>
                <w:szCs w:val="20"/>
                <w:color w:val="auto"/>
              </w:rPr>
            </w:pPr>
            <w:r>
              <w:rPr>
                <w:rFonts w:ascii="Arial" w:cs="Arial" w:eastAsia="Arial" w:hAnsi="Arial"/>
                <w:sz w:val="16"/>
                <w:szCs w:val="16"/>
                <w:b w:val="1"/>
                <w:bCs w:val="1"/>
                <w:color w:val="auto"/>
              </w:rPr>
              <w:t>2015</w:t>
            </w:r>
          </w:p>
        </w:tc>
      </w:tr>
      <w:tr>
        <w:trPr>
          <w:trHeight w:val="33"/>
        </w:trPr>
        <w:tc>
          <w:tcPr>
            <w:tcW w:w="444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Retail gross profit</w:t>
            </w:r>
          </w:p>
        </w:tc>
        <w:tc>
          <w:tcPr>
            <w:tcW w:w="33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b w:val="1"/>
                <w:bCs w:val="1"/>
                <w:color w:val="auto"/>
              </w:rPr>
              <w:t>$5,260</w:t>
            </w:r>
          </w:p>
        </w:tc>
        <w:tc>
          <w:tcPr>
            <w:tcW w:w="212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rPr>
              <w:t>$5,064</w:t>
            </w:r>
          </w:p>
        </w:tc>
        <w:tc>
          <w:tcPr>
            <w:tcW w:w="15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$4,934</w:t>
            </w:r>
          </w:p>
        </w:tc>
      </w:tr>
      <w:tr>
        <w:trPr>
          <w:trHeight w:val="237"/>
        </w:trPr>
        <w:tc>
          <w:tcPr>
            <w:tcW w:w="4440" w:type="dxa"/>
            <w:vAlign w:val="bottom"/>
          </w:tcPr>
          <w:p>
            <w:pPr>
              <w:ind w:left="40"/>
              <w:spacing w:after="0"/>
              <w:rPr>
                <w:sz w:val="20"/>
                <w:szCs w:val="20"/>
                <w:color w:val="auto"/>
              </w:rPr>
            </w:pPr>
            <w:r>
              <w:rPr>
                <w:rFonts w:ascii="Arial" w:cs="Arial" w:eastAsia="Arial" w:hAnsi="Arial"/>
                <w:sz w:val="16"/>
                <w:szCs w:val="16"/>
                <w:color w:val="auto"/>
              </w:rPr>
              <w:t>Retail gross profit as a % of net sales</w:t>
            </w:r>
          </w:p>
        </w:tc>
        <w:tc>
          <w:tcPr>
            <w:tcW w:w="3300" w:type="dxa"/>
            <w:vAlign w:val="bottom"/>
          </w:tcPr>
          <w:p>
            <w:pPr>
              <w:jc w:val="right"/>
              <w:ind w:right="619"/>
              <w:spacing w:after="0"/>
              <w:rPr>
                <w:sz w:val="20"/>
                <w:szCs w:val="20"/>
                <w:color w:val="auto"/>
              </w:rPr>
            </w:pPr>
            <w:r>
              <w:rPr>
                <w:rFonts w:ascii="Arial" w:cs="Arial" w:eastAsia="Arial" w:hAnsi="Arial"/>
                <w:sz w:val="16"/>
                <w:szCs w:val="16"/>
                <w:b w:val="1"/>
                <w:bCs w:val="1"/>
                <w:color w:val="auto"/>
              </w:rPr>
              <w:t>34.7%</w:t>
            </w:r>
          </w:p>
        </w:tc>
        <w:tc>
          <w:tcPr>
            <w:tcW w:w="2120" w:type="dxa"/>
            <w:vAlign w:val="bottom"/>
          </w:tcPr>
          <w:p>
            <w:pPr>
              <w:jc w:val="right"/>
              <w:ind w:right="739"/>
              <w:spacing w:after="0"/>
              <w:rPr>
                <w:sz w:val="20"/>
                <w:szCs w:val="20"/>
                <w:color w:val="auto"/>
              </w:rPr>
            </w:pPr>
            <w:r>
              <w:rPr>
                <w:rFonts w:ascii="Arial" w:cs="Arial" w:eastAsia="Arial" w:hAnsi="Arial"/>
                <w:sz w:val="16"/>
                <w:szCs w:val="16"/>
                <w:color w:val="auto"/>
              </w:rPr>
              <w:t>34.9%</w:t>
            </w:r>
          </w:p>
        </w:tc>
        <w:tc>
          <w:tcPr>
            <w:tcW w:w="1560" w:type="dxa"/>
            <w:vAlign w:val="bottom"/>
          </w:tcPr>
          <w:p>
            <w:pPr>
              <w:jc w:val="right"/>
              <w:ind w:right="79"/>
              <w:spacing w:after="0"/>
              <w:rPr>
                <w:sz w:val="20"/>
                <w:szCs w:val="20"/>
                <w:color w:val="auto"/>
              </w:rPr>
            </w:pPr>
            <w:r>
              <w:rPr>
                <w:rFonts w:ascii="Arial" w:cs="Arial" w:eastAsia="Arial" w:hAnsi="Arial"/>
                <w:sz w:val="16"/>
                <w:szCs w:val="16"/>
                <w:color w:val="auto"/>
              </w:rPr>
              <w:t>35.0%</w:t>
            </w:r>
          </w:p>
        </w:tc>
      </w:tr>
      <w:tr>
        <w:trPr>
          <w:trHeight w:val="33"/>
        </w:trPr>
        <w:tc>
          <w:tcPr>
            <w:tcW w:w="44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Inventory turnover rate</w:t>
            </w:r>
          </w:p>
        </w:tc>
        <w:tc>
          <w:tcPr>
            <w:tcW w:w="33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b w:val="1"/>
                <w:bCs w:val="1"/>
                <w:color w:val="auto"/>
              </w:rPr>
              <w:t>4.67</w:t>
            </w:r>
          </w:p>
        </w:tc>
        <w:tc>
          <w:tcPr>
            <w:tcW w:w="212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rPr>
              <w:t>4.53</w:t>
            </w:r>
          </w:p>
        </w:tc>
        <w:tc>
          <w:tcPr>
            <w:tcW w:w="15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4.54</w:t>
            </w:r>
          </w:p>
        </w:tc>
      </w:tr>
      <w:tr>
        <w:trPr>
          <w:trHeight w:val="20"/>
        </w:trPr>
        <w:tc>
          <w:tcPr>
            <w:tcW w:w="4440" w:type="dxa"/>
            <w:vAlign w:val="bottom"/>
            <w:shd w:val="clear" w:color="auto" w:fill="000000"/>
          </w:tcPr>
          <w:p>
            <w:pPr>
              <w:spacing w:after="0" w:line="20" w:lineRule="exact"/>
              <w:rPr>
                <w:sz w:val="1"/>
                <w:szCs w:val="1"/>
                <w:color w:val="auto"/>
              </w:rPr>
            </w:pPr>
          </w:p>
        </w:tc>
        <w:tc>
          <w:tcPr>
            <w:tcW w:w="3300" w:type="dxa"/>
            <w:vAlign w:val="bottom"/>
            <w:shd w:val="clear" w:color="auto" w:fill="000000"/>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Gross Profit (2017 vs. 2016)</w:t>
      </w:r>
    </w:p>
    <w:p>
      <w:pPr>
        <w:spacing w:after="0" w:line="23" w:lineRule="exact"/>
        <w:rPr>
          <w:sz w:val="20"/>
          <w:szCs w:val="20"/>
          <w:color w:val="auto"/>
        </w:rPr>
      </w:pPr>
    </w:p>
    <w:p>
      <w:pPr>
        <w:ind w:right="140"/>
        <w:spacing w:after="0" w:line="290" w:lineRule="auto"/>
        <w:rPr>
          <w:sz w:val="20"/>
          <w:szCs w:val="20"/>
          <w:color w:val="auto"/>
        </w:rPr>
      </w:pPr>
      <w:r>
        <w:rPr>
          <w:rFonts w:ascii="Arial" w:cs="Arial" w:eastAsia="Arial" w:hAnsi="Arial"/>
          <w:sz w:val="17"/>
          <w:szCs w:val="17"/>
          <w:color w:val="auto"/>
        </w:rPr>
        <w:t>Retail GP decreased 18 basis points in 2017 when compared with 2016, primarily due to higher planned occupancy expenses related to new store growth for Nordstrom Rack and Canada. Continued focus on inventory execution led to improvements in inventory turnover rate in 2017.</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Gross Profit (2016 vs. 2015)</w:t>
      </w:r>
    </w:p>
    <w:p>
      <w:pPr>
        <w:spacing w:after="0" w:line="23"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Our Retail GP rate was relatively flat compared with 2015, reflecting higher occupancy costs associated with Nordstrom Rack and Canada store growth, in addition to increased markdowns in the first half of the year to realign inventory to sales trends. This was offset by strong inventory execution during the remainder of the year and reduced competitive markdowns.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 Business Selling, General and Administrative Expenses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Retail Business selling, general and administrative expenses (“Retail SG&amp;A”) are summarized in the following table: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60" w:type="dxa"/>
            <w:vAlign w:val="bottom"/>
          </w:tcPr>
          <w:p>
            <w:pPr>
              <w:ind w:left="40"/>
              <w:spacing w:after="0"/>
              <w:rPr>
                <w:sz w:val="20"/>
                <w:szCs w:val="20"/>
                <w:color w:val="auto"/>
              </w:rPr>
            </w:pPr>
            <w:r>
              <w:rPr>
                <w:rFonts w:ascii="Arial" w:cs="Arial" w:eastAsia="Arial" w:hAnsi="Arial"/>
                <w:sz w:val="16"/>
                <w:szCs w:val="16"/>
                <w:b w:val="1"/>
                <w:bCs w:val="1"/>
                <w:color w:val="auto"/>
              </w:rPr>
              <w:t>Fiscal year</w:t>
            </w:r>
          </w:p>
        </w:tc>
        <w:tc>
          <w:tcPr>
            <w:tcW w:w="2340" w:type="dxa"/>
            <w:vAlign w:val="bottom"/>
          </w:tcPr>
          <w:p>
            <w:pPr>
              <w:jc w:val="right"/>
              <w:ind w:right="799"/>
              <w:spacing w:after="0"/>
              <w:rPr>
                <w:sz w:val="20"/>
                <w:szCs w:val="20"/>
                <w:color w:val="auto"/>
              </w:rPr>
            </w:pPr>
            <w:r>
              <w:rPr>
                <w:rFonts w:ascii="Arial" w:cs="Arial" w:eastAsia="Arial" w:hAnsi="Arial"/>
                <w:sz w:val="16"/>
                <w:szCs w:val="16"/>
                <w:b w:val="1"/>
                <w:bCs w:val="1"/>
                <w:color w:val="auto"/>
              </w:rPr>
              <w:t>2017</w:t>
            </w:r>
          </w:p>
        </w:tc>
        <w:tc>
          <w:tcPr>
            <w:tcW w:w="2040" w:type="dxa"/>
            <w:vAlign w:val="bottom"/>
          </w:tcPr>
          <w:p>
            <w:pPr>
              <w:jc w:val="right"/>
              <w:ind w:right="779"/>
              <w:spacing w:after="0"/>
              <w:rPr>
                <w:sz w:val="20"/>
                <w:szCs w:val="20"/>
                <w:color w:val="auto"/>
              </w:rPr>
            </w:pPr>
            <w:r>
              <w:rPr>
                <w:rFonts w:ascii="Arial" w:cs="Arial" w:eastAsia="Arial" w:hAnsi="Arial"/>
                <w:sz w:val="16"/>
                <w:szCs w:val="16"/>
                <w:b w:val="1"/>
                <w:bCs w:val="1"/>
                <w:color w:val="auto"/>
              </w:rPr>
              <w:t>2016</w:t>
            </w:r>
          </w:p>
        </w:tc>
        <w:tc>
          <w:tcPr>
            <w:tcW w:w="1480" w:type="dxa"/>
            <w:vAlign w:val="bottom"/>
          </w:tcPr>
          <w:p>
            <w:pPr>
              <w:jc w:val="right"/>
              <w:ind w:right="219"/>
              <w:spacing w:after="0"/>
              <w:rPr>
                <w:sz w:val="20"/>
                <w:szCs w:val="20"/>
                <w:color w:val="auto"/>
              </w:rPr>
            </w:pPr>
            <w:r>
              <w:rPr>
                <w:rFonts w:ascii="Arial" w:cs="Arial" w:eastAsia="Arial" w:hAnsi="Arial"/>
                <w:sz w:val="16"/>
                <w:szCs w:val="16"/>
                <w:b w:val="1"/>
                <w:bCs w:val="1"/>
                <w:color w:val="auto"/>
              </w:rPr>
              <w:t>2015</w:t>
            </w:r>
          </w:p>
        </w:tc>
      </w:tr>
      <w:tr>
        <w:trPr>
          <w:trHeight w:val="33"/>
        </w:trPr>
        <w:tc>
          <w:tcPr>
            <w:tcW w:w="556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Retail selling, general and administrative expenses</w:t>
            </w:r>
          </w:p>
        </w:tc>
        <w:tc>
          <w:tcPr>
            <w:tcW w:w="234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b w:val="1"/>
                <w:bCs w:val="1"/>
                <w:color w:val="auto"/>
              </w:rPr>
              <w:t>$4,508</w:t>
            </w:r>
          </w:p>
        </w:tc>
        <w:tc>
          <w:tcPr>
            <w:tcW w:w="204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color w:val="auto"/>
              </w:rPr>
              <w:t>$4,159</w:t>
            </w:r>
          </w:p>
        </w:tc>
        <w:tc>
          <w:tcPr>
            <w:tcW w:w="148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$4,016</w:t>
            </w:r>
          </w:p>
        </w:tc>
      </w:tr>
      <w:tr>
        <w:trPr>
          <w:trHeight w:val="237"/>
        </w:trPr>
        <w:tc>
          <w:tcPr>
            <w:tcW w:w="5560" w:type="dxa"/>
            <w:vAlign w:val="bottom"/>
          </w:tcPr>
          <w:p>
            <w:pPr>
              <w:ind w:left="40"/>
              <w:spacing w:after="0"/>
              <w:rPr>
                <w:sz w:val="20"/>
                <w:szCs w:val="20"/>
                <w:color w:val="auto"/>
              </w:rPr>
            </w:pPr>
            <w:r>
              <w:rPr>
                <w:rFonts w:ascii="Arial" w:cs="Arial" w:eastAsia="Arial" w:hAnsi="Arial"/>
                <w:sz w:val="16"/>
                <w:szCs w:val="16"/>
                <w:color w:val="auto"/>
              </w:rPr>
              <w:t>Retail selling, general and administrative expenses as a % of net sales</w:t>
            </w:r>
          </w:p>
        </w:tc>
        <w:tc>
          <w:tcPr>
            <w:tcW w:w="2340" w:type="dxa"/>
            <w:vAlign w:val="bottom"/>
          </w:tcPr>
          <w:p>
            <w:pPr>
              <w:jc w:val="right"/>
              <w:ind w:right="639"/>
              <w:spacing w:after="0"/>
              <w:rPr>
                <w:sz w:val="20"/>
                <w:szCs w:val="20"/>
                <w:color w:val="auto"/>
              </w:rPr>
            </w:pPr>
            <w:r>
              <w:rPr>
                <w:rFonts w:ascii="Arial" w:cs="Arial" w:eastAsia="Arial" w:hAnsi="Arial"/>
                <w:sz w:val="16"/>
                <w:szCs w:val="16"/>
                <w:b w:val="1"/>
                <w:bCs w:val="1"/>
                <w:color w:val="auto"/>
              </w:rPr>
              <w:t>29.8%</w:t>
            </w:r>
          </w:p>
        </w:tc>
        <w:tc>
          <w:tcPr>
            <w:tcW w:w="2040" w:type="dxa"/>
            <w:vAlign w:val="bottom"/>
          </w:tcPr>
          <w:p>
            <w:pPr>
              <w:jc w:val="right"/>
              <w:ind w:right="639"/>
              <w:spacing w:after="0"/>
              <w:rPr>
                <w:sz w:val="20"/>
                <w:szCs w:val="20"/>
                <w:color w:val="auto"/>
              </w:rPr>
            </w:pPr>
            <w:r>
              <w:rPr>
                <w:rFonts w:ascii="Arial" w:cs="Arial" w:eastAsia="Arial" w:hAnsi="Arial"/>
                <w:sz w:val="16"/>
                <w:szCs w:val="16"/>
                <w:color w:val="auto"/>
              </w:rPr>
              <w:t>28.7%</w:t>
            </w: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28.5%</w:t>
            </w:r>
          </w:p>
        </w:tc>
      </w:tr>
      <w:tr>
        <w:trPr>
          <w:trHeight w:val="33"/>
        </w:trPr>
        <w:tc>
          <w:tcPr>
            <w:tcW w:w="556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Selling, General and Administrative Expenses (2017 vs. 2016)</w:t>
      </w:r>
    </w:p>
    <w:p>
      <w:pPr>
        <w:spacing w:after="0" w:line="23"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Our Retail SG&amp;A rate increased 99 basis points in 2017 and increased $349 compared with 2016 primarily due to planned technology and performance related expenses.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Selling, General and Administrative Expenses (2016 vs. 2015)</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Our Retail SG&amp;A rate increased 19 basis points in 2016 and increased $143 compared with 2015 primarily due to technology and fulfillment expenses.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 Business Goodwill Impairment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We recognized a goodwill impairment charge of $197 in 2016 related to Trunk Club (see Note 8: Fair Value Measurements in Item 8).</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21</w:t>
      </w:r>
    </w:p>
    <w:p>
      <w:pPr>
        <w:sectPr>
          <w:pgSz w:w="11900" w:h="16838" w:orient="portrait"/>
          <w:cols w:equalWidth="0" w:num="1">
            <w:col w:w="11420"/>
          </w:cols>
          <w:pgMar w:left="240" w:top="126" w:right="239" w:bottom="1440" w:gutter="0" w:footer="0" w:header="0"/>
        </w:sectPr>
      </w:pPr>
    </w:p>
    <w:bookmarkStart w:id="21" w:name="page22"/>
    <w:bookmarkEnd w:id="21"/>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CREDIT SEGMENT</w:t>
      </w:r>
    </w:p>
    <w:p>
      <w:pPr>
        <w:spacing w:after="0" w:line="23"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The Nordstrom credit and debit card products are designed to strengthen customer relationships and grow retail sales by providing loyalty benefits, valuable services and payment products. We believe our credit business allows us to build deeper relationships with our customers by fully integrating the Nordstrom Rewards loyalty program with our retail business and providing better service, which in turn fosters greater customer loyalty. Nordstrom cardholders tend to visit our stores more frequently and spend more than non-cardholders. Nordstrom private label credit and debit cards can be used at a majority of our U.S. retail businesses, while Nordstrom Visa credit cards also may be used for purchases outside of Nordstrom (“outside volume”). In 2017, we began offering a Canadian Nordstrom-branded Visa card, which can be used for purchases inside and outside of Nordstrom.</w:t>
      </w:r>
    </w:p>
    <w:p>
      <w:pPr>
        <w:spacing w:after="0" w:line="11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 October 2015, we completed the sale of a substantial majority of our U.S. Visa and private label credit card portfolio to TD. In November 2017, we sold the remaining balances which consisted of employee credit card receivables for the U.S. Visa and Nordstrom private label credit cards to TD (see Note 2: Credit Card Receivable Transaction in Item 8).</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provides a detailed view of the operational results of our Credit segment, consistent with Note 15: Segment Reporting in Item 8:</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40" w:type="dxa"/>
            <w:vAlign w:val="bottom"/>
          </w:tcPr>
          <w:p>
            <w:pPr>
              <w:ind w:left="40"/>
              <w:spacing w:after="0"/>
              <w:rPr>
                <w:sz w:val="20"/>
                <w:szCs w:val="20"/>
                <w:color w:val="auto"/>
              </w:rPr>
            </w:pPr>
            <w:r>
              <w:rPr>
                <w:rFonts w:ascii="Arial" w:cs="Arial" w:eastAsia="Arial" w:hAnsi="Arial"/>
                <w:sz w:val="16"/>
                <w:szCs w:val="16"/>
                <w:b w:val="1"/>
                <w:bCs w:val="1"/>
                <w:color w:val="auto"/>
              </w:rPr>
              <w:t>Fiscal year</w:t>
            </w:r>
          </w:p>
        </w:tc>
        <w:tc>
          <w:tcPr>
            <w:tcW w:w="3260" w:type="dxa"/>
            <w:vAlign w:val="bottom"/>
          </w:tcPr>
          <w:p>
            <w:pPr>
              <w:jc w:val="right"/>
              <w:ind w:right="659"/>
              <w:spacing w:after="0"/>
              <w:rPr>
                <w:sz w:val="20"/>
                <w:szCs w:val="20"/>
                <w:color w:val="auto"/>
              </w:rPr>
            </w:pPr>
            <w:r>
              <w:rPr>
                <w:rFonts w:ascii="Arial" w:cs="Arial" w:eastAsia="Arial" w:hAnsi="Arial"/>
                <w:sz w:val="16"/>
                <w:szCs w:val="16"/>
                <w:b w:val="1"/>
                <w:bCs w:val="1"/>
                <w:color w:val="auto"/>
              </w:rPr>
              <w:t>2017</w:t>
            </w:r>
          </w:p>
        </w:tc>
        <w:tc>
          <w:tcPr>
            <w:tcW w:w="1920" w:type="dxa"/>
            <w:vAlign w:val="bottom"/>
          </w:tcPr>
          <w:p>
            <w:pPr>
              <w:jc w:val="right"/>
              <w:ind w:right="639"/>
              <w:spacing w:after="0"/>
              <w:rPr>
                <w:sz w:val="20"/>
                <w:szCs w:val="20"/>
                <w:color w:val="auto"/>
              </w:rPr>
            </w:pPr>
            <w:r>
              <w:rPr>
                <w:rFonts w:ascii="Arial" w:cs="Arial" w:eastAsia="Arial" w:hAnsi="Arial"/>
                <w:sz w:val="16"/>
                <w:szCs w:val="16"/>
                <w:b w:val="1"/>
                <w:bCs w:val="1"/>
                <w:color w:val="auto"/>
              </w:rPr>
              <w:t>2016</w:t>
            </w:r>
          </w:p>
        </w:tc>
        <w:tc>
          <w:tcPr>
            <w:tcW w:w="1300" w:type="dxa"/>
            <w:vAlign w:val="bottom"/>
          </w:tcPr>
          <w:p>
            <w:pPr>
              <w:jc w:val="right"/>
              <w:ind w:right="19"/>
              <w:spacing w:after="0"/>
              <w:rPr>
                <w:sz w:val="20"/>
                <w:szCs w:val="20"/>
                <w:color w:val="auto"/>
              </w:rPr>
            </w:pPr>
            <w:r>
              <w:rPr>
                <w:rFonts w:ascii="Arial" w:cs="Arial" w:eastAsia="Arial" w:hAnsi="Arial"/>
                <w:sz w:val="16"/>
                <w:szCs w:val="16"/>
                <w:b w:val="1"/>
                <w:bCs w:val="1"/>
                <w:color w:val="auto"/>
              </w:rPr>
              <w:t>2015</w:t>
            </w:r>
          </w:p>
        </w:tc>
      </w:tr>
      <w:tr>
        <w:trPr>
          <w:trHeight w:val="33"/>
        </w:trPr>
        <w:tc>
          <w:tcPr>
            <w:tcW w:w="494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Credit card revenues, net</w:t>
            </w:r>
          </w:p>
        </w:tc>
        <w:tc>
          <w:tcPr>
            <w:tcW w:w="326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$341</w:t>
            </w:r>
          </w:p>
        </w:tc>
        <w:tc>
          <w:tcPr>
            <w:tcW w:w="192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color w:val="auto"/>
              </w:rPr>
              <w:t>$259</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$342</w:t>
            </w:r>
          </w:p>
        </w:tc>
      </w:tr>
      <w:tr>
        <w:trPr>
          <w:trHeight w:val="237"/>
        </w:trPr>
        <w:tc>
          <w:tcPr>
            <w:tcW w:w="4940" w:type="dxa"/>
            <w:vAlign w:val="bottom"/>
          </w:tcPr>
          <w:p>
            <w:pPr>
              <w:ind w:left="40"/>
              <w:spacing w:after="0"/>
              <w:rPr>
                <w:sz w:val="20"/>
                <w:szCs w:val="20"/>
                <w:color w:val="auto"/>
              </w:rPr>
            </w:pPr>
            <w:r>
              <w:rPr>
                <w:rFonts w:ascii="Arial" w:cs="Arial" w:eastAsia="Arial" w:hAnsi="Arial"/>
                <w:sz w:val="16"/>
                <w:szCs w:val="16"/>
                <w:color w:val="auto"/>
              </w:rPr>
              <w:t>Credit expenses</w:t>
            </w:r>
          </w:p>
        </w:tc>
        <w:tc>
          <w:tcPr>
            <w:tcW w:w="3260" w:type="dxa"/>
            <w:vAlign w:val="bottom"/>
          </w:tcPr>
          <w:p>
            <w:pPr>
              <w:jc w:val="right"/>
              <w:ind w:right="599"/>
              <w:spacing w:after="0"/>
              <w:rPr>
                <w:sz w:val="20"/>
                <w:szCs w:val="20"/>
                <w:color w:val="auto"/>
              </w:rPr>
            </w:pPr>
            <w:r>
              <w:rPr>
                <w:rFonts w:ascii="Arial" w:cs="Arial" w:eastAsia="Arial" w:hAnsi="Arial"/>
                <w:sz w:val="16"/>
                <w:szCs w:val="16"/>
                <w:b w:val="1"/>
                <w:bCs w:val="1"/>
                <w:color w:val="auto"/>
              </w:rPr>
              <w:t>(167)</w:t>
            </w:r>
          </w:p>
        </w:tc>
        <w:tc>
          <w:tcPr>
            <w:tcW w:w="1920" w:type="dxa"/>
            <w:vAlign w:val="bottom"/>
          </w:tcPr>
          <w:p>
            <w:pPr>
              <w:jc w:val="right"/>
              <w:ind w:right="599"/>
              <w:spacing w:after="0"/>
              <w:rPr>
                <w:sz w:val="20"/>
                <w:szCs w:val="20"/>
                <w:color w:val="auto"/>
              </w:rPr>
            </w:pPr>
            <w:r>
              <w:rPr>
                <w:rFonts w:ascii="Arial" w:cs="Arial" w:eastAsia="Arial" w:hAnsi="Arial"/>
                <w:sz w:val="16"/>
                <w:szCs w:val="16"/>
                <w:color w:val="auto"/>
              </w:rPr>
              <w:t>(162)</w:t>
            </w:r>
          </w:p>
        </w:tc>
        <w:tc>
          <w:tcPr>
            <w:tcW w:w="1300" w:type="dxa"/>
            <w:vAlign w:val="bottom"/>
          </w:tcPr>
          <w:p>
            <w:pPr>
              <w:jc w:val="right"/>
              <w:spacing w:after="0"/>
              <w:rPr>
                <w:sz w:val="20"/>
                <w:szCs w:val="20"/>
                <w:color w:val="auto"/>
              </w:rPr>
            </w:pPr>
            <w:r>
              <w:rPr>
                <w:rFonts w:ascii="Arial" w:cs="Arial" w:eastAsia="Arial" w:hAnsi="Arial"/>
                <w:sz w:val="16"/>
                <w:szCs w:val="16"/>
                <w:color w:val="auto"/>
              </w:rPr>
              <w:t>(159)</w:t>
            </w:r>
          </w:p>
        </w:tc>
      </w:tr>
      <w:tr>
        <w:trPr>
          <w:trHeight w:val="33"/>
        </w:trPr>
        <w:tc>
          <w:tcPr>
            <w:tcW w:w="494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Earnings before interest and income taxes</w:t>
            </w:r>
          </w:p>
        </w:tc>
        <w:tc>
          <w:tcPr>
            <w:tcW w:w="326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$174</w:t>
            </w:r>
          </w:p>
        </w:tc>
        <w:tc>
          <w:tcPr>
            <w:tcW w:w="192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color w:val="auto"/>
              </w:rPr>
              <w:t>$97</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$183</w:t>
            </w:r>
          </w:p>
        </w:tc>
      </w:tr>
      <w:tr>
        <w:trPr>
          <w:trHeight w:val="291"/>
        </w:trPr>
        <w:tc>
          <w:tcPr>
            <w:tcW w:w="4940" w:type="dxa"/>
            <w:vAlign w:val="bottom"/>
            <w:tcBorders>
              <w:top w:val="single" w:sz="8" w:color="auto"/>
            </w:tcBorders>
          </w:tcPr>
          <w:p>
            <w:pPr>
              <w:spacing w:after="0"/>
              <w:rPr>
                <w:sz w:val="24"/>
                <w:szCs w:val="24"/>
                <w:color w:val="auto"/>
              </w:rPr>
            </w:pPr>
          </w:p>
        </w:tc>
        <w:tc>
          <w:tcPr>
            <w:tcW w:w="3260" w:type="dxa"/>
            <w:vAlign w:val="bottom"/>
            <w:tcBorders>
              <w:top w:val="single" w:sz="8" w:color="auto"/>
            </w:tcBorders>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r>
        <w:trPr>
          <w:trHeight w:val="270"/>
        </w:trPr>
        <w:tc>
          <w:tcPr>
            <w:tcW w:w="4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Credit and debit card volume</w:t>
            </w:r>
            <w:r>
              <w:rPr>
                <w:rFonts w:ascii="Arial" w:cs="Arial" w:eastAsia="Arial" w:hAnsi="Arial"/>
                <w:sz w:val="21"/>
                <w:szCs w:val="21"/>
                <w:color w:val="auto"/>
                <w:vertAlign w:val="superscript"/>
              </w:rPr>
              <w:t>1</w:t>
            </w:r>
            <w:r>
              <w:rPr>
                <w:rFonts w:ascii="Arial" w:cs="Arial" w:eastAsia="Arial" w:hAnsi="Arial"/>
                <w:sz w:val="16"/>
                <w:szCs w:val="16"/>
                <w:color w:val="auto"/>
              </w:rPr>
              <w:t>:</w:t>
            </w:r>
          </w:p>
        </w:tc>
        <w:tc>
          <w:tcPr>
            <w:tcW w:w="3260" w:type="dxa"/>
            <w:vAlign w:val="bottom"/>
            <w:shd w:val="clear" w:color="auto" w:fill="CCEEFF"/>
          </w:tcPr>
          <w:p>
            <w:pPr>
              <w:spacing w:after="0"/>
              <w:rPr>
                <w:sz w:val="23"/>
                <w:szCs w:val="23"/>
                <w:color w:val="auto"/>
              </w:rPr>
            </w:pPr>
          </w:p>
        </w:tc>
        <w:tc>
          <w:tcPr>
            <w:tcW w:w="19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37"/>
        </w:trPr>
        <w:tc>
          <w:tcPr>
            <w:tcW w:w="4940" w:type="dxa"/>
            <w:vAlign w:val="bottom"/>
          </w:tcPr>
          <w:p>
            <w:pPr>
              <w:ind w:left="180"/>
              <w:spacing w:after="0"/>
              <w:rPr>
                <w:sz w:val="20"/>
                <w:szCs w:val="20"/>
                <w:color w:val="auto"/>
              </w:rPr>
            </w:pPr>
            <w:r>
              <w:rPr>
                <w:rFonts w:ascii="Arial" w:cs="Arial" w:eastAsia="Arial" w:hAnsi="Arial"/>
                <w:sz w:val="16"/>
                <w:szCs w:val="16"/>
                <w:color w:val="auto"/>
              </w:rPr>
              <w:t>Inside</w:t>
            </w:r>
          </w:p>
        </w:tc>
        <w:tc>
          <w:tcPr>
            <w:tcW w:w="3260" w:type="dxa"/>
            <w:vAlign w:val="bottom"/>
          </w:tcPr>
          <w:p>
            <w:pPr>
              <w:jc w:val="right"/>
              <w:ind w:right="659"/>
              <w:spacing w:after="0"/>
              <w:rPr>
                <w:sz w:val="20"/>
                <w:szCs w:val="20"/>
                <w:color w:val="auto"/>
              </w:rPr>
            </w:pPr>
            <w:r>
              <w:rPr>
                <w:rFonts w:ascii="Arial" w:cs="Arial" w:eastAsia="Arial" w:hAnsi="Arial"/>
                <w:sz w:val="16"/>
                <w:szCs w:val="16"/>
                <w:b w:val="1"/>
                <w:bCs w:val="1"/>
                <w:color w:val="auto"/>
              </w:rPr>
              <w:t>$5,987</w:t>
            </w:r>
          </w:p>
        </w:tc>
        <w:tc>
          <w:tcPr>
            <w:tcW w:w="1920" w:type="dxa"/>
            <w:vAlign w:val="bottom"/>
          </w:tcPr>
          <w:p>
            <w:pPr>
              <w:jc w:val="right"/>
              <w:ind w:right="639"/>
              <w:spacing w:after="0"/>
              <w:rPr>
                <w:sz w:val="20"/>
                <w:szCs w:val="20"/>
                <w:color w:val="auto"/>
              </w:rPr>
            </w:pPr>
            <w:r>
              <w:rPr>
                <w:rFonts w:ascii="Arial" w:cs="Arial" w:eastAsia="Arial" w:hAnsi="Arial"/>
                <w:sz w:val="16"/>
                <w:szCs w:val="16"/>
                <w:color w:val="auto"/>
              </w:rPr>
              <w:t>$5,858</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$5,953</w:t>
            </w:r>
          </w:p>
        </w:tc>
      </w:tr>
      <w:tr>
        <w:trPr>
          <w:trHeight w:val="33"/>
        </w:trPr>
        <w:tc>
          <w:tcPr>
            <w:tcW w:w="494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4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Outside</w:t>
            </w:r>
          </w:p>
        </w:tc>
        <w:tc>
          <w:tcPr>
            <w:tcW w:w="326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4,434</w:t>
            </w:r>
          </w:p>
        </w:tc>
        <w:tc>
          <w:tcPr>
            <w:tcW w:w="192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color w:val="auto"/>
              </w:rPr>
              <w:t>4,160</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4,309</w:t>
            </w:r>
          </w:p>
        </w:tc>
      </w:tr>
      <w:tr>
        <w:trPr>
          <w:trHeight w:val="231"/>
        </w:trPr>
        <w:tc>
          <w:tcPr>
            <w:tcW w:w="49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volume</w:t>
            </w:r>
          </w:p>
        </w:tc>
        <w:tc>
          <w:tcPr>
            <w:tcW w:w="3260" w:type="dxa"/>
            <w:vAlign w:val="bottom"/>
            <w:tcBorders>
              <w:top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$10,421</w:t>
            </w:r>
          </w:p>
        </w:tc>
        <w:tc>
          <w:tcPr>
            <w:tcW w:w="1920" w:type="dxa"/>
            <w:vAlign w:val="bottom"/>
            <w:tcBorders>
              <w:top w:val="single" w:sz="8" w:color="auto"/>
            </w:tcBorders>
          </w:tcPr>
          <w:p>
            <w:pPr>
              <w:jc w:val="right"/>
              <w:ind w:right="639"/>
              <w:spacing w:after="0"/>
              <w:rPr>
                <w:sz w:val="20"/>
                <w:szCs w:val="20"/>
                <w:color w:val="auto"/>
              </w:rPr>
            </w:pPr>
            <w:r>
              <w:rPr>
                <w:rFonts w:ascii="Arial" w:cs="Arial" w:eastAsia="Arial" w:hAnsi="Arial"/>
                <w:sz w:val="16"/>
                <w:szCs w:val="16"/>
                <w:color w:val="auto"/>
              </w:rPr>
              <w:t>$10,018</w:t>
            </w: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$10,262</w:t>
            </w:r>
          </w:p>
        </w:tc>
      </w:tr>
    </w:tbl>
    <w:p>
      <w:pPr>
        <w:spacing w:after="0" w:line="28" w:lineRule="exact"/>
        <w:rPr>
          <w:sz w:val="20"/>
          <w:szCs w:val="20"/>
          <w:color w:val="auto"/>
        </w:rPr>
      </w:pPr>
    </w:p>
    <w:p>
      <w:pPr>
        <w:ind w:left="80" w:hanging="72"/>
        <w:spacing w:after="0"/>
        <w:tabs>
          <w:tab w:leader="none" w:pos="80" w:val="left"/>
        </w:tabs>
        <w:numPr>
          <w:ilvl w:val="0"/>
          <w:numId w:val="44"/>
        </w:numPr>
        <w:rPr>
          <w:rFonts w:ascii="Arial" w:cs="Arial" w:eastAsia="Arial" w:hAnsi="Arial"/>
          <w:sz w:val="9"/>
          <w:szCs w:val="9"/>
          <w:color w:val="auto"/>
        </w:rPr>
      </w:pPr>
      <w:r>
        <w:rPr>
          <w:rFonts w:ascii="Arial" w:cs="Arial" w:eastAsia="Arial" w:hAnsi="Arial"/>
          <w:sz w:val="14"/>
          <w:szCs w:val="14"/>
          <w:color w:val="auto"/>
        </w:rPr>
        <w:t>Credit and debit card volume represents sales on the total portfolio plus applicable sales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Credit Card Revenues, net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credit card revenues, net</w:t>
      </w:r>
      <w:r>
        <w:rPr>
          <w:rFonts w:ascii="Arial" w:cs="Arial" w:eastAsia="Arial" w:hAnsi="Arial"/>
          <w:sz w:val="16"/>
          <w:szCs w:val="16"/>
          <w:color w:val="auto"/>
        </w:rPr>
        <w: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6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Fiscal year</w:t>
            </w:r>
          </w:p>
        </w:tc>
        <w:tc>
          <w:tcPr>
            <w:tcW w:w="364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2017</w:t>
            </w:r>
          </w:p>
        </w:tc>
        <w:tc>
          <w:tcPr>
            <w:tcW w:w="190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2016</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2015</w:t>
            </w:r>
            <w:r>
              <w:rPr>
                <w:rFonts w:ascii="Arial" w:cs="Arial" w:eastAsia="Arial" w:hAnsi="Arial"/>
                <w:sz w:val="21"/>
                <w:szCs w:val="21"/>
                <w:b w:val="1"/>
                <w:bCs w:val="1"/>
                <w:color w:val="auto"/>
                <w:vertAlign w:val="superscript"/>
              </w:rPr>
              <w:t>1</w:t>
            </w:r>
          </w:p>
        </w:tc>
      </w:tr>
      <w:tr>
        <w:trPr>
          <w:trHeight w:val="244"/>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Credit program revenues, net</w:t>
            </w:r>
          </w:p>
        </w:tc>
        <w:tc>
          <w:tcPr>
            <w:tcW w:w="36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$331</w:t>
            </w:r>
          </w:p>
        </w:tc>
        <w:tc>
          <w:tcPr>
            <w:tcW w:w="190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6"/>
                <w:szCs w:val="16"/>
                <w:color w:val="auto"/>
              </w:rPr>
              <w:t>$246</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w:t>
            </w: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Other</w:t>
            </w:r>
          </w:p>
        </w:tc>
        <w:tc>
          <w:tcPr>
            <w:tcW w:w="3640" w:type="dxa"/>
            <w:vAlign w:val="bottom"/>
          </w:tcPr>
          <w:p>
            <w:pPr>
              <w:jc w:val="right"/>
              <w:ind w:right="739"/>
              <w:spacing w:after="0"/>
              <w:rPr>
                <w:sz w:val="20"/>
                <w:szCs w:val="20"/>
                <w:color w:val="auto"/>
              </w:rPr>
            </w:pPr>
            <w:r>
              <w:rPr>
                <w:rFonts w:ascii="Arial" w:cs="Arial" w:eastAsia="Arial" w:hAnsi="Arial"/>
                <w:sz w:val="16"/>
                <w:szCs w:val="16"/>
                <w:b w:val="1"/>
                <w:bCs w:val="1"/>
                <w:color w:val="auto"/>
              </w:rPr>
              <w:t>10</w:t>
            </w:r>
          </w:p>
        </w:tc>
        <w:tc>
          <w:tcPr>
            <w:tcW w:w="1900" w:type="dxa"/>
            <w:vAlign w:val="bottom"/>
          </w:tcPr>
          <w:p>
            <w:pPr>
              <w:jc w:val="right"/>
              <w:ind w:right="679"/>
              <w:spacing w:after="0"/>
              <w:rPr>
                <w:sz w:val="20"/>
                <w:szCs w:val="20"/>
                <w:color w:val="auto"/>
              </w:rPr>
            </w:pPr>
            <w:r>
              <w:rPr>
                <w:rFonts w:ascii="Arial" w:cs="Arial" w:eastAsia="Arial" w:hAnsi="Arial"/>
                <w:sz w:val="16"/>
                <w:szCs w:val="16"/>
                <w:color w:val="auto"/>
              </w:rPr>
              <w:t>13</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278</w:t>
            </w:r>
          </w:p>
        </w:tc>
      </w:tr>
      <w:tr>
        <w:trPr>
          <w:trHeight w:val="33"/>
        </w:trPr>
        <w:tc>
          <w:tcPr>
            <w:tcW w:w="462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1"/>
        </w:trPr>
        <w:tc>
          <w:tcPr>
            <w:tcW w:w="46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Total credit card revenues, net</w:t>
            </w:r>
          </w:p>
        </w:tc>
        <w:tc>
          <w:tcPr>
            <w:tcW w:w="3640" w:type="dxa"/>
            <w:vAlign w:val="bottom"/>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$341</w:t>
            </w:r>
          </w:p>
        </w:tc>
        <w:tc>
          <w:tcPr>
            <w:tcW w:w="190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rPr>
              <w:t>$259</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$342</w:t>
            </w:r>
          </w:p>
        </w:tc>
      </w:tr>
      <w:tr>
        <w:trPr>
          <w:trHeight w:val="33"/>
        </w:trPr>
        <w:tc>
          <w:tcPr>
            <w:tcW w:w="4620" w:type="dxa"/>
            <w:vAlign w:val="bottom"/>
            <w:shd w:val="clear" w:color="auto" w:fill="CCEEFF"/>
          </w:tcPr>
          <w:p>
            <w:pPr>
              <w:spacing w:after="0"/>
              <w:rPr>
                <w:sz w:val="2"/>
                <w:szCs w:val="2"/>
                <w:color w:val="auto"/>
              </w:rPr>
            </w:pPr>
          </w:p>
        </w:tc>
        <w:tc>
          <w:tcPr>
            <w:tcW w:w="364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80" w:hanging="72"/>
        <w:spacing w:after="0"/>
        <w:tabs>
          <w:tab w:leader="none" w:pos="80" w:val="left"/>
        </w:tabs>
        <w:numPr>
          <w:ilvl w:val="0"/>
          <w:numId w:val="45"/>
        </w:numPr>
        <w:rPr>
          <w:rFonts w:ascii="Arial" w:cs="Arial" w:eastAsia="Arial" w:hAnsi="Arial"/>
          <w:sz w:val="9"/>
          <w:szCs w:val="9"/>
          <w:color w:val="auto"/>
        </w:rPr>
      </w:pPr>
      <w:r>
        <w:rPr>
          <w:rFonts w:ascii="Arial" w:cs="Arial" w:eastAsia="Arial" w:hAnsi="Arial"/>
          <w:sz w:val="14"/>
          <w:szCs w:val="14"/>
          <w:color w:val="auto"/>
        </w:rPr>
        <w:t>Other in fiscal year 2015 consisted of $173 of finance charge revenue, $61 in interchange fees and $44 of late fees and other revenue.</w:t>
      </w:r>
    </w:p>
    <w:p>
      <w:pPr>
        <w:spacing w:after="0" w:line="162"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Credit program revenues, net include our portion of the ongoing credit card revenue, net of credit losses, from both sold and newly generated credit card receivables pursuant to our program agreement with TD. Asset amortization and deferred revenue recognition associated with the assets and liabilities recorded as part of the transaction are also recorded in credit program revenues, net. Revenue earned under the program agreement is impacted by the credit quality of receivables, both owned and serviced, and factors such as deteriorating economic conditions, declining creditworthiness of cardholders and the success of account management and collection activities may heighten the risk of credit losses.</w:t>
      </w:r>
    </w:p>
    <w:p>
      <w:pPr>
        <w:spacing w:after="0" w:line="119"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Other credit card revenues included finance charge revenue, interchange fees and late fees. Finance charges represented interest earned on unpaid balances while interchange fees were earned from the use of Nordstrom Visa credit cards at merchants outside of Nordstrom. Late fees were assessed when a credit card account becomes past due. We continued to recognize revenue in this manner for credit card receivables retained (employee receivables) subsequent to the close of the October 2015 credit card receivable transaction until we sold our remaining receivables in November 2017.</w:t>
      </w:r>
    </w:p>
    <w:p>
      <w:pPr>
        <w:spacing w:after="0" w:line="10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Credit Card Revenues, net increased $82 in 2017 reflecting our strategic partnership with TD to responsibly grow our receivables and associated revenues and a reduction in amortization expense related to the sale of the credit card portfolio. Credit Card Revenues, net decreased $83 in 2016 due to the credit card receivable transaction and the new program agreement.</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26" w:right="239" w:bottom="1440" w:gutter="0" w:footer="0" w:header="0"/>
        </w:sectPr>
      </w:pPr>
    </w:p>
    <w:bookmarkStart w:id="22" w:name="page23"/>
    <w:bookmarkEnd w:id="22"/>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Expenses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Credit expenses consist of operational, bad debt and occupancy expenses.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Credit Expenses (2017 vs. 2016)</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Total credit expenses increased $5 in 2017 compared with 2016 due to an increase in costs associated with the Nordstrom Rewards loyalty program.</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Credit Expenses (2016 vs. 2015)</w:t>
      </w:r>
    </w:p>
    <w:p>
      <w:pPr>
        <w:spacing w:after="0" w:line="23" w:lineRule="exact"/>
        <w:rPr>
          <w:sz w:val="20"/>
          <w:szCs w:val="20"/>
          <w:color w:val="auto"/>
        </w:rPr>
      </w:pPr>
    </w:p>
    <w:p>
      <w:pPr>
        <w:ind w:right="280"/>
        <w:spacing w:after="0" w:line="323" w:lineRule="auto"/>
        <w:rPr>
          <w:sz w:val="20"/>
          <w:szCs w:val="20"/>
          <w:color w:val="auto"/>
        </w:rPr>
      </w:pPr>
      <w:r>
        <w:rPr>
          <w:rFonts w:ascii="Arial" w:cs="Arial" w:eastAsia="Arial" w:hAnsi="Arial"/>
          <w:sz w:val="16"/>
          <w:szCs w:val="16"/>
          <w:color w:val="auto"/>
        </w:rPr>
        <w:t>Total credit expenses increased $3 in 2016 compared with 2015 primarily due to a $64 gain partially offset by $32 of expenses incurred in 2015 associated with the credit card receivables transaction and a decrease in bad debt expense subsequent to the sale of the credit card receivables in October 2015.</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TOTAL COMPANY RESULTS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is summarized in the following table: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80" w:type="dxa"/>
            <w:vAlign w:val="bottom"/>
          </w:tcPr>
          <w:p>
            <w:pPr>
              <w:ind w:left="40"/>
              <w:spacing w:after="0"/>
              <w:rPr>
                <w:sz w:val="20"/>
                <w:szCs w:val="20"/>
                <w:color w:val="auto"/>
              </w:rPr>
            </w:pPr>
            <w:r>
              <w:rPr>
                <w:rFonts w:ascii="Arial" w:cs="Arial" w:eastAsia="Arial" w:hAnsi="Arial"/>
                <w:sz w:val="16"/>
                <w:szCs w:val="16"/>
                <w:b w:val="1"/>
                <w:bCs w:val="1"/>
                <w:color w:val="auto"/>
              </w:rPr>
              <w:t>Fiscal year</w:t>
            </w:r>
          </w:p>
        </w:tc>
        <w:tc>
          <w:tcPr>
            <w:tcW w:w="2900" w:type="dxa"/>
            <w:vAlign w:val="bottom"/>
          </w:tcPr>
          <w:p>
            <w:pPr>
              <w:jc w:val="right"/>
              <w:ind w:right="799"/>
              <w:spacing w:after="0"/>
              <w:rPr>
                <w:sz w:val="20"/>
                <w:szCs w:val="20"/>
                <w:color w:val="auto"/>
              </w:rPr>
            </w:pPr>
            <w:r>
              <w:rPr>
                <w:rFonts w:ascii="Arial" w:cs="Arial" w:eastAsia="Arial" w:hAnsi="Arial"/>
                <w:sz w:val="16"/>
                <w:szCs w:val="16"/>
                <w:b w:val="1"/>
                <w:bCs w:val="1"/>
                <w:color w:val="auto"/>
              </w:rPr>
              <w:t>2017</w:t>
            </w:r>
          </w:p>
        </w:tc>
        <w:tc>
          <w:tcPr>
            <w:tcW w:w="1980" w:type="dxa"/>
            <w:vAlign w:val="bottom"/>
          </w:tcPr>
          <w:p>
            <w:pPr>
              <w:jc w:val="right"/>
              <w:ind w:right="779"/>
              <w:spacing w:after="0"/>
              <w:rPr>
                <w:sz w:val="20"/>
                <w:szCs w:val="20"/>
                <w:color w:val="auto"/>
              </w:rPr>
            </w:pPr>
            <w:r>
              <w:rPr>
                <w:rFonts w:ascii="Arial" w:cs="Arial" w:eastAsia="Arial" w:hAnsi="Arial"/>
                <w:sz w:val="16"/>
                <w:szCs w:val="16"/>
                <w:b w:val="1"/>
                <w:bCs w:val="1"/>
                <w:color w:val="auto"/>
              </w:rPr>
              <w:t>2016</w:t>
            </w:r>
          </w:p>
        </w:tc>
        <w:tc>
          <w:tcPr>
            <w:tcW w:w="1360" w:type="dxa"/>
            <w:vAlign w:val="bottom"/>
          </w:tcPr>
          <w:p>
            <w:pPr>
              <w:jc w:val="right"/>
              <w:ind w:right="139"/>
              <w:spacing w:after="0"/>
              <w:rPr>
                <w:sz w:val="20"/>
                <w:szCs w:val="20"/>
                <w:color w:val="auto"/>
              </w:rPr>
            </w:pPr>
            <w:r>
              <w:rPr>
                <w:rFonts w:ascii="Arial" w:cs="Arial" w:eastAsia="Arial" w:hAnsi="Arial"/>
                <w:sz w:val="16"/>
                <w:szCs w:val="16"/>
                <w:b w:val="1"/>
                <w:bCs w:val="1"/>
                <w:color w:val="auto"/>
              </w:rPr>
              <w:t>2015</w:t>
            </w:r>
          </w:p>
        </w:tc>
      </w:tr>
      <w:tr>
        <w:trPr>
          <w:trHeight w:val="33"/>
        </w:trPr>
        <w:tc>
          <w:tcPr>
            <w:tcW w:w="518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on long-term debt and short-term borrowings</w:t>
            </w:r>
          </w:p>
        </w:tc>
        <w:tc>
          <w:tcPr>
            <w:tcW w:w="29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b w:val="1"/>
                <w:bCs w:val="1"/>
                <w:color w:val="auto"/>
              </w:rPr>
              <w:t>$168</w:t>
            </w:r>
          </w:p>
        </w:tc>
        <w:tc>
          <w:tcPr>
            <w:tcW w:w="198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color w:val="auto"/>
              </w:rPr>
              <w:t>$147</w:t>
            </w:r>
          </w:p>
        </w:tc>
        <w:tc>
          <w:tcPr>
            <w:tcW w:w="13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$153</w:t>
            </w:r>
          </w:p>
        </w:tc>
      </w:tr>
      <w:tr>
        <w:trPr>
          <w:trHeight w:val="237"/>
        </w:trPr>
        <w:tc>
          <w:tcPr>
            <w:tcW w:w="5180" w:type="dxa"/>
            <w:vAlign w:val="bottom"/>
          </w:tcPr>
          <w:p>
            <w:pPr>
              <w:ind w:left="40"/>
              <w:spacing w:after="0"/>
              <w:rPr>
                <w:sz w:val="20"/>
                <w:szCs w:val="20"/>
                <w:color w:val="auto"/>
              </w:rPr>
            </w:pPr>
            <w:r>
              <w:rPr>
                <w:rFonts w:ascii="Arial" w:cs="Arial" w:eastAsia="Arial" w:hAnsi="Arial"/>
                <w:sz w:val="16"/>
                <w:szCs w:val="16"/>
                <w:color w:val="auto"/>
              </w:rPr>
              <w:t>Less:</w:t>
            </w:r>
          </w:p>
        </w:tc>
        <w:tc>
          <w:tcPr>
            <w:tcW w:w="29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3"/>
        </w:trPr>
        <w:tc>
          <w:tcPr>
            <w:tcW w:w="51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 income</w:t>
            </w:r>
          </w:p>
        </w:tc>
        <w:tc>
          <w:tcPr>
            <w:tcW w:w="290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(5)</w:t>
            </w:r>
          </w:p>
        </w:tc>
        <w:tc>
          <w:tcPr>
            <w:tcW w:w="198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color w:val="auto"/>
              </w:rPr>
              <w:t>(1)</w:t>
            </w:r>
          </w:p>
        </w:tc>
        <w:tc>
          <w:tcPr>
            <w:tcW w:w="13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r>
      <w:tr>
        <w:trPr>
          <w:trHeight w:val="237"/>
        </w:trPr>
        <w:tc>
          <w:tcPr>
            <w:tcW w:w="5180" w:type="dxa"/>
            <w:vAlign w:val="bottom"/>
          </w:tcPr>
          <w:p>
            <w:pPr>
              <w:ind w:left="280"/>
              <w:spacing w:after="0"/>
              <w:rPr>
                <w:sz w:val="20"/>
                <w:szCs w:val="20"/>
                <w:color w:val="auto"/>
              </w:rPr>
            </w:pPr>
            <w:r>
              <w:rPr>
                <w:rFonts w:ascii="Arial" w:cs="Arial" w:eastAsia="Arial" w:hAnsi="Arial"/>
                <w:sz w:val="16"/>
                <w:szCs w:val="16"/>
                <w:color w:val="auto"/>
              </w:rPr>
              <w:t>Capitalized interest</w:t>
            </w:r>
          </w:p>
        </w:tc>
        <w:tc>
          <w:tcPr>
            <w:tcW w:w="2900" w:type="dxa"/>
            <w:vAlign w:val="bottom"/>
          </w:tcPr>
          <w:p>
            <w:pPr>
              <w:jc w:val="right"/>
              <w:ind w:right="739"/>
              <w:spacing w:after="0"/>
              <w:rPr>
                <w:sz w:val="20"/>
                <w:szCs w:val="20"/>
                <w:color w:val="auto"/>
              </w:rPr>
            </w:pPr>
            <w:r>
              <w:rPr>
                <w:rFonts w:ascii="Arial" w:cs="Arial" w:eastAsia="Arial" w:hAnsi="Arial"/>
                <w:sz w:val="16"/>
                <w:szCs w:val="16"/>
                <w:b w:val="1"/>
                <w:bCs w:val="1"/>
                <w:color w:val="auto"/>
              </w:rPr>
              <w:t>(27)</w:t>
            </w:r>
          </w:p>
        </w:tc>
        <w:tc>
          <w:tcPr>
            <w:tcW w:w="1980" w:type="dxa"/>
            <w:vAlign w:val="bottom"/>
          </w:tcPr>
          <w:p>
            <w:pPr>
              <w:jc w:val="right"/>
              <w:ind w:right="719"/>
              <w:spacing w:after="0"/>
              <w:rPr>
                <w:sz w:val="20"/>
                <w:szCs w:val="20"/>
                <w:color w:val="auto"/>
              </w:rPr>
            </w:pPr>
            <w:r>
              <w:rPr>
                <w:rFonts w:ascii="Arial" w:cs="Arial" w:eastAsia="Arial" w:hAnsi="Arial"/>
                <w:sz w:val="16"/>
                <w:szCs w:val="16"/>
                <w:color w:val="auto"/>
              </w:rPr>
              <w:t>(25)</w:t>
            </w: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(28)</w:t>
            </w:r>
          </w:p>
        </w:tc>
      </w:tr>
      <w:tr>
        <w:trPr>
          <w:trHeight w:val="33"/>
        </w:trPr>
        <w:tc>
          <w:tcPr>
            <w:tcW w:w="518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Interest expense, net</w:t>
            </w:r>
          </w:p>
        </w:tc>
        <w:tc>
          <w:tcPr>
            <w:tcW w:w="29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b w:val="1"/>
                <w:bCs w:val="1"/>
                <w:color w:val="auto"/>
              </w:rPr>
              <w:t>$136</w:t>
            </w:r>
          </w:p>
        </w:tc>
        <w:tc>
          <w:tcPr>
            <w:tcW w:w="198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color w:val="auto"/>
              </w:rPr>
              <w:t>$121</w:t>
            </w:r>
          </w:p>
        </w:tc>
        <w:tc>
          <w:tcPr>
            <w:tcW w:w="13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$125</w:t>
            </w:r>
          </w:p>
        </w:tc>
      </w:tr>
      <w:tr>
        <w:trPr>
          <w:trHeight w:val="20"/>
        </w:trPr>
        <w:tc>
          <w:tcPr>
            <w:tcW w:w="5180" w:type="dxa"/>
            <w:vAlign w:val="bottom"/>
            <w:shd w:val="clear" w:color="auto" w:fill="000000"/>
          </w:tcPr>
          <w:p>
            <w:pPr>
              <w:spacing w:after="0" w:line="20" w:lineRule="exact"/>
              <w:rPr>
                <w:sz w:val="1"/>
                <w:szCs w:val="1"/>
                <w:color w:val="auto"/>
              </w:rPr>
            </w:pPr>
          </w:p>
        </w:tc>
        <w:tc>
          <w:tcPr>
            <w:tcW w:w="2900" w:type="dxa"/>
            <w:vAlign w:val="bottom"/>
            <w:shd w:val="clear" w:color="auto" w:fill="000000"/>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Net (2017 vs. 2016)</w:t>
      </w:r>
    </w:p>
    <w:p>
      <w:pPr>
        <w:spacing w:after="0" w:line="23"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Interest expense, net increased $15 in 2017 compared with 2016 primarily due to a net interest expense charge of $18 related to the $650 debt refinancing completed in the first quarter of 2017 (see Note 7: Debt and Credit Facilities in Item 8).</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Net (2016 vs. 2015)</w:t>
      </w:r>
    </w:p>
    <w:p>
      <w:pPr>
        <w:spacing w:after="0" w:line="23"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Interest expense, net decreased $4 in 2016 compared with 2015 primarily due to the defeasance of our $325 Series 2011-1 Class A Notes in the third quarter of 2015.</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is summarized in the following table: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Fiscal year</w:t>
            </w:r>
          </w:p>
        </w:tc>
        <w:tc>
          <w:tcPr>
            <w:tcW w:w="3960" w:type="dxa"/>
            <w:vAlign w:val="bottom"/>
          </w:tcPr>
          <w:p>
            <w:pPr>
              <w:jc w:val="right"/>
              <w:ind w:right="859"/>
              <w:spacing w:after="0"/>
              <w:rPr>
                <w:sz w:val="20"/>
                <w:szCs w:val="20"/>
                <w:color w:val="auto"/>
              </w:rPr>
            </w:pPr>
            <w:r>
              <w:rPr>
                <w:rFonts w:ascii="Arial" w:cs="Arial" w:eastAsia="Arial" w:hAnsi="Arial"/>
                <w:sz w:val="16"/>
                <w:szCs w:val="16"/>
                <w:b w:val="1"/>
                <w:bCs w:val="1"/>
                <w:color w:val="auto"/>
              </w:rPr>
              <w:t>2017</w:t>
            </w:r>
          </w:p>
        </w:tc>
        <w:tc>
          <w:tcPr>
            <w:tcW w:w="2040" w:type="dxa"/>
            <w:vAlign w:val="bottom"/>
          </w:tcPr>
          <w:p>
            <w:pPr>
              <w:jc w:val="right"/>
              <w:ind w:right="839"/>
              <w:spacing w:after="0"/>
              <w:rPr>
                <w:sz w:val="20"/>
                <w:szCs w:val="20"/>
                <w:color w:val="auto"/>
              </w:rPr>
            </w:pPr>
            <w:r>
              <w:rPr>
                <w:rFonts w:ascii="Arial" w:cs="Arial" w:eastAsia="Arial" w:hAnsi="Arial"/>
                <w:sz w:val="16"/>
                <w:szCs w:val="16"/>
                <w:b w:val="1"/>
                <w:bCs w:val="1"/>
                <w:color w:val="auto"/>
              </w:rPr>
              <w:t>2016</w:t>
            </w:r>
          </w:p>
        </w:tc>
        <w:tc>
          <w:tcPr>
            <w:tcW w:w="1420" w:type="dxa"/>
            <w:vAlign w:val="bottom"/>
          </w:tcPr>
          <w:p>
            <w:pPr>
              <w:jc w:val="right"/>
              <w:ind w:right="219"/>
              <w:spacing w:after="0"/>
              <w:rPr>
                <w:sz w:val="20"/>
                <w:szCs w:val="20"/>
                <w:color w:val="auto"/>
              </w:rPr>
            </w:pPr>
            <w:r>
              <w:rPr>
                <w:rFonts w:ascii="Arial" w:cs="Arial" w:eastAsia="Arial" w:hAnsi="Arial"/>
                <w:sz w:val="16"/>
                <w:szCs w:val="16"/>
                <w:b w:val="1"/>
                <w:bCs w:val="1"/>
                <w:color w:val="auto"/>
              </w:rPr>
              <w:t>2015</w:t>
            </w:r>
          </w:p>
        </w:tc>
      </w:tr>
      <w:tr>
        <w:trPr>
          <w:trHeight w:val="33"/>
        </w:trPr>
        <w:tc>
          <w:tcPr>
            <w:tcW w:w="4000" w:type="dxa"/>
            <w:vAlign w:val="bottom"/>
            <w:tcBorders>
              <w:bottom w:val="single" w:sz="8" w:color="auto"/>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39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b w:val="1"/>
                <w:bCs w:val="1"/>
                <w:color w:val="auto"/>
              </w:rPr>
              <w:t>$353</w:t>
            </w:r>
          </w:p>
        </w:tc>
        <w:tc>
          <w:tcPr>
            <w:tcW w:w="204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rPr>
              <w:t>$330</w:t>
            </w:r>
          </w:p>
        </w:tc>
        <w:tc>
          <w:tcPr>
            <w:tcW w:w="1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$376</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Effective tax rate</w:t>
            </w:r>
          </w:p>
        </w:tc>
        <w:tc>
          <w:tcPr>
            <w:tcW w:w="3960" w:type="dxa"/>
            <w:vAlign w:val="bottom"/>
          </w:tcPr>
          <w:p>
            <w:pPr>
              <w:jc w:val="right"/>
              <w:ind w:right="699"/>
              <w:spacing w:after="0"/>
              <w:rPr>
                <w:sz w:val="20"/>
                <w:szCs w:val="20"/>
                <w:color w:val="auto"/>
              </w:rPr>
            </w:pPr>
            <w:r>
              <w:rPr>
                <w:rFonts w:ascii="Arial" w:cs="Arial" w:eastAsia="Arial" w:hAnsi="Arial"/>
                <w:sz w:val="16"/>
                <w:szCs w:val="16"/>
                <w:b w:val="1"/>
                <w:bCs w:val="1"/>
                <w:color w:val="auto"/>
              </w:rPr>
              <w:t>44.7%</w:t>
            </w:r>
          </w:p>
        </w:tc>
        <w:tc>
          <w:tcPr>
            <w:tcW w:w="2040" w:type="dxa"/>
            <w:vAlign w:val="bottom"/>
          </w:tcPr>
          <w:p>
            <w:pPr>
              <w:jc w:val="right"/>
              <w:ind w:right="699"/>
              <w:spacing w:after="0"/>
              <w:rPr>
                <w:sz w:val="20"/>
                <w:szCs w:val="20"/>
                <w:color w:val="auto"/>
              </w:rPr>
            </w:pPr>
            <w:r>
              <w:rPr>
                <w:rFonts w:ascii="Arial" w:cs="Arial" w:eastAsia="Arial" w:hAnsi="Arial"/>
                <w:sz w:val="16"/>
                <w:szCs w:val="16"/>
                <w:color w:val="auto"/>
              </w:rPr>
              <w:t>48.2%</w:t>
            </w: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38.6%</w:t>
            </w:r>
          </w:p>
        </w:tc>
      </w:tr>
      <w:tr>
        <w:trPr>
          <w:trHeight w:val="33"/>
        </w:trPr>
        <w:tc>
          <w:tcPr>
            <w:tcW w:w="4000" w:type="dxa"/>
            <w:vAlign w:val="bottom"/>
            <w:tcBorders>
              <w:bottom w:val="single" w:sz="8" w:color="auto"/>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December 2017, the Tax Act was signed into law. Among numerous other provisions, the Tax Act significantly revises the U.S. federal corporate income tax by reducing the statutory rate from 35% to 21%, imposing a mandatory one-time transition tax on accumulated unrepatriated earnings of foreign subsidiaries and enhancing and extending the option to claim accelerated depreciation on qualified property. The Tax Act also revises tax laws that will affect 2018, including, but not limited to, eliminating certain deductions for executive compensation and limiting the deduction for interest. We have reasonably estimated the effects of the Tax Act and recorded provisional amounts in our Consolidated Financial Statements as of February 3, 2018. Net earnings included $42 related to the Tax Act, which includes a provisional one-time, non-cash charge of $51 related to the revaluation of our net deferred tax assets for the change in statutory tax rate and for the impacts associated with the future limitations on executive compensation, partially offset by cash tax savings from a lower federal tax rate.As we complete our analysis of the Tax Act and interpret any additional guidance issued by the U.S. Treasury Department, the Internal Revenue Service (“IRS”) and other standard-setting bodies, we may make adjustments to the provisional amounts, which may materially impact our provision for income taxes in the period in which the adjustments are recorded.</w:t>
      </w:r>
    </w:p>
    <w:p>
      <w:pPr>
        <w:spacing w:after="0" w:line="37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23</w:t>
      </w:r>
    </w:p>
    <w:p>
      <w:pPr>
        <w:sectPr>
          <w:pgSz w:w="11900" w:h="16838" w:orient="portrait"/>
          <w:cols w:equalWidth="0" w:num="1">
            <w:col w:w="11420"/>
          </w:cols>
          <w:pgMar w:left="240" w:top="126" w:right="239" w:bottom="1440" w:gutter="0" w:footer="0" w:header="0"/>
        </w:sectPr>
      </w:pPr>
    </w:p>
    <w:bookmarkStart w:id="23" w:name="page24"/>
    <w:bookmarkEnd w:id="23"/>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illustrates the components of our effective tax rate: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ind w:left="40"/>
              <w:spacing w:after="0"/>
              <w:rPr>
                <w:sz w:val="20"/>
                <w:szCs w:val="20"/>
                <w:color w:val="auto"/>
              </w:rPr>
            </w:pPr>
            <w:r>
              <w:rPr>
                <w:rFonts w:ascii="Arial" w:cs="Arial" w:eastAsia="Arial" w:hAnsi="Arial"/>
                <w:sz w:val="16"/>
                <w:szCs w:val="16"/>
                <w:b w:val="1"/>
                <w:bCs w:val="1"/>
                <w:color w:val="auto"/>
              </w:rPr>
              <w:t>Fiscal year</w:t>
            </w:r>
          </w:p>
        </w:tc>
        <w:tc>
          <w:tcPr>
            <w:tcW w:w="2740" w:type="dxa"/>
            <w:vAlign w:val="bottom"/>
          </w:tcPr>
          <w:p>
            <w:pPr>
              <w:jc w:val="right"/>
              <w:ind w:right="919"/>
              <w:spacing w:after="0"/>
              <w:rPr>
                <w:sz w:val="20"/>
                <w:szCs w:val="20"/>
                <w:color w:val="auto"/>
              </w:rPr>
            </w:pPr>
            <w:r>
              <w:rPr>
                <w:rFonts w:ascii="Arial" w:cs="Arial" w:eastAsia="Arial" w:hAnsi="Arial"/>
                <w:sz w:val="16"/>
                <w:szCs w:val="16"/>
                <w:b w:val="1"/>
                <w:bCs w:val="1"/>
                <w:color w:val="auto"/>
              </w:rPr>
              <w:t>2017</w:t>
            </w:r>
          </w:p>
        </w:tc>
        <w:tc>
          <w:tcPr>
            <w:tcW w:w="2060" w:type="dxa"/>
            <w:vAlign w:val="bottom"/>
          </w:tcPr>
          <w:p>
            <w:pPr>
              <w:jc w:val="right"/>
              <w:ind w:right="879"/>
              <w:spacing w:after="0"/>
              <w:rPr>
                <w:sz w:val="20"/>
                <w:szCs w:val="20"/>
                <w:color w:val="auto"/>
              </w:rPr>
            </w:pPr>
            <w:r>
              <w:rPr>
                <w:rFonts w:ascii="Arial" w:cs="Arial" w:eastAsia="Arial" w:hAnsi="Arial"/>
                <w:sz w:val="16"/>
                <w:szCs w:val="16"/>
                <w:b w:val="1"/>
                <w:bCs w:val="1"/>
                <w:color w:val="auto"/>
              </w:rPr>
              <w:t>2016</w:t>
            </w:r>
          </w:p>
        </w:tc>
        <w:tc>
          <w:tcPr>
            <w:tcW w:w="1460" w:type="dxa"/>
            <w:vAlign w:val="bottom"/>
          </w:tcPr>
          <w:p>
            <w:pPr>
              <w:jc w:val="right"/>
              <w:ind w:right="279"/>
              <w:spacing w:after="0"/>
              <w:rPr>
                <w:sz w:val="20"/>
                <w:szCs w:val="20"/>
                <w:color w:val="auto"/>
              </w:rPr>
            </w:pPr>
            <w:r>
              <w:rPr>
                <w:rFonts w:ascii="Arial" w:cs="Arial" w:eastAsia="Arial" w:hAnsi="Arial"/>
                <w:sz w:val="16"/>
                <w:szCs w:val="16"/>
                <w:b w:val="1"/>
                <w:bCs w:val="1"/>
                <w:color w:val="auto"/>
              </w:rPr>
              <w:t>2015</w:t>
            </w:r>
          </w:p>
        </w:tc>
      </w:tr>
      <w:tr>
        <w:trPr>
          <w:trHeight w:val="33"/>
        </w:trPr>
        <w:tc>
          <w:tcPr>
            <w:tcW w:w="516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4"/>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Statutory rate</w:t>
            </w:r>
            <w:r>
              <w:rPr>
                <w:rFonts w:ascii="Arial" w:cs="Arial" w:eastAsia="Arial" w:hAnsi="Arial"/>
                <w:sz w:val="21"/>
                <w:szCs w:val="21"/>
                <w:color w:val="auto"/>
                <w:vertAlign w:val="superscript"/>
              </w:rPr>
              <w:t>1</w:t>
            </w:r>
          </w:p>
        </w:tc>
        <w:tc>
          <w:tcPr>
            <w:tcW w:w="2740" w:type="dxa"/>
            <w:vAlign w:val="bottom"/>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33.7%</w:t>
            </w:r>
          </w:p>
        </w:tc>
        <w:tc>
          <w:tcPr>
            <w:tcW w:w="206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rPr>
              <w:t>35.0%</w:t>
            </w:r>
          </w:p>
        </w:tc>
        <w:tc>
          <w:tcPr>
            <w:tcW w:w="14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35.0%</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Tax Act impact</w:t>
            </w:r>
          </w:p>
        </w:tc>
        <w:tc>
          <w:tcPr>
            <w:tcW w:w="2740" w:type="dxa"/>
            <w:vAlign w:val="bottom"/>
          </w:tcPr>
          <w:p>
            <w:pPr>
              <w:jc w:val="right"/>
              <w:ind w:right="739"/>
              <w:spacing w:after="0"/>
              <w:rPr>
                <w:sz w:val="20"/>
                <w:szCs w:val="20"/>
                <w:color w:val="auto"/>
              </w:rPr>
            </w:pPr>
            <w:r>
              <w:rPr>
                <w:rFonts w:ascii="Arial" w:cs="Arial" w:eastAsia="Arial" w:hAnsi="Arial"/>
                <w:sz w:val="16"/>
                <w:szCs w:val="16"/>
                <w:b w:val="1"/>
                <w:bCs w:val="1"/>
                <w:color w:val="auto"/>
              </w:rPr>
              <w:t>6.1%</w:t>
            </w:r>
          </w:p>
        </w:tc>
        <w:tc>
          <w:tcPr>
            <w:tcW w:w="2060" w:type="dxa"/>
            <w:vAlign w:val="bottom"/>
          </w:tcPr>
          <w:p>
            <w:pPr>
              <w:jc w:val="right"/>
              <w:ind w:right="87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279"/>
              <w:spacing w:after="0"/>
              <w:rPr>
                <w:sz w:val="20"/>
                <w:szCs w:val="20"/>
                <w:color w:val="auto"/>
              </w:rPr>
            </w:pPr>
            <w:r>
              <w:rPr>
                <w:rFonts w:ascii="Arial" w:cs="Arial" w:eastAsia="Arial" w:hAnsi="Arial"/>
                <w:sz w:val="16"/>
                <w:szCs w:val="16"/>
                <w:color w:val="auto"/>
              </w:rPr>
              <w:t>—</w:t>
            </w:r>
          </w:p>
        </w:tc>
      </w:tr>
      <w:tr>
        <w:trPr>
          <w:trHeight w:val="33"/>
        </w:trPr>
        <w:tc>
          <w:tcPr>
            <w:tcW w:w="51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 impairment</w:t>
            </w:r>
          </w:p>
        </w:tc>
        <w:tc>
          <w:tcPr>
            <w:tcW w:w="274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6"/>
                <w:szCs w:val="16"/>
                <w:b w:val="1"/>
                <w:bCs w:val="1"/>
                <w:color w:val="auto"/>
              </w:rPr>
              <w:t>—</w:t>
            </w:r>
          </w:p>
        </w:tc>
        <w:tc>
          <w:tcPr>
            <w:tcW w:w="206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rPr>
              <w:t>10.1%</w:t>
            </w:r>
          </w:p>
        </w:tc>
        <w:tc>
          <w:tcPr>
            <w:tcW w:w="1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State and local income taxes, net of federal income taxes</w:t>
            </w:r>
          </w:p>
        </w:tc>
        <w:tc>
          <w:tcPr>
            <w:tcW w:w="2740" w:type="dxa"/>
            <w:vAlign w:val="bottom"/>
          </w:tcPr>
          <w:p>
            <w:pPr>
              <w:jc w:val="right"/>
              <w:ind w:right="739"/>
              <w:spacing w:after="0"/>
              <w:rPr>
                <w:sz w:val="20"/>
                <w:szCs w:val="20"/>
                <w:color w:val="auto"/>
              </w:rPr>
            </w:pPr>
            <w:r>
              <w:rPr>
                <w:rFonts w:ascii="Arial" w:cs="Arial" w:eastAsia="Arial" w:hAnsi="Arial"/>
                <w:sz w:val="16"/>
                <w:szCs w:val="16"/>
                <w:b w:val="1"/>
                <w:bCs w:val="1"/>
                <w:color w:val="auto"/>
              </w:rPr>
              <w:t>4.5%</w:t>
            </w:r>
          </w:p>
        </w:tc>
        <w:tc>
          <w:tcPr>
            <w:tcW w:w="2060" w:type="dxa"/>
            <w:vAlign w:val="bottom"/>
          </w:tcPr>
          <w:p>
            <w:pPr>
              <w:jc w:val="right"/>
              <w:ind w:right="739"/>
              <w:spacing w:after="0"/>
              <w:rPr>
                <w:sz w:val="20"/>
                <w:szCs w:val="20"/>
                <w:color w:val="auto"/>
              </w:rPr>
            </w:pPr>
            <w:r>
              <w:rPr>
                <w:rFonts w:ascii="Arial" w:cs="Arial" w:eastAsia="Arial" w:hAnsi="Arial"/>
                <w:sz w:val="16"/>
                <w:szCs w:val="16"/>
                <w:color w:val="auto"/>
              </w:rPr>
              <w:t>5.1%</w:t>
            </w:r>
          </w:p>
        </w:tc>
        <w:tc>
          <w:tcPr>
            <w:tcW w:w="1460" w:type="dxa"/>
            <w:vAlign w:val="bottom"/>
          </w:tcPr>
          <w:p>
            <w:pPr>
              <w:jc w:val="right"/>
              <w:ind w:right="139"/>
              <w:spacing w:after="0"/>
              <w:rPr>
                <w:sz w:val="20"/>
                <w:szCs w:val="20"/>
                <w:color w:val="auto"/>
              </w:rPr>
            </w:pPr>
            <w:r>
              <w:rPr>
                <w:rFonts w:ascii="Arial" w:cs="Arial" w:eastAsia="Arial" w:hAnsi="Arial"/>
                <w:sz w:val="16"/>
                <w:szCs w:val="16"/>
                <w:color w:val="auto"/>
              </w:rPr>
              <w:t>4.1%</w:t>
            </w:r>
          </w:p>
        </w:tc>
      </w:tr>
      <w:tr>
        <w:trPr>
          <w:trHeight w:val="33"/>
        </w:trPr>
        <w:tc>
          <w:tcPr>
            <w:tcW w:w="51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Non-deductible acquisition-related items</w:t>
            </w:r>
          </w:p>
        </w:tc>
        <w:tc>
          <w:tcPr>
            <w:tcW w:w="27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0.3%</w:t>
            </w:r>
          </w:p>
        </w:tc>
        <w:tc>
          <w:tcPr>
            <w:tcW w:w="206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rPr>
              <w:t>0.6%</w:t>
            </w:r>
          </w:p>
        </w:tc>
        <w:tc>
          <w:tcPr>
            <w:tcW w:w="14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0.4%</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Federal credits</w:t>
            </w:r>
          </w:p>
        </w:tc>
        <w:tc>
          <w:tcPr>
            <w:tcW w:w="2740" w:type="dxa"/>
            <w:vAlign w:val="bottom"/>
          </w:tcPr>
          <w:p>
            <w:pPr>
              <w:jc w:val="right"/>
              <w:ind w:right="699"/>
              <w:spacing w:after="0"/>
              <w:rPr>
                <w:sz w:val="20"/>
                <w:szCs w:val="20"/>
                <w:color w:val="auto"/>
              </w:rPr>
            </w:pPr>
            <w:r>
              <w:rPr>
                <w:rFonts w:ascii="Arial" w:cs="Arial" w:eastAsia="Arial" w:hAnsi="Arial"/>
                <w:sz w:val="16"/>
                <w:szCs w:val="16"/>
                <w:b w:val="1"/>
                <w:bCs w:val="1"/>
                <w:color w:val="auto"/>
              </w:rPr>
              <w:t>(0.7%)</w:t>
            </w:r>
          </w:p>
        </w:tc>
        <w:tc>
          <w:tcPr>
            <w:tcW w:w="2060" w:type="dxa"/>
            <w:vAlign w:val="bottom"/>
          </w:tcPr>
          <w:p>
            <w:pPr>
              <w:jc w:val="right"/>
              <w:ind w:right="679"/>
              <w:spacing w:after="0"/>
              <w:rPr>
                <w:sz w:val="20"/>
                <w:szCs w:val="20"/>
                <w:color w:val="auto"/>
              </w:rPr>
            </w:pPr>
            <w:r>
              <w:rPr>
                <w:rFonts w:ascii="Arial" w:cs="Arial" w:eastAsia="Arial" w:hAnsi="Arial"/>
                <w:sz w:val="16"/>
                <w:szCs w:val="16"/>
                <w:color w:val="auto"/>
              </w:rPr>
              <w:t>(0.6%)</w:t>
            </w: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(0.6%)</w:t>
            </w:r>
          </w:p>
        </w:tc>
      </w:tr>
      <w:tr>
        <w:trPr>
          <w:trHeight w:val="33"/>
        </w:trPr>
        <w:tc>
          <w:tcPr>
            <w:tcW w:w="51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5"/>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27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0.8%</w:t>
            </w:r>
          </w:p>
        </w:tc>
        <w:tc>
          <w:tcPr>
            <w:tcW w:w="206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6"/>
                <w:szCs w:val="16"/>
                <w:color w:val="auto"/>
              </w:rPr>
              <w:t>(2.0%)</w:t>
            </w:r>
          </w:p>
        </w:tc>
        <w:tc>
          <w:tcPr>
            <w:tcW w:w="14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(0.3%)</w:t>
            </w:r>
          </w:p>
        </w:tc>
      </w:tr>
      <w:tr>
        <w:trPr>
          <w:trHeight w:val="231"/>
        </w:trPr>
        <w:tc>
          <w:tcPr>
            <w:tcW w:w="51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Effective tax rate</w:t>
            </w:r>
          </w:p>
        </w:tc>
        <w:tc>
          <w:tcPr>
            <w:tcW w:w="2740" w:type="dxa"/>
            <w:vAlign w:val="bottom"/>
            <w:tcBorders>
              <w:top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44.7%</w:t>
            </w:r>
          </w:p>
        </w:tc>
        <w:tc>
          <w:tcPr>
            <w:tcW w:w="2060" w:type="dxa"/>
            <w:vAlign w:val="bottom"/>
            <w:tcBorders>
              <w:top w:val="single" w:sz="8" w:color="auto"/>
            </w:tcBorders>
          </w:tcPr>
          <w:p>
            <w:pPr>
              <w:jc w:val="right"/>
              <w:ind w:right="739"/>
              <w:spacing w:after="0"/>
              <w:rPr>
                <w:sz w:val="20"/>
                <w:szCs w:val="20"/>
                <w:color w:val="auto"/>
              </w:rPr>
            </w:pPr>
            <w:r>
              <w:rPr>
                <w:rFonts w:ascii="Arial" w:cs="Arial" w:eastAsia="Arial" w:hAnsi="Arial"/>
                <w:sz w:val="16"/>
                <w:szCs w:val="16"/>
                <w:color w:val="auto"/>
              </w:rPr>
              <w:t>48.2%</w:t>
            </w:r>
          </w:p>
        </w:tc>
        <w:tc>
          <w:tcPr>
            <w:tcW w:w="146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38.6%</w:t>
            </w:r>
          </w:p>
        </w:tc>
      </w:tr>
    </w:tbl>
    <w:p>
      <w:pPr>
        <w:spacing w:after="0" w:line="28" w:lineRule="exact"/>
        <w:rPr>
          <w:sz w:val="20"/>
          <w:szCs w:val="20"/>
          <w:color w:val="auto"/>
        </w:rPr>
      </w:pPr>
    </w:p>
    <w:p>
      <w:pPr>
        <w:ind w:left="80" w:hanging="72"/>
        <w:spacing w:after="0"/>
        <w:tabs>
          <w:tab w:leader="none" w:pos="80" w:val="left"/>
        </w:tabs>
        <w:numPr>
          <w:ilvl w:val="0"/>
          <w:numId w:val="46"/>
        </w:numPr>
        <w:rPr>
          <w:rFonts w:ascii="Arial" w:cs="Arial" w:eastAsia="Arial" w:hAnsi="Arial"/>
          <w:sz w:val="9"/>
          <w:szCs w:val="9"/>
          <w:color w:val="auto"/>
        </w:rPr>
      </w:pPr>
      <w:r>
        <w:rPr>
          <w:rFonts w:ascii="Arial" w:cs="Arial" w:eastAsia="Arial" w:hAnsi="Arial"/>
          <w:sz w:val="14"/>
          <w:szCs w:val="14"/>
          <w:color w:val="auto"/>
        </w:rPr>
        <w:t>The statutory rate in 2017 is reduced due to tax reform.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(2017 vs. 2016)</w:t>
      </w:r>
    </w:p>
    <w:p>
      <w:pPr>
        <w:spacing w:after="0" w:line="23" w:lineRule="exact"/>
        <w:rPr>
          <w:sz w:val="20"/>
          <w:szCs w:val="20"/>
          <w:color w:val="auto"/>
        </w:rPr>
      </w:pPr>
    </w:p>
    <w:p>
      <w:pPr>
        <w:ind w:right="180"/>
        <w:spacing w:after="0" w:line="295" w:lineRule="auto"/>
        <w:rPr>
          <w:sz w:val="20"/>
          <w:szCs w:val="20"/>
          <w:color w:val="auto"/>
        </w:rPr>
      </w:pPr>
      <w:r>
        <w:rPr>
          <w:rFonts w:ascii="Arial" w:cs="Arial" w:eastAsia="Arial" w:hAnsi="Arial"/>
          <w:sz w:val="16"/>
          <w:szCs w:val="16"/>
          <w:color w:val="auto"/>
        </w:rPr>
        <w:t>The decrease in the effective tax rate for 2017 compared with 2016 was primarily due to the non-deductible goodwill impairment charge of $197 related to Trunk Club in the third quarter of 2016 (see Note 8: Fair Value Measurements in Item 8). Excluding the impact of the Trunk Club goodwill impairment, our effective tax rate for 2017 would have increased approximately 700 basis points compared with the prior year primarily due to a provisional, one-time tax charge related to the revaluation of net deferred tax assets as a result of the Tax Act (see Note 13: Income Taxes in Item 8 for additional information).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(2016 vs. 2015)</w:t>
      </w:r>
    </w:p>
    <w:p>
      <w:pPr>
        <w:spacing w:after="0" w:line="23" w:lineRule="exact"/>
        <w:rPr>
          <w:sz w:val="20"/>
          <w:szCs w:val="20"/>
          <w:color w:val="auto"/>
        </w:rPr>
      </w:pPr>
    </w:p>
    <w:p>
      <w:pPr>
        <w:jc w:val="both"/>
        <w:ind w:right="300"/>
        <w:spacing w:after="0" w:line="255" w:lineRule="auto"/>
        <w:rPr>
          <w:sz w:val="20"/>
          <w:szCs w:val="20"/>
          <w:color w:val="auto"/>
        </w:rPr>
      </w:pPr>
      <w:r>
        <w:rPr>
          <w:rFonts w:ascii="Arial" w:cs="Arial" w:eastAsia="Arial" w:hAnsi="Arial"/>
          <w:sz w:val="18"/>
          <w:szCs w:val="18"/>
          <w:color w:val="auto"/>
        </w:rPr>
        <w:t>The increase in the effective tax rate for 2016 compared with 2015 was primarily due to the non-deductible goodwill impairment charge of $197 related to Trunk Club. Excluding the impact of the Trunk Club goodwill impairment, our effective tax rate for 2016 would have decreased approximately 100 basis points compared with the prior year primarily due to an increase in nontaxable income.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40" w:type="dxa"/>
            <w:vAlign w:val="bottom"/>
          </w:tcPr>
          <w:p>
            <w:pPr>
              <w:ind w:left="40"/>
              <w:spacing w:after="0"/>
              <w:rPr>
                <w:sz w:val="20"/>
                <w:szCs w:val="20"/>
                <w:color w:val="auto"/>
              </w:rPr>
            </w:pPr>
            <w:r>
              <w:rPr>
                <w:rFonts w:ascii="Arial" w:cs="Arial" w:eastAsia="Arial" w:hAnsi="Arial"/>
                <w:sz w:val="16"/>
                <w:szCs w:val="16"/>
                <w:b w:val="1"/>
                <w:bCs w:val="1"/>
                <w:color w:val="auto"/>
              </w:rPr>
              <w:t>Fiscal year</w:t>
            </w:r>
          </w:p>
        </w:tc>
        <w:tc>
          <w:tcPr>
            <w:tcW w:w="4300" w:type="dxa"/>
            <w:vAlign w:val="bottom"/>
          </w:tcPr>
          <w:p>
            <w:pPr>
              <w:jc w:val="right"/>
              <w:ind w:right="719"/>
              <w:spacing w:after="0"/>
              <w:rPr>
                <w:sz w:val="20"/>
                <w:szCs w:val="20"/>
                <w:color w:val="auto"/>
              </w:rPr>
            </w:pPr>
            <w:r>
              <w:rPr>
                <w:rFonts w:ascii="Arial" w:cs="Arial" w:eastAsia="Arial" w:hAnsi="Arial"/>
                <w:sz w:val="16"/>
                <w:szCs w:val="16"/>
                <w:b w:val="1"/>
                <w:bCs w:val="1"/>
                <w:color w:val="auto"/>
              </w:rPr>
              <w:t>2017</w:t>
            </w:r>
          </w:p>
        </w:tc>
        <w:tc>
          <w:tcPr>
            <w:tcW w:w="1940" w:type="dxa"/>
            <w:vAlign w:val="bottom"/>
          </w:tcPr>
          <w:p>
            <w:pPr>
              <w:jc w:val="right"/>
              <w:ind w:right="699"/>
              <w:spacing w:after="0"/>
              <w:rPr>
                <w:sz w:val="20"/>
                <w:szCs w:val="20"/>
                <w:color w:val="auto"/>
              </w:rPr>
            </w:pPr>
            <w:r>
              <w:rPr>
                <w:rFonts w:ascii="Arial" w:cs="Arial" w:eastAsia="Arial" w:hAnsi="Arial"/>
                <w:sz w:val="16"/>
                <w:szCs w:val="16"/>
                <w:b w:val="1"/>
                <w:bCs w:val="1"/>
                <w:color w:val="auto"/>
              </w:rPr>
              <w:t>2016</w:t>
            </w:r>
          </w:p>
        </w:tc>
        <w:tc>
          <w:tcPr>
            <w:tcW w:w="1240" w:type="dxa"/>
            <w:vAlign w:val="bottom"/>
          </w:tcPr>
          <w:p>
            <w:pPr>
              <w:jc w:val="right"/>
              <w:ind w:right="19"/>
              <w:spacing w:after="0"/>
              <w:rPr>
                <w:sz w:val="20"/>
                <w:szCs w:val="20"/>
                <w:color w:val="auto"/>
              </w:rPr>
            </w:pPr>
            <w:r>
              <w:rPr>
                <w:rFonts w:ascii="Arial" w:cs="Arial" w:eastAsia="Arial" w:hAnsi="Arial"/>
                <w:sz w:val="16"/>
                <w:szCs w:val="16"/>
                <w:b w:val="1"/>
                <w:bCs w:val="1"/>
                <w:color w:val="auto"/>
              </w:rPr>
              <w:t>2015</w:t>
            </w:r>
          </w:p>
        </w:tc>
      </w:tr>
      <w:tr>
        <w:trPr>
          <w:trHeight w:val="33"/>
        </w:trPr>
        <w:tc>
          <w:tcPr>
            <w:tcW w:w="3940" w:type="dxa"/>
            <w:vAlign w:val="bottom"/>
            <w:tcBorders>
              <w:bottom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w:t>
            </w:r>
          </w:p>
        </w:tc>
        <w:tc>
          <w:tcPr>
            <w:tcW w:w="430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b w:val="1"/>
                <w:bCs w:val="1"/>
                <w:color w:val="auto"/>
              </w:rPr>
              <w:t>$2.62</w:t>
            </w:r>
          </w:p>
        </w:tc>
        <w:tc>
          <w:tcPr>
            <w:tcW w:w="194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color w:val="auto"/>
              </w:rPr>
              <w:t>$2.05</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$3.22</w:t>
            </w:r>
          </w:p>
        </w:tc>
      </w:tr>
      <w:tr>
        <w:trPr>
          <w:trHeight w:val="237"/>
        </w:trPr>
        <w:tc>
          <w:tcPr>
            <w:tcW w:w="3940" w:type="dxa"/>
            <w:vAlign w:val="bottom"/>
          </w:tcPr>
          <w:p>
            <w:pPr>
              <w:ind w:left="40"/>
              <w:spacing w:after="0"/>
              <w:rPr>
                <w:sz w:val="20"/>
                <w:szCs w:val="20"/>
                <w:color w:val="auto"/>
              </w:rPr>
            </w:pPr>
            <w:r>
              <w:rPr>
                <w:rFonts w:ascii="Arial" w:cs="Arial" w:eastAsia="Arial" w:hAnsi="Arial"/>
                <w:sz w:val="16"/>
                <w:szCs w:val="16"/>
                <w:color w:val="auto"/>
              </w:rPr>
              <w:t>Diluted</w:t>
            </w:r>
          </w:p>
        </w:tc>
        <w:tc>
          <w:tcPr>
            <w:tcW w:w="4300" w:type="dxa"/>
            <w:vAlign w:val="bottom"/>
          </w:tcPr>
          <w:p>
            <w:pPr>
              <w:jc w:val="right"/>
              <w:ind w:right="719"/>
              <w:spacing w:after="0"/>
              <w:rPr>
                <w:sz w:val="20"/>
                <w:szCs w:val="20"/>
                <w:color w:val="auto"/>
              </w:rPr>
            </w:pPr>
            <w:r>
              <w:rPr>
                <w:rFonts w:ascii="Arial" w:cs="Arial" w:eastAsia="Arial" w:hAnsi="Arial"/>
                <w:sz w:val="16"/>
                <w:szCs w:val="16"/>
                <w:b w:val="1"/>
                <w:bCs w:val="1"/>
                <w:color w:val="auto"/>
              </w:rPr>
              <w:t>$2.59</w:t>
            </w:r>
          </w:p>
        </w:tc>
        <w:tc>
          <w:tcPr>
            <w:tcW w:w="1940" w:type="dxa"/>
            <w:vAlign w:val="bottom"/>
          </w:tcPr>
          <w:p>
            <w:pPr>
              <w:jc w:val="right"/>
              <w:ind w:right="699"/>
              <w:spacing w:after="0"/>
              <w:rPr>
                <w:sz w:val="20"/>
                <w:szCs w:val="20"/>
                <w:color w:val="auto"/>
              </w:rPr>
            </w:pPr>
            <w:r>
              <w:rPr>
                <w:rFonts w:ascii="Arial" w:cs="Arial" w:eastAsia="Arial" w:hAnsi="Arial"/>
                <w:sz w:val="16"/>
                <w:szCs w:val="16"/>
                <w:color w:val="auto"/>
              </w:rPr>
              <w:t>$2.02</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$3.15</w:t>
            </w:r>
          </w:p>
        </w:tc>
      </w:tr>
      <w:tr>
        <w:trPr>
          <w:trHeight w:val="33"/>
        </w:trPr>
        <w:tc>
          <w:tcPr>
            <w:tcW w:w="3940" w:type="dxa"/>
            <w:vAlign w:val="bottom"/>
            <w:tcBorders>
              <w:bottom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 (2017 vs. 2016)</w:t>
      </w:r>
    </w:p>
    <w:p>
      <w:pPr>
        <w:spacing w:after="0" w:line="23"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For 2017, diluted earnings per share (“EPS”) of $2.59 included impacts associated with the Tax Act consisting of a $0.25 per share reduction related to our income tax provision and a $0.06 per share decrease for a one-time investment in our employees. The impact of the Trunk Club goodwill impairment charge of $197 in 2016 was approximately $1.12 per share. Excluding the impact of these items, EPS decreased in 2017 compared with 2016 due to planned increases in supply chain and technology costs associated with our growth initiatives, partially offset by an increase in net sales.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 (2016 vs. 2015)</w:t>
      </w:r>
    </w:p>
    <w:p>
      <w:pPr>
        <w:spacing w:after="0" w:line="23" w:lineRule="exact"/>
        <w:rPr>
          <w:sz w:val="20"/>
          <w:szCs w:val="20"/>
          <w:color w:val="auto"/>
        </w:rPr>
      </w:pPr>
    </w:p>
    <w:p>
      <w:pPr>
        <w:ind w:right="380"/>
        <w:spacing w:after="0" w:line="255" w:lineRule="auto"/>
        <w:rPr>
          <w:sz w:val="20"/>
          <w:szCs w:val="20"/>
          <w:color w:val="auto"/>
        </w:rPr>
      </w:pPr>
      <w:r>
        <w:rPr>
          <w:rFonts w:ascii="Arial" w:cs="Arial" w:eastAsia="Arial" w:hAnsi="Arial"/>
          <w:sz w:val="18"/>
          <w:szCs w:val="18"/>
          <w:color w:val="auto"/>
        </w:rPr>
        <w:t>The decrease in EPS for 2016 compared with 2015 was primarily due to the Trunk Club goodwill impairment charge in 2016. Excluding the goodwill impairment charge, EPS in 2016 was relatively flat compared with 2015 due to higher technology and fulfillment costs supporting multi-channel growth, offset by a decrease in shares outstanding as a result of share repurchases during the year.</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Results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our results for the fourth quarters of 2017 and 2016:</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140" w:type="dxa"/>
            <w:vAlign w:val="bottom"/>
          </w:tcPr>
          <w:p>
            <w:pPr>
              <w:ind w:left="40"/>
              <w:spacing w:after="0"/>
              <w:rPr>
                <w:sz w:val="20"/>
                <w:szCs w:val="20"/>
                <w:color w:val="auto"/>
              </w:rPr>
            </w:pPr>
            <w:r>
              <w:rPr>
                <w:rFonts w:ascii="Arial" w:cs="Arial" w:eastAsia="Arial" w:hAnsi="Arial"/>
                <w:sz w:val="16"/>
                <w:szCs w:val="16"/>
                <w:b w:val="1"/>
                <w:bCs w:val="1"/>
                <w:color w:val="auto"/>
              </w:rPr>
              <w:t>Quarter ended</w:t>
            </w:r>
          </w:p>
        </w:tc>
        <w:tc>
          <w:tcPr>
            <w:tcW w:w="3380" w:type="dxa"/>
            <w:vAlign w:val="bottom"/>
          </w:tcPr>
          <w:p>
            <w:pPr>
              <w:jc w:val="right"/>
              <w:ind w:right="519"/>
              <w:spacing w:after="0"/>
              <w:rPr>
                <w:sz w:val="20"/>
                <w:szCs w:val="20"/>
                <w:color w:val="auto"/>
              </w:rPr>
            </w:pPr>
            <w:r>
              <w:rPr>
                <w:rFonts w:ascii="Arial" w:cs="Arial" w:eastAsia="Arial" w:hAnsi="Arial"/>
                <w:sz w:val="16"/>
                <w:szCs w:val="16"/>
                <w:b w:val="1"/>
                <w:bCs w:val="1"/>
                <w:color w:val="auto"/>
              </w:rPr>
              <w:t>February 3, 2018</w:t>
            </w:r>
          </w:p>
        </w:tc>
        <w:tc>
          <w:tcPr>
            <w:tcW w:w="1900" w:type="dxa"/>
            <w:vAlign w:val="bottom"/>
          </w:tcPr>
          <w:p>
            <w:pPr>
              <w:jc w:val="right"/>
              <w:ind w:right="279"/>
              <w:spacing w:after="0"/>
              <w:rPr>
                <w:sz w:val="20"/>
                <w:szCs w:val="20"/>
                <w:color w:val="auto"/>
              </w:rPr>
            </w:pPr>
            <w:r>
              <w:rPr>
                <w:rFonts w:ascii="Arial" w:cs="Arial" w:eastAsia="Arial" w:hAnsi="Arial"/>
                <w:sz w:val="16"/>
                <w:szCs w:val="16"/>
                <w:b w:val="1"/>
                <w:bCs w:val="1"/>
                <w:color w:val="auto"/>
              </w:rPr>
              <w:t>January 28, 2017</w:t>
            </w:r>
          </w:p>
        </w:tc>
      </w:tr>
      <w:tr>
        <w:trPr>
          <w:trHeight w:val="33"/>
        </w:trPr>
        <w:tc>
          <w:tcPr>
            <w:tcW w:w="614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4"/>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338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6"/>
                <w:szCs w:val="16"/>
                <w:b w:val="1"/>
                <w:bCs w:val="1"/>
                <w:color w:val="auto"/>
              </w:rPr>
              <w:t>$4,600</w:t>
            </w:r>
          </w:p>
        </w:tc>
        <w:tc>
          <w:tcPr>
            <w:tcW w:w="190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$4,243</w:t>
            </w:r>
          </w:p>
        </w:tc>
      </w:tr>
      <w:tr>
        <w:trPr>
          <w:trHeight w:val="224"/>
        </w:trPr>
        <w:tc>
          <w:tcPr>
            <w:tcW w:w="6140" w:type="dxa"/>
            <w:vAlign w:val="bottom"/>
          </w:tcPr>
          <w:p>
            <w:pPr>
              <w:ind w:left="40"/>
              <w:spacing w:after="0"/>
              <w:rPr>
                <w:sz w:val="20"/>
                <w:szCs w:val="20"/>
                <w:color w:val="auto"/>
              </w:rPr>
            </w:pPr>
            <w:r>
              <w:rPr>
                <w:rFonts w:ascii="Arial" w:cs="Arial" w:eastAsia="Arial" w:hAnsi="Arial"/>
                <w:sz w:val="16"/>
                <w:szCs w:val="16"/>
                <w:color w:val="auto"/>
              </w:rPr>
              <w:t>Credit card revenues, net</w:t>
            </w:r>
          </w:p>
        </w:tc>
        <w:tc>
          <w:tcPr>
            <w:tcW w:w="3380" w:type="dxa"/>
            <w:vAlign w:val="bottom"/>
          </w:tcPr>
          <w:p>
            <w:pPr>
              <w:jc w:val="right"/>
              <w:ind w:right="519"/>
              <w:spacing w:after="0"/>
              <w:rPr>
                <w:sz w:val="20"/>
                <w:szCs w:val="20"/>
                <w:color w:val="auto"/>
              </w:rPr>
            </w:pPr>
            <w:r>
              <w:rPr>
                <w:rFonts w:ascii="Arial" w:cs="Arial" w:eastAsia="Arial" w:hAnsi="Arial"/>
                <w:sz w:val="16"/>
                <w:szCs w:val="16"/>
                <w:b w:val="1"/>
                <w:bCs w:val="1"/>
                <w:color w:val="auto"/>
              </w:rPr>
              <w:t>102</w:t>
            </w:r>
          </w:p>
        </w:tc>
        <w:tc>
          <w:tcPr>
            <w:tcW w:w="1900" w:type="dxa"/>
            <w:vAlign w:val="bottom"/>
          </w:tcPr>
          <w:p>
            <w:pPr>
              <w:jc w:val="right"/>
              <w:ind w:right="279"/>
              <w:spacing w:after="0"/>
              <w:rPr>
                <w:sz w:val="20"/>
                <w:szCs w:val="20"/>
                <w:color w:val="auto"/>
              </w:rPr>
            </w:pPr>
            <w:r>
              <w:rPr>
                <w:rFonts w:ascii="Arial" w:cs="Arial" w:eastAsia="Arial" w:hAnsi="Arial"/>
                <w:sz w:val="16"/>
                <w:szCs w:val="16"/>
                <w:color w:val="auto"/>
              </w:rPr>
              <w:t>73</w:t>
            </w:r>
          </w:p>
        </w:tc>
      </w:tr>
      <w:tr>
        <w:trPr>
          <w:trHeight w:val="33"/>
        </w:trPr>
        <w:tc>
          <w:tcPr>
            <w:tcW w:w="61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338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6"/>
                <w:szCs w:val="16"/>
                <w:b w:val="1"/>
                <w:bCs w:val="1"/>
                <w:color w:val="auto"/>
              </w:rPr>
              <w:t>1,631</w:t>
            </w:r>
          </w:p>
        </w:tc>
        <w:tc>
          <w:tcPr>
            <w:tcW w:w="190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1,523</w:t>
            </w:r>
          </w:p>
        </w:tc>
      </w:tr>
      <w:tr>
        <w:trPr>
          <w:trHeight w:val="237"/>
        </w:trPr>
        <w:tc>
          <w:tcPr>
            <w:tcW w:w="6140" w:type="dxa"/>
            <w:vAlign w:val="bottom"/>
          </w:tcPr>
          <w:p>
            <w:pPr>
              <w:ind w:left="40"/>
              <w:spacing w:after="0"/>
              <w:rPr>
                <w:sz w:val="20"/>
                <w:szCs w:val="20"/>
                <w:color w:val="auto"/>
              </w:rPr>
            </w:pPr>
            <w:r>
              <w:rPr>
                <w:rFonts w:ascii="Arial" w:cs="Arial" w:eastAsia="Arial" w:hAnsi="Arial"/>
                <w:sz w:val="16"/>
                <w:szCs w:val="16"/>
                <w:color w:val="auto"/>
              </w:rPr>
              <w:t>Gross profit as a % of net sales</w:t>
            </w:r>
          </w:p>
        </w:tc>
        <w:tc>
          <w:tcPr>
            <w:tcW w:w="3380" w:type="dxa"/>
            <w:vAlign w:val="bottom"/>
          </w:tcPr>
          <w:p>
            <w:pPr>
              <w:jc w:val="right"/>
              <w:ind w:right="359"/>
              <w:spacing w:after="0"/>
              <w:rPr>
                <w:sz w:val="20"/>
                <w:szCs w:val="20"/>
                <w:color w:val="auto"/>
              </w:rPr>
            </w:pPr>
            <w:r>
              <w:rPr>
                <w:rFonts w:ascii="Arial" w:cs="Arial" w:eastAsia="Arial" w:hAnsi="Arial"/>
                <w:sz w:val="16"/>
                <w:szCs w:val="16"/>
                <w:b w:val="1"/>
                <w:bCs w:val="1"/>
                <w:color w:val="auto"/>
              </w:rPr>
              <w:t>35.5%</w:t>
            </w:r>
          </w:p>
        </w:tc>
        <w:tc>
          <w:tcPr>
            <w:tcW w:w="1900" w:type="dxa"/>
            <w:vAlign w:val="bottom"/>
          </w:tcPr>
          <w:p>
            <w:pPr>
              <w:jc w:val="right"/>
              <w:ind w:right="139"/>
              <w:spacing w:after="0"/>
              <w:rPr>
                <w:sz w:val="20"/>
                <w:szCs w:val="20"/>
                <w:color w:val="auto"/>
              </w:rPr>
            </w:pPr>
            <w:r>
              <w:rPr>
                <w:rFonts w:ascii="Arial" w:cs="Arial" w:eastAsia="Arial" w:hAnsi="Arial"/>
                <w:sz w:val="16"/>
                <w:szCs w:val="16"/>
                <w:color w:val="auto"/>
              </w:rPr>
              <w:t>35.9%</w:t>
            </w:r>
          </w:p>
        </w:tc>
      </w:tr>
      <w:tr>
        <w:trPr>
          <w:trHeight w:val="33"/>
        </w:trPr>
        <w:tc>
          <w:tcPr>
            <w:tcW w:w="61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Retail selling, general and administrative expenses</w:t>
            </w:r>
          </w:p>
        </w:tc>
        <w:tc>
          <w:tcPr>
            <w:tcW w:w="338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b w:val="1"/>
                <w:bCs w:val="1"/>
                <w:color w:val="auto"/>
              </w:rPr>
              <w:t>(1,337)</w:t>
            </w:r>
          </w:p>
        </w:tc>
        <w:tc>
          <w:tcPr>
            <w:tcW w:w="19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(1,134)</w:t>
            </w:r>
          </w:p>
        </w:tc>
      </w:tr>
      <w:tr>
        <w:trPr>
          <w:trHeight w:val="237"/>
        </w:trPr>
        <w:tc>
          <w:tcPr>
            <w:tcW w:w="6140" w:type="dxa"/>
            <w:vAlign w:val="bottom"/>
          </w:tcPr>
          <w:p>
            <w:pPr>
              <w:ind w:left="40"/>
              <w:spacing w:after="0"/>
              <w:rPr>
                <w:sz w:val="20"/>
                <w:szCs w:val="20"/>
                <w:color w:val="auto"/>
              </w:rPr>
            </w:pPr>
            <w:r>
              <w:rPr>
                <w:rFonts w:ascii="Arial" w:cs="Arial" w:eastAsia="Arial" w:hAnsi="Arial"/>
                <w:sz w:val="16"/>
                <w:szCs w:val="16"/>
                <w:color w:val="auto"/>
              </w:rPr>
              <w:t>Retail selling, general and administrative expenses as a % of net sales</w:t>
            </w:r>
          </w:p>
        </w:tc>
        <w:tc>
          <w:tcPr>
            <w:tcW w:w="3380" w:type="dxa"/>
            <w:vAlign w:val="bottom"/>
          </w:tcPr>
          <w:p>
            <w:pPr>
              <w:jc w:val="right"/>
              <w:ind w:right="299"/>
              <w:spacing w:after="0"/>
              <w:rPr>
                <w:sz w:val="20"/>
                <w:szCs w:val="20"/>
                <w:color w:val="auto"/>
              </w:rPr>
            </w:pPr>
            <w:r>
              <w:rPr>
                <w:rFonts w:ascii="Arial" w:cs="Arial" w:eastAsia="Arial" w:hAnsi="Arial"/>
                <w:sz w:val="16"/>
                <w:szCs w:val="16"/>
                <w:b w:val="1"/>
                <w:bCs w:val="1"/>
                <w:color w:val="auto"/>
              </w:rPr>
              <w:t>(29.1%)</w:t>
            </w:r>
          </w:p>
        </w:tc>
        <w:tc>
          <w:tcPr>
            <w:tcW w:w="1900" w:type="dxa"/>
            <w:vAlign w:val="bottom"/>
          </w:tcPr>
          <w:p>
            <w:pPr>
              <w:jc w:val="right"/>
              <w:ind w:right="79"/>
              <w:spacing w:after="0"/>
              <w:rPr>
                <w:sz w:val="20"/>
                <w:szCs w:val="20"/>
                <w:color w:val="auto"/>
              </w:rPr>
            </w:pPr>
            <w:r>
              <w:rPr>
                <w:rFonts w:ascii="Arial" w:cs="Arial" w:eastAsia="Arial" w:hAnsi="Arial"/>
                <w:sz w:val="16"/>
                <w:szCs w:val="16"/>
                <w:color w:val="auto"/>
              </w:rPr>
              <w:t>(26.7%)</w:t>
            </w:r>
          </w:p>
        </w:tc>
      </w:tr>
      <w:tr>
        <w:trPr>
          <w:trHeight w:val="33"/>
        </w:trPr>
        <w:tc>
          <w:tcPr>
            <w:tcW w:w="61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Credit expenses</w:t>
            </w:r>
          </w:p>
        </w:tc>
        <w:tc>
          <w:tcPr>
            <w:tcW w:w="338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b w:val="1"/>
                <w:bCs w:val="1"/>
                <w:color w:val="auto"/>
              </w:rPr>
              <w:t>(52)</w:t>
            </w:r>
          </w:p>
        </w:tc>
        <w:tc>
          <w:tcPr>
            <w:tcW w:w="19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(42)</w:t>
            </w:r>
          </w:p>
        </w:tc>
      </w:tr>
      <w:tr>
        <w:trPr>
          <w:trHeight w:val="237"/>
        </w:trPr>
        <w:tc>
          <w:tcPr>
            <w:tcW w:w="6140" w:type="dxa"/>
            <w:vAlign w:val="bottom"/>
          </w:tcPr>
          <w:p>
            <w:pPr>
              <w:ind w:left="40"/>
              <w:spacing w:after="0"/>
              <w:rPr>
                <w:sz w:val="20"/>
                <w:szCs w:val="20"/>
                <w:color w:val="auto"/>
              </w:rPr>
            </w:pPr>
            <w:r>
              <w:rPr>
                <w:rFonts w:ascii="Arial" w:cs="Arial" w:eastAsia="Arial" w:hAnsi="Arial"/>
                <w:sz w:val="16"/>
                <w:szCs w:val="16"/>
                <w:color w:val="auto"/>
              </w:rPr>
              <w:t>Net earnings</w:t>
            </w:r>
          </w:p>
        </w:tc>
        <w:tc>
          <w:tcPr>
            <w:tcW w:w="3380" w:type="dxa"/>
            <w:vAlign w:val="bottom"/>
          </w:tcPr>
          <w:p>
            <w:pPr>
              <w:jc w:val="right"/>
              <w:ind w:right="519"/>
              <w:spacing w:after="0"/>
              <w:rPr>
                <w:sz w:val="20"/>
                <w:szCs w:val="20"/>
                <w:color w:val="auto"/>
              </w:rPr>
            </w:pPr>
            <w:r>
              <w:rPr>
                <w:rFonts w:ascii="Arial" w:cs="Arial" w:eastAsia="Arial" w:hAnsi="Arial"/>
                <w:sz w:val="16"/>
                <w:szCs w:val="16"/>
                <w:b w:val="1"/>
                <w:bCs w:val="1"/>
                <w:color w:val="auto"/>
              </w:rPr>
              <w:t>151</w:t>
            </w:r>
          </w:p>
        </w:tc>
        <w:tc>
          <w:tcPr>
            <w:tcW w:w="1900" w:type="dxa"/>
            <w:vAlign w:val="bottom"/>
          </w:tcPr>
          <w:p>
            <w:pPr>
              <w:jc w:val="right"/>
              <w:ind w:right="279"/>
              <w:spacing w:after="0"/>
              <w:rPr>
                <w:sz w:val="20"/>
                <w:szCs w:val="20"/>
                <w:color w:val="auto"/>
              </w:rPr>
            </w:pPr>
            <w:r>
              <w:rPr>
                <w:rFonts w:ascii="Arial" w:cs="Arial" w:eastAsia="Arial" w:hAnsi="Arial"/>
                <w:sz w:val="16"/>
                <w:szCs w:val="16"/>
                <w:color w:val="auto"/>
              </w:rPr>
              <w:t>201</w:t>
            </w:r>
          </w:p>
        </w:tc>
      </w:tr>
      <w:tr>
        <w:trPr>
          <w:trHeight w:val="33"/>
        </w:trPr>
        <w:tc>
          <w:tcPr>
            <w:tcW w:w="61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EPS (diluted)</w:t>
            </w:r>
          </w:p>
        </w:tc>
        <w:tc>
          <w:tcPr>
            <w:tcW w:w="338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6"/>
                <w:szCs w:val="16"/>
                <w:b w:val="1"/>
                <w:bCs w:val="1"/>
                <w:color w:val="auto"/>
              </w:rPr>
              <w:t>$0.89</w:t>
            </w:r>
          </w:p>
        </w:tc>
        <w:tc>
          <w:tcPr>
            <w:tcW w:w="190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$1.15</w:t>
            </w:r>
          </w:p>
        </w:tc>
      </w:tr>
      <w:tr>
        <w:trPr>
          <w:trHeight w:val="20"/>
        </w:trPr>
        <w:tc>
          <w:tcPr>
            <w:tcW w:w="6140" w:type="dxa"/>
            <w:vAlign w:val="bottom"/>
            <w:shd w:val="clear" w:color="auto" w:fill="000000"/>
          </w:tcPr>
          <w:p>
            <w:pPr>
              <w:spacing w:after="0" w:line="20" w:lineRule="exact"/>
              <w:rPr>
                <w:sz w:val="1"/>
                <w:szCs w:val="1"/>
                <w:color w:val="auto"/>
              </w:rPr>
            </w:pPr>
          </w:p>
        </w:tc>
        <w:tc>
          <w:tcPr>
            <w:tcW w:w="3380" w:type="dxa"/>
            <w:vAlign w:val="bottom"/>
            <w:shd w:val="clear" w:color="auto" w:fill="000000"/>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6" w:right="239" w:bottom="1440" w:gutter="0" w:footer="0" w:header="0"/>
        </w:sectPr>
      </w:pP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26" w:right="239" w:bottom="1440" w:gutter="0" w:footer="0" w:header="0"/>
          <w:type w:val="continuous"/>
        </w:sectPr>
      </w:pPr>
    </w:p>
    <w:bookmarkStart w:id="24" w:name="page25"/>
    <w:bookmarkEnd w:id="24"/>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Net Sales</w:t>
      </w:r>
    </w:p>
    <w:p>
      <w:pPr>
        <w:spacing w:after="0" w:line="23"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Total Company net sales increased 8.4% in the fourth quarter of 2017, compared with the same period in 2016, inclusive of approximately $220 related to the 53rd week, and comparable sales increased 2.6%.</w:t>
      </w:r>
    </w:p>
    <w:p>
      <w:pPr>
        <w:spacing w:after="0" w:line="13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Full-price net sales increased 6.1% for the fourth quarter of 2017, compared with the same period in 2016, while comparable sales increased 2.4%. Also on a comparable basis for the quarter, full-price sales reflected increases in the average selling price per item sold and the total number of items sold. For the fourth quarter, the top-performing merchandise categories were Kids’ and Men’s Apparel.</w:t>
      </w:r>
    </w:p>
    <w:p>
      <w:pPr>
        <w:spacing w:after="0" w:line="127"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Off-price net sales increased 15% for the fourth quarter of 2017, compared with the same period in 2016, while comparable sales increased 3.7%. Nordstrom Rack net sales increased 11.4%, attributable to 17 new store openings since the end of 2016. On a comparable basis, there was a decrease at Nordstrom Rack in the average selling price per item sold while the number of items sold was flat. Beauty was the top-performing Nordstrom Rack merchandise category.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Credit Card Revenues, net</w:t>
      </w:r>
    </w:p>
    <w:p>
      <w:pPr>
        <w:spacing w:after="0" w:line="2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Credit card revenues, net increased $29 for the fourth quarter, compared with the same period in the prior year, reflecting our strategic partnership with TD to responsibly grow our receivables and associated revenues with new and enhanced product offerings. In addition, the impact of the 53rd week contributed approximately $10 in additional revenue.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Gross Profit</w:t>
      </w:r>
    </w:p>
    <w:p>
      <w:pPr>
        <w:spacing w:after="0" w:line="23" w:lineRule="exact"/>
        <w:rPr>
          <w:sz w:val="20"/>
          <w:szCs w:val="20"/>
          <w:color w:val="auto"/>
        </w:rPr>
      </w:pPr>
    </w:p>
    <w:p>
      <w:pPr>
        <w:ind w:right="540"/>
        <w:spacing w:after="0" w:line="302" w:lineRule="auto"/>
        <w:rPr>
          <w:sz w:val="20"/>
          <w:szCs w:val="20"/>
          <w:color w:val="auto"/>
        </w:rPr>
      </w:pPr>
      <w:r>
        <w:rPr>
          <w:rFonts w:ascii="Arial" w:cs="Arial" w:eastAsia="Arial" w:hAnsi="Arial"/>
          <w:sz w:val="16"/>
          <w:szCs w:val="16"/>
          <w:color w:val="auto"/>
        </w:rPr>
        <w:t>Our total Company gross profit rate decreased 44 basis points for the fourth quarter compared with the same period in 2016, primarily due to higher occupancy expenses related to new store growth for Nordstrom Rack and Canada. Merchandise margin performance was in-line with our expectations, reflecting continued strength in regular price selling trends. Ending inventory increased 6.9% over last year, generally in-line with our expectations.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Retail Selling, General and Administrative Expenses</w:t>
      </w:r>
    </w:p>
    <w:p>
      <w:pPr>
        <w:spacing w:after="0" w:line="23" w:lineRule="exact"/>
        <w:rPr>
          <w:sz w:val="20"/>
          <w:szCs w:val="20"/>
          <w:color w:val="auto"/>
        </w:rPr>
      </w:pPr>
    </w:p>
    <w:p>
      <w:pPr>
        <w:ind w:right="700"/>
        <w:spacing w:after="0" w:line="323" w:lineRule="auto"/>
        <w:rPr>
          <w:sz w:val="20"/>
          <w:szCs w:val="20"/>
          <w:color w:val="auto"/>
        </w:rPr>
      </w:pPr>
      <w:r>
        <w:rPr>
          <w:rFonts w:ascii="Arial" w:cs="Arial" w:eastAsia="Arial" w:hAnsi="Arial"/>
          <w:sz w:val="16"/>
          <w:szCs w:val="16"/>
          <w:color w:val="auto"/>
        </w:rPr>
        <w:t>Our Retail SG&amp;A rate increased 231 basis points compared with the same period in 2016. The increase reflected higher supply chain, marketing and technology expenses associated with our growth initiatives in addition to a legal settlement gain in 2016 of $22, or approximately 50 basis points.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Credit Expenses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In the fourth quarter of 2017, total credit expenses increased $10 compared with the fourth quarter of 2016, driven primarily by increased technology costs.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w:t>
      </w:r>
    </w:p>
    <w:p>
      <w:pPr>
        <w:spacing w:after="0" w:line="23"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EPS for the fourth quarter of 2017 was $0.89 per diluted share, which included impacts associated with the Tax Act consisting of a $0.25 reduction related to our income tax provision and a $0.06 decrease for a one-time pre-tax investment in our employees compared with $1.15 per diluted share for the same period in 2016. Excluding the impact of the Tax Act, EPS per diluted share increased due to higher net sales.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 on our quarterly results in 2017 and 2016, refer to Note 16: Selected Quarterly Data in Item 8.</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Guidance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Our expectations for 2018, which are shown in comparison to the 53-week fiscal 2017 where applicable, are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6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5760" w:type="dxa"/>
            <w:vAlign w:val="bottom"/>
            <w:tcBorders>
              <w:top w:val="single" w:sz="8" w:color="auto"/>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$15.2 to $15.4 billion</w:t>
            </w:r>
          </w:p>
        </w:tc>
      </w:tr>
      <w:tr>
        <w:trPr>
          <w:trHeight w:val="224"/>
        </w:trPr>
        <w:tc>
          <w:tcPr>
            <w:tcW w:w="5660" w:type="dxa"/>
            <w:vAlign w:val="bottom"/>
          </w:tcPr>
          <w:p>
            <w:pPr>
              <w:ind w:left="40"/>
              <w:spacing w:after="0"/>
              <w:rPr>
                <w:sz w:val="20"/>
                <w:szCs w:val="20"/>
                <w:color w:val="auto"/>
              </w:rPr>
            </w:pPr>
            <w:r>
              <w:rPr>
                <w:rFonts w:ascii="Arial" w:cs="Arial" w:eastAsia="Arial" w:hAnsi="Arial"/>
                <w:sz w:val="16"/>
                <w:szCs w:val="16"/>
                <w:color w:val="auto"/>
              </w:rPr>
              <w:t>Comparable sales (percent)</w:t>
            </w:r>
          </w:p>
        </w:tc>
        <w:tc>
          <w:tcPr>
            <w:tcW w:w="5760" w:type="dxa"/>
            <w:vAlign w:val="bottom"/>
          </w:tcPr>
          <w:p>
            <w:pPr>
              <w:ind w:left="420"/>
              <w:spacing w:after="0"/>
              <w:rPr>
                <w:sz w:val="20"/>
                <w:szCs w:val="20"/>
                <w:color w:val="auto"/>
              </w:rPr>
            </w:pPr>
            <w:r>
              <w:rPr>
                <w:rFonts w:ascii="Arial" w:cs="Arial" w:eastAsia="Arial" w:hAnsi="Arial"/>
                <w:sz w:val="16"/>
                <w:szCs w:val="16"/>
                <w:color w:val="auto"/>
              </w:rPr>
              <w:t>0.5 to 1.5</w:t>
            </w:r>
          </w:p>
        </w:tc>
      </w:tr>
      <w:tr>
        <w:trPr>
          <w:trHeight w:val="33"/>
        </w:trPr>
        <w:tc>
          <w:tcPr>
            <w:tcW w:w="5660" w:type="dxa"/>
            <w:vAlign w:val="bottom"/>
          </w:tcPr>
          <w:p>
            <w:pPr>
              <w:spacing w:after="0"/>
              <w:rPr>
                <w:sz w:val="2"/>
                <w:szCs w:val="2"/>
                <w:color w:val="auto"/>
              </w:rPr>
            </w:pPr>
          </w:p>
        </w:tc>
        <w:tc>
          <w:tcPr>
            <w:tcW w:w="5760" w:type="dxa"/>
            <w:vAlign w:val="bottom"/>
          </w:tcPr>
          <w:p>
            <w:pPr>
              <w:spacing w:after="0"/>
              <w:rPr>
                <w:sz w:val="2"/>
                <w:szCs w:val="2"/>
                <w:color w:val="auto"/>
              </w:rPr>
            </w:pPr>
          </w:p>
        </w:tc>
      </w:tr>
      <w:tr>
        <w:trPr>
          <w:trHeight w:val="237"/>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EBIT</w:t>
            </w:r>
          </w:p>
        </w:tc>
        <w:tc>
          <w:tcPr>
            <w:tcW w:w="57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$885 to $940 million</w:t>
            </w:r>
          </w:p>
        </w:tc>
      </w:tr>
      <w:tr>
        <w:trPr>
          <w:trHeight w:val="224"/>
        </w:trPr>
        <w:tc>
          <w:tcPr>
            <w:tcW w:w="5660" w:type="dxa"/>
            <w:vAlign w:val="bottom"/>
          </w:tcPr>
          <w:p>
            <w:pPr>
              <w:ind w:left="40"/>
              <w:spacing w:after="0"/>
              <w:rPr>
                <w:sz w:val="20"/>
                <w:szCs w:val="20"/>
                <w:color w:val="auto"/>
              </w:rPr>
            </w:pPr>
            <w:r>
              <w:rPr>
                <w:rFonts w:ascii="Arial" w:cs="Arial" w:eastAsia="Arial" w:hAnsi="Arial"/>
                <w:sz w:val="16"/>
                <w:szCs w:val="16"/>
                <w:color w:val="auto"/>
                <w:w w:val="98"/>
              </w:rPr>
              <w:t>Earnings per diluted share (excluding the impact of any future share repurchase)</w:t>
            </w:r>
          </w:p>
        </w:tc>
        <w:tc>
          <w:tcPr>
            <w:tcW w:w="5760" w:type="dxa"/>
            <w:vAlign w:val="bottom"/>
          </w:tcPr>
          <w:p>
            <w:pPr>
              <w:ind w:left="420"/>
              <w:spacing w:after="0"/>
              <w:rPr>
                <w:sz w:val="20"/>
                <w:szCs w:val="20"/>
                <w:color w:val="auto"/>
              </w:rPr>
            </w:pPr>
            <w:r>
              <w:rPr>
                <w:rFonts w:ascii="Arial" w:cs="Arial" w:eastAsia="Arial" w:hAnsi="Arial"/>
                <w:sz w:val="16"/>
                <w:szCs w:val="16"/>
                <w:color w:val="auto"/>
              </w:rPr>
              <w:t>$3.30 to $3.55</w:t>
            </w:r>
          </w:p>
        </w:tc>
      </w:tr>
      <w:tr>
        <w:trPr>
          <w:trHeight w:val="33"/>
        </w:trPr>
        <w:tc>
          <w:tcPr>
            <w:tcW w:w="5660" w:type="dxa"/>
            <w:vAlign w:val="bottom"/>
            <w:tcBorders>
              <w:bottom w:val="single" w:sz="8" w:color="auto"/>
            </w:tcBorders>
          </w:tcPr>
          <w:p>
            <w:pPr>
              <w:spacing w:after="0"/>
              <w:rPr>
                <w:sz w:val="2"/>
                <w:szCs w:val="2"/>
                <w:color w:val="auto"/>
              </w:rPr>
            </w:pPr>
          </w:p>
        </w:tc>
        <w:tc>
          <w:tcPr>
            <w:tcW w:w="576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Company’s guidance also incorporates the following assumptions:</w:t>
      </w:r>
    </w:p>
    <w:p>
      <w:pPr>
        <w:spacing w:after="0" w:line="77" w:lineRule="exact"/>
        <w:rPr>
          <w:sz w:val="20"/>
          <w:szCs w:val="20"/>
          <w:color w:val="auto"/>
        </w:rPr>
      </w:pPr>
    </w:p>
    <w:p>
      <w:pPr>
        <w:ind w:left="340" w:hanging="170"/>
        <w:spacing w:after="0"/>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effective tax rate is expected to be approximately 27.5%.</w:t>
      </w:r>
    </w:p>
    <w:p>
      <w:pPr>
        <w:spacing w:after="0" w:line="63" w:lineRule="exact"/>
        <w:rPr>
          <w:rFonts w:ascii="Arial" w:cs="Arial" w:eastAsia="Arial" w:hAnsi="Arial"/>
          <w:sz w:val="18"/>
          <w:szCs w:val="18"/>
          <w:color w:val="auto"/>
        </w:rPr>
      </w:pPr>
    </w:p>
    <w:p>
      <w:pPr>
        <w:ind w:left="340" w:hanging="170"/>
        <w:spacing w:after="0"/>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impact of revenue recognition accounting changes is estimated to reduce EBIT by approximately $30.</w:t>
      </w:r>
    </w:p>
    <w:p>
      <w:pPr>
        <w:spacing w:after="0" w:line="63" w:lineRule="exact"/>
        <w:rPr>
          <w:rFonts w:ascii="Arial" w:cs="Arial" w:eastAsia="Arial" w:hAnsi="Arial"/>
          <w:sz w:val="18"/>
          <w:szCs w:val="18"/>
          <w:color w:val="auto"/>
        </w:rPr>
      </w:pPr>
    </w:p>
    <w:p>
      <w:pPr>
        <w:ind w:left="340" w:right="360" w:hanging="170"/>
        <w:spacing w:after="0" w:line="308" w:lineRule="auto"/>
        <w:tabs>
          <w:tab w:leader="none" w:pos="3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53rd week in fiscal 2017 creates a timing shift in the 4-5-4 calendar for fiscal 2018 that is expected to impact comparisons to the prior year. This includes the shift in the Anniversary Sale event from the second and third quarters in 2017 to primarily the second quarter in 2018.</w:t>
      </w:r>
    </w:p>
    <w:p>
      <w:pPr>
        <w:spacing w:after="0" w:line="9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 a result of the evolution of our operations, our reportable segments have become progressively more integrated such that we will change our reportable segments to one reportable segment to align with how management will view the results of our operations in the first quarter of 2018, as discussed in Note 15: Segment Reporting in Item 8. These changes are not expected to impact total Company net earnings, earnings per share, financial position or cash flows. In addition, we are evaluating our legacy store based metrics, such as those calculated based on square footage, and migrating to metrics that are more relevant to how customers are engaging with us.</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25</w:t>
      </w:r>
    </w:p>
    <w:p>
      <w:pPr>
        <w:sectPr>
          <w:pgSz w:w="11900" w:h="16838" w:orient="portrait"/>
          <w:cols w:equalWidth="0" w:num="1">
            <w:col w:w="11420"/>
          </w:cols>
          <w:pgMar w:left="240" w:top="126" w:right="239" w:bottom="1440" w:gutter="0" w:footer="0" w:header="0"/>
        </w:sectPr>
      </w:pPr>
    </w:p>
    <w:bookmarkStart w:id="25" w:name="page26"/>
    <w:bookmarkEnd w:id="25"/>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Return on Invested Capital (“ROIC”) (Non-GAAP financial measure)</w:t>
      </w:r>
    </w:p>
    <w:p>
      <w:pPr>
        <w:spacing w:after="0" w:line="2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believe ROIC is a useful financial measure for investors in evaluating the efficiency and effectiveness of our use of capital and believe ROIC is an important component of shareholders’ return over the long term. In addition, we incorporate ROIC in our executive incentive compensation measures. For the 12 fiscal months ended February 3, 2018, our ROIC increased to 9.7% compared with 8.4% for the 12 fiscal months ended January 28, 2017. Results for the prior period were negatively impacted by approximately 330 basis points due to the Trunk Club non-cash goodwill impairment charge in the third quarter of 2016 (see Note 8: Fair Value Measurements in Item 8).</w:t>
      </w:r>
    </w:p>
    <w:p>
      <w:pPr>
        <w:spacing w:after="0" w:line="13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We define ROIC as our net operating profit after tax divided by our average invested capital using the trailing 12-month average. ROIC is not a measure of financial performance under generally accepted accounting principles (“GAAP”) and should be considered in addition to, and not as a substitute for, return on assets, net earnings, total assets or other financial measures prepared in accordance with GAAP. Our method of determining non-GAAP financial measures may differ from other companies’ methods and therefore may not be comparable to those used by other companies. The financial measure calculated under GAAP which is most directly comparable to ROIC is return on assets. The following is a reconciliation of the components of ROIC and return on assets: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5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960" w:type="dxa"/>
            <w:vAlign w:val="bottom"/>
          </w:tcPr>
          <w:p>
            <w:pPr>
              <w:jc w:val="right"/>
              <w:ind w:right="59"/>
              <w:spacing w:after="0"/>
              <w:rPr>
                <w:sz w:val="20"/>
                <w:szCs w:val="20"/>
                <w:color w:val="auto"/>
              </w:rPr>
            </w:pPr>
            <w:r>
              <w:rPr>
                <w:rFonts w:ascii="Arial" w:cs="Arial" w:eastAsia="Arial" w:hAnsi="Arial"/>
                <w:sz w:val="16"/>
                <w:szCs w:val="16"/>
                <w:b w:val="1"/>
                <w:bCs w:val="1"/>
                <w:color w:val="auto"/>
                <w:w w:val="98"/>
              </w:rPr>
              <w:t>12 Fiscal Months Ended</w:t>
            </w:r>
          </w:p>
        </w:tc>
        <w:tc>
          <w:tcPr>
            <w:tcW w:w="17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58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580" w:type="dxa"/>
            <w:vAlign w:val="bottom"/>
          </w:tcPr>
          <w:p>
            <w:pPr>
              <w:spacing w:after="0"/>
              <w:rPr>
                <w:sz w:val="20"/>
                <w:szCs w:val="20"/>
                <w:color w:val="auto"/>
              </w:rPr>
            </w:pPr>
          </w:p>
        </w:tc>
        <w:tc>
          <w:tcPr>
            <w:tcW w:w="1780" w:type="dxa"/>
            <w:vAlign w:val="bottom"/>
          </w:tcPr>
          <w:p>
            <w:pPr>
              <w:jc w:val="right"/>
              <w:ind w:right="319"/>
              <w:spacing w:after="0"/>
              <w:rPr>
                <w:sz w:val="20"/>
                <w:szCs w:val="20"/>
                <w:color w:val="auto"/>
              </w:rPr>
            </w:pPr>
            <w:r>
              <w:rPr>
                <w:rFonts w:ascii="Arial" w:cs="Arial" w:eastAsia="Arial" w:hAnsi="Arial"/>
                <w:sz w:val="16"/>
                <w:szCs w:val="16"/>
                <w:b w:val="1"/>
                <w:bCs w:val="1"/>
                <w:color w:val="auto"/>
              </w:rPr>
              <w:t>February 3, 2018</w:t>
            </w:r>
          </w:p>
        </w:tc>
        <w:tc>
          <w:tcPr>
            <w:tcW w:w="1680" w:type="dxa"/>
            <w:vAlign w:val="bottom"/>
          </w:tcPr>
          <w:p>
            <w:pPr>
              <w:jc w:val="right"/>
              <w:ind w:right="179"/>
              <w:spacing w:after="0"/>
              <w:rPr>
                <w:sz w:val="20"/>
                <w:szCs w:val="20"/>
                <w:color w:val="auto"/>
              </w:rPr>
            </w:pPr>
            <w:r>
              <w:rPr>
                <w:rFonts w:ascii="Arial" w:cs="Arial" w:eastAsia="Arial" w:hAnsi="Arial"/>
                <w:sz w:val="16"/>
                <w:szCs w:val="16"/>
                <w:b w:val="1"/>
                <w:bCs w:val="1"/>
                <w:color w:val="auto"/>
              </w:rPr>
              <w:t>January 28, 2017</w:t>
            </w:r>
          </w:p>
        </w:tc>
        <w:tc>
          <w:tcPr>
            <w:tcW w:w="1960" w:type="dxa"/>
            <w:vAlign w:val="bottom"/>
          </w:tcPr>
          <w:p>
            <w:pPr>
              <w:jc w:val="right"/>
              <w:ind w:right="359"/>
              <w:spacing w:after="0"/>
              <w:rPr>
                <w:sz w:val="20"/>
                <w:szCs w:val="20"/>
                <w:color w:val="auto"/>
              </w:rPr>
            </w:pPr>
            <w:r>
              <w:rPr>
                <w:rFonts w:ascii="Arial" w:cs="Arial" w:eastAsia="Arial" w:hAnsi="Arial"/>
                <w:sz w:val="16"/>
                <w:szCs w:val="16"/>
                <w:b w:val="1"/>
                <w:bCs w:val="1"/>
                <w:color w:val="auto"/>
              </w:rPr>
              <w:t>January 30, 2016</w:t>
            </w:r>
          </w:p>
        </w:tc>
        <w:tc>
          <w:tcPr>
            <w:tcW w:w="1700" w:type="dxa"/>
            <w:vAlign w:val="bottom"/>
          </w:tcPr>
          <w:p>
            <w:pPr>
              <w:jc w:val="right"/>
              <w:ind w:right="279"/>
              <w:spacing w:after="0"/>
              <w:rPr>
                <w:sz w:val="20"/>
                <w:szCs w:val="20"/>
                <w:color w:val="auto"/>
              </w:rPr>
            </w:pPr>
            <w:r>
              <w:rPr>
                <w:rFonts w:ascii="Arial" w:cs="Arial" w:eastAsia="Arial" w:hAnsi="Arial"/>
                <w:sz w:val="16"/>
                <w:szCs w:val="16"/>
                <w:b w:val="1"/>
                <w:bCs w:val="1"/>
                <w:color w:val="auto"/>
              </w:rPr>
              <w:t>January 31, 2015</w:t>
            </w:r>
          </w:p>
        </w:tc>
        <w:tc>
          <w:tcPr>
            <w:tcW w:w="1720" w:type="dxa"/>
            <w:vAlign w:val="bottom"/>
          </w:tcPr>
          <w:p>
            <w:pPr>
              <w:jc w:val="right"/>
              <w:ind w:right="219"/>
              <w:spacing w:after="0"/>
              <w:rPr>
                <w:sz w:val="20"/>
                <w:szCs w:val="20"/>
                <w:color w:val="auto"/>
              </w:rPr>
            </w:pPr>
            <w:r>
              <w:rPr>
                <w:rFonts w:ascii="Arial" w:cs="Arial" w:eastAsia="Arial" w:hAnsi="Arial"/>
                <w:sz w:val="16"/>
                <w:szCs w:val="16"/>
                <w:b w:val="1"/>
                <w:bCs w:val="1"/>
                <w:color w:val="auto"/>
              </w:rPr>
              <w:t>February 1, 2014</w:t>
            </w:r>
          </w:p>
        </w:tc>
        <w:tc>
          <w:tcPr>
            <w:tcW w:w="0" w:type="dxa"/>
            <w:vAlign w:val="bottom"/>
          </w:tcPr>
          <w:p>
            <w:pPr>
              <w:spacing w:after="0"/>
              <w:rPr>
                <w:sz w:val="1"/>
                <w:szCs w:val="1"/>
                <w:color w:val="auto"/>
              </w:rPr>
            </w:pPr>
          </w:p>
        </w:tc>
      </w:tr>
      <w:tr>
        <w:trPr>
          <w:trHeight w:val="33"/>
        </w:trPr>
        <w:tc>
          <w:tcPr>
            <w:tcW w:w="25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580" w:type="dxa"/>
            <w:vAlign w:val="bottom"/>
          </w:tcPr>
          <w:p>
            <w:pPr>
              <w:ind w:left="40"/>
              <w:spacing w:after="0"/>
              <w:rPr>
                <w:sz w:val="20"/>
                <w:szCs w:val="20"/>
                <w:color w:val="auto"/>
              </w:rPr>
            </w:pPr>
            <w:r>
              <w:rPr>
                <w:rFonts w:ascii="Arial" w:cs="Arial" w:eastAsia="Arial" w:hAnsi="Arial"/>
                <w:sz w:val="16"/>
                <w:szCs w:val="16"/>
                <w:b w:val="1"/>
                <w:bCs w:val="1"/>
                <w:color w:val="auto"/>
              </w:rPr>
              <w:t>Net earnings</w:t>
            </w:r>
          </w:p>
        </w:tc>
        <w:tc>
          <w:tcPr>
            <w:tcW w:w="1780" w:type="dxa"/>
            <w:vAlign w:val="bottom"/>
          </w:tcPr>
          <w:p>
            <w:pPr>
              <w:jc w:val="right"/>
              <w:ind w:right="319"/>
              <w:spacing w:after="0"/>
              <w:rPr>
                <w:sz w:val="20"/>
                <w:szCs w:val="20"/>
                <w:color w:val="auto"/>
              </w:rPr>
            </w:pPr>
            <w:r>
              <w:rPr>
                <w:rFonts w:ascii="Arial" w:cs="Arial" w:eastAsia="Arial" w:hAnsi="Arial"/>
                <w:sz w:val="16"/>
                <w:szCs w:val="16"/>
                <w:b w:val="1"/>
                <w:bCs w:val="1"/>
                <w:color w:val="auto"/>
              </w:rPr>
              <w:t>$437</w:t>
            </w:r>
          </w:p>
        </w:tc>
        <w:tc>
          <w:tcPr>
            <w:tcW w:w="1680" w:type="dxa"/>
            <w:vAlign w:val="bottom"/>
          </w:tcPr>
          <w:p>
            <w:pPr>
              <w:jc w:val="right"/>
              <w:ind w:right="179"/>
              <w:spacing w:after="0"/>
              <w:rPr>
                <w:sz w:val="20"/>
                <w:szCs w:val="20"/>
                <w:color w:val="auto"/>
              </w:rPr>
            </w:pPr>
            <w:r>
              <w:rPr>
                <w:rFonts w:ascii="Arial" w:cs="Arial" w:eastAsia="Arial" w:hAnsi="Arial"/>
                <w:sz w:val="16"/>
                <w:szCs w:val="16"/>
                <w:color w:val="auto"/>
              </w:rPr>
              <w:t>$354</w:t>
            </w:r>
          </w:p>
        </w:tc>
        <w:tc>
          <w:tcPr>
            <w:tcW w:w="1960" w:type="dxa"/>
            <w:vAlign w:val="bottom"/>
          </w:tcPr>
          <w:p>
            <w:pPr>
              <w:jc w:val="right"/>
              <w:ind w:right="359"/>
              <w:spacing w:after="0"/>
              <w:rPr>
                <w:sz w:val="20"/>
                <w:szCs w:val="20"/>
                <w:color w:val="auto"/>
              </w:rPr>
            </w:pPr>
            <w:r>
              <w:rPr>
                <w:rFonts w:ascii="Arial" w:cs="Arial" w:eastAsia="Arial" w:hAnsi="Arial"/>
                <w:sz w:val="16"/>
                <w:szCs w:val="16"/>
                <w:color w:val="auto"/>
              </w:rPr>
              <w:t>$600</w:t>
            </w:r>
          </w:p>
        </w:tc>
        <w:tc>
          <w:tcPr>
            <w:tcW w:w="1700" w:type="dxa"/>
            <w:vAlign w:val="bottom"/>
          </w:tcPr>
          <w:p>
            <w:pPr>
              <w:jc w:val="right"/>
              <w:ind w:right="279"/>
              <w:spacing w:after="0"/>
              <w:rPr>
                <w:sz w:val="20"/>
                <w:szCs w:val="20"/>
                <w:color w:val="auto"/>
              </w:rPr>
            </w:pPr>
            <w:r>
              <w:rPr>
                <w:rFonts w:ascii="Arial" w:cs="Arial" w:eastAsia="Arial" w:hAnsi="Arial"/>
                <w:sz w:val="16"/>
                <w:szCs w:val="16"/>
                <w:color w:val="auto"/>
              </w:rPr>
              <w:t>$720</w:t>
            </w:r>
          </w:p>
        </w:tc>
        <w:tc>
          <w:tcPr>
            <w:tcW w:w="1720" w:type="dxa"/>
            <w:vAlign w:val="bottom"/>
          </w:tcPr>
          <w:p>
            <w:pPr>
              <w:jc w:val="right"/>
              <w:ind w:right="219"/>
              <w:spacing w:after="0"/>
              <w:rPr>
                <w:sz w:val="20"/>
                <w:szCs w:val="20"/>
                <w:color w:val="auto"/>
              </w:rPr>
            </w:pPr>
            <w:r>
              <w:rPr>
                <w:rFonts w:ascii="Arial" w:cs="Arial" w:eastAsia="Arial" w:hAnsi="Arial"/>
                <w:sz w:val="16"/>
                <w:szCs w:val="16"/>
                <w:color w:val="auto"/>
              </w:rPr>
              <w:t>$734</w:t>
            </w:r>
          </w:p>
        </w:tc>
        <w:tc>
          <w:tcPr>
            <w:tcW w:w="0" w:type="dxa"/>
            <w:vAlign w:val="bottom"/>
          </w:tcPr>
          <w:p>
            <w:pPr>
              <w:spacing w:after="0"/>
              <w:rPr>
                <w:sz w:val="1"/>
                <w:szCs w:val="1"/>
                <w:color w:val="auto"/>
              </w:rPr>
            </w:pPr>
          </w:p>
        </w:tc>
      </w:tr>
      <w:tr>
        <w:trPr>
          <w:trHeight w:val="33"/>
        </w:trPr>
        <w:tc>
          <w:tcPr>
            <w:tcW w:w="25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Add: income tax expense</w:t>
            </w:r>
            <w:r>
              <w:rPr>
                <w:rFonts w:ascii="Arial" w:cs="Arial" w:eastAsia="Arial" w:hAnsi="Arial"/>
                <w:sz w:val="21"/>
                <w:szCs w:val="21"/>
                <w:color w:val="auto"/>
                <w:vertAlign w:val="superscript"/>
              </w:rPr>
              <w:t>1</w:t>
            </w:r>
          </w:p>
        </w:tc>
        <w:tc>
          <w:tcPr>
            <w:tcW w:w="1780" w:type="dxa"/>
            <w:vAlign w:val="bottom"/>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353</w:t>
            </w:r>
          </w:p>
        </w:tc>
        <w:tc>
          <w:tcPr>
            <w:tcW w:w="16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330</w:t>
            </w:r>
          </w:p>
        </w:tc>
        <w:tc>
          <w:tcPr>
            <w:tcW w:w="19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376</w:t>
            </w:r>
          </w:p>
        </w:tc>
        <w:tc>
          <w:tcPr>
            <w:tcW w:w="17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465</w:t>
            </w:r>
          </w:p>
        </w:tc>
        <w:tc>
          <w:tcPr>
            <w:tcW w:w="17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455</w:t>
            </w:r>
          </w:p>
        </w:tc>
        <w:tc>
          <w:tcPr>
            <w:tcW w:w="0" w:type="dxa"/>
            <w:vAlign w:val="bottom"/>
          </w:tcPr>
          <w:p>
            <w:pPr>
              <w:spacing w:after="0"/>
              <w:rPr>
                <w:sz w:val="1"/>
                <w:szCs w:val="1"/>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6"/>
                <w:szCs w:val="16"/>
                <w:color w:val="auto"/>
              </w:rPr>
              <w:t>Add: interest expense</w:t>
            </w:r>
          </w:p>
        </w:tc>
        <w:tc>
          <w:tcPr>
            <w:tcW w:w="1780" w:type="dxa"/>
            <w:vAlign w:val="bottom"/>
          </w:tcPr>
          <w:p>
            <w:pPr>
              <w:jc w:val="right"/>
              <w:ind w:right="319"/>
              <w:spacing w:after="0"/>
              <w:rPr>
                <w:sz w:val="20"/>
                <w:szCs w:val="20"/>
                <w:color w:val="auto"/>
              </w:rPr>
            </w:pPr>
            <w:r>
              <w:rPr>
                <w:rFonts w:ascii="Arial" w:cs="Arial" w:eastAsia="Arial" w:hAnsi="Arial"/>
                <w:sz w:val="16"/>
                <w:szCs w:val="16"/>
                <w:b w:val="1"/>
                <w:bCs w:val="1"/>
                <w:color w:val="auto"/>
              </w:rPr>
              <w:t>141</w:t>
            </w:r>
          </w:p>
        </w:tc>
        <w:tc>
          <w:tcPr>
            <w:tcW w:w="1680" w:type="dxa"/>
            <w:vAlign w:val="bottom"/>
          </w:tcPr>
          <w:p>
            <w:pPr>
              <w:jc w:val="right"/>
              <w:ind w:right="179"/>
              <w:spacing w:after="0"/>
              <w:rPr>
                <w:sz w:val="20"/>
                <w:szCs w:val="20"/>
                <w:color w:val="auto"/>
              </w:rPr>
            </w:pPr>
            <w:r>
              <w:rPr>
                <w:rFonts w:ascii="Arial" w:cs="Arial" w:eastAsia="Arial" w:hAnsi="Arial"/>
                <w:sz w:val="16"/>
                <w:szCs w:val="16"/>
                <w:color w:val="auto"/>
              </w:rPr>
              <w:t>122</w:t>
            </w:r>
          </w:p>
        </w:tc>
        <w:tc>
          <w:tcPr>
            <w:tcW w:w="1960" w:type="dxa"/>
            <w:vAlign w:val="bottom"/>
          </w:tcPr>
          <w:p>
            <w:pPr>
              <w:jc w:val="right"/>
              <w:ind w:right="359"/>
              <w:spacing w:after="0"/>
              <w:rPr>
                <w:sz w:val="20"/>
                <w:szCs w:val="20"/>
                <w:color w:val="auto"/>
              </w:rPr>
            </w:pPr>
            <w:r>
              <w:rPr>
                <w:rFonts w:ascii="Arial" w:cs="Arial" w:eastAsia="Arial" w:hAnsi="Arial"/>
                <w:sz w:val="16"/>
                <w:szCs w:val="16"/>
                <w:color w:val="auto"/>
              </w:rPr>
              <w:t>125</w:t>
            </w:r>
          </w:p>
        </w:tc>
        <w:tc>
          <w:tcPr>
            <w:tcW w:w="1700" w:type="dxa"/>
            <w:vAlign w:val="bottom"/>
          </w:tcPr>
          <w:p>
            <w:pPr>
              <w:jc w:val="right"/>
              <w:ind w:right="279"/>
              <w:spacing w:after="0"/>
              <w:rPr>
                <w:sz w:val="20"/>
                <w:szCs w:val="20"/>
                <w:color w:val="auto"/>
              </w:rPr>
            </w:pPr>
            <w:r>
              <w:rPr>
                <w:rFonts w:ascii="Arial" w:cs="Arial" w:eastAsia="Arial" w:hAnsi="Arial"/>
                <w:sz w:val="16"/>
                <w:szCs w:val="16"/>
                <w:color w:val="auto"/>
              </w:rPr>
              <w:t>139</w:t>
            </w:r>
          </w:p>
        </w:tc>
        <w:tc>
          <w:tcPr>
            <w:tcW w:w="1720" w:type="dxa"/>
            <w:vAlign w:val="bottom"/>
          </w:tcPr>
          <w:p>
            <w:pPr>
              <w:jc w:val="right"/>
              <w:ind w:right="219"/>
              <w:spacing w:after="0"/>
              <w:rPr>
                <w:sz w:val="20"/>
                <w:szCs w:val="20"/>
                <w:color w:val="auto"/>
              </w:rPr>
            </w:pPr>
            <w:r>
              <w:rPr>
                <w:rFonts w:ascii="Arial" w:cs="Arial" w:eastAsia="Arial" w:hAnsi="Arial"/>
                <w:sz w:val="16"/>
                <w:szCs w:val="16"/>
                <w:color w:val="auto"/>
              </w:rPr>
              <w:t>162</w:t>
            </w:r>
          </w:p>
        </w:tc>
        <w:tc>
          <w:tcPr>
            <w:tcW w:w="0" w:type="dxa"/>
            <w:vAlign w:val="bottom"/>
          </w:tcPr>
          <w:p>
            <w:pPr>
              <w:spacing w:after="0"/>
              <w:rPr>
                <w:sz w:val="1"/>
                <w:szCs w:val="1"/>
                <w:color w:val="auto"/>
              </w:rPr>
            </w:pPr>
          </w:p>
        </w:tc>
      </w:tr>
      <w:tr>
        <w:trPr>
          <w:trHeight w:val="33"/>
        </w:trPr>
        <w:tc>
          <w:tcPr>
            <w:tcW w:w="25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2580" w:type="dxa"/>
            <w:vAlign w:val="bottom"/>
            <w:shd w:val="clear" w:color="auto" w:fill="CCEEFF"/>
          </w:tcPr>
          <w:p>
            <w:pPr>
              <w:ind w:left="40"/>
              <w:spacing w:after="0"/>
              <w:rPr>
                <w:sz w:val="20"/>
                <w:szCs w:val="20"/>
                <w:color w:val="auto"/>
              </w:rPr>
            </w:pPr>
            <w:r>
              <w:rPr>
                <w:rFonts w:ascii="Arial" w:cs="Arial" w:eastAsia="Arial" w:hAnsi="Arial"/>
                <w:sz w:val="16"/>
                <w:szCs w:val="16"/>
                <w:color w:val="auto"/>
                <w:w w:val="98"/>
              </w:rPr>
              <w:t>Earnings before interest and income</w:t>
            </w:r>
          </w:p>
        </w:tc>
        <w:tc>
          <w:tcPr>
            <w:tcW w:w="1780" w:type="dxa"/>
            <w:vAlign w:val="bottom"/>
            <w:vMerge w:val="restart"/>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931</w:t>
            </w:r>
          </w:p>
        </w:tc>
        <w:tc>
          <w:tcPr>
            <w:tcW w:w="168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tax expense</w:t>
            </w:r>
          </w:p>
        </w:tc>
        <w:tc>
          <w:tcPr>
            <w:tcW w:w="1780" w:type="dxa"/>
            <w:vAlign w:val="bottom"/>
            <w:tcBorders>
              <w:bottom w:val="single" w:sz="8" w:color="CCEEFF"/>
            </w:tcBorders>
            <w:vMerge w:val="continue"/>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806</w:t>
            </w:r>
          </w:p>
        </w:tc>
        <w:tc>
          <w:tcPr>
            <w:tcW w:w="196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1,101</w:t>
            </w:r>
          </w:p>
        </w:tc>
        <w:tc>
          <w:tcPr>
            <w:tcW w:w="170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1,324</w:t>
            </w:r>
          </w:p>
        </w:tc>
        <w:tc>
          <w:tcPr>
            <w:tcW w:w="17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1,351</w:t>
            </w:r>
          </w:p>
        </w:tc>
        <w:tc>
          <w:tcPr>
            <w:tcW w:w="0" w:type="dxa"/>
            <w:vAlign w:val="bottom"/>
          </w:tcPr>
          <w:p>
            <w:pPr>
              <w:spacing w:after="0"/>
              <w:rPr>
                <w:sz w:val="1"/>
                <w:szCs w:val="1"/>
                <w:color w:val="auto"/>
              </w:rPr>
            </w:pPr>
          </w:p>
        </w:tc>
      </w:tr>
      <w:tr>
        <w:trPr>
          <w:trHeight w:val="297"/>
        </w:trPr>
        <w:tc>
          <w:tcPr>
            <w:tcW w:w="25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rent expense</w:t>
            </w:r>
          </w:p>
        </w:tc>
        <w:tc>
          <w:tcPr>
            <w:tcW w:w="178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250</w:t>
            </w:r>
          </w:p>
        </w:tc>
        <w:tc>
          <w:tcPr>
            <w:tcW w:w="16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202</w:t>
            </w:r>
          </w:p>
        </w:tc>
        <w:tc>
          <w:tcPr>
            <w:tcW w:w="196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176</w:t>
            </w:r>
          </w:p>
        </w:tc>
        <w:tc>
          <w:tcPr>
            <w:tcW w:w="170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137</w:t>
            </w:r>
          </w:p>
        </w:tc>
        <w:tc>
          <w:tcPr>
            <w:tcW w:w="17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20"/>
        </w:trPr>
        <w:tc>
          <w:tcPr>
            <w:tcW w:w="2580" w:type="dxa"/>
            <w:vAlign w:val="bottom"/>
          </w:tcPr>
          <w:p>
            <w:pPr>
              <w:ind w:left="40"/>
              <w:spacing w:after="0"/>
              <w:rPr>
                <w:sz w:val="20"/>
                <w:szCs w:val="20"/>
                <w:color w:val="auto"/>
              </w:rPr>
            </w:pPr>
            <w:r>
              <w:rPr>
                <w:rFonts w:ascii="Arial" w:cs="Arial" w:eastAsia="Arial" w:hAnsi="Arial"/>
                <w:sz w:val="16"/>
                <w:szCs w:val="16"/>
                <w:color w:val="auto"/>
              </w:rPr>
              <w:t>Less: estimated depreciation on</w:t>
            </w:r>
          </w:p>
        </w:tc>
        <w:tc>
          <w:tcPr>
            <w:tcW w:w="1780" w:type="dxa"/>
            <w:vAlign w:val="bottom"/>
            <w:vMerge w:val="restart"/>
          </w:tcPr>
          <w:p>
            <w:pPr>
              <w:jc w:val="right"/>
              <w:ind w:right="259"/>
              <w:spacing w:after="0"/>
              <w:rPr>
                <w:sz w:val="20"/>
                <w:szCs w:val="20"/>
                <w:color w:val="auto"/>
              </w:rPr>
            </w:pPr>
            <w:r>
              <w:rPr>
                <w:rFonts w:ascii="Arial" w:cs="Arial" w:eastAsia="Arial" w:hAnsi="Arial"/>
                <w:sz w:val="16"/>
                <w:szCs w:val="16"/>
                <w:b w:val="1"/>
                <w:bCs w:val="1"/>
                <w:color w:val="auto"/>
              </w:rPr>
              <w:t>(133)</w:t>
            </w:r>
          </w:p>
        </w:tc>
        <w:tc>
          <w:tcPr>
            <w:tcW w:w="16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580" w:type="dxa"/>
            <w:vAlign w:val="bottom"/>
            <w:tcBorders>
              <w:bottom w:val="single" w:sz="8" w:color="auto"/>
            </w:tcBorders>
          </w:tcPr>
          <w:p>
            <w:pPr>
              <w:ind w:left="200"/>
              <w:spacing w:after="0" w:line="239" w:lineRule="exact"/>
              <w:rPr>
                <w:sz w:val="20"/>
                <w:szCs w:val="20"/>
                <w:color w:val="auto"/>
              </w:rPr>
            </w:pPr>
            <w:r>
              <w:rPr>
                <w:rFonts w:ascii="Arial" w:cs="Arial" w:eastAsia="Arial" w:hAnsi="Arial"/>
                <w:sz w:val="16"/>
                <w:szCs w:val="16"/>
                <w:color w:val="auto"/>
              </w:rPr>
              <w:t>capitalized operating leases</w:t>
            </w:r>
            <w:r>
              <w:rPr>
                <w:rFonts w:ascii="Arial" w:cs="Arial" w:eastAsia="Arial" w:hAnsi="Arial"/>
                <w:sz w:val="21"/>
                <w:szCs w:val="21"/>
                <w:color w:val="auto"/>
                <w:vertAlign w:val="superscript"/>
              </w:rPr>
              <w:t>2</w:t>
            </w:r>
          </w:p>
        </w:tc>
        <w:tc>
          <w:tcPr>
            <w:tcW w:w="1780" w:type="dxa"/>
            <w:vAlign w:val="bottom"/>
            <w:tcBorders>
              <w:bottom w:val="single" w:sz="8" w:color="auto"/>
            </w:tcBorders>
            <w:vMerge w:val="continue"/>
          </w:tcPr>
          <w:p>
            <w:pPr>
              <w:spacing w:after="0"/>
              <w:rPr>
                <w:sz w:val="20"/>
                <w:szCs w:val="20"/>
                <w:color w:val="auto"/>
              </w:rPr>
            </w:pPr>
          </w:p>
        </w:tc>
        <w:tc>
          <w:tcPr>
            <w:tcW w:w="16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(108)</w:t>
            </w:r>
          </w:p>
        </w:tc>
        <w:tc>
          <w:tcPr>
            <w:tcW w:w="19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(94)</w:t>
            </w:r>
          </w:p>
        </w:tc>
        <w:tc>
          <w:tcPr>
            <w:tcW w:w="17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(74)</w:t>
            </w:r>
          </w:p>
        </w:tc>
        <w:tc>
          <w:tcPr>
            <w:tcW w:w="17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44"/>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operating profit</w:t>
            </w:r>
          </w:p>
        </w:tc>
        <w:tc>
          <w:tcPr>
            <w:tcW w:w="178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1,048</w:t>
            </w:r>
          </w:p>
        </w:tc>
        <w:tc>
          <w:tcPr>
            <w:tcW w:w="16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900</w:t>
            </w:r>
          </w:p>
        </w:tc>
        <w:tc>
          <w:tcPr>
            <w:tcW w:w="196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1,183</w:t>
            </w:r>
          </w:p>
        </w:tc>
        <w:tc>
          <w:tcPr>
            <w:tcW w:w="170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1,387</w:t>
            </w:r>
          </w:p>
        </w:tc>
        <w:tc>
          <w:tcPr>
            <w:tcW w:w="17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1,409</w:t>
            </w:r>
          </w:p>
        </w:tc>
        <w:tc>
          <w:tcPr>
            <w:tcW w:w="0" w:type="dxa"/>
            <w:vAlign w:val="bottom"/>
          </w:tcPr>
          <w:p>
            <w:pPr>
              <w:spacing w:after="0"/>
              <w:rPr>
                <w:sz w:val="1"/>
                <w:szCs w:val="1"/>
                <w:color w:val="auto"/>
              </w:rPr>
            </w:pPr>
          </w:p>
        </w:tc>
      </w:tr>
      <w:tr>
        <w:trPr>
          <w:trHeight w:val="297"/>
        </w:trPr>
        <w:tc>
          <w:tcPr>
            <w:tcW w:w="25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7"/>
              </w:rPr>
              <w:t>Less: estimated income tax expense</w:t>
            </w:r>
          </w:p>
        </w:tc>
        <w:tc>
          <w:tcPr>
            <w:tcW w:w="178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(468)</w:t>
            </w:r>
          </w:p>
        </w:tc>
        <w:tc>
          <w:tcPr>
            <w:tcW w:w="16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(416)</w:t>
            </w:r>
          </w:p>
        </w:tc>
        <w:tc>
          <w:tcPr>
            <w:tcW w:w="196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(456)</w:t>
            </w:r>
          </w:p>
        </w:tc>
        <w:tc>
          <w:tcPr>
            <w:tcW w:w="17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(544)</w:t>
            </w:r>
          </w:p>
        </w:tc>
        <w:tc>
          <w:tcPr>
            <w:tcW w:w="172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(539)</w:t>
            </w:r>
          </w:p>
        </w:tc>
        <w:tc>
          <w:tcPr>
            <w:tcW w:w="0" w:type="dxa"/>
            <w:vAlign w:val="bottom"/>
          </w:tcPr>
          <w:p>
            <w:pPr>
              <w:spacing w:after="0"/>
              <w:rPr>
                <w:sz w:val="1"/>
                <w:szCs w:val="1"/>
                <w:color w:val="auto"/>
              </w:rPr>
            </w:pPr>
          </w:p>
        </w:tc>
      </w:tr>
      <w:tr>
        <w:trPr>
          <w:trHeight w:val="231"/>
        </w:trPr>
        <w:tc>
          <w:tcPr>
            <w:tcW w:w="25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Net operating profit after tax</w:t>
            </w:r>
          </w:p>
        </w:tc>
        <w:tc>
          <w:tcPr>
            <w:tcW w:w="178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$580</w:t>
            </w:r>
          </w:p>
        </w:tc>
        <w:tc>
          <w:tcPr>
            <w:tcW w:w="16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$484</w:t>
            </w:r>
          </w:p>
        </w:tc>
        <w:tc>
          <w:tcPr>
            <w:tcW w:w="196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color w:val="auto"/>
              </w:rPr>
              <w:t>$727</w:t>
            </w:r>
          </w:p>
        </w:tc>
        <w:tc>
          <w:tcPr>
            <w:tcW w:w="170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rPr>
              <w:t>$843</w:t>
            </w:r>
          </w:p>
        </w:tc>
        <w:tc>
          <w:tcPr>
            <w:tcW w:w="172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$870</w:t>
            </w:r>
          </w:p>
        </w:tc>
        <w:tc>
          <w:tcPr>
            <w:tcW w:w="0" w:type="dxa"/>
            <w:vAlign w:val="bottom"/>
          </w:tcPr>
          <w:p>
            <w:pPr>
              <w:spacing w:after="0"/>
              <w:rPr>
                <w:sz w:val="1"/>
                <w:szCs w:val="1"/>
                <w:color w:val="auto"/>
              </w:rPr>
            </w:pPr>
          </w:p>
        </w:tc>
      </w:tr>
      <w:tr>
        <w:trPr>
          <w:trHeight w:val="33"/>
        </w:trPr>
        <w:tc>
          <w:tcPr>
            <w:tcW w:w="25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258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6"/>
                <w:szCs w:val="16"/>
                <w:b w:val="1"/>
                <w:bCs w:val="1"/>
                <w:color w:val="auto"/>
              </w:rPr>
              <w:t>Average total assets</w:t>
            </w:r>
          </w:p>
        </w:tc>
        <w:tc>
          <w:tcPr>
            <w:tcW w:w="1780" w:type="dxa"/>
            <w:vAlign w:val="bottom"/>
          </w:tcPr>
          <w:p>
            <w:pPr>
              <w:jc w:val="right"/>
              <w:ind w:right="319"/>
              <w:spacing w:after="0"/>
              <w:rPr>
                <w:sz w:val="20"/>
                <w:szCs w:val="20"/>
                <w:color w:val="auto"/>
              </w:rPr>
            </w:pPr>
            <w:r>
              <w:rPr>
                <w:rFonts w:ascii="Arial" w:cs="Arial" w:eastAsia="Arial" w:hAnsi="Arial"/>
                <w:sz w:val="16"/>
                <w:szCs w:val="16"/>
                <w:b w:val="1"/>
                <w:bCs w:val="1"/>
                <w:color w:val="auto"/>
              </w:rPr>
              <w:t>$8,055</w:t>
            </w:r>
          </w:p>
        </w:tc>
        <w:tc>
          <w:tcPr>
            <w:tcW w:w="1680" w:type="dxa"/>
            <w:vAlign w:val="bottom"/>
          </w:tcPr>
          <w:p>
            <w:pPr>
              <w:jc w:val="right"/>
              <w:ind w:right="179"/>
              <w:spacing w:after="0"/>
              <w:rPr>
                <w:sz w:val="20"/>
                <w:szCs w:val="20"/>
                <w:color w:val="auto"/>
              </w:rPr>
            </w:pPr>
            <w:r>
              <w:rPr>
                <w:rFonts w:ascii="Arial" w:cs="Arial" w:eastAsia="Arial" w:hAnsi="Arial"/>
                <w:sz w:val="16"/>
                <w:szCs w:val="16"/>
                <w:color w:val="auto"/>
              </w:rPr>
              <w:t>$7,917</w:t>
            </w:r>
          </w:p>
        </w:tc>
        <w:tc>
          <w:tcPr>
            <w:tcW w:w="1960" w:type="dxa"/>
            <w:vAlign w:val="bottom"/>
          </w:tcPr>
          <w:p>
            <w:pPr>
              <w:jc w:val="right"/>
              <w:ind w:right="359"/>
              <w:spacing w:after="0"/>
              <w:rPr>
                <w:sz w:val="20"/>
                <w:szCs w:val="20"/>
                <w:color w:val="auto"/>
              </w:rPr>
            </w:pPr>
            <w:r>
              <w:rPr>
                <w:rFonts w:ascii="Arial" w:cs="Arial" w:eastAsia="Arial" w:hAnsi="Arial"/>
                <w:sz w:val="16"/>
                <w:szCs w:val="16"/>
                <w:color w:val="auto"/>
              </w:rPr>
              <w:t>$9,076</w:t>
            </w:r>
          </w:p>
        </w:tc>
        <w:tc>
          <w:tcPr>
            <w:tcW w:w="1700" w:type="dxa"/>
            <w:vAlign w:val="bottom"/>
          </w:tcPr>
          <w:p>
            <w:pPr>
              <w:jc w:val="right"/>
              <w:ind w:right="279"/>
              <w:spacing w:after="0"/>
              <w:rPr>
                <w:sz w:val="20"/>
                <w:szCs w:val="20"/>
                <w:color w:val="auto"/>
              </w:rPr>
            </w:pPr>
            <w:r>
              <w:rPr>
                <w:rFonts w:ascii="Arial" w:cs="Arial" w:eastAsia="Arial" w:hAnsi="Arial"/>
                <w:sz w:val="16"/>
                <w:szCs w:val="16"/>
                <w:color w:val="auto"/>
              </w:rPr>
              <w:t>$8,860</w:t>
            </w:r>
          </w:p>
        </w:tc>
        <w:tc>
          <w:tcPr>
            <w:tcW w:w="1720" w:type="dxa"/>
            <w:vAlign w:val="bottom"/>
          </w:tcPr>
          <w:p>
            <w:pPr>
              <w:jc w:val="right"/>
              <w:ind w:right="219"/>
              <w:spacing w:after="0"/>
              <w:rPr>
                <w:sz w:val="20"/>
                <w:szCs w:val="20"/>
                <w:color w:val="auto"/>
              </w:rPr>
            </w:pPr>
            <w:r>
              <w:rPr>
                <w:rFonts w:ascii="Arial" w:cs="Arial" w:eastAsia="Arial" w:hAnsi="Arial"/>
                <w:sz w:val="16"/>
                <w:szCs w:val="16"/>
                <w:color w:val="auto"/>
              </w:rPr>
              <w:t>$8,398</w:t>
            </w:r>
          </w:p>
        </w:tc>
        <w:tc>
          <w:tcPr>
            <w:tcW w:w="0" w:type="dxa"/>
            <w:vAlign w:val="bottom"/>
          </w:tcPr>
          <w:p>
            <w:pPr>
              <w:spacing w:after="0"/>
              <w:rPr>
                <w:sz w:val="1"/>
                <w:szCs w:val="1"/>
                <w:color w:val="auto"/>
              </w:rPr>
            </w:pPr>
          </w:p>
        </w:tc>
      </w:tr>
      <w:tr>
        <w:trPr>
          <w:trHeight w:val="33"/>
        </w:trPr>
        <w:tc>
          <w:tcPr>
            <w:tcW w:w="25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Less: average non-interest-bearing</w:t>
            </w:r>
          </w:p>
        </w:tc>
        <w:tc>
          <w:tcPr>
            <w:tcW w:w="1780" w:type="dxa"/>
            <w:vAlign w:val="bottom"/>
            <w:vMerge w:val="restart"/>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(3,261)</w:t>
            </w:r>
          </w:p>
        </w:tc>
        <w:tc>
          <w:tcPr>
            <w:tcW w:w="168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580" w:type="dxa"/>
            <w:vAlign w:val="bottom"/>
            <w:shd w:val="clear" w:color="auto" w:fill="CCEEFF"/>
          </w:tcPr>
          <w:p>
            <w:pPr>
              <w:ind w:left="200"/>
              <w:spacing w:after="0" w:line="239" w:lineRule="exact"/>
              <w:rPr>
                <w:sz w:val="20"/>
                <w:szCs w:val="20"/>
                <w:color w:val="auto"/>
              </w:rPr>
            </w:pPr>
            <w:r>
              <w:rPr>
                <w:rFonts w:ascii="Arial" w:cs="Arial" w:eastAsia="Arial" w:hAnsi="Arial"/>
                <w:sz w:val="16"/>
                <w:szCs w:val="16"/>
                <w:color w:val="auto"/>
              </w:rPr>
              <w:t>current liabilities</w:t>
            </w:r>
            <w:r>
              <w:rPr>
                <w:rFonts w:ascii="Arial" w:cs="Arial" w:eastAsia="Arial" w:hAnsi="Arial"/>
                <w:sz w:val="21"/>
                <w:szCs w:val="21"/>
                <w:color w:val="auto"/>
                <w:vertAlign w:val="superscript"/>
              </w:rPr>
              <w:t>3</w:t>
            </w:r>
          </w:p>
        </w:tc>
        <w:tc>
          <w:tcPr>
            <w:tcW w:w="1780" w:type="dxa"/>
            <w:vAlign w:val="bottom"/>
            <w:vMerge w:val="continue"/>
            <w:shd w:val="clear" w:color="auto" w:fill="CCEEFF"/>
          </w:tcPr>
          <w:p>
            <w:pPr>
              <w:spacing w:after="0"/>
              <w:rPr>
                <w:sz w:val="20"/>
                <w:szCs w:val="20"/>
                <w:color w:val="auto"/>
              </w:rPr>
            </w:pPr>
          </w:p>
        </w:tc>
        <w:tc>
          <w:tcPr>
            <w:tcW w:w="16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(3,012)</w:t>
            </w:r>
          </w:p>
        </w:tc>
        <w:tc>
          <w:tcPr>
            <w:tcW w:w="19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(2,993)</w:t>
            </w:r>
          </w:p>
        </w:tc>
        <w:tc>
          <w:tcPr>
            <w:tcW w:w="17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(2,730)</w:t>
            </w:r>
          </w:p>
        </w:tc>
        <w:tc>
          <w:tcPr>
            <w:tcW w:w="17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(2,430)</w:t>
            </w:r>
          </w:p>
        </w:tc>
        <w:tc>
          <w:tcPr>
            <w:tcW w:w="0" w:type="dxa"/>
            <w:vAlign w:val="bottom"/>
          </w:tcPr>
          <w:p>
            <w:pPr>
              <w:spacing w:after="0"/>
              <w:rPr>
                <w:sz w:val="1"/>
                <w:szCs w:val="1"/>
                <w:color w:val="auto"/>
              </w:rPr>
            </w:pPr>
          </w:p>
        </w:tc>
      </w:tr>
      <w:tr>
        <w:trPr>
          <w:trHeight w:val="220"/>
        </w:trPr>
        <w:tc>
          <w:tcPr>
            <w:tcW w:w="2580" w:type="dxa"/>
            <w:vAlign w:val="bottom"/>
          </w:tcPr>
          <w:p>
            <w:pPr>
              <w:ind w:left="40"/>
              <w:spacing w:after="0"/>
              <w:rPr>
                <w:sz w:val="20"/>
                <w:szCs w:val="20"/>
                <w:color w:val="auto"/>
              </w:rPr>
            </w:pPr>
            <w:r>
              <w:rPr>
                <w:rFonts w:ascii="Arial" w:cs="Arial" w:eastAsia="Arial" w:hAnsi="Arial"/>
                <w:sz w:val="16"/>
                <w:szCs w:val="16"/>
                <w:color w:val="auto"/>
              </w:rPr>
              <w:t>Less: average deferred property</w:t>
            </w:r>
          </w:p>
        </w:tc>
        <w:tc>
          <w:tcPr>
            <w:tcW w:w="17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580" w:type="dxa"/>
            <w:vAlign w:val="bottom"/>
          </w:tcPr>
          <w:p>
            <w:pPr>
              <w:ind w:left="200"/>
              <w:spacing w:after="0"/>
              <w:rPr>
                <w:sz w:val="20"/>
                <w:szCs w:val="20"/>
                <w:color w:val="auto"/>
              </w:rPr>
            </w:pPr>
            <w:r>
              <w:rPr>
                <w:rFonts w:ascii="Arial" w:cs="Arial" w:eastAsia="Arial" w:hAnsi="Arial"/>
                <w:sz w:val="16"/>
                <w:szCs w:val="16"/>
                <w:color w:val="auto"/>
              </w:rPr>
              <w:t>incentives and deferred rent</w:t>
            </w:r>
          </w:p>
        </w:tc>
        <w:tc>
          <w:tcPr>
            <w:tcW w:w="1780" w:type="dxa"/>
            <w:vAlign w:val="bottom"/>
            <w:vMerge w:val="restart"/>
          </w:tcPr>
          <w:p>
            <w:pPr>
              <w:jc w:val="right"/>
              <w:ind w:right="259"/>
              <w:spacing w:after="0"/>
              <w:rPr>
                <w:sz w:val="20"/>
                <w:szCs w:val="20"/>
                <w:color w:val="auto"/>
              </w:rPr>
            </w:pPr>
            <w:r>
              <w:rPr>
                <w:rFonts w:ascii="Arial" w:cs="Arial" w:eastAsia="Arial" w:hAnsi="Arial"/>
                <w:sz w:val="16"/>
                <w:szCs w:val="16"/>
                <w:b w:val="1"/>
                <w:bCs w:val="1"/>
                <w:color w:val="auto"/>
              </w:rPr>
              <w:t>(644)</w:t>
            </w:r>
          </w:p>
        </w:tc>
        <w:tc>
          <w:tcPr>
            <w:tcW w:w="16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580" w:type="dxa"/>
            <w:vAlign w:val="bottom"/>
          </w:tcPr>
          <w:p>
            <w:pPr>
              <w:ind w:left="200"/>
              <w:spacing w:after="0" w:line="239" w:lineRule="exact"/>
              <w:rPr>
                <w:sz w:val="20"/>
                <w:szCs w:val="20"/>
                <w:color w:val="auto"/>
              </w:rPr>
            </w:pPr>
            <w:r>
              <w:rPr>
                <w:rFonts w:ascii="Arial" w:cs="Arial" w:eastAsia="Arial" w:hAnsi="Arial"/>
                <w:sz w:val="16"/>
                <w:szCs w:val="16"/>
                <w:color w:val="auto"/>
              </w:rPr>
              <w:t>liability</w:t>
            </w:r>
            <w:r>
              <w:rPr>
                <w:rFonts w:ascii="Arial" w:cs="Arial" w:eastAsia="Arial" w:hAnsi="Arial"/>
                <w:sz w:val="21"/>
                <w:szCs w:val="21"/>
                <w:color w:val="auto"/>
                <w:vertAlign w:val="superscript"/>
              </w:rPr>
              <w:t>3</w:t>
            </w:r>
          </w:p>
        </w:tc>
        <w:tc>
          <w:tcPr>
            <w:tcW w:w="1780" w:type="dxa"/>
            <w:vAlign w:val="bottom"/>
            <w:vMerge w:val="continue"/>
          </w:tcPr>
          <w:p>
            <w:pPr>
              <w:spacing w:after="0"/>
              <w:rPr>
                <w:sz w:val="20"/>
                <w:szCs w:val="20"/>
                <w:color w:val="auto"/>
              </w:rPr>
            </w:pPr>
          </w:p>
        </w:tc>
        <w:tc>
          <w:tcPr>
            <w:tcW w:w="1680" w:type="dxa"/>
            <w:vAlign w:val="bottom"/>
          </w:tcPr>
          <w:p>
            <w:pPr>
              <w:jc w:val="right"/>
              <w:ind w:right="139"/>
              <w:spacing w:after="0"/>
              <w:rPr>
                <w:sz w:val="20"/>
                <w:szCs w:val="20"/>
                <w:color w:val="auto"/>
              </w:rPr>
            </w:pPr>
            <w:r>
              <w:rPr>
                <w:rFonts w:ascii="Arial" w:cs="Arial" w:eastAsia="Arial" w:hAnsi="Arial"/>
                <w:sz w:val="16"/>
                <w:szCs w:val="16"/>
                <w:color w:val="auto"/>
              </w:rPr>
              <w:t>(644)</w:t>
            </w:r>
          </w:p>
        </w:tc>
        <w:tc>
          <w:tcPr>
            <w:tcW w:w="1960" w:type="dxa"/>
            <w:vAlign w:val="bottom"/>
          </w:tcPr>
          <w:p>
            <w:pPr>
              <w:jc w:val="right"/>
              <w:ind w:right="299"/>
              <w:spacing w:after="0"/>
              <w:rPr>
                <w:sz w:val="20"/>
                <w:szCs w:val="20"/>
                <w:color w:val="auto"/>
              </w:rPr>
            </w:pPr>
            <w:r>
              <w:rPr>
                <w:rFonts w:ascii="Arial" w:cs="Arial" w:eastAsia="Arial" w:hAnsi="Arial"/>
                <w:sz w:val="16"/>
                <w:szCs w:val="16"/>
                <w:color w:val="auto"/>
              </w:rPr>
              <w:t>(548)</w:t>
            </w:r>
          </w:p>
        </w:tc>
        <w:tc>
          <w:tcPr>
            <w:tcW w:w="1700" w:type="dxa"/>
            <w:vAlign w:val="bottom"/>
          </w:tcPr>
          <w:p>
            <w:pPr>
              <w:jc w:val="right"/>
              <w:ind w:right="219"/>
              <w:spacing w:after="0"/>
              <w:rPr>
                <w:sz w:val="20"/>
                <w:szCs w:val="20"/>
                <w:color w:val="auto"/>
              </w:rPr>
            </w:pPr>
            <w:r>
              <w:rPr>
                <w:rFonts w:ascii="Arial" w:cs="Arial" w:eastAsia="Arial" w:hAnsi="Arial"/>
                <w:sz w:val="16"/>
                <w:szCs w:val="16"/>
                <w:color w:val="auto"/>
              </w:rPr>
              <w:t>(502)</w:t>
            </w:r>
          </w:p>
        </w:tc>
        <w:tc>
          <w:tcPr>
            <w:tcW w:w="1720" w:type="dxa"/>
            <w:vAlign w:val="bottom"/>
          </w:tcPr>
          <w:p>
            <w:pPr>
              <w:jc w:val="right"/>
              <w:ind w:right="159"/>
              <w:spacing w:after="0"/>
              <w:rPr>
                <w:sz w:val="20"/>
                <w:szCs w:val="20"/>
                <w:color w:val="auto"/>
              </w:rPr>
            </w:pPr>
            <w:r>
              <w:rPr>
                <w:rFonts w:ascii="Arial" w:cs="Arial" w:eastAsia="Arial" w:hAnsi="Arial"/>
                <w:sz w:val="16"/>
                <w:szCs w:val="16"/>
                <w:color w:val="auto"/>
              </w:rPr>
              <w:t>(489)</w:t>
            </w:r>
          </w:p>
        </w:tc>
        <w:tc>
          <w:tcPr>
            <w:tcW w:w="0" w:type="dxa"/>
            <w:vAlign w:val="bottom"/>
          </w:tcPr>
          <w:p>
            <w:pPr>
              <w:spacing w:after="0"/>
              <w:rPr>
                <w:sz w:val="1"/>
                <w:szCs w:val="1"/>
                <w:color w:val="auto"/>
              </w:rPr>
            </w:pPr>
          </w:p>
        </w:tc>
      </w:tr>
      <w:tr>
        <w:trPr>
          <w:trHeight w:val="220"/>
        </w:trPr>
        <w:tc>
          <w:tcPr>
            <w:tcW w:w="2580" w:type="dxa"/>
            <w:vAlign w:val="bottom"/>
            <w:shd w:val="clear" w:color="auto" w:fill="CCEEFF"/>
          </w:tcPr>
          <w:p>
            <w:pPr>
              <w:ind w:left="40"/>
              <w:spacing w:after="0"/>
              <w:rPr>
                <w:sz w:val="20"/>
                <w:szCs w:val="20"/>
                <w:color w:val="auto"/>
              </w:rPr>
            </w:pPr>
            <w:r>
              <w:rPr>
                <w:rFonts w:ascii="Arial" w:cs="Arial" w:eastAsia="Arial" w:hAnsi="Arial"/>
                <w:sz w:val="16"/>
                <w:szCs w:val="16"/>
                <w:color w:val="auto"/>
                <w:w w:val="93"/>
              </w:rPr>
              <w:t>Add: average estimated asset base of</w:t>
            </w:r>
          </w:p>
        </w:tc>
        <w:tc>
          <w:tcPr>
            <w:tcW w:w="1780" w:type="dxa"/>
            <w:vAlign w:val="bottom"/>
            <w:vMerge w:val="restart"/>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1,805</w:t>
            </w:r>
          </w:p>
        </w:tc>
        <w:tc>
          <w:tcPr>
            <w:tcW w:w="168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580" w:type="dxa"/>
            <w:vAlign w:val="bottom"/>
            <w:tcBorders>
              <w:bottom w:val="single" w:sz="8" w:color="auto"/>
            </w:tcBorders>
            <w:shd w:val="clear" w:color="auto" w:fill="CCEEFF"/>
          </w:tcPr>
          <w:p>
            <w:pPr>
              <w:ind w:left="200"/>
              <w:spacing w:after="0" w:line="239" w:lineRule="exact"/>
              <w:rPr>
                <w:sz w:val="20"/>
                <w:szCs w:val="20"/>
                <w:color w:val="auto"/>
              </w:rPr>
            </w:pPr>
            <w:r>
              <w:rPr>
                <w:rFonts w:ascii="Arial" w:cs="Arial" w:eastAsia="Arial" w:hAnsi="Arial"/>
                <w:sz w:val="16"/>
                <w:szCs w:val="16"/>
                <w:color w:val="auto"/>
              </w:rPr>
              <w:t>capitalized operating leases</w:t>
            </w:r>
            <w:r>
              <w:rPr>
                <w:rFonts w:ascii="Arial" w:cs="Arial" w:eastAsia="Arial" w:hAnsi="Arial"/>
                <w:sz w:val="21"/>
                <w:szCs w:val="21"/>
                <w:color w:val="auto"/>
                <w:vertAlign w:val="superscript"/>
              </w:rPr>
              <w:t>4</w:t>
            </w:r>
          </w:p>
        </w:tc>
        <w:tc>
          <w:tcPr>
            <w:tcW w:w="1780" w:type="dxa"/>
            <w:vAlign w:val="bottom"/>
            <w:tcBorders>
              <w:bottom w:val="single" w:sz="8" w:color="auto"/>
            </w:tcBorders>
            <w:vMerge w:val="continue"/>
            <w:shd w:val="clear" w:color="auto" w:fill="CCEEFF"/>
          </w:tcPr>
          <w:p>
            <w:pPr>
              <w:spacing w:after="0"/>
              <w:rPr>
                <w:sz w:val="20"/>
                <w:szCs w:val="20"/>
                <w:color w:val="auto"/>
              </w:rPr>
            </w:pPr>
          </w:p>
        </w:tc>
        <w:tc>
          <w:tcPr>
            <w:tcW w:w="16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1,512</w:t>
            </w:r>
          </w:p>
        </w:tc>
        <w:tc>
          <w:tcPr>
            <w:tcW w:w="19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1,236</w:t>
            </w:r>
          </w:p>
        </w:tc>
        <w:tc>
          <w:tcPr>
            <w:tcW w:w="170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1,058</w:t>
            </w:r>
          </w:p>
        </w:tc>
        <w:tc>
          <w:tcPr>
            <w:tcW w:w="17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929</w:t>
            </w:r>
          </w:p>
        </w:tc>
        <w:tc>
          <w:tcPr>
            <w:tcW w:w="0" w:type="dxa"/>
            <w:vAlign w:val="bottom"/>
          </w:tcPr>
          <w:p>
            <w:pPr>
              <w:spacing w:after="0"/>
              <w:rPr>
                <w:sz w:val="1"/>
                <w:szCs w:val="1"/>
                <w:color w:val="auto"/>
              </w:rPr>
            </w:pPr>
          </w:p>
        </w:tc>
      </w:tr>
      <w:tr>
        <w:trPr>
          <w:trHeight w:val="231"/>
        </w:trPr>
        <w:tc>
          <w:tcPr>
            <w:tcW w:w="2580" w:type="dxa"/>
            <w:vAlign w:val="bottom"/>
          </w:tcPr>
          <w:p>
            <w:pPr>
              <w:ind w:left="40"/>
              <w:spacing w:after="0"/>
              <w:rPr>
                <w:sz w:val="20"/>
                <w:szCs w:val="20"/>
                <w:color w:val="auto"/>
              </w:rPr>
            </w:pPr>
            <w:r>
              <w:rPr>
                <w:rFonts w:ascii="Arial" w:cs="Arial" w:eastAsia="Arial" w:hAnsi="Arial"/>
                <w:sz w:val="16"/>
                <w:szCs w:val="16"/>
                <w:b w:val="1"/>
                <w:bCs w:val="1"/>
                <w:color w:val="auto"/>
              </w:rPr>
              <w:t>Average invested capital</w:t>
            </w:r>
          </w:p>
        </w:tc>
        <w:tc>
          <w:tcPr>
            <w:tcW w:w="1780" w:type="dxa"/>
            <w:vAlign w:val="bottom"/>
          </w:tcPr>
          <w:p>
            <w:pPr>
              <w:jc w:val="right"/>
              <w:ind w:right="319"/>
              <w:spacing w:after="0"/>
              <w:rPr>
                <w:sz w:val="20"/>
                <w:szCs w:val="20"/>
                <w:color w:val="auto"/>
              </w:rPr>
            </w:pPr>
            <w:r>
              <w:rPr>
                <w:rFonts w:ascii="Arial" w:cs="Arial" w:eastAsia="Arial" w:hAnsi="Arial"/>
                <w:sz w:val="16"/>
                <w:szCs w:val="16"/>
                <w:b w:val="1"/>
                <w:bCs w:val="1"/>
                <w:color w:val="auto"/>
              </w:rPr>
              <w:t>$5,955</w:t>
            </w:r>
          </w:p>
        </w:tc>
        <w:tc>
          <w:tcPr>
            <w:tcW w:w="1680" w:type="dxa"/>
            <w:vAlign w:val="bottom"/>
          </w:tcPr>
          <w:p>
            <w:pPr>
              <w:jc w:val="right"/>
              <w:ind w:right="179"/>
              <w:spacing w:after="0"/>
              <w:rPr>
                <w:sz w:val="20"/>
                <w:szCs w:val="20"/>
                <w:color w:val="auto"/>
              </w:rPr>
            </w:pPr>
            <w:r>
              <w:rPr>
                <w:rFonts w:ascii="Arial" w:cs="Arial" w:eastAsia="Arial" w:hAnsi="Arial"/>
                <w:sz w:val="16"/>
                <w:szCs w:val="16"/>
                <w:color w:val="auto"/>
              </w:rPr>
              <w:t>$5,773</w:t>
            </w:r>
          </w:p>
        </w:tc>
        <w:tc>
          <w:tcPr>
            <w:tcW w:w="1960" w:type="dxa"/>
            <w:vAlign w:val="bottom"/>
          </w:tcPr>
          <w:p>
            <w:pPr>
              <w:jc w:val="right"/>
              <w:ind w:right="359"/>
              <w:spacing w:after="0"/>
              <w:rPr>
                <w:sz w:val="20"/>
                <w:szCs w:val="20"/>
                <w:color w:val="auto"/>
              </w:rPr>
            </w:pPr>
            <w:r>
              <w:rPr>
                <w:rFonts w:ascii="Arial" w:cs="Arial" w:eastAsia="Arial" w:hAnsi="Arial"/>
                <w:sz w:val="16"/>
                <w:szCs w:val="16"/>
                <w:color w:val="auto"/>
              </w:rPr>
              <w:t>$6,771</w:t>
            </w:r>
          </w:p>
        </w:tc>
        <w:tc>
          <w:tcPr>
            <w:tcW w:w="1700" w:type="dxa"/>
            <w:vAlign w:val="bottom"/>
          </w:tcPr>
          <w:p>
            <w:pPr>
              <w:jc w:val="right"/>
              <w:ind w:right="279"/>
              <w:spacing w:after="0"/>
              <w:rPr>
                <w:sz w:val="20"/>
                <w:szCs w:val="20"/>
                <w:color w:val="auto"/>
              </w:rPr>
            </w:pPr>
            <w:r>
              <w:rPr>
                <w:rFonts w:ascii="Arial" w:cs="Arial" w:eastAsia="Arial" w:hAnsi="Arial"/>
                <w:sz w:val="16"/>
                <w:szCs w:val="16"/>
                <w:color w:val="auto"/>
              </w:rPr>
              <w:t>$6,686</w:t>
            </w:r>
          </w:p>
        </w:tc>
        <w:tc>
          <w:tcPr>
            <w:tcW w:w="1720" w:type="dxa"/>
            <w:vAlign w:val="bottom"/>
          </w:tcPr>
          <w:p>
            <w:pPr>
              <w:jc w:val="right"/>
              <w:ind w:right="219"/>
              <w:spacing w:after="0"/>
              <w:rPr>
                <w:sz w:val="20"/>
                <w:szCs w:val="20"/>
                <w:color w:val="auto"/>
              </w:rPr>
            </w:pPr>
            <w:r>
              <w:rPr>
                <w:rFonts w:ascii="Arial" w:cs="Arial" w:eastAsia="Arial" w:hAnsi="Arial"/>
                <w:sz w:val="16"/>
                <w:szCs w:val="16"/>
                <w:color w:val="auto"/>
              </w:rPr>
              <w:t>$6,408</w:t>
            </w:r>
          </w:p>
        </w:tc>
        <w:tc>
          <w:tcPr>
            <w:tcW w:w="0" w:type="dxa"/>
            <w:vAlign w:val="bottom"/>
          </w:tcPr>
          <w:p>
            <w:pPr>
              <w:spacing w:after="0"/>
              <w:rPr>
                <w:sz w:val="1"/>
                <w:szCs w:val="1"/>
                <w:color w:val="auto"/>
              </w:rPr>
            </w:pPr>
          </w:p>
        </w:tc>
      </w:tr>
      <w:tr>
        <w:trPr>
          <w:trHeight w:val="33"/>
        </w:trPr>
        <w:tc>
          <w:tcPr>
            <w:tcW w:w="25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258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580" w:type="dxa"/>
            <w:vAlign w:val="bottom"/>
          </w:tcPr>
          <w:p>
            <w:pPr>
              <w:ind w:left="40"/>
              <w:spacing w:after="0"/>
              <w:rPr>
                <w:sz w:val="20"/>
                <w:szCs w:val="20"/>
                <w:color w:val="auto"/>
              </w:rPr>
            </w:pPr>
            <w:r>
              <w:rPr>
                <w:rFonts w:ascii="Arial" w:cs="Arial" w:eastAsia="Arial" w:hAnsi="Arial"/>
                <w:sz w:val="16"/>
                <w:szCs w:val="16"/>
                <w:b w:val="1"/>
                <w:bCs w:val="1"/>
                <w:color w:val="auto"/>
              </w:rPr>
              <w:t>Return on assets</w:t>
            </w:r>
            <w:r>
              <w:rPr>
                <w:rFonts w:ascii="Arial" w:cs="Arial" w:eastAsia="Arial" w:hAnsi="Arial"/>
                <w:sz w:val="21"/>
                <w:szCs w:val="21"/>
                <w:color w:val="auto"/>
                <w:vertAlign w:val="superscript"/>
              </w:rPr>
              <w:t>5</w:t>
            </w:r>
          </w:p>
        </w:tc>
        <w:tc>
          <w:tcPr>
            <w:tcW w:w="1780" w:type="dxa"/>
            <w:vAlign w:val="bottom"/>
          </w:tcPr>
          <w:p>
            <w:pPr>
              <w:jc w:val="right"/>
              <w:ind w:right="159"/>
              <w:spacing w:after="0"/>
              <w:rPr>
                <w:sz w:val="20"/>
                <w:szCs w:val="20"/>
                <w:color w:val="auto"/>
              </w:rPr>
            </w:pPr>
            <w:r>
              <w:rPr>
                <w:rFonts w:ascii="Arial" w:cs="Arial" w:eastAsia="Arial" w:hAnsi="Arial"/>
                <w:sz w:val="16"/>
                <w:szCs w:val="16"/>
                <w:b w:val="1"/>
                <w:bCs w:val="1"/>
                <w:color w:val="auto"/>
              </w:rPr>
              <w:t>5.4%</w:t>
            </w:r>
          </w:p>
        </w:tc>
        <w:tc>
          <w:tcPr>
            <w:tcW w:w="1680" w:type="dxa"/>
            <w:vAlign w:val="bottom"/>
          </w:tcPr>
          <w:p>
            <w:pPr>
              <w:jc w:val="right"/>
              <w:ind w:right="59"/>
              <w:spacing w:after="0"/>
              <w:rPr>
                <w:sz w:val="20"/>
                <w:szCs w:val="20"/>
                <w:color w:val="auto"/>
              </w:rPr>
            </w:pPr>
            <w:r>
              <w:rPr>
                <w:rFonts w:ascii="Arial" w:cs="Arial" w:eastAsia="Arial" w:hAnsi="Arial"/>
                <w:sz w:val="16"/>
                <w:szCs w:val="16"/>
                <w:color w:val="auto"/>
              </w:rPr>
              <w:t>4.5%</w:t>
            </w:r>
          </w:p>
        </w:tc>
        <w:tc>
          <w:tcPr>
            <w:tcW w:w="1960" w:type="dxa"/>
            <w:vAlign w:val="bottom"/>
          </w:tcPr>
          <w:p>
            <w:pPr>
              <w:jc w:val="right"/>
              <w:ind w:right="219"/>
              <w:spacing w:after="0"/>
              <w:rPr>
                <w:sz w:val="20"/>
                <w:szCs w:val="20"/>
                <w:color w:val="auto"/>
              </w:rPr>
            </w:pPr>
            <w:r>
              <w:rPr>
                <w:rFonts w:ascii="Arial" w:cs="Arial" w:eastAsia="Arial" w:hAnsi="Arial"/>
                <w:sz w:val="16"/>
                <w:szCs w:val="16"/>
                <w:color w:val="auto"/>
              </w:rPr>
              <w:t>6.6%</w:t>
            </w:r>
          </w:p>
        </w:tc>
        <w:tc>
          <w:tcPr>
            <w:tcW w:w="1700" w:type="dxa"/>
            <w:vAlign w:val="bottom"/>
          </w:tcPr>
          <w:p>
            <w:pPr>
              <w:jc w:val="right"/>
              <w:ind w:right="139"/>
              <w:spacing w:after="0"/>
              <w:rPr>
                <w:sz w:val="20"/>
                <w:szCs w:val="20"/>
                <w:color w:val="auto"/>
              </w:rPr>
            </w:pPr>
            <w:r>
              <w:rPr>
                <w:rFonts w:ascii="Arial" w:cs="Arial" w:eastAsia="Arial" w:hAnsi="Arial"/>
                <w:sz w:val="16"/>
                <w:szCs w:val="16"/>
                <w:color w:val="auto"/>
              </w:rPr>
              <w:t>8.1%</w:t>
            </w:r>
          </w:p>
        </w:tc>
        <w:tc>
          <w:tcPr>
            <w:tcW w:w="1720" w:type="dxa"/>
            <w:vAlign w:val="bottom"/>
          </w:tcPr>
          <w:p>
            <w:pPr>
              <w:jc w:val="right"/>
              <w:ind w:right="79"/>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70"/>
        </w:trPr>
        <w:tc>
          <w:tcPr>
            <w:tcW w:w="25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ROIC</w:t>
            </w:r>
            <w:r>
              <w:rPr>
                <w:rFonts w:ascii="Arial" w:cs="Arial" w:eastAsia="Arial" w:hAnsi="Arial"/>
                <w:sz w:val="21"/>
                <w:szCs w:val="21"/>
                <w:color w:val="auto"/>
                <w:vertAlign w:val="superscript"/>
              </w:rPr>
              <w:t>5</w:t>
            </w:r>
          </w:p>
        </w:tc>
        <w:tc>
          <w:tcPr>
            <w:tcW w:w="178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9.7%</w:t>
            </w:r>
          </w:p>
        </w:tc>
        <w:tc>
          <w:tcPr>
            <w:tcW w:w="16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8.4%</w:t>
            </w:r>
          </w:p>
        </w:tc>
        <w:tc>
          <w:tcPr>
            <w:tcW w:w="196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10.7%</w:t>
            </w:r>
          </w:p>
        </w:tc>
        <w:tc>
          <w:tcPr>
            <w:tcW w:w="17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12.6%</w:t>
            </w:r>
          </w:p>
        </w:tc>
        <w:tc>
          <w:tcPr>
            <w:tcW w:w="17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80" w:hanging="72"/>
        <w:spacing w:after="0"/>
        <w:tabs>
          <w:tab w:leader="none" w:pos="80" w:val="left"/>
        </w:tabs>
        <w:numPr>
          <w:ilvl w:val="0"/>
          <w:numId w:val="48"/>
        </w:numPr>
        <w:rPr>
          <w:rFonts w:ascii="Arial" w:cs="Arial" w:eastAsia="Arial" w:hAnsi="Arial"/>
          <w:sz w:val="9"/>
          <w:szCs w:val="9"/>
          <w:color w:val="auto"/>
        </w:rPr>
      </w:pPr>
      <w:r>
        <w:rPr>
          <w:rFonts w:ascii="Arial" w:cs="Arial" w:eastAsia="Arial" w:hAnsi="Arial"/>
          <w:sz w:val="14"/>
          <w:szCs w:val="14"/>
          <w:color w:val="auto"/>
        </w:rPr>
        <w:t>Results for the 12 months ended February 3, 2018, include $42 impact related to the Tax Act.</w:t>
      </w:r>
    </w:p>
    <w:p>
      <w:pPr>
        <w:spacing w:after="0" w:line="8" w:lineRule="exact"/>
        <w:rPr>
          <w:sz w:val="20"/>
          <w:szCs w:val="20"/>
          <w:color w:val="auto"/>
        </w:rPr>
      </w:pPr>
    </w:p>
    <w:p>
      <w:pPr>
        <w:ind w:left="80" w:hanging="72"/>
        <w:spacing w:after="0"/>
        <w:tabs>
          <w:tab w:leader="none" w:pos="80" w:val="left"/>
        </w:tabs>
        <w:numPr>
          <w:ilvl w:val="0"/>
          <w:numId w:val="49"/>
        </w:numPr>
        <w:rPr>
          <w:rFonts w:ascii="Arial" w:cs="Arial" w:eastAsia="Arial" w:hAnsi="Arial"/>
          <w:sz w:val="8"/>
          <w:szCs w:val="8"/>
          <w:color w:val="auto"/>
        </w:rPr>
      </w:pPr>
      <w:r>
        <w:rPr>
          <w:rFonts w:ascii="Arial" w:cs="Arial" w:eastAsia="Arial" w:hAnsi="Arial"/>
          <w:sz w:val="13"/>
          <w:szCs w:val="13"/>
          <w:color w:val="auto"/>
        </w:rPr>
        <w:t>Capitalized operating leases is our best estimate of the asset base we would record for our leases that are classified as operating if they had met the criteria for a capital lease or we had purchased</w:t>
      </w:r>
    </w:p>
    <w:p>
      <w:pPr>
        <w:spacing w:after="0" w:line="13" w:lineRule="exact"/>
        <w:rPr>
          <w:sz w:val="20"/>
          <w:szCs w:val="20"/>
          <w:color w:val="auto"/>
        </w:rPr>
      </w:pPr>
    </w:p>
    <w:p>
      <w:pPr>
        <w:ind w:left="80"/>
        <w:spacing w:after="0"/>
        <w:rPr>
          <w:sz w:val="20"/>
          <w:szCs w:val="20"/>
          <w:color w:val="auto"/>
        </w:rPr>
      </w:pPr>
      <w:r>
        <w:rPr>
          <w:rFonts w:ascii="Arial" w:cs="Arial" w:eastAsia="Arial" w:hAnsi="Arial"/>
          <w:sz w:val="14"/>
          <w:szCs w:val="14"/>
          <w:color w:val="auto"/>
        </w:rPr>
        <w:t>the property. Asset base is calculated as described in footnote 4 below.</w:t>
      </w:r>
    </w:p>
    <w:p>
      <w:pPr>
        <w:spacing w:after="0" w:line="1" w:lineRule="exact"/>
        <w:rPr>
          <w:sz w:val="20"/>
          <w:szCs w:val="20"/>
          <w:color w:val="auto"/>
        </w:rPr>
      </w:pPr>
    </w:p>
    <w:p>
      <w:pPr>
        <w:ind w:left="80" w:hanging="72"/>
        <w:spacing w:after="0"/>
        <w:tabs>
          <w:tab w:leader="none" w:pos="80" w:val="left"/>
        </w:tabs>
        <w:numPr>
          <w:ilvl w:val="0"/>
          <w:numId w:val="50"/>
        </w:numPr>
        <w:rPr>
          <w:rFonts w:ascii="Arial" w:cs="Arial" w:eastAsia="Arial" w:hAnsi="Arial"/>
          <w:sz w:val="9"/>
          <w:szCs w:val="9"/>
          <w:color w:val="auto"/>
        </w:rPr>
      </w:pPr>
      <w:r>
        <w:rPr>
          <w:rFonts w:ascii="Arial" w:cs="Arial" w:eastAsia="Arial" w:hAnsi="Arial"/>
          <w:sz w:val="14"/>
          <w:szCs w:val="14"/>
          <w:color w:val="auto"/>
        </w:rPr>
        <w:t>Balances associated with our deferred rent liability have been classified as long-term liabilities in the current period.</w:t>
      </w:r>
    </w:p>
    <w:p>
      <w:pPr>
        <w:spacing w:after="0" w:line="1" w:lineRule="exact"/>
        <w:rPr>
          <w:sz w:val="20"/>
          <w:szCs w:val="20"/>
          <w:color w:val="auto"/>
        </w:rPr>
      </w:pPr>
    </w:p>
    <w:p>
      <w:pPr>
        <w:ind w:left="80" w:right="80" w:hanging="72"/>
        <w:spacing w:after="0" w:line="241" w:lineRule="auto"/>
        <w:tabs>
          <w:tab w:leader="none" w:pos="66" w:val="left"/>
        </w:tabs>
        <w:numPr>
          <w:ilvl w:val="0"/>
          <w:numId w:val="51"/>
        </w:numPr>
        <w:rPr>
          <w:rFonts w:ascii="Arial" w:cs="Arial" w:eastAsia="Arial" w:hAnsi="Arial"/>
          <w:sz w:val="9"/>
          <w:szCs w:val="9"/>
          <w:color w:val="auto"/>
        </w:rPr>
      </w:pPr>
      <w:r>
        <w:rPr>
          <w:rFonts w:ascii="Arial" w:cs="Arial" w:eastAsia="Arial" w:hAnsi="Arial"/>
          <w:sz w:val="14"/>
          <w:szCs w:val="14"/>
          <w:color w:val="auto"/>
        </w:rPr>
        <w:t>Based upon the trailing 12-month average of the monthly asset base. The asset base for each month is calculated as the trailing 12 months of rent expense multiplied by eight. The multiple of eight times rent expense is a commonly used method of estimating the asset base we would record for our capitalized operating leases described in footnote 2.</w:t>
      </w:r>
    </w:p>
    <w:p>
      <w:pPr>
        <w:spacing w:after="0" w:line="1" w:lineRule="exact"/>
        <w:rPr>
          <w:sz w:val="20"/>
          <w:szCs w:val="20"/>
          <w:color w:val="auto"/>
        </w:rPr>
      </w:pPr>
    </w:p>
    <w:p>
      <w:pPr>
        <w:ind w:left="80" w:right="200" w:hanging="72"/>
        <w:spacing w:after="0" w:line="255" w:lineRule="auto"/>
        <w:tabs>
          <w:tab w:leader="none" w:pos="66" w:val="left"/>
        </w:tabs>
        <w:numPr>
          <w:ilvl w:val="0"/>
          <w:numId w:val="52"/>
        </w:numPr>
        <w:rPr>
          <w:rFonts w:ascii="Arial" w:cs="Arial" w:eastAsia="Arial" w:hAnsi="Arial"/>
          <w:sz w:val="9"/>
          <w:szCs w:val="9"/>
          <w:color w:val="auto"/>
        </w:rPr>
      </w:pPr>
      <w:r>
        <w:rPr>
          <w:rFonts w:ascii="Arial" w:cs="Arial" w:eastAsia="Arial" w:hAnsi="Arial"/>
          <w:sz w:val="14"/>
          <w:szCs w:val="14"/>
          <w:color w:val="auto"/>
        </w:rPr>
        <w:t>Results for 12 fiscal months ended January 28, 2017 include the $197 impact of the Trunk Club non-cash goodwill impairment charge in the third quarter of 2016, which negatively impacted the prior period return on assets by approximately 240 basis points and ROIC by approximately 330 basis points.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26" w:right="239" w:bottom="1440" w:gutter="0" w:footer="0" w:header="0"/>
        </w:sectPr>
      </w:pPr>
    </w:p>
    <w:bookmarkStart w:id="26" w:name="page27"/>
    <w:bookmarkEnd w:id="26"/>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7"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We strive to maintain a level of liquidity sufficient to allow us to cover our seasonal cash needs and to maintain appropriate levels of short-term borrowings. We believe that our operating cash flows, available credit facility and potential future borrowings are sufficient to meet our cash requirements for the next 12 months and beyond.</w:t>
      </w:r>
    </w:p>
    <w:p>
      <w:pPr>
        <w:spacing w:after="0" w:line="136" w:lineRule="exact"/>
        <w:rPr>
          <w:sz w:val="20"/>
          <w:szCs w:val="20"/>
          <w:color w:val="auto"/>
        </w:rPr>
      </w:pPr>
    </w:p>
    <w:p>
      <w:pPr>
        <w:jc w:val="both"/>
        <w:ind w:right="80"/>
        <w:spacing w:after="0" w:line="257" w:lineRule="auto"/>
        <w:rPr>
          <w:sz w:val="20"/>
          <w:szCs w:val="20"/>
          <w:color w:val="auto"/>
        </w:rPr>
      </w:pPr>
      <w:r>
        <w:rPr>
          <w:rFonts w:ascii="Arial" w:cs="Arial" w:eastAsia="Arial" w:hAnsi="Arial"/>
          <w:sz w:val="18"/>
          <w:szCs w:val="18"/>
          <w:color w:val="auto"/>
        </w:rPr>
        <w:t>Over the long term, we manage our cash and capital structure to maximize shareholder return, maintain our financial position, manage refinancing risk and allow flexibility for strategic initiatives. We regularly assess our debt and leverage levels, capital expenditure requirements, debt service payments, dividend payouts, potential share repurchases and other future investments. We believe that as of February 3, 2018, our existing cash and cash equivalents on-hand of $1,181, available credit facilities of $800 and potential future operating cash flows and borrowings will be sufficient to fund these scheduled future payments and potential long-term initiatives.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cash flows by activity: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40" w:type="dxa"/>
            <w:vAlign w:val="bottom"/>
          </w:tcPr>
          <w:p>
            <w:pPr>
              <w:ind w:left="40"/>
              <w:spacing w:after="0"/>
              <w:rPr>
                <w:sz w:val="20"/>
                <w:szCs w:val="20"/>
                <w:color w:val="auto"/>
              </w:rPr>
            </w:pPr>
            <w:r>
              <w:rPr>
                <w:rFonts w:ascii="Arial" w:cs="Arial" w:eastAsia="Arial" w:hAnsi="Arial"/>
                <w:sz w:val="16"/>
                <w:szCs w:val="16"/>
                <w:b w:val="1"/>
                <w:bCs w:val="1"/>
                <w:color w:val="auto"/>
              </w:rPr>
              <w:t>Fiscal year</w:t>
            </w:r>
          </w:p>
        </w:tc>
        <w:tc>
          <w:tcPr>
            <w:tcW w:w="3360" w:type="dxa"/>
            <w:vAlign w:val="bottom"/>
          </w:tcPr>
          <w:p>
            <w:pPr>
              <w:jc w:val="right"/>
              <w:ind w:right="679"/>
              <w:spacing w:after="0"/>
              <w:rPr>
                <w:sz w:val="20"/>
                <w:szCs w:val="20"/>
                <w:color w:val="auto"/>
              </w:rPr>
            </w:pPr>
            <w:r>
              <w:rPr>
                <w:rFonts w:ascii="Arial" w:cs="Arial" w:eastAsia="Arial" w:hAnsi="Arial"/>
                <w:sz w:val="16"/>
                <w:szCs w:val="16"/>
                <w:b w:val="1"/>
                <w:bCs w:val="1"/>
                <w:color w:val="auto"/>
              </w:rPr>
              <w:t>2017</w:t>
            </w:r>
          </w:p>
        </w:tc>
        <w:tc>
          <w:tcPr>
            <w:tcW w:w="1860" w:type="dxa"/>
            <w:vAlign w:val="bottom"/>
          </w:tcPr>
          <w:p>
            <w:pPr>
              <w:jc w:val="right"/>
              <w:ind w:right="659"/>
              <w:spacing w:after="0"/>
              <w:rPr>
                <w:sz w:val="20"/>
                <w:szCs w:val="20"/>
                <w:color w:val="auto"/>
              </w:rPr>
            </w:pPr>
            <w:r>
              <w:rPr>
                <w:rFonts w:ascii="Arial" w:cs="Arial" w:eastAsia="Arial" w:hAnsi="Arial"/>
                <w:sz w:val="16"/>
                <w:szCs w:val="16"/>
                <w:b w:val="1"/>
                <w:bCs w:val="1"/>
                <w:color w:val="auto"/>
              </w:rPr>
              <w:t>2016</w:t>
            </w:r>
          </w:p>
        </w:tc>
        <w:tc>
          <w:tcPr>
            <w:tcW w:w="1360" w:type="dxa"/>
            <w:vAlign w:val="bottom"/>
          </w:tcPr>
          <w:p>
            <w:pPr>
              <w:jc w:val="right"/>
              <w:ind w:right="139"/>
              <w:spacing w:after="0"/>
              <w:rPr>
                <w:sz w:val="20"/>
                <w:szCs w:val="20"/>
                <w:color w:val="auto"/>
              </w:rPr>
            </w:pPr>
            <w:r>
              <w:rPr>
                <w:rFonts w:ascii="Arial" w:cs="Arial" w:eastAsia="Arial" w:hAnsi="Arial"/>
                <w:sz w:val="16"/>
                <w:szCs w:val="16"/>
                <w:b w:val="1"/>
                <w:bCs w:val="1"/>
                <w:color w:val="auto"/>
              </w:rPr>
              <w:t>2015</w:t>
            </w:r>
          </w:p>
        </w:tc>
      </w:tr>
      <w:tr>
        <w:trPr>
          <w:trHeight w:val="33"/>
        </w:trPr>
        <w:tc>
          <w:tcPr>
            <w:tcW w:w="484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336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$1,400</w:t>
            </w:r>
          </w:p>
        </w:tc>
        <w:tc>
          <w:tcPr>
            <w:tcW w:w="186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color w:val="auto"/>
              </w:rPr>
              <w:t>$1,658</w:t>
            </w:r>
          </w:p>
        </w:tc>
        <w:tc>
          <w:tcPr>
            <w:tcW w:w="13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$2,470</w:t>
            </w:r>
          </w:p>
        </w:tc>
      </w:tr>
      <w:tr>
        <w:trPr>
          <w:trHeight w:val="237"/>
        </w:trPr>
        <w:tc>
          <w:tcPr>
            <w:tcW w:w="4840" w:type="dxa"/>
            <w:vAlign w:val="bottom"/>
          </w:tcPr>
          <w:p>
            <w:pPr>
              <w:ind w:left="40"/>
              <w:spacing w:after="0"/>
              <w:rPr>
                <w:sz w:val="20"/>
                <w:szCs w:val="20"/>
                <w:color w:val="auto"/>
              </w:rPr>
            </w:pPr>
            <w:r>
              <w:rPr>
                <w:rFonts w:ascii="Arial" w:cs="Arial" w:eastAsia="Arial" w:hAnsi="Arial"/>
                <w:sz w:val="16"/>
                <w:szCs w:val="16"/>
                <w:color w:val="auto"/>
              </w:rPr>
              <w:t>Net cash used in investing activities</w:t>
            </w:r>
          </w:p>
        </w:tc>
        <w:tc>
          <w:tcPr>
            <w:tcW w:w="3360" w:type="dxa"/>
            <w:vAlign w:val="bottom"/>
          </w:tcPr>
          <w:p>
            <w:pPr>
              <w:jc w:val="right"/>
              <w:ind w:right="619"/>
              <w:spacing w:after="0"/>
              <w:rPr>
                <w:sz w:val="20"/>
                <w:szCs w:val="20"/>
                <w:color w:val="auto"/>
              </w:rPr>
            </w:pPr>
            <w:r>
              <w:rPr>
                <w:rFonts w:ascii="Arial" w:cs="Arial" w:eastAsia="Arial" w:hAnsi="Arial"/>
                <w:sz w:val="16"/>
                <w:szCs w:val="16"/>
                <w:b w:val="1"/>
                <w:bCs w:val="1"/>
                <w:color w:val="auto"/>
              </w:rPr>
              <w:t>(684)</w:t>
            </w:r>
          </w:p>
        </w:tc>
        <w:tc>
          <w:tcPr>
            <w:tcW w:w="1860" w:type="dxa"/>
            <w:vAlign w:val="bottom"/>
          </w:tcPr>
          <w:p>
            <w:pPr>
              <w:jc w:val="right"/>
              <w:ind w:right="599"/>
              <w:spacing w:after="0"/>
              <w:rPr>
                <w:sz w:val="20"/>
                <w:szCs w:val="20"/>
                <w:color w:val="auto"/>
              </w:rPr>
            </w:pPr>
            <w:r>
              <w:rPr>
                <w:rFonts w:ascii="Arial" w:cs="Arial" w:eastAsia="Arial" w:hAnsi="Arial"/>
                <w:sz w:val="16"/>
                <w:szCs w:val="16"/>
                <w:color w:val="auto"/>
              </w:rPr>
              <w:t>(791)</w:t>
            </w: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(144)</w:t>
            </w:r>
          </w:p>
        </w:tc>
      </w:tr>
      <w:tr>
        <w:trPr>
          <w:trHeight w:val="33"/>
        </w:trPr>
        <w:tc>
          <w:tcPr>
            <w:tcW w:w="484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used in financing activities</w:t>
            </w:r>
          </w:p>
        </w:tc>
        <w:tc>
          <w:tcPr>
            <w:tcW w:w="336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6"/>
                <w:szCs w:val="16"/>
                <w:b w:val="1"/>
                <w:bCs w:val="1"/>
                <w:color w:val="auto"/>
              </w:rPr>
              <w:t>(542)</w:t>
            </w:r>
          </w:p>
        </w:tc>
        <w:tc>
          <w:tcPr>
            <w:tcW w:w="186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6"/>
                <w:szCs w:val="16"/>
                <w:color w:val="auto"/>
              </w:rPr>
              <w:t>(455)</w:t>
            </w:r>
          </w:p>
        </w:tc>
        <w:tc>
          <w:tcPr>
            <w:tcW w:w="1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(2,558)</w:t>
            </w:r>
          </w:p>
        </w:tc>
      </w:tr>
      <w:tr>
        <w:trPr>
          <w:trHeight w:val="20"/>
        </w:trPr>
        <w:tc>
          <w:tcPr>
            <w:tcW w:w="4840" w:type="dxa"/>
            <w:vAlign w:val="bottom"/>
            <w:shd w:val="clear" w:color="auto" w:fill="000000"/>
          </w:tcPr>
          <w:p>
            <w:pPr>
              <w:spacing w:after="0" w:line="20" w:lineRule="exact"/>
              <w:rPr>
                <w:sz w:val="1"/>
                <w:szCs w:val="1"/>
                <w:color w:val="auto"/>
              </w:rPr>
            </w:pPr>
          </w:p>
        </w:tc>
        <w:tc>
          <w:tcPr>
            <w:tcW w:w="336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2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majority of our operating cash inflows are derived from sales. We also receive cash payments for property incentives from developers. Our operating cash outflows generally consist of payments to our merchandise vendors (net of vendor allowances), payments to our employees for wages, salaries and other employee benefits and payments to our landlords for rent. Operating cash outflows also include payments for income taxes and interest payments on our short-term and long-term borrowings.</w:t>
      </w:r>
    </w:p>
    <w:p>
      <w:pPr>
        <w:spacing w:after="0" w:line="13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Net cash provided by operating activities decreased by $258 between 2017 and 2016 primarily due to the timing of tax refunds and payments. Net cash provided by operating activities decreased by $812 between 2016 and 2015 primarily due to $1,297 of proceeds in 2015 from the sale of our credit card receivables originated at Nordstrom (see Note 2: Credit Card Receivable Transaction in Item 8). When removing the impact of the sale proceeds, operating cash flows increased from 2015 primarily due to improvements in working capital.</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2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Our investing cash inflows are generally from proceeds from sales of property and equipment. Our investing cash outflows include payments for capital expenditures, including stores, supply chain improvements and information technology costs. In addition, other investing includes payments for investments in other companies, as well as proceeds from distributions or sales of these investments.</w:t>
      </w:r>
    </w:p>
    <w:p>
      <w:pPr>
        <w:spacing w:after="0" w:line="136"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Net cash used in investing activities decreased by $107 between 2017 and 2016 primarily due to a decrease in capital expenditures. Net cash used in investing activities increased by $647 between 2016 and 2015 primarily due to $890 of proceeds in 2015 from the sale of our credit card receivables originated at third parties, partially offset by a decrease in capital expenditures in 2016.</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Capital Expenditures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Our capital expenditures, net are summarized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80" w:type="dxa"/>
            <w:vAlign w:val="bottom"/>
          </w:tcPr>
          <w:p>
            <w:pPr>
              <w:ind w:left="40"/>
              <w:spacing w:after="0"/>
              <w:rPr>
                <w:sz w:val="20"/>
                <w:szCs w:val="20"/>
                <w:color w:val="auto"/>
              </w:rPr>
            </w:pPr>
            <w:r>
              <w:rPr>
                <w:rFonts w:ascii="Arial" w:cs="Arial" w:eastAsia="Arial" w:hAnsi="Arial"/>
                <w:sz w:val="16"/>
                <w:szCs w:val="16"/>
                <w:b w:val="1"/>
                <w:bCs w:val="1"/>
                <w:color w:val="auto"/>
              </w:rPr>
              <w:t>Fiscal year</w:t>
            </w:r>
          </w:p>
        </w:tc>
        <w:tc>
          <w:tcPr>
            <w:tcW w:w="3240" w:type="dxa"/>
            <w:vAlign w:val="bottom"/>
          </w:tcPr>
          <w:p>
            <w:pPr>
              <w:jc w:val="right"/>
              <w:ind w:right="819"/>
              <w:spacing w:after="0"/>
              <w:rPr>
                <w:sz w:val="20"/>
                <w:szCs w:val="20"/>
                <w:color w:val="auto"/>
              </w:rPr>
            </w:pPr>
            <w:r>
              <w:rPr>
                <w:rFonts w:ascii="Arial" w:cs="Arial" w:eastAsia="Arial" w:hAnsi="Arial"/>
                <w:sz w:val="16"/>
                <w:szCs w:val="16"/>
                <w:b w:val="1"/>
                <w:bCs w:val="1"/>
                <w:color w:val="auto"/>
              </w:rPr>
              <w:t>2017</w:t>
            </w:r>
          </w:p>
        </w:tc>
        <w:tc>
          <w:tcPr>
            <w:tcW w:w="1900" w:type="dxa"/>
            <w:vAlign w:val="bottom"/>
          </w:tcPr>
          <w:p>
            <w:pPr>
              <w:jc w:val="right"/>
              <w:ind w:right="739"/>
              <w:spacing w:after="0"/>
              <w:rPr>
                <w:sz w:val="20"/>
                <w:szCs w:val="20"/>
                <w:color w:val="auto"/>
              </w:rPr>
            </w:pPr>
            <w:r>
              <w:rPr>
                <w:rFonts w:ascii="Arial" w:cs="Arial" w:eastAsia="Arial" w:hAnsi="Arial"/>
                <w:sz w:val="16"/>
                <w:szCs w:val="16"/>
                <w:b w:val="1"/>
                <w:bCs w:val="1"/>
                <w:color w:val="auto"/>
              </w:rPr>
              <w:t>2016</w:t>
            </w:r>
          </w:p>
        </w:tc>
        <w:tc>
          <w:tcPr>
            <w:tcW w:w="1300" w:type="dxa"/>
            <w:vAlign w:val="bottom"/>
          </w:tcPr>
          <w:p>
            <w:pPr>
              <w:jc w:val="right"/>
              <w:ind w:right="79"/>
              <w:spacing w:after="0"/>
              <w:rPr>
                <w:sz w:val="20"/>
                <w:szCs w:val="20"/>
                <w:color w:val="auto"/>
              </w:rPr>
            </w:pPr>
            <w:r>
              <w:rPr>
                <w:rFonts w:ascii="Arial" w:cs="Arial" w:eastAsia="Arial" w:hAnsi="Arial"/>
                <w:sz w:val="16"/>
                <w:szCs w:val="16"/>
                <w:b w:val="1"/>
                <w:bCs w:val="1"/>
                <w:color w:val="auto"/>
              </w:rPr>
              <w:t>2015</w:t>
            </w:r>
          </w:p>
        </w:tc>
      </w:tr>
      <w:tr>
        <w:trPr>
          <w:trHeight w:val="33"/>
        </w:trPr>
        <w:tc>
          <w:tcPr>
            <w:tcW w:w="498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 expenditures</w:t>
            </w:r>
          </w:p>
        </w:tc>
        <w:tc>
          <w:tcPr>
            <w:tcW w:w="324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$731</w:t>
            </w:r>
          </w:p>
        </w:tc>
        <w:tc>
          <w:tcPr>
            <w:tcW w:w="190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rPr>
              <w:t>$846</w:t>
            </w:r>
          </w:p>
        </w:tc>
        <w:tc>
          <w:tcPr>
            <w:tcW w:w="13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$1,082</w:t>
            </w:r>
          </w:p>
        </w:tc>
      </w:tr>
      <w:tr>
        <w:trPr>
          <w:trHeight w:val="270"/>
        </w:trPr>
        <w:tc>
          <w:tcPr>
            <w:tcW w:w="49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Less: deferred property incentives</w:t>
            </w:r>
            <w:r>
              <w:rPr>
                <w:rFonts w:ascii="Arial" w:cs="Arial" w:eastAsia="Arial" w:hAnsi="Arial"/>
                <w:sz w:val="21"/>
                <w:szCs w:val="21"/>
                <w:color w:val="auto"/>
                <w:vertAlign w:val="superscript"/>
              </w:rPr>
              <w:t>1</w:t>
            </w:r>
          </w:p>
        </w:tc>
        <w:tc>
          <w:tcPr>
            <w:tcW w:w="324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(64)</w:t>
            </w:r>
          </w:p>
        </w:tc>
        <w:tc>
          <w:tcPr>
            <w:tcW w:w="190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rPr>
              <w:t>(65)</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(156)</w:t>
            </w:r>
          </w:p>
        </w:tc>
      </w:tr>
      <w:tr>
        <w:trPr>
          <w:trHeight w:val="269"/>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Capital expenditures, net</w:t>
            </w:r>
          </w:p>
        </w:tc>
        <w:tc>
          <w:tcPr>
            <w:tcW w:w="324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$667</w:t>
            </w:r>
          </w:p>
        </w:tc>
        <w:tc>
          <w:tcPr>
            <w:tcW w:w="190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rPr>
              <w:t>$781</w:t>
            </w:r>
          </w:p>
        </w:tc>
        <w:tc>
          <w:tcPr>
            <w:tcW w:w="13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$926</w:t>
            </w:r>
          </w:p>
        </w:tc>
      </w:tr>
      <w:tr>
        <w:trPr>
          <w:trHeight w:val="291"/>
        </w:trPr>
        <w:tc>
          <w:tcPr>
            <w:tcW w:w="4980" w:type="dxa"/>
            <w:vAlign w:val="bottom"/>
            <w:tcBorders>
              <w:top w:val="single" w:sz="8" w:color="auto"/>
            </w:tcBorders>
          </w:tcPr>
          <w:p>
            <w:pPr>
              <w:spacing w:after="0"/>
              <w:rPr>
                <w:sz w:val="24"/>
                <w:szCs w:val="24"/>
                <w:color w:val="auto"/>
              </w:rPr>
            </w:pPr>
          </w:p>
        </w:tc>
        <w:tc>
          <w:tcPr>
            <w:tcW w:w="3240" w:type="dxa"/>
            <w:vAlign w:val="bottom"/>
            <w:tcBorders>
              <w:top w:val="single" w:sz="8" w:color="auto"/>
            </w:tcBorders>
          </w:tcPr>
          <w:p>
            <w:pPr>
              <w:spacing w:after="0"/>
              <w:rPr>
                <w:sz w:val="24"/>
                <w:szCs w:val="24"/>
                <w:color w:val="auto"/>
              </w:rPr>
            </w:pPr>
          </w:p>
        </w:tc>
        <w:tc>
          <w:tcPr>
            <w:tcW w:w="19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 expenditures % of net sales</w:t>
            </w:r>
          </w:p>
        </w:tc>
        <w:tc>
          <w:tcPr>
            <w:tcW w:w="324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4.8%</w:t>
            </w:r>
          </w:p>
        </w:tc>
        <w:tc>
          <w:tcPr>
            <w:tcW w:w="190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6"/>
                <w:szCs w:val="16"/>
                <w:color w:val="auto"/>
              </w:rPr>
              <w:t>5.8%</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w:t>
            </w:r>
          </w:p>
        </w:tc>
      </w:tr>
      <w:tr>
        <w:trPr>
          <w:trHeight w:val="297"/>
        </w:trPr>
        <w:tc>
          <w:tcPr>
            <w:tcW w:w="49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 expenditures, net category allocation:</w:t>
            </w:r>
          </w:p>
        </w:tc>
        <w:tc>
          <w:tcPr>
            <w:tcW w:w="32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70"/>
        </w:trPr>
        <w:tc>
          <w:tcPr>
            <w:tcW w:w="4980" w:type="dxa"/>
            <w:vAlign w:val="bottom"/>
          </w:tcPr>
          <w:p>
            <w:pPr>
              <w:ind w:left="280"/>
              <w:spacing w:after="0"/>
              <w:rPr>
                <w:sz w:val="20"/>
                <w:szCs w:val="20"/>
                <w:color w:val="auto"/>
              </w:rPr>
            </w:pPr>
            <w:r>
              <w:rPr>
                <w:rFonts w:ascii="Arial" w:cs="Arial" w:eastAsia="Arial" w:hAnsi="Arial"/>
                <w:sz w:val="16"/>
                <w:szCs w:val="16"/>
                <w:color w:val="auto"/>
              </w:rPr>
              <w:t>New stores, relocations and remodels</w:t>
            </w:r>
            <w:r>
              <w:rPr>
                <w:rFonts w:ascii="Arial" w:cs="Arial" w:eastAsia="Arial" w:hAnsi="Arial"/>
                <w:sz w:val="21"/>
                <w:szCs w:val="21"/>
                <w:color w:val="auto"/>
                <w:vertAlign w:val="superscript"/>
              </w:rPr>
              <w:t>2</w:t>
            </w:r>
          </w:p>
        </w:tc>
        <w:tc>
          <w:tcPr>
            <w:tcW w:w="3240" w:type="dxa"/>
            <w:vAlign w:val="bottom"/>
          </w:tcPr>
          <w:p>
            <w:pPr>
              <w:jc w:val="right"/>
              <w:ind w:right="659"/>
              <w:spacing w:after="0"/>
              <w:rPr>
                <w:sz w:val="20"/>
                <w:szCs w:val="20"/>
                <w:color w:val="auto"/>
              </w:rPr>
            </w:pPr>
            <w:r>
              <w:rPr>
                <w:rFonts w:ascii="Arial" w:cs="Arial" w:eastAsia="Arial" w:hAnsi="Arial"/>
                <w:sz w:val="16"/>
                <w:szCs w:val="16"/>
                <w:b w:val="1"/>
                <w:bCs w:val="1"/>
                <w:color w:val="auto"/>
              </w:rPr>
              <w:t>65%</w:t>
            </w:r>
          </w:p>
        </w:tc>
        <w:tc>
          <w:tcPr>
            <w:tcW w:w="1900" w:type="dxa"/>
            <w:vAlign w:val="bottom"/>
          </w:tcPr>
          <w:p>
            <w:pPr>
              <w:jc w:val="right"/>
              <w:ind w:right="599"/>
              <w:spacing w:after="0"/>
              <w:rPr>
                <w:sz w:val="20"/>
                <w:szCs w:val="20"/>
                <w:color w:val="auto"/>
              </w:rPr>
            </w:pPr>
            <w:r>
              <w:rPr>
                <w:rFonts w:ascii="Arial" w:cs="Arial" w:eastAsia="Arial" w:hAnsi="Arial"/>
                <w:sz w:val="16"/>
                <w:szCs w:val="16"/>
                <w:color w:val="auto"/>
              </w:rPr>
              <w:t>61%</w:t>
            </w:r>
          </w:p>
        </w:tc>
        <w:tc>
          <w:tcPr>
            <w:tcW w:w="1300" w:type="dxa"/>
            <w:vAlign w:val="bottom"/>
          </w:tcPr>
          <w:p>
            <w:pPr>
              <w:jc w:val="right"/>
              <w:spacing w:after="0"/>
              <w:rPr>
                <w:sz w:val="20"/>
                <w:szCs w:val="20"/>
                <w:color w:val="auto"/>
              </w:rPr>
            </w:pPr>
            <w:r>
              <w:rPr>
                <w:rFonts w:ascii="Arial" w:cs="Arial" w:eastAsia="Arial" w:hAnsi="Arial"/>
                <w:sz w:val="16"/>
                <w:szCs w:val="16"/>
                <w:color w:val="auto"/>
              </w:rPr>
              <w:t>61%</w:t>
            </w:r>
          </w:p>
        </w:tc>
      </w:tr>
      <w:tr>
        <w:trPr>
          <w:trHeight w:val="250"/>
        </w:trPr>
        <w:tc>
          <w:tcPr>
            <w:tcW w:w="4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Information technology</w:t>
            </w:r>
          </w:p>
        </w:tc>
        <w:tc>
          <w:tcPr>
            <w:tcW w:w="324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30%</w:t>
            </w:r>
          </w:p>
        </w:tc>
        <w:tc>
          <w:tcPr>
            <w:tcW w:w="190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6"/>
                <w:szCs w:val="16"/>
                <w:color w:val="auto"/>
              </w:rPr>
              <w:t>28%</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r>
      <w:tr>
        <w:trPr>
          <w:trHeight w:val="270"/>
        </w:trPr>
        <w:tc>
          <w:tcPr>
            <w:tcW w:w="498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3</w:t>
            </w:r>
          </w:p>
        </w:tc>
        <w:tc>
          <w:tcPr>
            <w:tcW w:w="324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5%</w:t>
            </w:r>
          </w:p>
        </w:tc>
        <w:tc>
          <w:tcPr>
            <w:tcW w:w="19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rPr>
              <w:t>11%</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231"/>
        </w:trPr>
        <w:tc>
          <w:tcPr>
            <w:tcW w:w="49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3240" w:type="dxa"/>
            <w:vAlign w:val="bottom"/>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100%</w:t>
            </w:r>
          </w:p>
        </w:tc>
        <w:tc>
          <w:tcPr>
            <w:tcW w:w="190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100%</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33"/>
        </w:trPr>
        <w:tc>
          <w:tcPr>
            <w:tcW w:w="4980" w:type="dxa"/>
            <w:vAlign w:val="bottom"/>
            <w:shd w:val="clear" w:color="auto" w:fill="CCEEFF"/>
          </w:tcPr>
          <w:p>
            <w:pPr>
              <w:spacing w:after="0"/>
              <w:rPr>
                <w:sz w:val="2"/>
                <w:szCs w:val="2"/>
                <w:color w:val="auto"/>
              </w:rPr>
            </w:pPr>
          </w:p>
        </w:tc>
        <w:tc>
          <w:tcPr>
            <w:tcW w:w="324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80" w:right="280" w:hanging="72"/>
        <w:spacing w:after="0" w:line="246" w:lineRule="auto"/>
        <w:tabs>
          <w:tab w:leader="none" w:pos="66" w:val="left"/>
        </w:tabs>
        <w:numPr>
          <w:ilvl w:val="0"/>
          <w:numId w:val="53"/>
        </w:numPr>
        <w:rPr>
          <w:rFonts w:ascii="Arial" w:cs="Arial" w:eastAsia="Arial" w:hAnsi="Arial"/>
          <w:sz w:val="9"/>
          <w:szCs w:val="9"/>
          <w:color w:val="auto"/>
        </w:rPr>
      </w:pPr>
      <w:r>
        <w:rPr>
          <w:rFonts w:ascii="Arial" w:cs="Arial" w:eastAsia="Arial" w:hAnsi="Arial"/>
          <w:sz w:val="14"/>
          <w:szCs w:val="14"/>
          <w:color w:val="auto"/>
        </w:rPr>
        <w:t>Deferred property incentives are included in our cash provided by operations in our Consolidated Statements of Cash Flows in Item 8. We operationally view the property incentives we receive from our developers as an offset to our capital expenditures.</w:t>
      </w:r>
    </w:p>
    <w:p>
      <w:pPr>
        <w:spacing w:after="0" w:line="1" w:lineRule="exact"/>
        <w:rPr>
          <w:sz w:val="20"/>
          <w:szCs w:val="20"/>
          <w:color w:val="auto"/>
        </w:rPr>
      </w:pPr>
    </w:p>
    <w:p>
      <w:pPr>
        <w:ind w:left="80" w:hanging="72"/>
        <w:spacing w:after="0"/>
        <w:tabs>
          <w:tab w:leader="none" w:pos="80" w:val="left"/>
        </w:tabs>
        <w:numPr>
          <w:ilvl w:val="0"/>
          <w:numId w:val="54"/>
        </w:numPr>
        <w:rPr>
          <w:rFonts w:ascii="Arial" w:cs="Arial" w:eastAsia="Arial" w:hAnsi="Arial"/>
          <w:sz w:val="9"/>
          <w:szCs w:val="9"/>
          <w:color w:val="auto"/>
        </w:rPr>
      </w:pPr>
      <w:r>
        <w:rPr>
          <w:rFonts w:ascii="Arial" w:cs="Arial" w:eastAsia="Arial" w:hAnsi="Arial"/>
          <w:sz w:val="14"/>
          <w:szCs w:val="14"/>
          <w:color w:val="auto"/>
        </w:rPr>
        <w:t>New stores, relocations and remodels include the impact of our expansion into new markets, including Nordstrom Canada and Nordstrom NYC.</w:t>
      </w:r>
    </w:p>
    <w:p>
      <w:pPr>
        <w:spacing w:after="0" w:line="1" w:lineRule="exact"/>
        <w:rPr>
          <w:sz w:val="20"/>
          <w:szCs w:val="20"/>
          <w:color w:val="auto"/>
        </w:rPr>
      </w:pPr>
    </w:p>
    <w:p>
      <w:pPr>
        <w:ind w:left="80" w:hanging="72"/>
        <w:spacing w:after="0"/>
        <w:tabs>
          <w:tab w:leader="none" w:pos="80" w:val="left"/>
        </w:tabs>
        <w:numPr>
          <w:ilvl w:val="0"/>
          <w:numId w:val="55"/>
        </w:numPr>
        <w:rPr>
          <w:rFonts w:ascii="Arial" w:cs="Arial" w:eastAsia="Arial" w:hAnsi="Arial"/>
          <w:sz w:val="9"/>
          <w:szCs w:val="9"/>
          <w:color w:val="auto"/>
        </w:rPr>
      </w:pPr>
      <w:r>
        <w:rPr>
          <w:rFonts w:ascii="Arial" w:cs="Arial" w:eastAsia="Arial" w:hAnsi="Arial"/>
          <w:sz w:val="14"/>
          <w:szCs w:val="14"/>
          <w:color w:val="auto"/>
        </w:rPr>
        <w:t>Other capital expenditures consist of ongoing improvements to our stores in the ordinary course of business and expenditures related to various growth initiatives.</w:t>
      </w:r>
    </w:p>
    <w:p>
      <w:pPr>
        <w:sectPr>
          <w:pgSz w:w="11900" w:h="16838" w:orient="portrait"/>
          <w:cols w:equalWidth="0" w:num="1">
            <w:col w:w="11420"/>
          </w:cols>
          <w:pgMar w:left="240" w:top="126" w:right="2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ind w:left="9580"/>
        <w:spacing w:after="0"/>
        <w:rPr>
          <w:sz w:val="20"/>
          <w:szCs w:val="20"/>
          <w:color w:val="auto"/>
        </w:rPr>
      </w:pPr>
      <w:r>
        <w:rPr>
          <w:rFonts w:ascii="Arial" w:cs="Arial" w:eastAsia="Arial" w:hAnsi="Arial"/>
          <w:sz w:val="11"/>
          <w:szCs w:val="11"/>
          <w:color w:val="auto"/>
        </w:rPr>
        <w:t xml:space="preserve">Nordstrom, Inc. and subsidiaries </w:t>
      </w:r>
      <w:r>
        <w:rPr>
          <w:rFonts w:ascii="Arial" w:cs="Arial" w:eastAsia="Arial" w:hAnsi="Arial"/>
          <w:sz w:val="14"/>
          <w:szCs w:val="14"/>
          <w:color w:val="auto"/>
        </w:rPr>
        <w:t>27</w:t>
      </w:r>
    </w:p>
    <w:p>
      <w:pPr>
        <w:sectPr>
          <w:pgSz w:w="11900" w:h="16838" w:orient="portrait"/>
          <w:cols w:equalWidth="0" w:num="1">
            <w:col w:w="11420"/>
          </w:cols>
          <w:pgMar w:left="240" w:top="126" w:right="239" w:bottom="1440" w:gutter="0" w:footer="0" w:header="0"/>
          <w:type w:val="continuous"/>
        </w:sectPr>
      </w:pPr>
    </w:p>
    <w:bookmarkStart w:id="27" w:name="page28"/>
    <w:bookmarkEnd w:id="27"/>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Capital expenditures, net decreased $114 in 2017 compared with 2016 due to reduced spend for Canada full-line stores. Capital expenditures, net decreased $145 in 2016 compared with 2015 due to reduced spend associated with full-line relocations and new full-line stores.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store count and square footage activity: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520" w:type="dxa"/>
            <w:vAlign w:val="bottom"/>
          </w:tcPr>
          <w:p>
            <w:pPr>
              <w:jc w:val="right"/>
              <w:ind w:right="459"/>
              <w:spacing w:after="0"/>
              <w:rPr>
                <w:sz w:val="20"/>
                <w:szCs w:val="20"/>
                <w:color w:val="auto"/>
              </w:rPr>
            </w:pPr>
            <w:r>
              <w:rPr>
                <w:rFonts w:ascii="Arial" w:cs="Arial" w:eastAsia="Arial" w:hAnsi="Arial"/>
                <w:sz w:val="16"/>
                <w:szCs w:val="16"/>
                <w:b w:val="1"/>
                <w:bCs w:val="1"/>
                <w:color w:val="auto"/>
              </w:rPr>
              <w:t>Store count</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560" w:type="dxa"/>
            <w:vAlign w:val="bottom"/>
          </w:tcPr>
          <w:p>
            <w:pPr>
              <w:jc w:val="right"/>
              <w:ind w:right="339"/>
              <w:spacing w:after="0"/>
              <w:rPr>
                <w:sz w:val="20"/>
                <w:szCs w:val="20"/>
                <w:color w:val="auto"/>
              </w:rPr>
            </w:pPr>
            <w:r>
              <w:rPr>
                <w:rFonts w:ascii="Arial" w:cs="Arial" w:eastAsia="Arial" w:hAnsi="Arial"/>
                <w:sz w:val="16"/>
                <w:szCs w:val="16"/>
                <w:b w:val="1"/>
                <w:bCs w:val="1"/>
                <w:color w:val="auto"/>
                <w:w w:val="96"/>
              </w:rPr>
              <w:t>Square footage</w:t>
            </w:r>
          </w:p>
        </w:tc>
        <w:tc>
          <w:tcPr>
            <w:tcW w:w="840" w:type="dxa"/>
            <w:vAlign w:val="bottom"/>
          </w:tcPr>
          <w:p>
            <w:pPr>
              <w:spacing w:after="0"/>
              <w:rPr>
                <w:sz w:val="18"/>
                <w:szCs w:val="18"/>
                <w:color w:val="auto"/>
              </w:rPr>
            </w:pPr>
          </w:p>
        </w:tc>
      </w:tr>
      <w:tr>
        <w:trPr>
          <w:trHeight w:val="33"/>
        </w:trPr>
        <w:tc>
          <w:tcPr>
            <w:tcW w:w="4000" w:type="dxa"/>
            <w:vAlign w:val="bottom"/>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1"/>
        </w:trPr>
        <w:tc>
          <w:tcPr>
            <w:tcW w:w="4000" w:type="dxa"/>
            <w:vAlign w:val="bottom"/>
            <w:gridSpan w:val="2"/>
          </w:tcPr>
          <w:p>
            <w:pPr>
              <w:ind w:left="40"/>
              <w:spacing w:after="0"/>
              <w:rPr>
                <w:sz w:val="20"/>
                <w:szCs w:val="20"/>
                <w:color w:val="auto"/>
              </w:rPr>
            </w:pPr>
            <w:r>
              <w:rPr>
                <w:rFonts w:ascii="Arial" w:cs="Arial" w:eastAsia="Arial" w:hAnsi="Arial"/>
                <w:sz w:val="16"/>
                <w:szCs w:val="16"/>
                <w:b w:val="1"/>
                <w:bCs w:val="1"/>
                <w:color w:val="auto"/>
              </w:rPr>
              <w:t>Fiscal year</w:t>
            </w:r>
          </w:p>
        </w:tc>
        <w:tc>
          <w:tcPr>
            <w:tcW w:w="1260" w:type="dxa"/>
            <w:vAlign w:val="bottom"/>
          </w:tcPr>
          <w:p>
            <w:pPr>
              <w:jc w:val="right"/>
              <w:ind w:right="159"/>
              <w:spacing w:after="0"/>
              <w:rPr>
                <w:sz w:val="20"/>
                <w:szCs w:val="20"/>
                <w:color w:val="auto"/>
              </w:rPr>
            </w:pPr>
            <w:r>
              <w:rPr>
                <w:rFonts w:ascii="Arial" w:cs="Arial" w:eastAsia="Arial" w:hAnsi="Arial"/>
                <w:sz w:val="16"/>
                <w:szCs w:val="16"/>
                <w:b w:val="1"/>
                <w:bCs w:val="1"/>
                <w:color w:val="auto"/>
              </w:rPr>
              <w:t>2017</w:t>
            </w:r>
          </w:p>
        </w:tc>
        <w:tc>
          <w:tcPr>
            <w:tcW w:w="1520" w:type="dxa"/>
            <w:vAlign w:val="bottom"/>
          </w:tcPr>
          <w:p>
            <w:pPr>
              <w:jc w:val="right"/>
              <w:ind w:right="419"/>
              <w:spacing w:after="0"/>
              <w:rPr>
                <w:sz w:val="20"/>
                <w:szCs w:val="20"/>
                <w:color w:val="auto"/>
              </w:rPr>
            </w:pPr>
            <w:r>
              <w:rPr>
                <w:rFonts w:ascii="Arial" w:cs="Arial" w:eastAsia="Arial" w:hAnsi="Arial"/>
                <w:sz w:val="16"/>
                <w:szCs w:val="16"/>
                <w:b w:val="1"/>
                <w:bCs w:val="1"/>
                <w:color w:val="auto"/>
              </w:rPr>
              <w:t>2016</w:t>
            </w: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b w:val="1"/>
                <w:bCs w:val="1"/>
                <w:color w:val="auto"/>
              </w:rPr>
              <w:t>2017</w:t>
            </w:r>
          </w:p>
        </w:tc>
        <w:tc>
          <w:tcPr>
            <w:tcW w:w="1560" w:type="dxa"/>
            <w:vAlign w:val="bottom"/>
          </w:tcPr>
          <w:p>
            <w:pPr>
              <w:jc w:val="right"/>
              <w:ind w:right="419"/>
              <w:spacing w:after="0"/>
              <w:rPr>
                <w:sz w:val="20"/>
                <w:szCs w:val="20"/>
                <w:color w:val="auto"/>
              </w:rPr>
            </w:pPr>
            <w:r>
              <w:rPr>
                <w:rFonts w:ascii="Arial" w:cs="Arial" w:eastAsia="Arial" w:hAnsi="Arial"/>
                <w:sz w:val="16"/>
                <w:szCs w:val="16"/>
                <w:b w:val="1"/>
                <w:bCs w:val="1"/>
                <w:color w:val="auto"/>
              </w:rPr>
              <w:t>2016</w:t>
            </w:r>
          </w:p>
        </w:tc>
        <w:tc>
          <w:tcPr>
            <w:tcW w:w="840" w:type="dxa"/>
            <w:vAlign w:val="bottom"/>
          </w:tcPr>
          <w:p>
            <w:pPr>
              <w:jc w:val="right"/>
              <w:ind w:right="19"/>
              <w:spacing w:after="0"/>
              <w:rPr>
                <w:sz w:val="20"/>
                <w:szCs w:val="20"/>
                <w:color w:val="auto"/>
              </w:rPr>
            </w:pPr>
            <w:r>
              <w:rPr>
                <w:rFonts w:ascii="Arial" w:cs="Arial" w:eastAsia="Arial" w:hAnsi="Arial"/>
                <w:sz w:val="16"/>
                <w:szCs w:val="16"/>
                <w:b w:val="1"/>
                <w:bCs w:val="1"/>
                <w:color w:val="auto"/>
              </w:rPr>
              <w:t>2015</w:t>
            </w:r>
          </w:p>
        </w:tc>
      </w:tr>
      <w:tr>
        <w:trPr>
          <w:trHeight w:val="33"/>
        </w:trPr>
        <w:tc>
          <w:tcPr>
            <w:tcW w:w="3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beginning of year</w:t>
            </w:r>
          </w:p>
        </w:tc>
        <w:tc>
          <w:tcPr>
            <w:tcW w:w="12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349</w:t>
            </w:r>
          </w:p>
        </w:tc>
        <w:tc>
          <w:tcPr>
            <w:tcW w:w="152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323</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292</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29.8</w:t>
            </w:r>
          </w:p>
        </w:tc>
        <w:tc>
          <w:tcPr>
            <w:tcW w:w="156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28.6</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27.1</w:t>
            </w:r>
          </w:p>
        </w:tc>
      </w:tr>
      <w:tr>
        <w:trPr>
          <w:trHeight w:val="270"/>
        </w:trPr>
        <w:tc>
          <w:tcPr>
            <w:tcW w:w="4000" w:type="dxa"/>
            <w:vAlign w:val="bottom"/>
            <w:gridSpan w:val="2"/>
          </w:tcPr>
          <w:p>
            <w:pPr>
              <w:ind w:left="40"/>
              <w:spacing w:after="0"/>
              <w:rPr>
                <w:sz w:val="20"/>
                <w:szCs w:val="20"/>
                <w:color w:val="auto"/>
              </w:rPr>
            </w:pPr>
            <w:r>
              <w:rPr>
                <w:rFonts w:ascii="Arial" w:cs="Arial" w:eastAsia="Arial" w:hAnsi="Arial"/>
                <w:sz w:val="16"/>
                <w:szCs w:val="16"/>
                <w:color w:val="auto"/>
              </w:rPr>
              <w:t>Store openings</w:t>
            </w:r>
            <w:r>
              <w:rPr>
                <w:rFonts w:ascii="Arial" w:cs="Arial" w:eastAsia="Arial" w:hAnsi="Arial"/>
                <w:sz w:val="21"/>
                <w:szCs w:val="21"/>
                <w:color w:val="auto"/>
                <w:vertAlign w:val="superscript"/>
              </w:rPr>
              <w:t>1</w:t>
            </w:r>
            <w:r>
              <w:rPr>
                <w:rFonts w:ascii="Arial" w:cs="Arial" w:eastAsia="Arial" w:hAnsi="Arial"/>
                <w:sz w:val="16"/>
                <w:szCs w:val="16"/>
                <w:color w:val="auto"/>
              </w:rPr>
              <w:t>:</w:t>
            </w:r>
          </w:p>
        </w:tc>
        <w:tc>
          <w:tcPr>
            <w:tcW w:w="126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70"/>
        </w:trPr>
        <w:tc>
          <w:tcPr>
            <w:tcW w:w="40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Nordstrom full-line stores</w:t>
            </w:r>
            <w:r>
              <w:rPr>
                <w:rFonts w:ascii="Arial" w:cs="Arial" w:eastAsia="Arial" w:hAnsi="Arial"/>
                <w:sz w:val="21"/>
                <w:szCs w:val="21"/>
                <w:color w:val="auto"/>
                <w:vertAlign w:val="superscript"/>
              </w:rPr>
              <w:t>2</w:t>
            </w:r>
          </w:p>
        </w:tc>
        <w:tc>
          <w:tcPr>
            <w:tcW w:w="126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2</w:t>
            </w:r>
          </w:p>
        </w:tc>
        <w:tc>
          <w:tcPr>
            <w:tcW w:w="152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3</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0.2</w:t>
            </w:r>
          </w:p>
        </w:tc>
        <w:tc>
          <w:tcPr>
            <w:tcW w:w="156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0.6</w:t>
            </w: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0.8</w:t>
            </w:r>
          </w:p>
        </w:tc>
      </w:tr>
      <w:tr>
        <w:trPr>
          <w:trHeight w:val="270"/>
        </w:trPr>
        <w:tc>
          <w:tcPr>
            <w:tcW w:w="4000" w:type="dxa"/>
            <w:vAlign w:val="bottom"/>
            <w:gridSpan w:val="2"/>
          </w:tcPr>
          <w:p>
            <w:pPr>
              <w:ind w:left="280"/>
              <w:spacing w:after="0"/>
              <w:rPr>
                <w:sz w:val="20"/>
                <w:szCs w:val="20"/>
                <w:color w:val="auto"/>
              </w:rPr>
            </w:pPr>
            <w:r>
              <w:rPr>
                <w:rFonts w:ascii="Arial" w:cs="Arial" w:eastAsia="Arial" w:hAnsi="Arial"/>
                <w:sz w:val="16"/>
                <w:szCs w:val="16"/>
                <w:color w:val="auto"/>
              </w:rPr>
              <w:t>Nordstrom Rack and other stores</w:t>
            </w:r>
            <w:r>
              <w:rPr>
                <w:rFonts w:ascii="Arial" w:cs="Arial" w:eastAsia="Arial" w:hAnsi="Arial"/>
                <w:sz w:val="21"/>
                <w:szCs w:val="21"/>
                <w:color w:val="auto"/>
                <w:vertAlign w:val="superscript"/>
              </w:rPr>
              <w:t>3</w:t>
            </w:r>
          </w:p>
        </w:tc>
        <w:tc>
          <w:tcPr>
            <w:tcW w:w="1260" w:type="dxa"/>
            <w:vAlign w:val="bottom"/>
          </w:tcPr>
          <w:p>
            <w:pPr>
              <w:jc w:val="right"/>
              <w:ind w:right="159"/>
              <w:spacing w:after="0"/>
              <w:rPr>
                <w:sz w:val="20"/>
                <w:szCs w:val="20"/>
                <w:color w:val="auto"/>
              </w:rPr>
            </w:pPr>
            <w:r>
              <w:rPr>
                <w:rFonts w:ascii="Arial" w:cs="Arial" w:eastAsia="Arial" w:hAnsi="Arial"/>
                <w:sz w:val="16"/>
                <w:szCs w:val="16"/>
                <w:b w:val="1"/>
                <w:bCs w:val="1"/>
                <w:color w:val="auto"/>
              </w:rPr>
              <w:t>17</w:t>
            </w:r>
          </w:p>
        </w:tc>
        <w:tc>
          <w:tcPr>
            <w:tcW w:w="1520" w:type="dxa"/>
            <w:vAlign w:val="bottom"/>
          </w:tcPr>
          <w:p>
            <w:pPr>
              <w:jc w:val="right"/>
              <w:ind w:right="419"/>
              <w:spacing w:after="0"/>
              <w:rPr>
                <w:sz w:val="20"/>
                <w:szCs w:val="20"/>
                <w:color w:val="auto"/>
              </w:rPr>
            </w:pPr>
            <w:r>
              <w:rPr>
                <w:rFonts w:ascii="Arial" w:cs="Arial" w:eastAsia="Arial" w:hAnsi="Arial"/>
                <w:sz w:val="16"/>
                <w:szCs w:val="16"/>
                <w:color w:val="auto"/>
              </w:rPr>
              <w:t>24</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3"/>
                <w:szCs w:val="23"/>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b w:val="1"/>
                <w:bCs w:val="1"/>
                <w:color w:val="auto"/>
              </w:rPr>
              <w:t>0.5</w:t>
            </w:r>
          </w:p>
        </w:tc>
        <w:tc>
          <w:tcPr>
            <w:tcW w:w="1560" w:type="dxa"/>
            <w:vAlign w:val="bottom"/>
          </w:tcPr>
          <w:p>
            <w:pPr>
              <w:jc w:val="right"/>
              <w:ind w:right="419"/>
              <w:spacing w:after="0"/>
              <w:rPr>
                <w:sz w:val="20"/>
                <w:szCs w:val="20"/>
                <w:color w:val="auto"/>
              </w:rPr>
            </w:pPr>
            <w:r>
              <w:rPr>
                <w:rFonts w:ascii="Arial" w:cs="Arial" w:eastAsia="Arial" w:hAnsi="Arial"/>
                <w:sz w:val="16"/>
                <w:szCs w:val="16"/>
                <w:color w:val="auto"/>
              </w:rPr>
              <w:t>0.8</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0.9</w:t>
            </w:r>
          </w:p>
        </w:tc>
      </w:tr>
      <w:tr>
        <w:trPr>
          <w:trHeight w:val="270"/>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Stores closed</w:t>
            </w:r>
          </w:p>
        </w:tc>
        <w:tc>
          <w:tcPr>
            <w:tcW w:w="12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(2)</w:t>
            </w:r>
          </w:p>
        </w:tc>
        <w:tc>
          <w:tcPr>
            <w:tcW w:w="152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(1)</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(0.3)</w:t>
            </w:r>
          </w:p>
        </w:tc>
        <w:tc>
          <w:tcPr>
            <w:tcW w:w="156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(0.2)</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31"/>
        </w:trPr>
        <w:tc>
          <w:tcPr>
            <w:tcW w:w="38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end of year</w:t>
            </w:r>
          </w:p>
        </w:tc>
        <w:tc>
          <w:tcPr>
            <w:tcW w:w="120" w:type="dxa"/>
            <w:vAlign w:val="bottom"/>
          </w:tcPr>
          <w:p>
            <w:pPr>
              <w:spacing w:after="0"/>
              <w:rPr>
                <w:sz w:val="20"/>
                <w:szCs w:val="20"/>
                <w:color w:val="auto"/>
              </w:rPr>
            </w:pPr>
          </w:p>
        </w:tc>
        <w:tc>
          <w:tcPr>
            <w:tcW w:w="12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366</w:t>
            </w:r>
          </w:p>
        </w:tc>
        <w:tc>
          <w:tcPr>
            <w:tcW w:w="152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color w:val="auto"/>
              </w:rPr>
              <w:t>349</w:t>
            </w: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323</w:t>
            </w:r>
          </w:p>
        </w:tc>
        <w:tc>
          <w:tcPr>
            <w:tcW w:w="100" w:type="dxa"/>
            <w:vAlign w:val="bottom"/>
          </w:tcPr>
          <w:p>
            <w:pPr>
              <w:spacing w:after="0"/>
              <w:rPr>
                <w:sz w:val="20"/>
                <w:szCs w:val="20"/>
                <w:color w:val="auto"/>
              </w:rPr>
            </w:pPr>
          </w:p>
        </w:tc>
        <w:tc>
          <w:tcPr>
            <w:tcW w:w="11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30.2</w:t>
            </w:r>
          </w:p>
        </w:tc>
        <w:tc>
          <w:tcPr>
            <w:tcW w:w="156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color w:val="auto"/>
              </w:rPr>
              <w:t>29.8</w:t>
            </w: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28.6</w:t>
            </w:r>
          </w:p>
        </w:tc>
      </w:tr>
      <w:tr>
        <w:trPr>
          <w:trHeight w:val="33"/>
        </w:trPr>
        <w:tc>
          <w:tcPr>
            <w:tcW w:w="3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91"/>
        </w:trPr>
        <w:tc>
          <w:tcPr>
            <w:tcW w:w="3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r>
      <w:tr>
        <w:trPr>
          <w:trHeight w:val="277"/>
        </w:trPr>
        <w:tc>
          <w:tcPr>
            <w:tcW w:w="4000" w:type="dxa"/>
            <w:vAlign w:val="bottom"/>
            <w:gridSpan w:val="2"/>
          </w:tcPr>
          <w:p>
            <w:pPr>
              <w:ind w:left="40"/>
              <w:spacing w:after="0"/>
              <w:rPr>
                <w:sz w:val="20"/>
                <w:szCs w:val="20"/>
                <w:color w:val="auto"/>
              </w:rPr>
            </w:pPr>
            <w:r>
              <w:rPr>
                <w:rFonts w:ascii="Arial" w:cs="Arial" w:eastAsia="Arial" w:hAnsi="Arial"/>
                <w:sz w:val="16"/>
                <w:szCs w:val="16"/>
                <w:b w:val="1"/>
                <w:bCs w:val="1"/>
                <w:color w:val="auto"/>
              </w:rPr>
              <w:t>Relocations and other</w:t>
            </w:r>
            <w:r>
              <w:rPr>
                <w:rFonts w:ascii="Arial" w:cs="Arial" w:eastAsia="Arial" w:hAnsi="Arial"/>
                <w:sz w:val="21"/>
                <w:szCs w:val="21"/>
                <w:color w:val="auto"/>
                <w:vertAlign w:val="superscript"/>
              </w:rPr>
              <w:t>1</w:t>
            </w:r>
          </w:p>
        </w:tc>
        <w:tc>
          <w:tcPr>
            <w:tcW w:w="1260" w:type="dxa"/>
            <w:vAlign w:val="bottom"/>
          </w:tcPr>
          <w:p>
            <w:pPr>
              <w:jc w:val="right"/>
              <w:ind w:right="159"/>
              <w:spacing w:after="0"/>
              <w:rPr>
                <w:sz w:val="20"/>
                <w:szCs w:val="20"/>
                <w:color w:val="auto"/>
              </w:rPr>
            </w:pPr>
            <w:r>
              <w:rPr>
                <w:rFonts w:ascii="Arial" w:cs="Arial" w:eastAsia="Arial" w:hAnsi="Arial"/>
                <w:sz w:val="16"/>
                <w:szCs w:val="16"/>
                <w:b w:val="1"/>
                <w:bCs w:val="1"/>
                <w:color w:val="auto"/>
              </w:rPr>
              <w:t>3</w:t>
            </w:r>
          </w:p>
        </w:tc>
        <w:tc>
          <w:tcPr>
            <w:tcW w:w="1520" w:type="dxa"/>
            <w:vAlign w:val="bottom"/>
          </w:tcPr>
          <w:p>
            <w:pPr>
              <w:jc w:val="right"/>
              <w:ind w:right="419"/>
              <w:spacing w:after="0"/>
              <w:rPr>
                <w:sz w:val="20"/>
                <w:szCs w:val="20"/>
                <w:color w:val="auto"/>
              </w:rPr>
            </w:pPr>
            <w:r>
              <w:rPr>
                <w:rFonts w:ascii="Arial" w:cs="Arial" w:eastAsia="Arial" w:hAnsi="Arial"/>
                <w:sz w:val="16"/>
                <w:szCs w:val="16"/>
                <w:color w:val="auto"/>
              </w:rPr>
              <w:t>3</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4"/>
                <w:szCs w:val="24"/>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156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1233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ind w:left="80" w:hanging="72"/>
        <w:spacing w:after="0"/>
        <w:tabs>
          <w:tab w:leader="none" w:pos="80" w:val="left"/>
        </w:tabs>
        <w:numPr>
          <w:ilvl w:val="0"/>
          <w:numId w:val="56"/>
        </w:numPr>
        <w:rPr>
          <w:rFonts w:ascii="Arial" w:cs="Arial" w:eastAsia="Arial" w:hAnsi="Arial"/>
          <w:sz w:val="9"/>
          <w:szCs w:val="9"/>
          <w:color w:val="auto"/>
        </w:rPr>
      </w:pPr>
      <w:r>
        <w:rPr>
          <w:rFonts w:ascii="Arial" w:cs="Arial" w:eastAsia="Arial" w:hAnsi="Arial"/>
          <w:sz w:val="14"/>
          <w:szCs w:val="14"/>
          <w:color w:val="auto"/>
        </w:rPr>
        <w:t>Store openings include adjustments due to store relocations or remodels.</w:t>
      </w:r>
    </w:p>
    <w:p>
      <w:pPr>
        <w:spacing w:after="0" w:line="1" w:lineRule="exact"/>
        <w:rPr>
          <w:sz w:val="20"/>
          <w:szCs w:val="20"/>
          <w:color w:val="auto"/>
        </w:rPr>
      </w:pPr>
    </w:p>
    <w:p>
      <w:pPr>
        <w:ind w:left="80" w:hanging="72"/>
        <w:spacing w:after="0"/>
        <w:tabs>
          <w:tab w:leader="none" w:pos="80" w:val="left"/>
        </w:tabs>
        <w:numPr>
          <w:ilvl w:val="0"/>
          <w:numId w:val="57"/>
        </w:numPr>
        <w:rPr>
          <w:rFonts w:ascii="Arial" w:cs="Arial" w:eastAsia="Arial" w:hAnsi="Arial"/>
          <w:sz w:val="9"/>
          <w:szCs w:val="9"/>
          <w:color w:val="auto"/>
        </w:rPr>
      </w:pPr>
      <w:r>
        <w:rPr>
          <w:rFonts w:ascii="Arial" w:cs="Arial" w:eastAsia="Arial" w:hAnsi="Arial"/>
          <w:sz w:val="14"/>
          <w:szCs w:val="14"/>
          <w:color w:val="auto"/>
        </w:rPr>
        <w:t>Nordstrom full-line stores include U.S. full line stores, Canada full-line stores and Nordstrom Local.</w:t>
      </w:r>
    </w:p>
    <w:p>
      <w:pPr>
        <w:spacing w:after="0" w:line="1" w:lineRule="exact"/>
        <w:rPr>
          <w:rFonts w:ascii="Arial" w:cs="Arial" w:eastAsia="Arial" w:hAnsi="Arial"/>
          <w:sz w:val="9"/>
          <w:szCs w:val="9"/>
          <w:color w:val="auto"/>
        </w:rPr>
      </w:pPr>
    </w:p>
    <w:p>
      <w:pPr>
        <w:spacing w:after="0"/>
        <w:rPr>
          <w:rFonts w:ascii="Arial" w:cs="Arial" w:eastAsia="Arial" w:hAnsi="Arial"/>
          <w:sz w:val="9"/>
          <w:szCs w:val="9"/>
          <w:color w:val="auto"/>
        </w:rPr>
      </w:pPr>
      <w:r>
        <w:rPr>
          <w:rFonts w:ascii="Arial" w:cs="Arial" w:eastAsia="Arial" w:hAnsi="Arial"/>
          <w:sz w:val="9"/>
          <w:szCs w:val="9"/>
          <w:color w:val="auto"/>
        </w:rPr>
        <w:t xml:space="preserve">3 </w:t>
      </w:r>
      <w:r>
        <w:rPr>
          <w:rFonts w:ascii="Arial" w:cs="Arial" w:eastAsia="Arial" w:hAnsi="Arial"/>
          <w:sz w:val="14"/>
          <w:szCs w:val="14"/>
          <w:color w:val="auto"/>
        </w:rPr>
        <w:t>Other includes Trunk Club clubhouses, Jeffrey boutiques and Last Chance stores.</w:t>
      </w:r>
    </w:p>
    <w:p>
      <w:pPr>
        <w:spacing w:after="0" w:line="15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To date in 2018, we have opened three Nordstrom Rack stores and plan to open 9 additional Nordstrom Rack stores and the Nordstrom Men’s Store NYC, increasing our retail square footage by approximately 1%.</w:t>
      </w:r>
    </w:p>
    <w:p>
      <w:pPr>
        <w:spacing w:after="0" w:line="11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Our capital expenditures, net over the next five years is expected to be approximately $3,200, or 4% of net sales, compared with $3,839, or 6% of net sales, over the previous five years. Although we plan our spending in 2018 and 2019 to increase when compared with 2017 due to a new West Coast fulfillment center and Nordstrom NYC pre-opening costs, we expect reductions in the following years. We do not expect capital expenditures, net to exceed 5% of net sales in any of the next five years.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majority of our financing activities include long-term debt proceeds or payments, dividend payments and common stock repurchases.</w:t>
      </w:r>
    </w:p>
    <w:p>
      <w:pPr>
        <w:spacing w:after="0" w:line="15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Net cash used in financing activities increased $87 between 2017 and 2016 primarily due to a decrease in cash book overdrafts as a result of payment timing differences. Net cash used in financing activities decreased $2,103 between 2016 and 2015 primarily due to a decrease in cash dividends paid and share repurchase activity.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Borrowing Activity</w:t>
      </w:r>
    </w:p>
    <w:p>
      <w:pPr>
        <w:spacing w:after="0" w:line="23"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During 2017, we issued $350 aggregate principal amount of 4.00% senior unsecured notes due March 2027 and $300 aggregate principal amount of 5.00% senior unsecured notes due January 2044. We recorded debt issuance costs incurred as a result of the issuance in other financing activities, net in the Consolidated Statements of Cash Flows in Item 8. With the proceeds of these new notes, we retired our $650 senior unsecured notes that were due January 2018 (see Note 7: Debt and Credit Facilities in Item 8).</w:t>
      </w:r>
    </w:p>
    <w:p>
      <w:pPr>
        <w:spacing w:after="0" w:line="13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 2015, as a condition of closing the credit card receivable transaction, we defeased $325 in secured Series 2011-1 Class A Notes in order to provide the receivables to TD free and clear.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Dividends</w:t>
      </w:r>
    </w:p>
    <w:p>
      <w:pPr>
        <w:spacing w:after="0" w:line="23"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In 2017, we paid dividends of $247, or $1.48 per share, compared with $256, or $1.48 per share, in 2016 and $1,185, or $6.33 per share, in 2015. Dividends paid in 2015 included a special cash dividend of $905, or $4.85 per share, in addition to our quarterly dividends totaling $1.48 per share. The special dividend was authorized by our Board of Directors on October 1, 2015, and was paid using proceeds from the sale of our credit card receivables. In determining the dividends to pay, we analyze our dividend payout ratio and dividend yield, while taking into consideration our current and projected operating performance and liquidity. Our dividend payout ratio target range is 30% to 35% and is calculated as our dividend payments divided by net earnings.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In February 2018, subsequent to year end, we declared a quarterly dividend of $0.37 per share, which will be paid on March 20, 2018.</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380"/>
          </w:cols>
          <w:pgMar w:left="240" w:top="126" w:right="279" w:bottom="1440" w:gutter="0" w:footer="0" w:header="0"/>
        </w:sectPr>
      </w:pPr>
    </w:p>
    <w:bookmarkStart w:id="28" w:name="page29"/>
    <w:bookmarkEnd w:id="28"/>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Share Repurchases</w:t>
      </w:r>
    </w:p>
    <w:p>
      <w:pPr>
        <w:spacing w:after="0" w:line="23"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In October 2015, our Board of Directors authorized a program to repurchase up to $1,000 of our outstanding common stock, through March 1, 2017. There was $409 of unused capacity upon program expiration. In February 2017, our Board of Directors authorized an additional program to repurchase up to $500 of our outstanding common stock, through August 31, 2018. During the first quarter of 2017, we repurchased 4.6 shares of our common stock for an aggregate purchase price of $206. Since June 2017, when we suspended the February 2017 program, we did not and do not plan to repurchase shares while the Group explores the possibility of a Going Private Transaction. We had $414 remaining in share repurchase capacity as of February 3, 2018. The actual timing, price, manner and amounts of future share repurchases, if any, will be subject to market and economic conditions and applicable SEC rules.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Free Cash Flow (Non-GAAP financial measure)</w:t>
      </w:r>
    </w:p>
    <w:p>
      <w:pPr>
        <w:spacing w:after="0" w:line="27" w:lineRule="exact"/>
        <w:rPr>
          <w:sz w:val="20"/>
          <w:szCs w:val="20"/>
          <w:color w:val="auto"/>
        </w:rPr>
      </w:pPr>
    </w:p>
    <w:p>
      <w:pPr>
        <w:jc w:val="both"/>
        <w:ind w:right="160"/>
        <w:spacing w:after="0" w:line="255" w:lineRule="auto"/>
        <w:rPr>
          <w:sz w:val="20"/>
          <w:szCs w:val="20"/>
          <w:color w:val="auto"/>
        </w:rPr>
      </w:pPr>
      <w:r>
        <w:rPr>
          <w:rFonts w:ascii="Arial" w:cs="Arial" w:eastAsia="Arial" w:hAnsi="Arial"/>
          <w:sz w:val="18"/>
          <w:szCs w:val="18"/>
          <w:color w:val="auto"/>
        </w:rPr>
        <w:t>Free Cash Flow is one of our key liquidity measures, and when used in conjunction with GAAP measures, provides investors with a meaningful analysis of our ability to generate cash from our business. For the year ended February 3, 2018, we had Free Cash Flow of $383 compared with $560 for the year ended January 28, 2017.</w:t>
      </w:r>
    </w:p>
    <w:p>
      <w:pPr>
        <w:spacing w:after="0" w:line="136"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Free Cash Flow is not a measure of financial performance under GAAP and should be considered in addition to, and not as a substitute for, operating cash flows or other financial measures prepared in accordance with GAAP. Our method of determining non-GAAP financial measures may differ from other companies’ methods and therefore may not be comparable to those used by other companies. The financial measure calculated under GAAP which is most directly comparable to Free Cash Flow is net cash provided by operating activities. The following is a reconciliation of net cash provided by operating activities to Free Cash Flow:</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80" w:type="dxa"/>
            <w:vAlign w:val="bottom"/>
          </w:tcPr>
          <w:p>
            <w:pPr>
              <w:ind w:left="40"/>
              <w:spacing w:after="0"/>
              <w:rPr>
                <w:sz w:val="20"/>
                <w:szCs w:val="20"/>
                <w:color w:val="auto"/>
              </w:rPr>
            </w:pPr>
            <w:r>
              <w:rPr>
                <w:rFonts w:ascii="Arial" w:cs="Arial" w:eastAsia="Arial" w:hAnsi="Arial"/>
                <w:sz w:val="16"/>
                <w:szCs w:val="16"/>
                <w:b w:val="1"/>
                <w:bCs w:val="1"/>
                <w:color w:val="auto"/>
              </w:rPr>
              <w:t>Fiscal year</w:t>
            </w:r>
          </w:p>
        </w:tc>
        <w:tc>
          <w:tcPr>
            <w:tcW w:w="2240" w:type="dxa"/>
            <w:vAlign w:val="bottom"/>
          </w:tcPr>
          <w:p>
            <w:pPr>
              <w:jc w:val="right"/>
              <w:ind w:right="699"/>
              <w:spacing w:after="0"/>
              <w:rPr>
                <w:sz w:val="20"/>
                <w:szCs w:val="20"/>
                <w:color w:val="auto"/>
              </w:rPr>
            </w:pPr>
            <w:r>
              <w:rPr>
                <w:rFonts w:ascii="Arial" w:cs="Arial" w:eastAsia="Arial" w:hAnsi="Arial"/>
                <w:sz w:val="16"/>
                <w:szCs w:val="16"/>
                <w:b w:val="1"/>
                <w:bCs w:val="1"/>
                <w:color w:val="auto"/>
              </w:rPr>
              <w:t>2017</w:t>
            </w:r>
          </w:p>
        </w:tc>
        <w:tc>
          <w:tcPr>
            <w:tcW w:w="1940" w:type="dxa"/>
            <w:vAlign w:val="bottom"/>
          </w:tcPr>
          <w:p>
            <w:pPr>
              <w:jc w:val="right"/>
              <w:ind w:right="679"/>
              <w:spacing w:after="0"/>
              <w:rPr>
                <w:sz w:val="20"/>
                <w:szCs w:val="20"/>
                <w:color w:val="auto"/>
              </w:rPr>
            </w:pPr>
            <w:r>
              <w:rPr>
                <w:rFonts w:ascii="Arial" w:cs="Arial" w:eastAsia="Arial" w:hAnsi="Arial"/>
                <w:sz w:val="16"/>
                <w:szCs w:val="16"/>
                <w:b w:val="1"/>
                <w:bCs w:val="1"/>
                <w:color w:val="auto"/>
              </w:rPr>
              <w:t>2016</w:t>
            </w:r>
          </w:p>
        </w:tc>
        <w:tc>
          <w:tcPr>
            <w:tcW w:w="1260" w:type="dxa"/>
            <w:vAlign w:val="bottom"/>
          </w:tcPr>
          <w:p>
            <w:pPr>
              <w:jc w:val="right"/>
              <w:ind w:right="19"/>
              <w:spacing w:after="0"/>
              <w:rPr>
                <w:sz w:val="20"/>
                <w:szCs w:val="20"/>
                <w:color w:val="auto"/>
              </w:rPr>
            </w:pPr>
            <w:r>
              <w:rPr>
                <w:rFonts w:ascii="Arial" w:cs="Arial" w:eastAsia="Arial" w:hAnsi="Arial"/>
                <w:sz w:val="16"/>
                <w:szCs w:val="16"/>
                <w:b w:val="1"/>
                <w:bCs w:val="1"/>
                <w:color w:val="auto"/>
              </w:rPr>
              <w:t>2015</w:t>
            </w:r>
          </w:p>
        </w:tc>
      </w:tr>
      <w:tr>
        <w:trPr>
          <w:trHeight w:val="33"/>
        </w:trPr>
        <w:tc>
          <w:tcPr>
            <w:tcW w:w="598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cash provided by operating activities</w:t>
            </w:r>
          </w:p>
        </w:tc>
        <w:tc>
          <w:tcPr>
            <w:tcW w:w="224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$1,400</w:t>
            </w:r>
          </w:p>
        </w:tc>
        <w:tc>
          <w:tcPr>
            <w:tcW w:w="194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6"/>
                <w:szCs w:val="16"/>
                <w:color w:val="auto"/>
              </w:rPr>
              <w:t>$1,658</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$2,470</w:t>
            </w:r>
          </w:p>
        </w:tc>
      </w:tr>
      <w:tr>
        <w:trPr>
          <w:trHeight w:val="237"/>
        </w:trPr>
        <w:tc>
          <w:tcPr>
            <w:tcW w:w="5980" w:type="dxa"/>
            <w:vAlign w:val="bottom"/>
          </w:tcPr>
          <w:p>
            <w:pPr>
              <w:ind w:left="40"/>
              <w:spacing w:after="0"/>
              <w:rPr>
                <w:sz w:val="20"/>
                <w:szCs w:val="20"/>
                <w:color w:val="auto"/>
              </w:rPr>
            </w:pPr>
            <w:r>
              <w:rPr>
                <w:rFonts w:ascii="Arial" w:cs="Arial" w:eastAsia="Arial" w:hAnsi="Arial"/>
                <w:sz w:val="16"/>
                <w:szCs w:val="16"/>
                <w:color w:val="auto"/>
              </w:rPr>
              <w:t>Less: capital expenditures</w:t>
            </w:r>
          </w:p>
        </w:tc>
        <w:tc>
          <w:tcPr>
            <w:tcW w:w="2240" w:type="dxa"/>
            <w:vAlign w:val="bottom"/>
          </w:tcPr>
          <w:p>
            <w:pPr>
              <w:jc w:val="right"/>
              <w:ind w:right="639"/>
              <w:spacing w:after="0"/>
              <w:rPr>
                <w:sz w:val="20"/>
                <w:szCs w:val="20"/>
                <w:color w:val="auto"/>
              </w:rPr>
            </w:pPr>
            <w:r>
              <w:rPr>
                <w:rFonts w:ascii="Arial" w:cs="Arial" w:eastAsia="Arial" w:hAnsi="Arial"/>
                <w:sz w:val="16"/>
                <w:szCs w:val="16"/>
                <w:b w:val="1"/>
                <w:bCs w:val="1"/>
                <w:color w:val="auto"/>
              </w:rPr>
              <w:t>(731)</w:t>
            </w:r>
          </w:p>
        </w:tc>
        <w:tc>
          <w:tcPr>
            <w:tcW w:w="1940" w:type="dxa"/>
            <w:vAlign w:val="bottom"/>
          </w:tcPr>
          <w:p>
            <w:pPr>
              <w:jc w:val="right"/>
              <w:ind w:right="639"/>
              <w:spacing w:after="0"/>
              <w:rPr>
                <w:sz w:val="20"/>
                <w:szCs w:val="20"/>
                <w:color w:val="auto"/>
              </w:rPr>
            </w:pPr>
            <w:r>
              <w:rPr>
                <w:rFonts w:ascii="Arial" w:cs="Arial" w:eastAsia="Arial" w:hAnsi="Arial"/>
                <w:sz w:val="16"/>
                <w:szCs w:val="16"/>
                <w:color w:val="auto"/>
              </w:rPr>
              <w:t>(846)</w:t>
            </w:r>
          </w:p>
        </w:tc>
        <w:tc>
          <w:tcPr>
            <w:tcW w:w="1260" w:type="dxa"/>
            <w:vAlign w:val="bottom"/>
          </w:tcPr>
          <w:p>
            <w:pPr>
              <w:jc w:val="right"/>
              <w:spacing w:after="0"/>
              <w:rPr>
                <w:sz w:val="20"/>
                <w:szCs w:val="20"/>
                <w:color w:val="auto"/>
              </w:rPr>
            </w:pPr>
            <w:r>
              <w:rPr>
                <w:rFonts w:ascii="Arial" w:cs="Arial" w:eastAsia="Arial" w:hAnsi="Arial"/>
                <w:sz w:val="16"/>
                <w:szCs w:val="16"/>
                <w:color w:val="auto"/>
              </w:rPr>
              <w:t>(1,082)</w:t>
            </w:r>
          </w:p>
        </w:tc>
      </w:tr>
      <w:tr>
        <w:trPr>
          <w:trHeight w:val="33"/>
        </w:trPr>
        <w:tc>
          <w:tcPr>
            <w:tcW w:w="59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cash dividends paid</w:t>
            </w:r>
          </w:p>
        </w:tc>
        <w:tc>
          <w:tcPr>
            <w:tcW w:w="224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(247)</w:t>
            </w:r>
          </w:p>
        </w:tc>
        <w:tc>
          <w:tcPr>
            <w:tcW w:w="194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color w:val="auto"/>
              </w:rPr>
              <w:t>(256)</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(1,185)</w:t>
            </w:r>
          </w:p>
        </w:tc>
      </w:tr>
      <w:tr>
        <w:trPr>
          <w:trHeight w:val="237"/>
        </w:trPr>
        <w:tc>
          <w:tcPr>
            <w:tcW w:w="5980" w:type="dxa"/>
            <w:vAlign w:val="bottom"/>
          </w:tcPr>
          <w:p>
            <w:pPr>
              <w:ind w:left="40"/>
              <w:spacing w:after="0"/>
              <w:rPr>
                <w:sz w:val="20"/>
                <w:szCs w:val="20"/>
                <w:color w:val="auto"/>
              </w:rPr>
            </w:pPr>
            <w:r>
              <w:rPr>
                <w:rFonts w:ascii="Arial" w:cs="Arial" w:eastAsia="Arial" w:hAnsi="Arial"/>
                <w:sz w:val="16"/>
                <w:szCs w:val="16"/>
                <w:color w:val="auto"/>
              </w:rPr>
              <w:t>Add: proceeds from sale of credit card receivables originated at third parties</w:t>
            </w:r>
          </w:p>
        </w:tc>
        <w:tc>
          <w:tcPr>
            <w:tcW w:w="2240" w:type="dxa"/>
            <w:vAlign w:val="bottom"/>
          </w:tcPr>
          <w:p>
            <w:pPr>
              <w:jc w:val="right"/>
              <w:ind w:right="699"/>
              <w:spacing w:after="0"/>
              <w:rPr>
                <w:sz w:val="20"/>
                <w:szCs w:val="20"/>
                <w:color w:val="auto"/>
              </w:rPr>
            </w:pPr>
            <w:r>
              <w:rPr>
                <w:rFonts w:ascii="Arial" w:cs="Arial" w:eastAsia="Arial" w:hAnsi="Arial"/>
                <w:sz w:val="16"/>
                <w:szCs w:val="16"/>
                <w:b w:val="1"/>
                <w:bCs w:val="1"/>
                <w:color w:val="auto"/>
              </w:rPr>
              <w:t>16</w:t>
            </w:r>
          </w:p>
        </w:tc>
        <w:tc>
          <w:tcPr>
            <w:tcW w:w="1940" w:type="dxa"/>
            <w:vAlign w:val="bottom"/>
          </w:tcPr>
          <w:p>
            <w:pPr>
              <w:jc w:val="right"/>
              <w:ind w:right="67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890</w:t>
            </w:r>
          </w:p>
        </w:tc>
      </w:tr>
      <w:tr>
        <w:trPr>
          <w:trHeight w:val="33"/>
        </w:trPr>
        <w:tc>
          <w:tcPr>
            <w:tcW w:w="59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change in credit card receivables originated at third parties</w:t>
            </w:r>
          </w:p>
        </w:tc>
        <w:tc>
          <w:tcPr>
            <w:tcW w:w="224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w:t>
            </w:r>
          </w:p>
        </w:tc>
        <w:tc>
          <w:tcPr>
            <w:tcW w:w="194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w:t>
            </w:r>
          </w:p>
        </w:tc>
      </w:tr>
      <w:tr>
        <w:trPr>
          <w:trHeight w:val="237"/>
        </w:trPr>
        <w:tc>
          <w:tcPr>
            <w:tcW w:w="5980" w:type="dxa"/>
            <w:vAlign w:val="bottom"/>
          </w:tcPr>
          <w:p>
            <w:pPr>
              <w:ind w:left="40"/>
              <w:spacing w:after="0"/>
              <w:rPr>
                <w:sz w:val="20"/>
                <w:szCs w:val="20"/>
                <w:color w:val="auto"/>
              </w:rPr>
            </w:pPr>
            <w:r>
              <w:rPr>
                <w:rFonts w:ascii="Arial" w:cs="Arial" w:eastAsia="Arial" w:hAnsi="Arial"/>
                <w:sz w:val="16"/>
                <w:szCs w:val="16"/>
                <w:color w:val="auto"/>
              </w:rPr>
              <w:t>(Less) Add: change in cash book overdrafts</w:t>
            </w:r>
          </w:p>
        </w:tc>
        <w:tc>
          <w:tcPr>
            <w:tcW w:w="2240" w:type="dxa"/>
            <w:vAlign w:val="bottom"/>
          </w:tcPr>
          <w:p>
            <w:pPr>
              <w:jc w:val="right"/>
              <w:ind w:right="639"/>
              <w:spacing w:after="0"/>
              <w:rPr>
                <w:sz w:val="20"/>
                <w:szCs w:val="20"/>
                <w:color w:val="auto"/>
              </w:rPr>
            </w:pPr>
            <w:r>
              <w:rPr>
                <w:rFonts w:ascii="Arial" w:cs="Arial" w:eastAsia="Arial" w:hAnsi="Arial"/>
                <w:sz w:val="16"/>
                <w:szCs w:val="16"/>
                <w:b w:val="1"/>
                <w:bCs w:val="1"/>
                <w:color w:val="auto"/>
              </w:rPr>
              <w:t>(55)</w:t>
            </w:r>
          </w:p>
        </w:tc>
        <w:tc>
          <w:tcPr>
            <w:tcW w:w="1940" w:type="dxa"/>
            <w:vAlign w:val="bottom"/>
          </w:tcPr>
          <w:p>
            <w:pPr>
              <w:jc w:val="right"/>
              <w:ind w:right="679"/>
              <w:spacing w:after="0"/>
              <w:rPr>
                <w:sz w:val="20"/>
                <w:szCs w:val="20"/>
                <w:color w:val="auto"/>
              </w:rPr>
            </w:pPr>
            <w:r>
              <w:rPr>
                <w:rFonts w:ascii="Arial" w:cs="Arial" w:eastAsia="Arial" w:hAnsi="Arial"/>
                <w:sz w:val="16"/>
                <w:szCs w:val="16"/>
                <w:color w:val="auto"/>
              </w:rPr>
              <w:t>4</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23</w:t>
            </w:r>
          </w:p>
        </w:tc>
      </w:tr>
      <w:tr>
        <w:trPr>
          <w:trHeight w:val="33"/>
        </w:trPr>
        <w:tc>
          <w:tcPr>
            <w:tcW w:w="598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Free Cash Flow</w:t>
            </w:r>
          </w:p>
        </w:tc>
        <w:tc>
          <w:tcPr>
            <w:tcW w:w="224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$383</w:t>
            </w:r>
          </w:p>
        </w:tc>
        <w:tc>
          <w:tcPr>
            <w:tcW w:w="194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6"/>
                <w:szCs w:val="16"/>
                <w:color w:val="auto"/>
              </w:rPr>
              <w:t>$560</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$1,150</w:t>
            </w:r>
          </w:p>
        </w:tc>
      </w:tr>
      <w:tr>
        <w:trPr>
          <w:trHeight w:val="20"/>
        </w:trPr>
        <w:tc>
          <w:tcPr>
            <w:tcW w:w="5980" w:type="dxa"/>
            <w:vAlign w:val="bottom"/>
            <w:shd w:val="clear" w:color="auto" w:fill="000000"/>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Capacity and Commitments</w:t>
      </w:r>
    </w:p>
    <w:p>
      <w:pPr>
        <w:spacing w:after="0" w:line="27" w:lineRule="exact"/>
        <w:rPr>
          <w:sz w:val="20"/>
          <w:szCs w:val="20"/>
          <w:color w:val="auto"/>
        </w:rPr>
      </w:pPr>
    </w:p>
    <w:p>
      <w:pPr>
        <w:jc w:val="both"/>
        <w:ind w:right="200"/>
        <w:spacing w:after="0" w:line="254" w:lineRule="auto"/>
        <w:rPr>
          <w:sz w:val="20"/>
          <w:szCs w:val="20"/>
          <w:color w:val="auto"/>
        </w:rPr>
      </w:pPr>
      <w:r>
        <w:rPr>
          <w:rFonts w:ascii="Arial" w:cs="Arial" w:eastAsia="Arial" w:hAnsi="Arial"/>
          <w:sz w:val="18"/>
          <w:szCs w:val="18"/>
          <w:color w:val="auto"/>
        </w:rPr>
        <w:t>As of February 3, 2018, we had total short-term borrowing capacity of $800 under our senior unsecured revolving credit facility (“revolver”) that expires in April 2020. Under the terms of our revolver, we pay a variable rate of interest and a commitment fee based on our debt rating. The revolver is available for working capital, capital expenditures and general corporate purposes. We have the option to increase the revolving commitment by up to $200, to a total of $1,000, provided that we obtain written consent from the lenders.</w:t>
      </w:r>
    </w:p>
    <w:p>
      <w:pPr>
        <w:spacing w:after="0" w:line="136"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Our $800 commercial paper program allows us to use the proceeds to fund operating cash requirements. Under the terms of the commercial paper agreement, we pay a rate of interest based on, among other factors, the maturity of the issuance and market conditions. The issuance of commercial paper has the effect, while it is outstanding, of reducing available liquidity under the revolver by an amount equal to the principal amount of commercial paper.</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As of February 3, 2018, we had no issuances outstanding under our commercial paper program and no borrowings outstanding under our revolver.</w:t>
      </w:r>
    </w:p>
    <w:p>
      <w:pPr>
        <w:spacing w:after="0" w:line="183"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Our wholly owned subsidiary in Puerto Rico maintains a $52 unsecured borrowing facility to support our expansion into that market. The facility expires in Fall 2018 and borrowings on this facility incur interest based upon the LIBOR plus 1.275% per annum and also incurred a fee based on any unused commitment. As of February 3, 2018, we had $48 outstanding on this facility.</w:t>
      </w:r>
    </w:p>
    <w:p>
      <w:pPr>
        <w:spacing w:after="0" w:line="12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maintain trade and standby letters of credit to facilitate our international payments. As of February 3, 2018, we have $8 available and none outstanding under the trade letter of credit and $15 available and $2 outstanding under the standby letter of credit.</w:t>
      </w:r>
    </w:p>
    <w:p>
      <w:pPr>
        <w:spacing w:after="0" w:line="116"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Plans for our Nordstrom NYC store, which we currently expect to open in 2019, ultimately include owning a condominium interest in a mixed-use tower and leasing certain nearby properties. As of February 3, 2018, we had approximately $289 of fee interest in land, which is expected to convert to the condominium interest once the store is constructed. We have committed to make future installment payments based on the developer meeting pre-established construction and development milestones. In the event that this project is not completed, the opening may be delayed and we may be subject to future losses or capital commitments in order to complete construction or to monetize our investment in the land.</w:t>
      </w:r>
    </w:p>
    <w:p>
      <w:pPr>
        <w:spacing w:after="0" w:line="36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29</w:t>
      </w:r>
    </w:p>
    <w:p>
      <w:pPr>
        <w:sectPr>
          <w:pgSz w:w="11900" w:h="16838" w:orient="portrait"/>
          <w:cols w:equalWidth="0" w:num="1">
            <w:col w:w="11420"/>
          </w:cols>
          <w:pgMar w:left="240" w:top="126" w:right="239" w:bottom="1440" w:gutter="0" w:footer="0" w:header="0"/>
        </w:sectPr>
      </w:pPr>
    </w:p>
    <w:bookmarkStart w:id="29" w:name="page30"/>
    <w:bookmarkEnd w:id="29"/>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Credit Ratings</w:t>
      </w:r>
    </w:p>
    <w:p>
      <w:pPr>
        <w:spacing w:after="0" w:line="27" w:lineRule="exact"/>
        <w:rPr>
          <w:sz w:val="20"/>
          <w:szCs w:val="20"/>
          <w:color w:val="auto"/>
        </w:rPr>
      </w:pPr>
    </w:p>
    <w:p>
      <w:pPr>
        <w:jc w:val="both"/>
        <w:ind w:right="160"/>
        <w:spacing w:after="0" w:line="255" w:lineRule="auto"/>
        <w:rPr>
          <w:sz w:val="20"/>
          <w:szCs w:val="20"/>
          <w:color w:val="auto"/>
        </w:rPr>
      </w:pPr>
      <w:r>
        <w:rPr>
          <w:rFonts w:ascii="Arial" w:cs="Arial" w:eastAsia="Arial" w:hAnsi="Arial"/>
          <w:sz w:val="18"/>
          <w:szCs w:val="18"/>
          <w:color w:val="auto"/>
        </w:rPr>
        <w:t>Under the terms of our revolver, any borrowings we may enter into will accrue interest for Euro-Dollar Rate Loans at a floating base rate tied to LIBOR, for Canadian Dealer Offer Rate Loans at a floating rate tied to CDOR, and for Base Rate Loans at the highest of: (i) the Euro-Dollar rate plus 100 basis points, (ii) the federal funds rate plus 50 basis points and (iii) the prime rate.</w:t>
      </w:r>
    </w:p>
    <w:p>
      <w:pPr>
        <w:spacing w:after="0" w:line="136"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The rate depends upon the type of borrowing incurred, plus in each case an applicable margin. This applicable margin varies depending upon the credit ratings assigned to our long-term unsecured debt. At the time of this report, our long-term unsecured debt ratings, outlook and resulting applicable margin were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60" w:type="dxa"/>
            <w:vAlign w:val="bottom"/>
          </w:tcPr>
          <w:p>
            <w:pPr>
              <w:spacing w:after="0"/>
              <w:rPr>
                <w:sz w:val="18"/>
                <w:szCs w:val="18"/>
                <w:color w:val="auto"/>
              </w:rPr>
            </w:pPr>
          </w:p>
        </w:tc>
        <w:tc>
          <w:tcPr>
            <w:tcW w:w="4660" w:type="dxa"/>
            <w:vAlign w:val="bottom"/>
          </w:tcPr>
          <w:p>
            <w:pPr>
              <w:jc w:val="right"/>
              <w:ind w:right="799"/>
              <w:spacing w:after="0"/>
              <w:rPr>
                <w:sz w:val="20"/>
                <w:szCs w:val="20"/>
                <w:color w:val="auto"/>
              </w:rPr>
            </w:pPr>
            <w:r>
              <w:rPr>
                <w:rFonts w:ascii="Arial" w:cs="Arial" w:eastAsia="Arial" w:hAnsi="Arial"/>
                <w:sz w:val="16"/>
                <w:szCs w:val="16"/>
                <w:b w:val="1"/>
                <w:bCs w:val="1"/>
                <w:color w:val="auto"/>
              </w:rPr>
              <w:t>Credit Ratings</w:t>
            </w:r>
          </w:p>
        </w:tc>
        <w:tc>
          <w:tcPr>
            <w:tcW w:w="1800" w:type="dxa"/>
            <w:vAlign w:val="bottom"/>
          </w:tcPr>
          <w:p>
            <w:pPr>
              <w:jc w:val="right"/>
              <w:ind w:right="79"/>
              <w:spacing w:after="0"/>
              <w:rPr>
                <w:sz w:val="20"/>
                <w:szCs w:val="20"/>
                <w:color w:val="auto"/>
              </w:rPr>
            </w:pPr>
            <w:r>
              <w:rPr>
                <w:rFonts w:ascii="Arial" w:cs="Arial" w:eastAsia="Arial" w:hAnsi="Arial"/>
                <w:sz w:val="16"/>
                <w:szCs w:val="16"/>
                <w:b w:val="1"/>
                <w:bCs w:val="1"/>
                <w:color w:val="auto"/>
              </w:rPr>
              <w:t>Outlook</w:t>
            </w:r>
          </w:p>
        </w:tc>
      </w:tr>
      <w:tr>
        <w:trPr>
          <w:trHeight w:val="33"/>
        </w:trPr>
        <w:tc>
          <w:tcPr>
            <w:tcW w:w="4960" w:type="dxa"/>
            <w:vAlign w:val="bottom"/>
            <w:tcBorders>
              <w:bottom w:val="single" w:sz="8" w:color="auto"/>
            </w:tcBorders>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Moody’s</w:t>
            </w:r>
          </w:p>
        </w:tc>
        <w:tc>
          <w:tcPr>
            <w:tcW w:w="466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color w:val="auto"/>
              </w:rPr>
              <w:t>Baa1</w:t>
            </w:r>
          </w:p>
        </w:tc>
        <w:tc>
          <w:tcPr>
            <w:tcW w:w="18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Stable</w:t>
            </w:r>
          </w:p>
        </w:tc>
      </w:tr>
      <w:tr>
        <w:trPr>
          <w:trHeight w:val="237"/>
        </w:trPr>
        <w:tc>
          <w:tcPr>
            <w:tcW w:w="4960" w:type="dxa"/>
            <w:vAlign w:val="bottom"/>
          </w:tcPr>
          <w:p>
            <w:pPr>
              <w:ind w:left="40"/>
              <w:spacing w:after="0"/>
              <w:rPr>
                <w:sz w:val="20"/>
                <w:szCs w:val="20"/>
                <w:color w:val="auto"/>
              </w:rPr>
            </w:pPr>
            <w:r>
              <w:rPr>
                <w:rFonts w:ascii="Arial" w:cs="Arial" w:eastAsia="Arial" w:hAnsi="Arial"/>
                <w:sz w:val="16"/>
                <w:szCs w:val="16"/>
                <w:color w:val="auto"/>
              </w:rPr>
              <w:t>Standard &amp; Poor’s</w:t>
            </w:r>
          </w:p>
        </w:tc>
        <w:tc>
          <w:tcPr>
            <w:tcW w:w="4660" w:type="dxa"/>
            <w:vAlign w:val="bottom"/>
          </w:tcPr>
          <w:p>
            <w:pPr>
              <w:jc w:val="right"/>
              <w:ind w:right="799"/>
              <w:spacing w:after="0"/>
              <w:rPr>
                <w:sz w:val="20"/>
                <w:szCs w:val="20"/>
                <w:color w:val="auto"/>
              </w:rPr>
            </w:pPr>
            <w:r>
              <w:rPr>
                <w:rFonts w:ascii="Arial" w:cs="Arial" w:eastAsia="Arial" w:hAnsi="Arial"/>
                <w:sz w:val="16"/>
                <w:szCs w:val="16"/>
                <w:color w:val="auto"/>
              </w:rPr>
              <w:t>BBB+</w:t>
            </w:r>
          </w:p>
        </w:tc>
        <w:tc>
          <w:tcPr>
            <w:tcW w:w="1800" w:type="dxa"/>
            <w:vAlign w:val="bottom"/>
          </w:tcPr>
          <w:p>
            <w:pPr>
              <w:jc w:val="right"/>
              <w:ind w:right="79"/>
              <w:spacing w:after="0"/>
              <w:rPr>
                <w:sz w:val="20"/>
                <w:szCs w:val="20"/>
                <w:color w:val="auto"/>
              </w:rPr>
            </w:pPr>
            <w:r>
              <w:rPr>
                <w:rFonts w:ascii="Arial" w:cs="Arial" w:eastAsia="Arial" w:hAnsi="Arial"/>
                <w:sz w:val="16"/>
                <w:szCs w:val="16"/>
                <w:color w:val="auto"/>
              </w:rPr>
              <w:t>Negative</w:t>
            </w:r>
          </w:p>
        </w:tc>
      </w:tr>
      <w:tr>
        <w:trPr>
          <w:trHeight w:val="33"/>
        </w:trPr>
        <w:tc>
          <w:tcPr>
            <w:tcW w:w="4960" w:type="dxa"/>
            <w:vAlign w:val="bottom"/>
            <w:tcBorders>
              <w:bottom w:val="single" w:sz="8" w:color="auto"/>
            </w:tcBorders>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506"/>
        </w:trPr>
        <w:tc>
          <w:tcPr>
            <w:tcW w:w="4960" w:type="dxa"/>
            <w:vAlign w:val="bottom"/>
          </w:tcPr>
          <w:p>
            <w:pPr>
              <w:spacing w:after="0"/>
              <w:rPr>
                <w:sz w:val="24"/>
                <w:szCs w:val="24"/>
                <w:color w:val="auto"/>
              </w:rPr>
            </w:pPr>
          </w:p>
        </w:tc>
        <w:tc>
          <w:tcPr>
            <w:tcW w:w="4660" w:type="dxa"/>
            <w:vAlign w:val="bottom"/>
          </w:tcPr>
          <w:p>
            <w:pPr>
              <w:jc w:val="right"/>
              <w:ind w:right="799"/>
              <w:spacing w:after="0"/>
              <w:rPr>
                <w:sz w:val="20"/>
                <w:szCs w:val="20"/>
                <w:color w:val="auto"/>
              </w:rPr>
            </w:pPr>
            <w:r>
              <w:rPr>
                <w:rFonts w:ascii="Arial" w:cs="Arial" w:eastAsia="Arial" w:hAnsi="Arial"/>
                <w:sz w:val="16"/>
                <w:szCs w:val="16"/>
                <w:b w:val="1"/>
                <w:bCs w:val="1"/>
                <w:color w:val="auto"/>
              </w:rPr>
              <w:t>Base Interest</w:t>
            </w:r>
          </w:p>
        </w:tc>
        <w:tc>
          <w:tcPr>
            <w:tcW w:w="1800" w:type="dxa"/>
            <w:vAlign w:val="bottom"/>
          </w:tcPr>
          <w:p>
            <w:pPr>
              <w:jc w:val="right"/>
              <w:ind w:right="79"/>
              <w:spacing w:after="0"/>
              <w:rPr>
                <w:sz w:val="20"/>
                <w:szCs w:val="20"/>
                <w:color w:val="auto"/>
              </w:rPr>
            </w:pPr>
            <w:r>
              <w:rPr>
                <w:rFonts w:ascii="Arial" w:cs="Arial" w:eastAsia="Arial" w:hAnsi="Arial"/>
                <w:sz w:val="16"/>
                <w:szCs w:val="16"/>
                <w:b w:val="1"/>
                <w:bCs w:val="1"/>
                <w:color w:val="auto"/>
              </w:rPr>
              <w:t>Applicable</w:t>
            </w:r>
          </w:p>
        </w:tc>
      </w:tr>
      <w:tr>
        <w:trPr>
          <w:trHeight w:val="210"/>
        </w:trPr>
        <w:tc>
          <w:tcPr>
            <w:tcW w:w="4960" w:type="dxa"/>
            <w:vAlign w:val="bottom"/>
          </w:tcPr>
          <w:p>
            <w:pPr>
              <w:spacing w:after="0"/>
              <w:rPr>
                <w:sz w:val="18"/>
                <w:szCs w:val="18"/>
                <w:color w:val="auto"/>
              </w:rPr>
            </w:pPr>
          </w:p>
        </w:tc>
        <w:tc>
          <w:tcPr>
            <w:tcW w:w="4660" w:type="dxa"/>
            <w:vAlign w:val="bottom"/>
          </w:tcPr>
          <w:p>
            <w:pPr>
              <w:jc w:val="right"/>
              <w:ind w:right="799"/>
              <w:spacing w:after="0"/>
              <w:rPr>
                <w:sz w:val="20"/>
                <w:szCs w:val="20"/>
                <w:color w:val="auto"/>
              </w:rPr>
            </w:pPr>
            <w:r>
              <w:rPr>
                <w:rFonts w:ascii="Arial" w:cs="Arial" w:eastAsia="Arial" w:hAnsi="Arial"/>
                <w:sz w:val="16"/>
                <w:szCs w:val="16"/>
                <w:b w:val="1"/>
                <w:bCs w:val="1"/>
                <w:color w:val="auto"/>
              </w:rPr>
              <w:t>Rate</w:t>
            </w:r>
          </w:p>
        </w:tc>
        <w:tc>
          <w:tcPr>
            <w:tcW w:w="1800" w:type="dxa"/>
            <w:vAlign w:val="bottom"/>
          </w:tcPr>
          <w:p>
            <w:pPr>
              <w:jc w:val="right"/>
              <w:ind w:right="79"/>
              <w:spacing w:after="0"/>
              <w:rPr>
                <w:sz w:val="20"/>
                <w:szCs w:val="20"/>
                <w:color w:val="auto"/>
              </w:rPr>
            </w:pPr>
            <w:r>
              <w:rPr>
                <w:rFonts w:ascii="Arial" w:cs="Arial" w:eastAsia="Arial" w:hAnsi="Arial"/>
                <w:sz w:val="16"/>
                <w:szCs w:val="16"/>
                <w:b w:val="1"/>
                <w:bCs w:val="1"/>
                <w:color w:val="auto"/>
              </w:rPr>
              <w:t>Margin</w:t>
            </w:r>
          </w:p>
        </w:tc>
      </w:tr>
      <w:tr>
        <w:trPr>
          <w:trHeight w:val="33"/>
        </w:trPr>
        <w:tc>
          <w:tcPr>
            <w:tcW w:w="4960" w:type="dxa"/>
            <w:vAlign w:val="bottom"/>
            <w:tcBorders>
              <w:bottom w:val="single" w:sz="8" w:color="auto"/>
            </w:tcBorders>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Euro-Dollar Rate Loan</w:t>
            </w:r>
          </w:p>
        </w:tc>
        <w:tc>
          <w:tcPr>
            <w:tcW w:w="466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color w:val="auto"/>
              </w:rPr>
              <w:t>LIBOR</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w:t>
            </w:r>
          </w:p>
        </w:tc>
      </w:tr>
      <w:tr>
        <w:trPr>
          <w:trHeight w:val="237"/>
        </w:trPr>
        <w:tc>
          <w:tcPr>
            <w:tcW w:w="4960" w:type="dxa"/>
            <w:vAlign w:val="bottom"/>
          </w:tcPr>
          <w:p>
            <w:pPr>
              <w:ind w:left="40"/>
              <w:spacing w:after="0"/>
              <w:rPr>
                <w:sz w:val="20"/>
                <w:szCs w:val="20"/>
                <w:color w:val="auto"/>
              </w:rPr>
            </w:pPr>
            <w:r>
              <w:rPr>
                <w:rFonts w:ascii="Arial" w:cs="Arial" w:eastAsia="Arial" w:hAnsi="Arial"/>
                <w:sz w:val="16"/>
                <w:szCs w:val="16"/>
                <w:color w:val="auto"/>
              </w:rPr>
              <w:t>Canadian Dealer Offer Rate Loan</w:t>
            </w:r>
          </w:p>
        </w:tc>
        <w:tc>
          <w:tcPr>
            <w:tcW w:w="4660" w:type="dxa"/>
            <w:vAlign w:val="bottom"/>
          </w:tcPr>
          <w:p>
            <w:pPr>
              <w:jc w:val="right"/>
              <w:ind w:right="799"/>
              <w:spacing w:after="0"/>
              <w:rPr>
                <w:sz w:val="20"/>
                <w:szCs w:val="20"/>
                <w:color w:val="auto"/>
              </w:rPr>
            </w:pPr>
            <w:r>
              <w:rPr>
                <w:rFonts w:ascii="Arial" w:cs="Arial" w:eastAsia="Arial" w:hAnsi="Arial"/>
                <w:sz w:val="16"/>
                <w:szCs w:val="16"/>
                <w:color w:val="auto"/>
              </w:rPr>
              <w:t>CDOR</w:t>
            </w:r>
          </w:p>
        </w:tc>
        <w:tc>
          <w:tcPr>
            <w:tcW w:w="1800" w:type="dxa"/>
            <w:vAlign w:val="bottom"/>
          </w:tcPr>
          <w:p>
            <w:pPr>
              <w:jc w:val="right"/>
              <w:spacing w:after="0"/>
              <w:rPr>
                <w:sz w:val="20"/>
                <w:szCs w:val="20"/>
                <w:color w:val="auto"/>
              </w:rPr>
            </w:pPr>
            <w:r>
              <w:rPr>
                <w:rFonts w:ascii="Arial" w:cs="Arial" w:eastAsia="Arial" w:hAnsi="Arial"/>
                <w:sz w:val="16"/>
                <w:szCs w:val="16"/>
                <w:color w:val="auto"/>
              </w:rPr>
              <w:t>1.02%</w:t>
            </w:r>
          </w:p>
        </w:tc>
      </w:tr>
      <w:tr>
        <w:trPr>
          <w:trHeight w:val="33"/>
        </w:trPr>
        <w:tc>
          <w:tcPr>
            <w:tcW w:w="496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Base Rate Loan</w:t>
            </w:r>
          </w:p>
        </w:tc>
        <w:tc>
          <w:tcPr>
            <w:tcW w:w="466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color w:val="auto"/>
              </w:rPr>
              <w:t>various</w:t>
            </w:r>
          </w:p>
        </w:tc>
        <w:tc>
          <w:tcPr>
            <w:tcW w:w="18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0"/>
        </w:trPr>
        <w:tc>
          <w:tcPr>
            <w:tcW w:w="4960" w:type="dxa"/>
            <w:vAlign w:val="bottom"/>
            <w:shd w:val="clear" w:color="auto" w:fill="000000"/>
          </w:tcPr>
          <w:p>
            <w:pPr>
              <w:spacing w:after="0" w:line="20" w:lineRule="exact"/>
              <w:rPr>
                <w:sz w:val="1"/>
                <w:szCs w:val="1"/>
                <w:color w:val="auto"/>
              </w:rPr>
            </w:pPr>
          </w:p>
        </w:tc>
        <w:tc>
          <w:tcPr>
            <w:tcW w:w="466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Should the ratings assigned to our long-term unsecured debt improve, the applicable margin associated with any such borrowings may decrease, resulting in a lower borrowing cost under this facility. Should the ratings assigned to our long-term unsecured debt worsen, the applicable margin associated with our borrowings may increase, resulting in a higher borrowing cost under this facility.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Covenants</w:t>
      </w:r>
    </w:p>
    <w:p>
      <w:pPr>
        <w:spacing w:after="0" w:line="2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revolver requires that we maintain an adjusted debt to earnings before interest, income taxes, depreciation, amortization and rent (“EBITDAR”) leverage ratio of no more than four times (see the following additional discussion of Adjusted Debt to EBITDAR). As of February 3, 2018, we were in compliance with this covenant.</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26" w:right="239" w:bottom="1440" w:gutter="0" w:footer="0" w:header="0"/>
        </w:sectPr>
      </w:pPr>
    </w:p>
    <w:bookmarkStart w:id="30" w:name="page31"/>
    <w:bookmarkEnd w:id="30"/>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Debt to EBITDAR (Non-GAAP financial measure)</w:t>
      </w:r>
    </w:p>
    <w:p>
      <w:pPr>
        <w:spacing w:after="0" w:line="2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Adjusted Debt to EBITDAR is one of our key financial metrics, and we believe that our debt levels are best analyzed using this measure. Our goal is to manage debt levels to maintain an investment-grade credit rating and operate with an efficient capital structure. In evaluating our debt levels, this measure provides a reflection of our credit worthiness that could impact our credit rating and borrowing costs. We also have a debt covenant that requires an adjusted debt to EBITDAR leverage ratio of no more than four times. As of February 3, 2018, our Adjusted Debt to EBITDAR was 2.6, and as of January 28, 2017, it was 2.4.</w:t>
      </w:r>
    </w:p>
    <w:p>
      <w:pPr>
        <w:spacing w:after="0" w:line="13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Adjusted Debt to EBITDAR is not a measure of financial performance under GAAP and should be considered in addition to, and not as a substitute for, debt to net earnings, net earnings, debt or other financial measures prepared in accordance with GAAP. Our method of determining non-GAAP financial measures may differ from other companies’ methods and therefore may not be comparable to those used by other companies. The financial measure calculated under GAAP which is most directly comparable to Adjusted Debt to EBITDAR is debt to net earnings. The following is a reconciliation of the components of Adjusted Debt to EBITDAR and debt to net earnings: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460" w:type="dxa"/>
            <w:vAlign w:val="bottom"/>
            <w:tcBorders>
              <w:bottom w:val="single" w:sz="8" w:color="auto"/>
            </w:tcBorders>
          </w:tcPr>
          <w:p>
            <w:pPr>
              <w:spacing w:after="0"/>
              <w:rPr>
                <w:sz w:val="21"/>
                <w:szCs w:val="21"/>
                <w:color w:val="auto"/>
              </w:rPr>
            </w:pPr>
          </w:p>
        </w:tc>
        <w:tc>
          <w:tcPr>
            <w:tcW w:w="368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2017</w:t>
            </w:r>
            <w:r>
              <w:rPr>
                <w:rFonts w:ascii="Arial" w:cs="Arial" w:eastAsia="Arial" w:hAnsi="Arial"/>
                <w:sz w:val="21"/>
                <w:szCs w:val="21"/>
                <w:color w:val="auto"/>
                <w:vertAlign w:val="superscript"/>
              </w:rPr>
              <w:t>1</w:t>
            </w: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2016</w:t>
            </w:r>
            <w:r>
              <w:rPr>
                <w:rFonts w:ascii="Arial" w:cs="Arial" w:eastAsia="Arial" w:hAnsi="Arial"/>
                <w:sz w:val="21"/>
                <w:szCs w:val="21"/>
                <w:color w:val="auto"/>
                <w:vertAlign w:val="superscript"/>
              </w:rPr>
              <w:t>1</w:t>
            </w:r>
          </w:p>
        </w:tc>
      </w:tr>
      <w:tr>
        <w:trPr>
          <w:trHeight w:val="244"/>
        </w:trPr>
        <w:tc>
          <w:tcPr>
            <w:tcW w:w="6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Debt</w:t>
            </w:r>
          </w:p>
        </w:tc>
        <w:tc>
          <w:tcPr>
            <w:tcW w:w="368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$2,737</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$2,774</w:t>
            </w:r>
          </w:p>
        </w:tc>
      </w:tr>
      <w:tr>
        <w:trPr>
          <w:trHeight w:val="270"/>
        </w:trPr>
        <w:tc>
          <w:tcPr>
            <w:tcW w:w="6460" w:type="dxa"/>
            <w:vAlign w:val="bottom"/>
          </w:tcPr>
          <w:p>
            <w:pPr>
              <w:ind w:left="40"/>
              <w:spacing w:after="0"/>
              <w:rPr>
                <w:sz w:val="20"/>
                <w:szCs w:val="20"/>
                <w:color w:val="auto"/>
              </w:rPr>
            </w:pPr>
            <w:r>
              <w:rPr>
                <w:rFonts w:ascii="Arial" w:cs="Arial" w:eastAsia="Arial" w:hAnsi="Arial"/>
                <w:sz w:val="16"/>
                <w:szCs w:val="16"/>
                <w:color w:val="auto"/>
              </w:rPr>
              <w:t>Add: estimated capitalized operating lease liability</w:t>
            </w:r>
            <w:r>
              <w:rPr>
                <w:rFonts w:ascii="Arial" w:cs="Arial" w:eastAsia="Arial" w:hAnsi="Arial"/>
                <w:sz w:val="21"/>
                <w:szCs w:val="21"/>
                <w:color w:val="auto"/>
                <w:vertAlign w:val="superscript"/>
              </w:rPr>
              <w:t>2</w:t>
            </w:r>
          </w:p>
        </w:tc>
        <w:tc>
          <w:tcPr>
            <w:tcW w:w="3680" w:type="dxa"/>
            <w:vAlign w:val="bottom"/>
          </w:tcPr>
          <w:p>
            <w:pPr>
              <w:jc w:val="right"/>
              <w:ind w:right="659"/>
              <w:spacing w:after="0"/>
              <w:rPr>
                <w:sz w:val="20"/>
                <w:szCs w:val="20"/>
                <w:color w:val="auto"/>
              </w:rPr>
            </w:pPr>
            <w:r>
              <w:rPr>
                <w:rFonts w:ascii="Arial" w:cs="Arial" w:eastAsia="Arial" w:hAnsi="Arial"/>
                <w:sz w:val="16"/>
                <w:szCs w:val="16"/>
                <w:b w:val="1"/>
                <w:bCs w:val="1"/>
                <w:color w:val="auto"/>
              </w:rPr>
              <w:t>2,001</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1,616</w:t>
            </w:r>
          </w:p>
        </w:tc>
      </w:tr>
      <w:tr>
        <w:trPr>
          <w:trHeight w:val="275"/>
        </w:trPr>
        <w:tc>
          <w:tcPr>
            <w:tcW w:w="6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fair value hedge adjustment included in long-term debt</w:t>
            </w:r>
          </w:p>
        </w:tc>
        <w:tc>
          <w:tcPr>
            <w:tcW w:w="368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31"/>
        </w:trPr>
        <w:tc>
          <w:tcPr>
            <w:tcW w:w="64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Adjusted Debt</w:t>
            </w:r>
          </w:p>
        </w:tc>
        <w:tc>
          <w:tcPr>
            <w:tcW w:w="3680" w:type="dxa"/>
            <w:vAlign w:val="bottom"/>
            <w:tcBorders>
              <w:top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$4,738</w:t>
            </w: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$4,378</w:t>
            </w:r>
          </w:p>
        </w:tc>
      </w:tr>
      <w:tr>
        <w:trPr>
          <w:trHeight w:val="33"/>
        </w:trPr>
        <w:tc>
          <w:tcPr>
            <w:tcW w:w="646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91"/>
        </w:trPr>
        <w:tc>
          <w:tcPr>
            <w:tcW w:w="6460" w:type="dxa"/>
            <w:vAlign w:val="bottom"/>
            <w:shd w:val="clear" w:color="auto" w:fill="CCEEFF"/>
          </w:tcPr>
          <w:p>
            <w:pPr>
              <w:spacing w:after="0"/>
              <w:rPr>
                <w:sz w:val="24"/>
                <w:szCs w:val="24"/>
                <w:color w:val="auto"/>
              </w:rPr>
            </w:pPr>
          </w:p>
        </w:tc>
        <w:tc>
          <w:tcPr>
            <w:tcW w:w="36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37"/>
        </w:trPr>
        <w:tc>
          <w:tcPr>
            <w:tcW w:w="6460" w:type="dxa"/>
            <w:vAlign w:val="bottom"/>
          </w:tcPr>
          <w:p>
            <w:pPr>
              <w:ind w:left="40"/>
              <w:spacing w:after="0"/>
              <w:rPr>
                <w:sz w:val="20"/>
                <w:szCs w:val="20"/>
                <w:color w:val="auto"/>
              </w:rPr>
            </w:pPr>
            <w:r>
              <w:rPr>
                <w:rFonts w:ascii="Arial" w:cs="Arial" w:eastAsia="Arial" w:hAnsi="Arial"/>
                <w:sz w:val="16"/>
                <w:szCs w:val="16"/>
                <w:b w:val="1"/>
                <w:bCs w:val="1"/>
                <w:color w:val="auto"/>
              </w:rPr>
              <w:t>Net earnings</w:t>
            </w:r>
          </w:p>
        </w:tc>
        <w:tc>
          <w:tcPr>
            <w:tcW w:w="3680" w:type="dxa"/>
            <w:vAlign w:val="bottom"/>
          </w:tcPr>
          <w:p>
            <w:pPr>
              <w:jc w:val="right"/>
              <w:ind w:right="659"/>
              <w:spacing w:after="0"/>
              <w:rPr>
                <w:sz w:val="20"/>
                <w:szCs w:val="20"/>
                <w:color w:val="auto"/>
              </w:rPr>
            </w:pPr>
            <w:r>
              <w:rPr>
                <w:rFonts w:ascii="Arial" w:cs="Arial" w:eastAsia="Arial" w:hAnsi="Arial"/>
                <w:sz w:val="16"/>
                <w:szCs w:val="16"/>
                <w:b w:val="1"/>
                <w:bCs w:val="1"/>
                <w:color w:val="auto"/>
              </w:rPr>
              <w:t>437</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354</w:t>
            </w:r>
          </w:p>
        </w:tc>
      </w:tr>
      <w:tr>
        <w:trPr>
          <w:trHeight w:val="33"/>
        </w:trPr>
        <w:tc>
          <w:tcPr>
            <w:tcW w:w="64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income tax expense</w:t>
            </w:r>
          </w:p>
        </w:tc>
        <w:tc>
          <w:tcPr>
            <w:tcW w:w="368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353</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330</w:t>
            </w:r>
          </w:p>
        </w:tc>
      </w:tr>
      <w:tr>
        <w:trPr>
          <w:trHeight w:val="237"/>
        </w:trPr>
        <w:tc>
          <w:tcPr>
            <w:tcW w:w="6460" w:type="dxa"/>
            <w:vAlign w:val="bottom"/>
          </w:tcPr>
          <w:p>
            <w:pPr>
              <w:ind w:left="40"/>
              <w:spacing w:after="0"/>
              <w:rPr>
                <w:sz w:val="20"/>
                <w:szCs w:val="20"/>
                <w:color w:val="auto"/>
              </w:rPr>
            </w:pPr>
            <w:r>
              <w:rPr>
                <w:rFonts w:ascii="Arial" w:cs="Arial" w:eastAsia="Arial" w:hAnsi="Arial"/>
                <w:sz w:val="16"/>
                <w:szCs w:val="16"/>
                <w:color w:val="auto"/>
              </w:rPr>
              <w:t>Add: interest expense, net</w:t>
            </w:r>
          </w:p>
        </w:tc>
        <w:tc>
          <w:tcPr>
            <w:tcW w:w="3680" w:type="dxa"/>
            <w:vAlign w:val="bottom"/>
          </w:tcPr>
          <w:p>
            <w:pPr>
              <w:jc w:val="right"/>
              <w:ind w:right="659"/>
              <w:spacing w:after="0"/>
              <w:rPr>
                <w:sz w:val="20"/>
                <w:szCs w:val="20"/>
                <w:color w:val="auto"/>
              </w:rPr>
            </w:pPr>
            <w:r>
              <w:rPr>
                <w:rFonts w:ascii="Arial" w:cs="Arial" w:eastAsia="Arial" w:hAnsi="Arial"/>
                <w:sz w:val="16"/>
                <w:szCs w:val="16"/>
                <w:b w:val="1"/>
                <w:bCs w:val="1"/>
                <w:color w:val="auto"/>
              </w:rPr>
              <w:t>136</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121</w:t>
            </w:r>
          </w:p>
        </w:tc>
      </w:tr>
      <w:tr>
        <w:trPr>
          <w:trHeight w:val="33"/>
        </w:trPr>
        <w:tc>
          <w:tcPr>
            <w:tcW w:w="646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6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before interest and income taxes</w:t>
            </w:r>
          </w:p>
        </w:tc>
        <w:tc>
          <w:tcPr>
            <w:tcW w:w="368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926</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805</w:t>
            </w:r>
          </w:p>
        </w:tc>
      </w:tr>
      <w:tr>
        <w:trPr>
          <w:trHeight w:val="297"/>
        </w:trPr>
        <w:tc>
          <w:tcPr>
            <w:tcW w:w="64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0"/>
        </w:trPr>
        <w:tc>
          <w:tcPr>
            <w:tcW w:w="6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depreciation and amortization expenses</w:t>
            </w:r>
          </w:p>
        </w:tc>
        <w:tc>
          <w:tcPr>
            <w:tcW w:w="368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666</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645</w:t>
            </w:r>
          </w:p>
        </w:tc>
      </w:tr>
      <w:tr>
        <w:trPr>
          <w:trHeight w:val="237"/>
        </w:trPr>
        <w:tc>
          <w:tcPr>
            <w:tcW w:w="6460" w:type="dxa"/>
            <w:vAlign w:val="bottom"/>
          </w:tcPr>
          <w:p>
            <w:pPr>
              <w:ind w:left="40"/>
              <w:spacing w:after="0"/>
              <w:rPr>
                <w:sz w:val="20"/>
                <w:szCs w:val="20"/>
                <w:color w:val="auto"/>
              </w:rPr>
            </w:pPr>
            <w:r>
              <w:rPr>
                <w:rFonts w:ascii="Arial" w:cs="Arial" w:eastAsia="Arial" w:hAnsi="Arial"/>
                <w:sz w:val="16"/>
                <w:szCs w:val="16"/>
                <w:color w:val="auto"/>
              </w:rPr>
              <w:t>Add: rent expense</w:t>
            </w:r>
          </w:p>
        </w:tc>
        <w:tc>
          <w:tcPr>
            <w:tcW w:w="3680" w:type="dxa"/>
            <w:vAlign w:val="bottom"/>
          </w:tcPr>
          <w:p>
            <w:pPr>
              <w:jc w:val="right"/>
              <w:ind w:right="659"/>
              <w:spacing w:after="0"/>
              <w:rPr>
                <w:sz w:val="20"/>
                <w:szCs w:val="20"/>
                <w:color w:val="auto"/>
              </w:rPr>
            </w:pPr>
            <w:r>
              <w:rPr>
                <w:rFonts w:ascii="Arial" w:cs="Arial" w:eastAsia="Arial" w:hAnsi="Arial"/>
                <w:sz w:val="16"/>
                <w:szCs w:val="16"/>
                <w:b w:val="1"/>
                <w:bCs w:val="1"/>
                <w:color w:val="auto"/>
              </w:rPr>
              <w:t>250</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202</w:t>
            </w:r>
          </w:p>
        </w:tc>
      </w:tr>
      <w:tr>
        <w:trPr>
          <w:trHeight w:val="33"/>
        </w:trPr>
        <w:tc>
          <w:tcPr>
            <w:tcW w:w="64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4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Add: non-cash acquisition-related charges</w:t>
            </w:r>
            <w:r>
              <w:rPr>
                <w:rFonts w:ascii="Arial" w:cs="Arial" w:eastAsia="Arial" w:hAnsi="Arial"/>
                <w:sz w:val="21"/>
                <w:szCs w:val="21"/>
                <w:color w:val="auto"/>
                <w:vertAlign w:val="superscript"/>
              </w:rPr>
              <w:t>3</w:t>
            </w:r>
          </w:p>
        </w:tc>
        <w:tc>
          <w:tcPr>
            <w:tcW w:w="368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1</w:t>
            </w: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198</w:t>
            </w:r>
          </w:p>
        </w:tc>
      </w:tr>
      <w:tr>
        <w:trPr>
          <w:trHeight w:val="231"/>
        </w:trPr>
        <w:tc>
          <w:tcPr>
            <w:tcW w:w="6460" w:type="dxa"/>
            <w:vAlign w:val="bottom"/>
          </w:tcPr>
          <w:p>
            <w:pPr>
              <w:ind w:left="40"/>
              <w:spacing w:after="0"/>
              <w:rPr>
                <w:sz w:val="20"/>
                <w:szCs w:val="20"/>
                <w:color w:val="auto"/>
              </w:rPr>
            </w:pPr>
            <w:r>
              <w:rPr>
                <w:rFonts w:ascii="Arial" w:cs="Arial" w:eastAsia="Arial" w:hAnsi="Arial"/>
                <w:sz w:val="16"/>
                <w:szCs w:val="16"/>
                <w:b w:val="1"/>
                <w:bCs w:val="1"/>
                <w:color w:val="auto"/>
              </w:rPr>
              <w:t>EBITDAR</w:t>
            </w:r>
          </w:p>
        </w:tc>
        <w:tc>
          <w:tcPr>
            <w:tcW w:w="3680" w:type="dxa"/>
            <w:vAlign w:val="bottom"/>
          </w:tcPr>
          <w:p>
            <w:pPr>
              <w:jc w:val="right"/>
              <w:ind w:right="659"/>
              <w:spacing w:after="0"/>
              <w:rPr>
                <w:sz w:val="20"/>
                <w:szCs w:val="20"/>
                <w:color w:val="auto"/>
              </w:rPr>
            </w:pPr>
            <w:r>
              <w:rPr>
                <w:rFonts w:ascii="Arial" w:cs="Arial" w:eastAsia="Arial" w:hAnsi="Arial"/>
                <w:sz w:val="16"/>
                <w:szCs w:val="16"/>
                <w:b w:val="1"/>
                <w:bCs w:val="1"/>
                <w:color w:val="auto"/>
              </w:rPr>
              <w:t>$1,843</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$1,850</w:t>
            </w:r>
          </w:p>
        </w:tc>
      </w:tr>
      <w:tr>
        <w:trPr>
          <w:trHeight w:val="33"/>
        </w:trPr>
        <w:tc>
          <w:tcPr>
            <w:tcW w:w="646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91"/>
        </w:trPr>
        <w:tc>
          <w:tcPr>
            <w:tcW w:w="6460" w:type="dxa"/>
            <w:vAlign w:val="bottom"/>
            <w:shd w:val="clear" w:color="auto" w:fill="CCEEFF"/>
          </w:tcPr>
          <w:p>
            <w:pPr>
              <w:spacing w:after="0"/>
              <w:rPr>
                <w:sz w:val="24"/>
                <w:szCs w:val="24"/>
                <w:color w:val="auto"/>
              </w:rPr>
            </w:pPr>
          </w:p>
        </w:tc>
        <w:tc>
          <w:tcPr>
            <w:tcW w:w="36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70"/>
        </w:trPr>
        <w:tc>
          <w:tcPr>
            <w:tcW w:w="6460" w:type="dxa"/>
            <w:vAlign w:val="bottom"/>
          </w:tcPr>
          <w:p>
            <w:pPr>
              <w:ind w:left="40"/>
              <w:spacing w:after="0"/>
              <w:rPr>
                <w:sz w:val="20"/>
                <w:szCs w:val="20"/>
                <w:color w:val="auto"/>
              </w:rPr>
            </w:pPr>
            <w:r>
              <w:rPr>
                <w:rFonts w:ascii="Arial" w:cs="Arial" w:eastAsia="Arial" w:hAnsi="Arial"/>
                <w:sz w:val="16"/>
                <w:szCs w:val="16"/>
                <w:b w:val="1"/>
                <w:bCs w:val="1"/>
                <w:color w:val="auto"/>
              </w:rPr>
              <w:t>Debt to Net Earnings</w:t>
            </w:r>
            <w:r>
              <w:rPr>
                <w:rFonts w:ascii="Arial" w:cs="Arial" w:eastAsia="Arial" w:hAnsi="Arial"/>
                <w:sz w:val="21"/>
                <w:szCs w:val="21"/>
                <w:color w:val="auto"/>
                <w:vertAlign w:val="superscript"/>
              </w:rPr>
              <w:t>4</w:t>
            </w:r>
          </w:p>
        </w:tc>
        <w:tc>
          <w:tcPr>
            <w:tcW w:w="3680" w:type="dxa"/>
            <w:vAlign w:val="bottom"/>
          </w:tcPr>
          <w:p>
            <w:pPr>
              <w:jc w:val="right"/>
              <w:ind w:right="659"/>
              <w:spacing w:after="0"/>
              <w:rPr>
                <w:sz w:val="20"/>
                <w:szCs w:val="20"/>
                <w:color w:val="auto"/>
              </w:rPr>
            </w:pPr>
            <w:r>
              <w:rPr>
                <w:rFonts w:ascii="Arial" w:cs="Arial" w:eastAsia="Arial" w:hAnsi="Arial"/>
                <w:sz w:val="16"/>
                <w:szCs w:val="16"/>
                <w:b w:val="1"/>
                <w:bCs w:val="1"/>
                <w:color w:val="auto"/>
              </w:rPr>
              <w:t>6.3</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7.8</w:t>
            </w:r>
          </w:p>
        </w:tc>
      </w:tr>
      <w:tr>
        <w:trPr>
          <w:trHeight w:val="237"/>
        </w:trPr>
        <w:tc>
          <w:tcPr>
            <w:tcW w:w="64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Adjusted Debt to EBITDAR</w:t>
            </w:r>
          </w:p>
        </w:tc>
        <w:tc>
          <w:tcPr>
            <w:tcW w:w="3680" w:type="dxa"/>
            <w:vAlign w:val="bottom"/>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2.6</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w:t>
            </w:r>
          </w:p>
        </w:tc>
      </w:tr>
      <w:tr>
        <w:trPr>
          <w:trHeight w:val="33"/>
        </w:trPr>
        <w:tc>
          <w:tcPr>
            <w:tcW w:w="6460" w:type="dxa"/>
            <w:vAlign w:val="bottom"/>
            <w:shd w:val="clear" w:color="auto" w:fill="CCEEFF"/>
          </w:tcPr>
          <w:p>
            <w:pPr>
              <w:spacing w:after="0"/>
              <w:rPr>
                <w:sz w:val="2"/>
                <w:szCs w:val="2"/>
                <w:color w:val="auto"/>
              </w:rPr>
            </w:pPr>
          </w:p>
        </w:tc>
        <w:tc>
          <w:tcPr>
            <w:tcW w:w="36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80" w:hanging="72"/>
        <w:spacing w:after="0"/>
        <w:tabs>
          <w:tab w:leader="none" w:pos="80" w:val="left"/>
        </w:tabs>
        <w:numPr>
          <w:ilvl w:val="0"/>
          <w:numId w:val="58"/>
        </w:numPr>
        <w:rPr>
          <w:rFonts w:ascii="Arial" w:cs="Arial" w:eastAsia="Arial" w:hAnsi="Arial"/>
          <w:sz w:val="8"/>
          <w:szCs w:val="8"/>
          <w:color w:val="auto"/>
        </w:rPr>
      </w:pPr>
      <w:r>
        <w:rPr>
          <w:rFonts w:ascii="Arial" w:cs="Arial" w:eastAsia="Arial" w:hAnsi="Arial"/>
          <w:sz w:val="13"/>
          <w:szCs w:val="13"/>
          <w:color w:val="auto"/>
        </w:rPr>
        <w:t>The components of Adjusted Debt are as of February 3, 2018 and January 28, 2017, while the components of EBITDAR are for the 12 months ended February 3, 2018 and January 28, 2017.</w:t>
      </w:r>
    </w:p>
    <w:p>
      <w:pPr>
        <w:spacing w:after="0" w:line="19" w:lineRule="exact"/>
        <w:rPr>
          <w:sz w:val="20"/>
          <w:szCs w:val="20"/>
          <w:color w:val="auto"/>
        </w:rPr>
      </w:pPr>
    </w:p>
    <w:p>
      <w:pPr>
        <w:ind w:left="80" w:hanging="72"/>
        <w:spacing w:after="0"/>
        <w:tabs>
          <w:tab w:leader="none" w:pos="80" w:val="left"/>
        </w:tabs>
        <w:numPr>
          <w:ilvl w:val="0"/>
          <w:numId w:val="59"/>
        </w:numPr>
        <w:rPr>
          <w:rFonts w:ascii="Arial" w:cs="Arial" w:eastAsia="Arial" w:hAnsi="Arial"/>
          <w:sz w:val="8"/>
          <w:szCs w:val="8"/>
          <w:color w:val="auto"/>
        </w:rPr>
      </w:pPr>
      <w:r>
        <w:rPr>
          <w:rFonts w:ascii="Arial" w:cs="Arial" w:eastAsia="Arial" w:hAnsi="Arial"/>
          <w:sz w:val="13"/>
          <w:szCs w:val="13"/>
          <w:color w:val="auto"/>
        </w:rPr>
        <w:t>Based upon the estimated lease liability as of the end of the period, calculated as the trailing 12 months of rent expense multiplied by eight. The multiple of eight times rent expense is a commonly</w:t>
      </w:r>
    </w:p>
    <w:p>
      <w:pPr>
        <w:spacing w:after="0" w:line="13" w:lineRule="exact"/>
        <w:rPr>
          <w:sz w:val="20"/>
          <w:szCs w:val="20"/>
          <w:color w:val="auto"/>
        </w:rPr>
      </w:pPr>
    </w:p>
    <w:p>
      <w:pPr>
        <w:ind w:left="80"/>
        <w:spacing w:after="0"/>
        <w:rPr>
          <w:sz w:val="20"/>
          <w:szCs w:val="20"/>
          <w:color w:val="auto"/>
        </w:rPr>
      </w:pPr>
      <w:r>
        <w:rPr>
          <w:rFonts w:ascii="Arial" w:cs="Arial" w:eastAsia="Arial" w:hAnsi="Arial"/>
          <w:sz w:val="14"/>
          <w:szCs w:val="14"/>
          <w:color w:val="auto"/>
        </w:rPr>
        <w:t>used method of estimating the debt we would record for our leases that are classified as operating if they had met the criteria for a capital lease or we had purchased the property.</w:t>
      </w:r>
    </w:p>
    <w:p>
      <w:pPr>
        <w:spacing w:after="0" w:line="1" w:lineRule="exact"/>
        <w:rPr>
          <w:sz w:val="20"/>
          <w:szCs w:val="20"/>
          <w:color w:val="auto"/>
        </w:rPr>
      </w:pPr>
    </w:p>
    <w:p>
      <w:pPr>
        <w:ind w:left="80" w:hanging="72"/>
        <w:spacing w:after="0"/>
        <w:tabs>
          <w:tab w:leader="none" w:pos="80" w:val="left"/>
        </w:tabs>
        <w:numPr>
          <w:ilvl w:val="0"/>
          <w:numId w:val="60"/>
        </w:numPr>
        <w:rPr>
          <w:rFonts w:ascii="Arial" w:cs="Arial" w:eastAsia="Arial" w:hAnsi="Arial"/>
          <w:sz w:val="9"/>
          <w:szCs w:val="9"/>
          <w:color w:val="auto"/>
        </w:rPr>
      </w:pPr>
      <w:r>
        <w:rPr>
          <w:rFonts w:ascii="Arial" w:cs="Arial" w:eastAsia="Arial" w:hAnsi="Arial"/>
          <w:sz w:val="14"/>
          <w:szCs w:val="14"/>
          <w:color w:val="auto"/>
        </w:rPr>
        <w:t>Non-cash acquisition-related charges for the 12 months ended January 28, 2017 included the goodwill impairment charge of $197 related to Trunk Club.</w:t>
      </w:r>
    </w:p>
    <w:p>
      <w:pPr>
        <w:spacing w:after="0" w:line="1" w:lineRule="exact"/>
        <w:rPr>
          <w:sz w:val="20"/>
          <w:szCs w:val="20"/>
          <w:color w:val="auto"/>
        </w:rPr>
      </w:pPr>
    </w:p>
    <w:p>
      <w:pPr>
        <w:ind w:left="80" w:hanging="72"/>
        <w:spacing w:after="0"/>
        <w:tabs>
          <w:tab w:leader="none" w:pos="80" w:val="left"/>
        </w:tabs>
        <w:numPr>
          <w:ilvl w:val="0"/>
          <w:numId w:val="61"/>
        </w:numPr>
        <w:rPr>
          <w:rFonts w:ascii="Arial" w:cs="Arial" w:eastAsia="Arial" w:hAnsi="Arial"/>
          <w:sz w:val="9"/>
          <w:szCs w:val="9"/>
          <w:color w:val="auto"/>
        </w:rPr>
      </w:pPr>
      <w:r>
        <w:rPr>
          <w:rFonts w:ascii="Arial" w:cs="Arial" w:eastAsia="Arial" w:hAnsi="Arial"/>
          <w:sz w:val="14"/>
          <w:szCs w:val="14"/>
          <w:color w:val="auto"/>
        </w:rPr>
        <w:t>Results for the period ended January 28, 2017 include the $197 impact of the Trunk Club goodwill impairment charge, which approximates 280 basis points.</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31</w:t>
      </w:r>
    </w:p>
    <w:p>
      <w:pPr>
        <w:sectPr>
          <w:pgSz w:w="11900" w:h="16838" w:orient="portrait"/>
          <w:cols w:equalWidth="0" w:num="1">
            <w:col w:w="11420"/>
          </w:cols>
          <w:pgMar w:left="240" w:top="126" w:right="239" w:bottom="1440" w:gutter="0" w:footer="0" w:header="0"/>
        </w:sectPr>
      </w:pPr>
    </w:p>
    <w:bookmarkStart w:id="31" w:name="page32"/>
    <w:bookmarkEnd w:id="31"/>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following table summarizes our contractual obligations and the expected effect on our liquidity and cash flows as of February 3, 2018. We expect to fund these commitments primarily with operating cash flows generated in the normal course of business and credit available to us under existing and potential future facilities.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700" w:type="dxa"/>
            <w:vAlign w:val="bottom"/>
          </w:tcPr>
          <w:p>
            <w:pPr>
              <w:jc w:val="right"/>
              <w:ind w:right="419"/>
              <w:spacing w:after="0"/>
              <w:rPr>
                <w:sz w:val="20"/>
                <w:szCs w:val="20"/>
                <w:color w:val="auto"/>
              </w:rPr>
            </w:pPr>
            <w:r>
              <w:rPr>
                <w:rFonts w:ascii="Arial" w:cs="Arial" w:eastAsia="Arial" w:hAnsi="Arial"/>
                <w:sz w:val="16"/>
                <w:szCs w:val="16"/>
                <w:b w:val="1"/>
                <w:bCs w:val="1"/>
                <w:color w:val="auto"/>
              </w:rPr>
              <w:t>Less than</w:t>
            </w:r>
          </w:p>
        </w:tc>
        <w:tc>
          <w:tcPr>
            <w:tcW w:w="17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b w:val="1"/>
                <w:bCs w:val="1"/>
                <w:color w:val="auto"/>
              </w:rPr>
              <w:t>More than</w:t>
            </w:r>
          </w:p>
        </w:tc>
      </w:tr>
      <w:tr>
        <w:trPr>
          <w:trHeight w:val="210"/>
        </w:trPr>
        <w:tc>
          <w:tcPr>
            <w:tcW w:w="2880" w:type="dxa"/>
            <w:vAlign w:val="bottom"/>
          </w:tcPr>
          <w:p>
            <w:pPr>
              <w:spacing w:after="0"/>
              <w:rPr>
                <w:sz w:val="18"/>
                <w:szCs w:val="18"/>
                <w:color w:val="auto"/>
              </w:rPr>
            </w:pPr>
          </w:p>
        </w:tc>
        <w:tc>
          <w:tcPr>
            <w:tcW w:w="2140" w:type="dxa"/>
            <w:vAlign w:val="bottom"/>
          </w:tcPr>
          <w:p>
            <w:pPr>
              <w:jc w:val="right"/>
              <w:ind w:right="459"/>
              <w:spacing w:after="0"/>
              <w:rPr>
                <w:sz w:val="20"/>
                <w:szCs w:val="20"/>
                <w:color w:val="auto"/>
              </w:rPr>
            </w:pPr>
            <w:r>
              <w:rPr>
                <w:rFonts w:ascii="Arial" w:cs="Arial" w:eastAsia="Arial" w:hAnsi="Arial"/>
                <w:sz w:val="16"/>
                <w:szCs w:val="16"/>
                <w:b w:val="1"/>
                <w:bCs w:val="1"/>
                <w:color w:val="auto"/>
              </w:rPr>
              <w:t>Total</w:t>
            </w:r>
          </w:p>
        </w:tc>
        <w:tc>
          <w:tcPr>
            <w:tcW w:w="1700" w:type="dxa"/>
            <w:vAlign w:val="bottom"/>
          </w:tcPr>
          <w:p>
            <w:pPr>
              <w:jc w:val="right"/>
              <w:ind w:right="419"/>
              <w:spacing w:after="0"/>
              <w:rPr>
                <w:sz w:val="20"/>
                <w:szCs w:val="20"/>
                <w:color w:val="auto"/>
              </w:rPr>
            </w:pPr>
            <w:r>
              <w:rPr>
                <w:rFonts w:ascii="Arial" w:cs="Arial" w:eastAsia="Arial" w:hAnsi="Arial"/>
                <w:sz w:val="16"/>
                <w:szCs w:val="16"/>
                <w:b w:val="1"/>
                <w:bCs w:val="1"/>
                <w:color w:val="auto"/>
              </w:rPr>
              <w:t>1 year</w:t>
            </w:r>
          </w:p>
        </w:tc>
        <w:tc>
          <w:tcPr>
            <w:tcW w:w="1700" w:type="dxa"/>
            <w:vAlign w:val="bottom"/>
          </w:tcPr>
          <w:p>
            <w:pPr>
              <w:jc w:val="right"/>
              <w:ind w:right="399"/>
              <w:spacing w:after="0"/>
              <w:rPr>
                <w:sz w:val="20"/>
                <w:szCs w:val="20"/>
                <w:color w:val="auto"/>
              </w:rPr>
            </w:pPr>
            <w:r>
              <w:rPr>
                <w:rFonts w:ascii="Arial" w:cs="Arial" w:eastAsia="Arial" w:hAnsi="Arial"/>
                <w:sz w:val="16"/>
                <w:szCs w:val="16"/>
                <w:b w:val="1"/>
                <w:bCs w:val="1"/>
                <w:color w:val="auto"/>
              </w:rPr>
              <w:t>1 – 3 years</w:t>
            </w:r>
          </w:p>
        </w:tc>
        <w:tc>
          <w:tcPr>
            <w:tcW w:w="1680" w:type="dxa"/>
            <w:vAlign w:val="bottom"/>
          </w:tcPr>
          <w:p>
            <w:pPr>
              <w:jc w:val="right"/>
              <w:ind w:right="399"/>
              <w:spacing w:after="0"/>
              <w:rPr>
                <w:sz w:val="20"/>
                <w:szCs w:val="20"/>
                <w:color w:val="auto"/>
              </w:rPr>
            </w:pPr>
            <w:r>
              <w:rPr>
                <w:rFonts w:ascii="Arial" w:cs="Arial" w:eastAsia="Arial" w:hAnsi="Arial"/>
                <w:sz w:val="16"/>
                <w:szCs w:val="16"/>
                <w:b w:val="1"/>
                <w:bCs w:val="1"/>
                <w:color w:val="auto"/>
              </w:rPr>
              <w:t>3 – 5 years</w:t>
            </w:r>
          </w:p>
        </w:tc>
        <w:tc>
          <w:tcPr>
            <w:tcW w:w="1320" w:type="dxa"/>
            <w:vAlign w:val="bottom"/>
          </w:tcPr>
          <w:p>
            <w:pPr>
              <w:jc w:val="right"/>
              <w:ind w:right="19"/>
              <w:spacing w:after="0"/>
              <w:rPr>
                <w:sz w:val="20"/>
                <w:szCs w:val="20"/>
                <w:color w:val="auto"/>
              </w:rPr>
            </w:pPr>
            <w:r>
              <w:rPr>
                <w:rFonts w:ascii="Arial" w:cs="Arial" w:eastAsia="Arial" w:hAnsi="Arial"/>
                <w:sz w:val="16"/>
                <w:szCs w:val="16"/>
                <w:b w:val="1"/>
                <w:bCs w:val="1"/>
                <w:color w:val="auto"/>
              </w:rPr>
              <w:t>5 years</w:t>
            </w:r>
          </w:p>
        </w:tc>
      </w:tr>
      <w:tr>
        <w:trPr>
          <w:trHeight w:val="33"/>
        </w:trPr>
        <w:tc>
          <w:tcPr>
            <w:tcW w:w="288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w:t>
            </w:r>
          </w:p>
        </w:tc>
        <w:tc>
          <w:tcPr>
            <w:tcW w:w="214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b w:val="1"/>
                <w:bCs w:val="1"/>
                <w:color w:val="auto"/>
              </w:rPr>
              <w:t>$4,563</w:t>
            </w:r>
          </w:p>
        </w:tc>
        <w:tc>
          <w:tcPr>
            <w:tcW w:w="17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$167</w:t>
            </w:r>
          </w:p>
        </w:tc>
        <w:tc>
          <w:tcPr>
            <w:tcW w:w="170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$711</w:t>
            </w:r>
          </w:p>
        </w:tc>
        <w:tc>
          <w:tcPr>
            <w:tcW w:w="168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$644</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$3,041</w:t>
            </w: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color w:val="auto"/>
              </w:rPr>
              <w:t>Operating leases</w:t>
            </w:r>
          </w:p>
        </w:tc>
        <w:tc>
          <w:tcPr>
            <w:tcW w:w="2140" w:type="dxa"/>
            <w:vAlign w:val="bottom"/>
          </w:tcPr>
          <w:p>
            <w:pPr>
              <w:jc w:val="right"/>
              <w:ind w:right="459"/>
              <w:spacing w:after="0"/>
              <w:rPr>
                <w:sz w:val="20"/>
                <w:szCs w:val="20"/>
                <w:color w:val="auto"/>
              </w:rPr>
            </w:pPr>
            <w:r>
              <w:rPr>
                <w:rFonts w:ascii="Arial" w:cs="Arial" w:eastAsia="Arial" w:hAnsi="Arial"/>
                <w:sz w:val="16"/>
                <w:szCs w:val="16"/>
                <w:b w:val="1"/>
                <w:bCs w:val="1"/>
                <w:color w:val="auto"/>
              </w:rPr>
              <w:t>2,740</w:t>
            </w:r>
          </w:p>
        </w:tc>
        <w:tc>
          <w:tcPr>
            <w:tcW w:w="1700" w:type="dxa"/>
            <w:vAlign w:val="bottom"/>
          </w:tcPr>
          <w:p>
            <w:pPr>
              <w:jc w:val="right"/>
              <w:ind w:right="419"/>
              <w:spacing w:after="0"/>
              <w:rPr>
                <w:sz w:val="20"/>
                <w:szCs w:val="20"/>
                <w:color w:val="auto"/>
              </w:rPr>
            </w:pPr>
            <w:r>
              <w:rPr>
                <w:rFonts w:ascii="Arial" w:cs="Arial" w:eastAsia="Arial" w:hAnsi="Arial"/>
                <w:sz w:val="16"/>
                <w:szCs w:val="16"/>
                <w:color w:val="auto"/>
              </w:rPr>
              <w:t>309</w:t>
            </w:r>
          </w:p>
        </w:tc>
        <w:tc>
          <w:tcPr>
            <w:tcW w:w="1700" w:type="dxa"/>
            <w:vAlign w:val="bottom"/>
          </w:tcPr>
          <w:p>
            <w:pPr>
              <w:jc w:val="right"/>
              <w:ind w:right="399"/>
              <w:spacing w:after="0"/>
              <w:rPr>
                <w:sz w:val="20"/>
                <w:szCs w:val="20"/>
                <w:color w:val="auto"/>
              </w:rPr>
            </w:pPr>
            <w:r>
              <w:rPr>
                <w:rFonts w:ascii="Arial" w:cs="Arial" w:eastAsia="Arial" w:hAnsi="Arial"/>
                <w:sz w:val="16"/>
                <w:szCs w:val="16"/>
                <w:color w:val="auto"/>
              </w:rPr>
              <w:t>605</w:t>
            </w:r>
          </w:p>
        </w:tc>
        <w:tc>
          <w:tcPr>
            <w:tcW w:w="1680" w:type="dxa"/>
            <w:vAlign w:val="bottom"/>
          </w:tcPr>
          <w:p>
            <w:pPr>
              <w:jc w:val="right"/>
              <w:ind w:right="399"/>
              <w:spacing w:after="0"/>
              <w:rPr>
                <w:sz w:val="20"/>
                <w:szCs w:val="20"/>
                <w:color w:val="auto"/>
              </w:rPr>
            </w:pPr>
            <w:r>
              <w:rPr>
                <w:rFonts w:ascii="Arial" w:cs="Arial" w:eastAsia="Arial" w:hAnsi="Arial"/>
                <w:sz w:val="16"/>
                <w:szCs w:val="16"/>
                <w:color w:val="auto"/>
              </w:rPr>
              <w:t>516</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1,310</w:t>
            </w:r>
          </w:p>
        </w:tc>
      </w:tr>
      <w:tr>
        <w:trPr>
          <w:trHeight w:val="33"/>
        </w:trPr>
        <w:tc>
          <w:tcPr>
            <w:tcW w:w="28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Purchase obligations</w:t>
            </w:r>
          </w:p>
        </w:tc>
        <w:tc>
          <w:tcPr>
            <w:tcW w:w="214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b w:val="1"/>
                <w:bCs w:val="1"/>
                <w:color w:val="auto"/>
              </w:rPr>
              <w:t>1,462</w:t>
            </w:r>
          </w:p>
        </w:tc>
        <w:tc>
          <w:tcPr>
            <w:tcW w:w="17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1,251</w:t>
            </w:r>
          </w:p>
        </w:tc>
        <w:tc>
          <w:tcPr>
            <w:tcW w:w="170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188</w:t>
            </w:r>
          </w:p>
        </w:tc>
        <w:tc>
          <w:tcPr>
            <w:tcW w:w="168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23</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color w:val="auto"/>
              </w:rPr>
              <w:t>Other long-term liabilities</w:t>
            </w:r>
          </w:p>
        </w:tc>
        <w:tc>
          <w:tcPr>
            <w:tcW w:w="2140" w:type="dxa"/>
            <w:vAlign w:val="bottom"/>
          </w:tcPr>
          <w:p>
            <w:pPr>
              <w:jc w:val="right"/>
              <w:ind w:right="459"/>
              <w:spacing w:after="0"/>
              <w:rPr>
                <w:sz w:val="20"/>
                <w:szCs w:val="20"/>
                <w:color w:val="auto"/>
              </w:rPr>
            </w:pPr>
            <w:r>
              <w:rPr>
                <w:rFonts w:ascii="Arial" w:cs="Arial" w:eastAsia="Arial" w:hAnsi="Arial"/>
                <w:sz w:val="16"/>
                <w:szCs w:val="16"/>
                <w:b w:val="1"/>
                <w:bCs w:val="1"/>
                <w:color w:val="auto"/>
              </w:rPr>
              <w:t>383</w:t>
            </w:r>
          </w:p>
        </w:tc>
        <w:tc>
          <w:tcPr>
            <w:tcW w:w="1700" w:type="dxa"/>
            <w:vAlign w:val="bottom"/>
          </w:tcPr>
          <w:p>
            <w:pPr>
              <w:jc w:val="right"/>
              <w:ind w:right="419"/>
              <w:spacing w:after="0"/>
              <w:rPr>
                <w:sz w:val="20"/>
                <w:szCs w:val="20"/>
                <w:color w:val="auto"/>
              </w:rPr>
            </w:pPr>
            <w:r>
              <w:rPr>
                <w:rFonts w:ascii="Arial" w:cs="Arial" w:eastAsia="Arial" w:hAnsi="Arial"/>
                <w:sz w:val="16"/>
                <w:szCs w:val="16"/>
                <w:color w:val="auto"/>
              </w:rPr>
              <w:t>64</w:t>
            </w:r>
          </w:p>
        </w:tc>
        <w:tc>
          <w:tcPr>
            <w:tcW w:w="1700" w:type="dxa"/>
            <w:vAlign w:val="bottom"/>
          </w:tcPr>
          <w:p>
            <w:pPr>
              <w:jc w:val="right"/>
              <w:ind w:right="399"/>
              <w:spacing w:after="0"/>
              <w:rPr>
                <w:sz w:val="20"/>
                <w:szCs w:val="20"/>
                <w:color w:val="auto"/>
              </w:rPr>
            </w:pPr>
            <w:r>
              <w:rPr>
                <w:rFonts w:ascii="Arial" w:cs="Arial" w:eastAsia="Arial" w:hAnsi="Arial"/>
                <w:sz w:val="16"/>
                <w:szCs w:val="16"/>
                <w:color w:val="auto"/>
              </w:rPr>
              <w:t>59</w:t>
            </w:r>
          </w:p>
        </w:tc>
        <w:tc>
          <w:tcPr>
            <w:tcW w:w="1680" w:type="dxa"/>
            <w:vAlign w:val="bottom"/>
          </w:tcPr>
          <w:p>
            <w:pPr>
              <w:jc w:val="right"/>
              <w:ind w:right="399"/>
              <w:spacing w:after="0"/>
              <w:rPr>
                <w:sz w:val="20"/>
                <w:szCs w:val="20"/>
                <w:color w:val="auto"/>
              </w:rPr>
            </w:pPr>
            <w:r>
              <w:rPr>
                <w:rFonts w:ascii="Arial" w:cs="Arial" w:eastAsia="Arial" w:hAnsi="Arial"/>
                <w:sz w:val="16"/>
                <w:szCs w:val="16"/>
                <w:color w:val="auto"/>
              </w:rPr>
              <w:t>42</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218</w:t>
            </w:r>
          </w:p>
        </w:tc>
      </w:tr>
      <w:tr>
        <w:trPr>
          <w:trHeight w:val="33"/>
        </w:trPr>
        <w:tc>
          <w:tcPr>
            <w:tcW w:w="288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214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b w:val="1"/>
                <w:bCs w:val="1"/>
                <w:color w:val="auto"/>
              </w:rPr>
              <w:t>$9,148</w:t>
            </w:r>
          </w:p>
        </w:tc>
        <w:tc>
          <w:tcPr>
            <w:tcW w:w="17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$1,791</w:t>
            </w:r>
          </w:p>
        </w:tc>
        <w:tc>
          <w:tcPr>
            <w:tcW w:w="170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$1,563</w:t>
            </w:r>
          </w:p>
        </w:tc>
        <w:tc>
          <w:tcPr>
            <w:tcW w:w="168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$1,225</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$4,569</w:t>
            </w:r>
          </w:p>
        </w:tc>
      </w:tr>
      <w:tr>
        <w:trPr>
          <w:trHeight w:val="20"/>
        </w:trPr>
        <w:tc>
          <w:tcPr>
            <w:tcW w:w="2880" w:type="dxa"/>
            <w:vAlign w:val="bottom"/>
            <w:shd w:val="clear" w:color="auto" w:fill="000000"/>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Included in the required debt repayments disclosed above are estimated total interest payments of $1,732 as of February 3, 2018, payable over the remaining life of the debt.</w:t>
      </w:r>
    </w:p>
    <w:p>
      <w:pPr>
        <w:spacing w:after="0" w:line="116"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The operating lease obligations in the table above do not include payments for operating expenses that are required by most of our lease agreements. Such expenses, which include common area charges, real estate taxes and other executory costs, totaled $121 in 2017, $112 in 2016 and $97 in 2015. In addition, some of our leases require additional rental payments based on a percentage of our sales, referred to as “percentage rent.” Percentage rent, which is also excluded from the obligations in the table above, was $11 in 2017, $12 in 2016 and $13 in 2015.</w:t>
      </w:r>
    </w:p>
    <w:p>
      <w:pPr>
        <w:spacing w:after="0" w:line="11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Purchase obligations primarily consist of purchase orders for unreceived goods or services and capital expenditure commitments. Capital expenditure commitments include our Nordstrom Men’s Store NYC and Nordstrom NYC.</w:t>
      </w:r>
    </w:p>
    <w:p>
      <w:pPr>
        <w:spacing w:after="0" w:line="116"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color w:val="auto"/>
        </w:rPr>
        <w:t>Other long-term liabilities consist of workers’ compensation and other liability insurance reserves and postretirement benefits. The payment amounts presented above were estimated based on historical payment trends. Other long-term liabilities not requiring cash payments, such as deferred property incentives and deferred revenue, were excluded from the table above. Also excluded from the table above are unrecognized tax benefits of $34, as we are unable to reasonably estimate the timing of future cash payments, if any, for these liabilities.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October 2015, we completed the sale of a substantial majority of our U.S. Visa and private label credit card portfolio to TD. In November 2017, we sold the remaining balances which consisted of employee credit card receivables for the U.S. Visa and Nordstrom private label credit cards to TD (see Note 2: Credit Card Receivable Transaction in Item 8). Pursuant to the program agreement with TD, we offer and administer our Nordstrom Rewards loyalty program and perform other account servicing functions. Credit card receivables serviced under this contract are $3,098 as of February 3, 2018.</w:t>
      </w:r>
    </w:p>
    <w:p>
      <w:pPr>
        <w:spacing w:after="0" w:line="12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Other than items noted in the paragraph above, in addition to operating leases entered into in the normal course of business and the development of our Nordstrom Men’s Store NYC and Nordstrom NYC, we had no material off-balance sheet arrangements during 2017.</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preparation of our financial statements requires that we make estimates and judgments that affect the reported amounts of assets, liabilities, revenues and expenses, and disclosure of contingent assets and liabilities. We base our estimates on historical experience and other assumptions that we believe to be reasonable under the circumstances. Actual results may differ from these estimates. The following discussion highlights the estimates we believe are critical and should be read in conjunction with the Notes to Consolidated Financial Statements in Item 8. Our management has discussed the development and selection of these critical accounting estimates with the Audit Committee of our Board of Directors and the Audit Committee has reviewed our disclosures that follow.</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7" w:lineRule="exact"/>
        <w:rPr>
          <w:sz w:val="20"/>
          <w:szCs w:val="20"/>
          <w:color w:val="auto"/>
        </w:rPr>
      </w:pPr>
    </w:p>
    <w:p>
      <w:pPr>
        <w:ind w:right="700"/>
        <w:spacing w:after="0" w:line="277" w:lineRule="auto"/>
        <w:rPr>
          <w:sz w:val="20"/>
          <w:szCs w:val="20"/>
          <w:color w:val="auto"/>
        </w:rPr>
      </w:pPr>
      <w:r>
        <w:rPr>
          <w:rFonts w:ascii="Arial" w:cs="Arial" w:eastAsia="Arial" w:hAnsi="Arial"/>
          <w:sz w:val="17"/>
          <w:szCs w:val="17"/>
          <w:color w:val="auto"/>
        </w:rPr>
        <w:t>We recognize sales revenue net of estimated returns and excluding sales taxes. Revenue from sales to customers shipped directly from our stores and fulfillment centers, which includes shipping revenue when applicable, is recognized upon estimated receipt by the customer. We estimate customer merchandise returns based on historical return patterns and reduce sales and cost of sales accordingly.</w:t>
      </w:r>
    </w:p>
    <w:p>
      <w:pPr>
        <w:spacing w:after="0" w:line="11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Although we believe we have sufficient current and historical knowledge to record reasonable estimates of sales returns, actual returns could differ from recorded amounts. In the past three years, there were no significant changes in customer return behavior and we have made no material changes to our estimates included in the calculations of our sales return reserve. A 10% change in the sales return reserve would have had a $10 impact on our net earnings for the year ended February 3, 2018.</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126" w:right="239" w:bottom="1440" w:gutter="0" w:footer="0" w:header="0"/>
        </w:sectPr>
      </w:pPr>
    </w:p>
    <w:bookmarkStart w:id="32" w:name="page33"/>
    <w:bookmarkEnd w:id="32"/>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Merchandise Inventories</w:t>
      </w:r>
    </w:p>
    <w:p>
      <w:pPr>
        <w:spacing w:after="0" w:line="2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Merchandise inventories are generally stated at the lower of cost or market value using the retail inventory method. Under the retail method, the valuation of inventories is determined by applying a calculated cost-to-retail ratio to the retail value of ending inventory. The value of our inventory on the balance sheet is then reduced by a charge to cost of sales for retail inventory markdowns taken on the selling floor. To determine if the retail value of our inventory should be marked down, we consider current and anticipated demand, customer preferences, age of the merchandise and fashion trends. Inherent in the retail inventory method are certain management judgments that may affect the ending inventory valuation as well as gross profit.</w:t>
      </w:r>
    </w:p>
    <w:p>
      <w:pPr>
        <w:spacing w:after="0" w:line="1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reserve for obsolescence based on historical trends and specific identification. Our obsolescence reserve contains uncertainties as the calculations require management to make assumptions and to apply judgment regarding a number of factors, including market conditions, the selling environment, historical results and current inventory trends.</w:t>
      </w:r>
    </w:p>
    <w:p>
      <w:pPr>
        <w:spacing w:after="0" w:line="12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do not believe that the assumptions used in these estimates will change significantly based on prior experience. In the past three years, we have made no material changes to our estimates included in the calculations of the obsolescence reserve. A 10% change in the obsolescence reserve would have had a $1 impact on our net earnings for the year ended February 3, 2018.</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review our goodwill annually for impairment or when circumstances indicate that the carrying value may exceed the fair value. We perform this evaluation at the reporting unit level, comprised of the principal business units within our Retail segment, through the application of a two-step fair value test. The first step compares the carrying value of the reporting unit to its estimated fair value, which is based on the expected present value of future cash flows (income approach), comparable public companies and acquisitions (market approach) or a combination of both. If fair value is lower than the carrying value, then a second step is performed to quantify the amount of the impairment.</w:t>
      </w:r>
    </w:p>
    <w:p>
      <w:pPr>
        <w:spacing w:after="0" w:line="137"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As part of our impairment testing, we utilize certain assumptions and apply judgment regarding a number of factors. Significant estimates in the market approach include identifying similar companies and acquisitions with comparable business factors such as size, growth, profitability, risk and return of investment, and assessing comparable earnings or revenue multiples in estimating the fair value of the reporting unit. Assumptions in the income approach include future cash flows for the business, future growth rates and discount rates. Estimates of cash flows may differ from actual cash flows due to, among other things, economic conditions, changes to the business model or changes in operating performance. For Nordstrom.com, Jeffrey and HauteLook, the fair values substantially exceeded carrying values and therefore we had no material goodwill impairment in 2017, 2016 or 2015. A 10% change in the fair value of any of these reporting units would not have had an impact on our net earnings for the year ended February 3, 2018.</w:t>
      </w:r>
    </w:p>
    <w:p>
      <w:pPr>
        <w:spacing w:after="0" w:line="167" w:lineRule="exact"/>
        <w:rPr>
          <w:sz w:val="20"/>
          <w:szCs w:val="20"/>
          <w:color w:val="auto"/>
        </w:rPr>
      </w:pPr>
    </w:p>
    <w:p>
      <w:pPr>
        <w:jc w:val="both"/>
        <w:ind w:right="140"/>
        <w:spacing w:after="0" w:line="295" w:lineRule="auto"/>
        <w:rPr>
          <w:sz w:val="20"/>
          <w:szCs w:val="20"/>
          <w:color w:val="auto"/>
        </w:rPr>
      </w:pPr>
      <w:r>
        <w:rPr>
          <w:rFonts w:ascii="Arial" w:cs="Arial" w:eastAsia="Arial" w:hAnsi="Arial"/>
          <w:sz w:val="17"/>
          <w:szCs w:val="17"/>
          <w:color w:val="auto"/>
        </w:rPr>
        <w:t>There were no goodwill impairment charges related to Trunk Club in 2017 or 2015. In 2016, we recognized a goodwill impairment charge of $197 resulting from changes to the long-term operating plan that reflected lower expectations for growth and profitability than previous expectations (see Note 1: Nature of Operations and Summary of Significant Accounting Policies and Note 8: Fair Value Measurements in Item 8).</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When facts and circumstances indicate that the carrying values of long-lived assets, including buildings, equipment and amortizable intangible assets, may be impaired, we perform an evaluation of recoverability by comparing the carrying values of the net assets to their related projected undiscounted future cash flows, in addition to other quantitative and qualitative analyses.</w:t>
      </w:r>
    </w:p>
    <w:p>
      <w:pPr>
        <w:spacing w:after="0" w:line="136"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Land, property and equipment are grouped at the lowest level at which there are identifiable cash flows when assessing impairment. Cash flows for our retail store assets are identified at the individual store level, while our intangible assets associated with HauteLook and Trunk Club are identified at their respective reporting unit levels. The assets recorded in connection with the credit card receivable transaction are individually evaluated against the anticipated cash flows under the program agreement (see Note 2: Credit Card Receivable Transaction in Item 8).</w:t>
      </w:r>
    </w:p>
    <w:p>
      <w:pPr>
        <w:spacing w:after="0" w:line="11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Our estimates are subject to uncertainties and may be impacted by various external factors such as economic conditions and market competition. While we believe the inputs and assumptions utilized in our analyses of future cash flows are reasonable, events or circumstances may change, which could cause us to revise these estimates.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Expense</w:t>
      </w:r>
    </w:p>
    <w:p>
      <w:pPr>
        <w:spacing w:after="0" w:line="27"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We grant stock-based awards under our 2010 Equity Incentive Plan (“2010 Plan”), 2002 Nonemployee Director Stock Incentive Plan (“2002 Plan”) and Trunk Club Value Creation Plan (“VCP”), and employees may purchase our stock at a discount under our Employee Stock Purchase Plan (“ESPP”). We predominantly recognize stock-based compensation expense related to stock-based awards at their estimated grant date fair value, recorded on a straight-line basis over the requisite service period. Compensation expense for certain award holders is accelerated based upon age and years of service. The total compensation expense is reduced by actual forfeitures as they occur over the vesting period of the awards.</w:t>
      </w:r>
    </w:p>
    <w:p>
      <w:pPr>
        <w:spacing w:after="0" w:line="372"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33</w:t>
      </w:r>
    </w:p>
    <w:p>
      <w:pPr>
        <w:sectPr>
          <w:pgSz w:w="11900" w:h="16838" w:orient="portrait"/>
          <w:cols w:equalWidth="0" w:num="1">
            <w:col w:w="11420"/>
          </w:cols>
          <w:pgMar w:left="240" w:top="126" w:right="239" w:bottom="1440" w:gutter="0" w:footer="0" w:header="0"/>
        </w:sectPr>
      </w:pPr>
    </w:p>
    <w:bookmarkStart w:id="33" w:name="page34"/>
    <w:bookmarkEnd w:id="33"/>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We estimate the grant date fair value of stock options using the Binomial Lattice option valuation model. Stock-based compensation expense related to the VCP is based on the grant date fair value of the payout scenario we believe is probable using the Black-Scholes valuation model and is recognized on an accelerated basis due to performance criteria and graded vesting features of the plan. The fair value of restricted stock is determined based on the number of shares granted and the quoted price of our common stock on the date of grant, less the estimated present value of dividends over the vesting period. Performance share units granted prior to 2016 are classified as liabilities and revalued using the quoted price of our common stock as of each reporting date. Performance share units granted in 2016 and beyond are classified as equity and the fair value is determined using the Monte-Carlo valuation model.</w:t>
      </w:r>
    </w:p>
    <w:p>
      <w:pPr>
        <w:spacing w:after="0" w:line="11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Calculating the grant date fair value of stock-based awards is based on certain assumptions and requires judgment, including estimating stock price volatility, forfeiture rates, expected life and performance criteria. A 10% change in stock-based compensation expense would have had a $4 impact on our net earnings for the year ended February 3, 2018.</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use the asset and liability method of accounting for income taxes. Using this method, deferred tax assets and liabilities are recorded based on differences between the financial reporting and tax basis of assets and liabilities and for operating loss and tax credit carryforwards. The deferred tax assets and liabilities are calculated using the enacted tax rates and laws that are expected to be in effect when the differences are expected to reverse. We routinely evaluate the likelihood of realizing the benefit of our deferred tax assets and may record a valuation allowance if, based on all available evidence, it is determined that some portion of the tax benefit will not be realized.</w:t>
      </w:r>
    </w:p>
    <w:p>
      <w:pPr>
        <w:spacing w:after="0" w:line="13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regularly evaluate the likelihood of realizing the benefit for income tax positions we have taken in various federal, state and foreign filings by considering all relevant facts, circumstances and information available. If we believe it is more likely than not that our position will be sustained, we recognize a benefit at the largest amount that we believe is cumulatively greater than 50% likely to be realized. Our unrecognized tax benefit was $31 as of February 3, 2018, and $32 as of January 28, 2017. Interest and penalties related to income tax matters are classified as a component of income tax expense.</w:t>
      </w:r>
    </w:p>
    <w:p>
      <w:pPr>
        <w:spacing w:after="0" w:line="100"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Income taxes require significant management judgment regarding applicable statutes and their related interpretation, the status of various income tax audits and our particular facts and circumstances. Also, as audits are completed or statutes of limitations lapse, it may be necessary to record adjustments to our taxes payable, deferred taxes, tax reserves or income tax expense. Such adjustments did not materially impact our effective income tax rate in 2017 or 2016.</w:t>
      </w:r>
    </w:p>
    <w:p>
      <w:pPr>
        <w:spacing w:after="0" w:line="93" w:lineRule="exact"/>
        <w:rPr>
          <w:sz w:val="20"/>
          <w:szCs w:val="20"/>
          <w:color w:val="auto"/>
        </w:rPr>
      </w:pPr>
    </w:p>
    <w:p>
      <w:pPr>
        <w:jc w:val="both"/>
        <w:ind w:right="360"/>
        <w:spacing w:after="0" w:line="312" w:lineRule="auto"/>
        <w:rPr>
          <w:sz w:val="20"/>
          <w:szCs w:val="20"/>
          <w:color w:val="auto"/>
        </w:rPr>
      </w:pPr>
      <w:r>
        <w:rPr>
          <w:rFonts w:ascii="Arial" w:cs="Arial" w:eastAsia="Arial" w:hAnsi="Arial"/>
          <w:sz w:val="16"/>
          <w:szCs w:val="16"/>
          <w:color w:val="auto"/>
        </w:rPr>
        <w:t>In December 2017, the Tax Act was signed into law. As we complete our analysis of the Tax Act and interpret any additional guidance issued by the U.S. Treasury Department, the IRS and other standard-setting bodies, we may make adjustments to the provisional amounts, which may materially impact our provision for income taxes in the period in which the adjustments are recorded (see Note 13: Income Taxes in Item 8 for additional information).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7"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See Note 1: Nature of Operations and Summary of Significant Accounting Policies in Item 8 for a discussion of recent accounting pronouncements and the impact these standards are anticipated to have on our results of operations, liquidity or capital resources.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00"/>
          </w:cols>
          <w:pgMar w:left="240" w:top="126" w:right="259" w:bottom="1440" w:gutter="0" w:footer="0" w:header="0"/>
        </w:sectPr>
      </w:pPr>
    </w:p>
    <w:bookmarkStart w:id="34" w:name="page35"/>
    <w:bookmarkEnd w:id="34"/>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7A. Quantitative and Qualitative Disclosures About Market Risk.</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Dollars in millions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7"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For our long-term debt of $2,737, our exposure to interest rate risk is limited to changes in fair value. As our debt is primarily fixed-rate, changes in interest rates do not significantly impact our cash flows. However, changes in interest rates increase or decrease the fair value of our debt, depending on whether market rates are lower or higher than our fixed rates. As of February 3, 2018, the fair value of our long-term debt was $2,827. See Note 7: Debt and Credit Facilities and Note 8: Fair Value Measurements in Item 8 for additional information.</w:t>
      </w:r>
    </w:p>
    <w:p>
      <w:pPr>
        <w:spacing w:after="0" w:line="136"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We are exposed to interest rate risk primarily from changes in short-term interest rates. Interest rate fluctuations can affect our interest income and interest expense. As of February 3, 2018, we had cash and cash equivalents of $1,181 which generate interest income at variable rates.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27"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The majority of our revenues, expenses and capital expenditures are transacted in U.S. Dollars. Our U.S. operation periodically enters into merchandise purchase orders denominated in British Pounds or Euros. From time to time, we may use forward contracts to hedge against fluctuations in foreign currency prices. As of February 3, 2018, our outstanding forward contracts did not have a material impact on our Consolidated Financial Statements.</w:t>
      </w:r>
    </w:p>
    <w:p>
      <w:pPr>
        <w:spacing w:after="0" w:line="101"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We have six full-line stores in Canada and have announced plans to open the first six Nordstrom Rack stores in Canada in 2018. The functional currency of our Canadian operation is the Canadian Dollar. We translate assets and liabilities into U.S. Dollars using the exchange rate in effect at the balance sheet date, while we translate revenues and expenses using a weighted-average exchange rate for the period. We record these translation adjustments as a component of accumulated other comprehensive loss on the Consolidated Balance Sheets in Item 8. Our Canadian operation enters into merchandise purchase orders denominated in U.S. Dollars for approximately one fourth of its inventory. As sales in Canada are denominated in the Canadian Dollar, gross profit for our Canadian operation can be impacted by foreign currency fluctuations.</w:t>
      </w:r>
    </w:p>
    <w:p>
      <w:pPr>
        <w:spacing w:after="0" w:line="12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addition, our U.S. operation incurs certain expenditures denominated in Canadian Dollars and our Canadian operation incurs certain expenditures denominated in U.S. Dollars. This activity results in transaction gains and losses that arise from exchange rate fluctuations, which are recorded as gains or losses in the Consolidated Statements of Earnings in Item 8. As of February 3, 2018, activities associated with foreign currency exchange risk have not had a material impact on our Consolidated Financial Statements.</w:t>
      </w:r>
    </w:p>
    <w:p>
      <w:pPr>
        <w:spacing w:after="0" w:line="38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35</w:t>
      </w:r>
    </w:p>
    <w:p>
      <w:pPr>
        <w:sectPr>
          <w:pgSz w:w="11900" w:h="16838" w:orient="portrait"/>
          <w:cols w:equalWidth="0" w:num="1">
            <w:col w:w="11420"/>
          </w:cols>
          <w:pgMar w:left="240" w:top="126" w:right="239" w:bottom="1440" w:gutter="0" w:footer="0" w:header="0"/>
        </w:sectPr>
      </w:pPr>
    </w:p>
    <w:bookmarkStart w:id="35" w:name="page36"/>
    <w:bookmarkEnd w:id="35"/>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8: Financial Statements and Supplementary Data.</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Nordstrom, Inc.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7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audited the accompanying consolidated balance sheets of Nordstrom, Inc. and subsidiaries (the “Company”) as of February 3, 2018 and January 28, 2017, and the related consolidated statements of earnings, comprehensive earnings, shareholders’ equity, and cash flows for each of the three years in the period ended February 3, 2018, and the related notes (collectively referred to as the “financial statements”). In our opinion, the financial statements present fairly, in all material respects, the financial position of the Company as of February 3, 2018 and January 28, 2017, and the results of its operations and its cash flows for each of the three years in the period ended February 3, 2018, in conformity with accounting principles generally accepted in the United States of America.</w:t>
      </w:r>
    </w:p>
    <w:p>
      <w:pPr>
        <w:spacing w:after="0" w:line="15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February 3, 2018, based on the criteria established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xml:space="preserve"> issued by the Committee of Sponsoring Organizations of the Treadway Commission and our report dated March 19, 2018, expressed an unqualified opinion on the Company’s internal control over financial reporting.</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86" w:lineRule="exact"/>
        <w:rPr>
          <w:sz w:val="20"/>
          <w:szCs w:val="20"/>
          <w:color w:val="auto"/>
        </w:rPr>
      </w:pPr>
    </w:p>
    <w:p>
      <w:pPr>
        <w:ind w:right="80"/>
        <w:spacing w:after="0" w:line="329" w:lineRule="auto"/>
        <w:rPr>
          <w:sz w:val="20"/>
          <w:szCs w:val="20"/>
          <w:color w:val="auto"/>
        </w:rPr>
      </w:pPr>
      <w:r>
        <w:rPr>
          <w:rFonts w:ascii="Arial" w:cs="Arial" w:eastAsia="Arial" w:hAnsi="Arial"/>
          <w:sz w:val="16"/>
          <w:szCs w:val="16"/>
          <w:color w:val="auto"/>
        </w:rPr>
        <w:t>These financial statements are the responsibility of the Company</w:t>
      </w:r>
      <w:r>
        <w:rPr>
          <w:rFonts w:ascii="Arial" w:cs="Arial" w:eastAsia="Arial" w:hAnsi="Arial"/>
          <w:sz w:val="17"/>
          <w:szCs w:val="17"/>
          <w:color w:val="auto"/>
        </w:rPr>
        <w:t>’</w:t>
      </w:r>
      <w:r>
        <w:rPr>
          <w:rFonts w:ascii="Arial" w:cs="Arial" w:eastAsia="Arial" w:hAnsi="Arial"/>
          <w:sz w:val="16"/>
          <w:szCs w:val="16"/>
          <w:color w:val="auto"/>
        </w:rPr>
        <w:t>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5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19, 2018</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w:t>
      </w:r>
      <w:r>
        <w:rPr>
          <w:rFonts w:ascii="Arial" w:cs="Arial" w:eastAsia="Arial" w:hAnsi="Arial"/>
          <w:sz w:val="19"/>
          <w:szCs w:val="19"/>
          <w:color w:val="auto"/>
        </w:rPr>
        <w:t>’</w:t>
      </w:r>
      <w:r>
        <w:rPr>
          <w:rFonts w:ascii="Arial" w:cs="Arial" w:eastAsia="Arial" w:hAnsi="Arial"/>
          <w:sz w:val="18"/>
          <w:szCs w:val="18"/>
          <w:color w:val="auto"/>
        </w:rPr>
        <w:t>s auditor since 1970</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380"/>
          </w:cols>
          <w:pgMar w:left="240" w:top="126" w:right="279" w:bottom="1440" w:gutter="0" w:footer="0" w:header="0"/>
        </w:sectPr>
      </w:pPr>
    </w:p>
    <w:bookmarkStart w:id="36" w:name="page37"/>
    <w:bookmarkEnd w:id="36"/>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Statements of Earnings</w:t>
      </w:r>
    </w:p>
    <w:p>
      <w:pPr>
        <w:spacing w:after="0"/>
        <w:rPr>
          <w:sz w:val="20"/>
          <w:szCs w:val="20"/>
          <w:color w:val="auto"/>
        </w:rPr>
      </w:pPr>
      <w:r>
        <w:rPr>
          <w:rFonts w:ascii="Arial" w:cs="Arial" w:eastAsia="Arial" w:hAnsi="Arial"/>
          <w:sz w:val="18"/>
          <w:szCs w:val="18"/>
          <w:color w:val="auto"/>
        </w:rPr>
        <w:t>In millions except per share amounts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00" w:type="dxa"/>
            <w:vAlign w:val="bottom"/>
          </w:tcPr>
          <w:p>
            <w:pPr>
              <w:ind w:left="40"/>
              <w:spacing w:after="0"/>
              <w:rPr>
                <w:sz w:val="20"/>
                <w:szCs w:val="20"/>
                <w:color w:val="auto"/>
              </w:rPr>
            </w:pPr>
            <w:r>
              <w:rPr>
                <w:rFonts w:ascii="Arial" w:cs="Arial" w:eastAsia="Arial" w:hAnsi="Arial"/>
                <w:sz w:val="16"/>
                <w:szCs w:val="16"/>
                <w:b w:val="1"/>
                <w:bCs w:val="1"/>
                <w:color w:val="auto"/>
              </w:rPr>
              <w:t>Fiscal year</w:t>
            </w:r>
          </w:p>
        </w:tc>
        <w:tc>
          <w:tcPr>
            <w:tcW w:w="2980" w:type="dxa"/>
            <w:vAlign w:val="bottom"/>
          </w:tcPr>
          <w:p>
            <w:pPr>
              <w:jc w:val="right"/>
              <w:ind w:right="659"/>
              <w:spacing w:after="0"/>
              <w:rPr>
                <w:sz w:val="20"/>
                <w:szCs w:val="20"/>
                <w:color w:val="auto"/>
              </w:rPr>
            </w:pPr>
            <w:r>
              <w:rPr>
                <w:rFonts w:ascii="Arial" w:cs="Arial" w:eastAsia="Arial" w:hAnsi="Arial"/>
                <w:sz w:val="16"/>
                <w:szCs w:val="16"/>
                <w:b w:val="1"/>
                <w:bCs w:val="1"/>
                <w:color w:val="auto"/>
              </w:rPr>
              <w:t>2017</w:t>
            </w:r>
          </w:p>
        </w:tc>
        <w:tc>
          <w:tcPr>
            <w:tcW w:w="1940" w:type="dxa"/>
            <w:vAlign w:val="bottom"/>
          </w:tcPr>
          <w:p>
            <w:pPr>
              <w:jc w:val="right"/>
              <w:ind w:right="639"/>
              <w:spacing w:after="0"/>
              <w:rPr>
                <w:sz w:val="20"/>
                <w:szCs w:val="20"/>
                <w:color w:val="auto"/>
              </w:rPr>
            </w:pPr>
            <w:r>
              <w:rPr>
                <w:rFonts w:ascii="Arial" w:cs="Arial" w:eastAsia="Arial" w:hAnsi="Arial"/>
                <w:sz w:val="16"/>
                <w:szCs w:val="16"/>
                <w:b w:val="1"/>
                <w:bCs w:val="1"/>
                <w:color w:val="auto"/>
              </w:rPr>
              <w:t>2016</w:t>
            </w:r>
          </w:p>
        </w:tc>
        <w:tc>
          <w:tcPr>
            <w:tcW w:w="1300" w:type="dxa"/>
            <w:vAlign w:val="bottom"/>
          </w:tcPr>
          <w:p>
            <w:pPr>
              <w:jc w:val="right"/>
              <w:ind w:right="19"/>
              <w:spacing w:after="0"/>
              <w:rPr>
                <w:sz w:val="20"/>
                <w:szCs w:val="20"/>
                <w:color w:val="auto"/>
              </w:rPr>
            </w:pPr>
            <w:r>
              <w:rPr>
                <w:rFonts w:ascii="Arial" w:cs="Arial" w:eastAsia="Arial" w:hAnsi="Arial"/>
                <w:sz w:val="16"/>
                <w:szCs w:val="16"/>
                <w:b w:val="1"/>
                <w:bCs w:val="1"/>
                <w:color w:val="auto"/>
              </w:rPr>
              <w:t>2015</w:t>
            </w:r>
          </w:p>
        </w:tc>
      </w:tr>
      <w:tr>
        <w:trPr>
          <w:trHeight w:val="33"/>
        </w:trPr>
        <w:tc>
          <w:tcPr>
            <w:tcW w:w="520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298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$15,137</w:t>
            </w:r>
          </w:p>
        </w:tc>
        <w:tc>
          <w:tcPr>
            <w:tcW w:w="194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color w:val="auto"/>
              </w:rPr>
              <w:t>$14,498</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$14,095</w:t>
            </w:r>
          </w:p>
        </w:tc>
      </w:tr>
      <w:tr>
        <w:trPr>
          <w:trHeight w:val="237"/>
        </w:trPr>
        <w:tc>
          <w:tcPr>
            <w:tcW w:w="5200" w:type="dxa"/>
            <w:vAlign w:val="bottom"/>
          </w:tcPr>
          <w:p>
            <w:pPr>
              <w:ind w:left="40"/>
              <w:spacing w:after="0"/>
              <w:rPr>
                <w:sz w:val="20"/>
                <w:szCs w:val="20"/>
                <w:color w:val="auto"/>
              </w:rPr>
            </w:pPr>
            <w:r>
              <w:rPr>
                <w:rFonts w:ascii="Arial" w:cs="Arial" w:eastAsia="Arial" w:hAnsi="Arial"/>
                <w:sz w:val="16"/>
                <w:szCs w:val="16"/>
                <w:color w:val="auto"/>
              </w:rPr>
              <w:t>Credit card revenues, net</w:t>
            </w:r>
          </w:p>
        </w:tc>
        <w:tc>
          <w:tcPr>
            <w:tcW w:w="2980" w:type="dxa"/>
            <w:vAlign w:val="bottom"/>
          </w:tcPr>
          <w:p>
            <w:pPr>
              <w:jc w:val="right"/>
              <w:ind w:right="659"/>
              <w:spacing w:after="0"/>
              <w:rPr>
                <w:sz w:val="20"/>
                <w:szCs w:val="20"/>
                <w:color w:val="auto"/>
              </w:rPr>
            </w:pPr>
            <w:r>
              <w:rPr>
                <w:rFonts w:ascii="Arial" w:cs="Arial" w:eastAsia="Arial" w:hAnsi="Arial"/>
                <w:sz w:val="16"/>
                <w:szCs w:val="16"/>
                <w:b w:val="1"/>
                <w:bCs w:val="1"/>
                <w:color w:val="auto"/>
              </w:rPr>
              <w:t>341</w:t>
            </w:r>
          </w:p>
        </w:tc>
        <w:tc>
          <w:tcPr>
            <w:tcW w:w="1940" w:type="dxa"/>
            <w:vAlign w:val="bottom"/>
          </w:tcPr>
          <w:p>
            <w:pPr>
              <w:jc w:val="right"/>
              <w:ind w:right="639"/>
              <w:spacing w:after="0"/>
              <w:rPr>
                <w:sz w:val="20"/>
                <w:szCs w:val="20"/>
                <w:color w:val="auto"/>
              </w:rPr>
            </w:pPr>
            <w:r>
              <w:rPr>
                <w:rFonts w:ascii="Arial" w:cs="Arial" w:eastAsia="Arial" w:hAnsi="Arial"/>
                <w:sz w:val="16"/>
                <w:szCs w:val="16"/>
                <w:color w:val="auto"/>
              </w:rPr>
              <w:t>259</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342</w:t>
            </w:r>
          </w:p>
        </w:tc>
      </w:tr>
      <w:tr>
        <w:trPr>
          <w:trHeight w:val="33"/>
        </w:trPr>
        <w:tc>
          <w:tcPr>
            <w:tcW w:w="520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revenues</w:t>
            </w:r>
          </w:p>
        </w:tc>
        <w:tc>
          <w:tcPr>
            <w:tcW w:w="298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15,478</w:t>
            </w:r>
          </w:p>
        </w:tc>
        <w:tc>
          <w:tcPr>
            <w:tcW w:w="194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color w:val="auto"/>
              </w:rPr>
              <w:t>14,757</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14,437</w:t>
            </w:r>
          </w:p>
        </w:tc>
      </w:tr>
      <w:tr>
        <w:trPr>
          <w:trHeight w:val="237"/>
        </w:trPr>
        <w:tc>
          <w:tcPr>
            <w:tcW w:w="5200" w:type="dxa"/>
            <w:vAlign w:val="bottom"/>
          </w:tcPr>
          <w:p>
            <w:pPr>
              <w:ind w:left="40"/>
              <w:spacing w:after="0"/>
              <w:rPr>
                <w:sz w:val="20"/>
                <w:szCs w:val="20"/>
                <w:color w:val="auto"/>
              </w:rPr>
            </w:pPr>
            <w:r>
              <w:rPr>
                <w:rFonts w:ascii="Arial" w:cs="Arial" w:eastAsia="Arial" w:hAnsi="Arial"/>
                <w:sz w:val="16"/>
                <w:szCs w:val="16"/>
                <w:color w:val="auto"/>
              </w:rPr>
              <w:t>Cost of sales and related buying and occupancy costs</w:t>
            </w:r>
          </w:p>
        </w:tc>
        <w:tc>
          <w:tcPr>
            <w:tcW w:w="2980" w:type="dxa"/>
            <w:vAlign w:val="bottom"/>
          </w:tcPr>
          <w:p>
            <w:pPr>
              <w:jc w:val="right"/>
              <w:ind w:right="599"/>
              <w:spacing w:after="0"/>
              <w:rPr>
                <w:sz w:val="20"/>
                <w:szCs w:val="20"/>
                <w:color w:val="auto"/>
              </w:rPr>
            </w:pPr>
            <w:r>
              <w:rPr>
                <w:rFonts w:ascii="Arial" w:cs="Arial" w:eastAsia="Arial" w:hAnsi="Arial"/>
                <w:sz w:val="16"/>
                <w:szCs w:val="16"/>
                <w:b w:val="1"/>
                <w:bCs w:val="1"/>
                <w:color w:val="auto"/>
              </w:rPr>
              <w:t>(9,890)</w:t>
            </w:r>
          </w:p>
        </w:tc>
        <w:tc>
          <w:tcPr>
            <w:tcW w:w="1940" w:type="dxa"/>
            <w:vAlign w:val="bottom"/>
          </w:tcPr>
          <w:p>
            <w:pPr>
              <w:jc w:val="right"/>
              <w:ind w:right="599"/>
              <w:spacing w:after="0"/>
              <w:rPr>
                <w:sz w:val="20"/>
                <w:szCs w:val="20"/>
                <w:color w:val="auto"/>
              </w:rPr>
            </w:pPr>
            <w:r>
              <w:rPr>
                <w:rFonts w:ascii="Arial" w:cs="Arial" w:eastAsia="Arial" w:hAnsi="Arial"/>
                <w:sz w:val="16"/>
                <w:szCs w:val="16"/>
                <w:color w:val="auto"/>
              </w:rPr>
              <w:t>(9,440)</w:t>
            </w:r>
          </w:p>
        </w:tc>
        <w:tc>
          <w:tcPr>
            <w:tcW w:w="1300" w:type="dxa"/>
            <w:vAlign w:val="bottom"/>
          </w:tcPr>
          <w:p>
            <w:pPr>
              <w:jc w:val="right"/>
              <w:spacing w:after="0"/>
              <w:rPr>
                <w:sz w:val="20"/>
                <w:szCs w:val="20"/>
                <w:color w:val="auto"/>
              </w:rPr>
            </w:pPr>
            <w:r>
              <w:rPr>
                <w:rFonts w:ascii="Arial" w:cs="Arial" w:eastAsia="Arial" w:hAnsi="Arial"/>
                <w:sz w:val="16"/>
                <w:szCs w:val="16"/>
                <w:color w:val="auto"/>
              </w:rPr>
              <w:t>(9,168)</w:t>
            </w:r>
          </w:p>
        </w:tc>
      </w:tr>
      <w:tr>
        <w:trPr>
          <w:trHeight w:val="33"/>
        </w:trPr>
        <w:tc>
          <w:tcPr>
            <w:tcW w:w="52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298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6"/>
                <w:szCs w:val="16"/>
                <w:b w:val="1"/>
                <w:bCs w:val="1"/>
                <w:color w:val="auto"/>
              </w:rPr>
              <w:t>(4,662)</w:t>
            </w:r>
          </w:p>
        </w:tc>
        <w:tc>
          <w:tcPr>
            <w:tcW w:w="194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6"/>
                <w:szCs w:val="16"/>
                <w:color w:val="auto"/>
              </w:rPr>
              <w:t>(4,315)</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(4,168)</w:t>
            </w:r>
          </w:p>
        </w:tc>
      </w:tr>
      <w:tr>
        <w:trPr>
          <w:trHeight w:val="237"/>
        </w:trPr>
        <w:tc>
          <w:tcPr>
            <w:tcW w:w="5200" w:type="dxa"/>
            <w:vAlign w:val="bottom"/>
          </w:tcPr>
          <w:p>
            <w:pPr>
              <w:ind w:left="40"/>
              <w:spacing w:after="0"/>
              <w:rPr>
                <w:sz w:val="20"/>
                <w:szCs w:val="20"/>
                <w:color w:val="auto"/>
              </w:rPr>
            </w:pPr>
            <w:r>
              <w:rPr>
                <w:rFonts w:ascii="Arial" w:cs="Arial" w:eastAsia="Arial" w:hAnsi="Arial"/>
                <w:sz w:val="16"/>
                <w:szCs w:val="16"/>
                <w:color w:val="auto"/>
              </w:rPr>
              <w:t>Goodwill impairment</w:t>
            </w:r>
          </w:p>
        </w:tc>
        <w:tc>
          <w:tcPr>
            <w:tcW w:w="2980" w:type="dxa"/>
            <w:vAlign w:val="bottom"/>
          </w:tcPr>
          <w:p>
            <w:pPr>
              <w:jc w:val="right"/>
              <w:ind w:right="659"/>
              <w:spacing w:after="0"/>
              <w:rPr>
                <w:sz w:val="20"/>
                <w:szCs w:val="20"/>
                <w:color w:val="auto"/>
              </w:rPr>
            </w:pPr>
            <w:r>
              <w:rPr>
                <w:rFonts w:ascii="Arial" w:cs="Arial" w:eastAsia="Arial" w:hAnsi="Arial"/>
                <w:sz w:val="16"/>
                <w:szCs w:val="16"/>
                <w:b w:val="1"/>
                <w:bCs w:val="1"/>
                <w:color w:val="auto"/>
              </w:rPr>
              <w:t>—</w:t>
            </w:r>
          </w:p>
        </w:tc>
        <w:tc>
          <w:tcPr>
            <w:tcW w:w="1940" w:type="dxa"/>
            <w:vAlign w:val="bottom"/>
          </w:tcPr>
          <w:p>
            <w:pPr>
              <w:jc w:val="right"/>
              <w:ind w:right="599"/>
              <w:spacing w:after="0"/>
              <w:rPr>
                <w:sz w:val="20"/>
                <w:szCs w:val="20"/>
                <w:color w:val="auto"/>
              </w:rPr>
            </w:pPr>
            <w:r>
              <w:rPr>
                <w:rFonts w:ascii="Arial" w:cs="Arial" w:eastAsia="Arial" w:hAnsi="Arial"/>
                <w:sz w:val="16"/>
                <w:szCs w:val="16"/>
                <w:color w:val="auto"/>
              </w:rPr>
              <w:t>(197)</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20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before interest and income taxes</w:t>
            </w:r>
          </w:p>
        </w:tc>
        <w:tc>
          <w:tcPr>
            <w:tcW w:w="298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926</w:t>
            </w:r>
          </w:p>
        </w:tc>
        <w:tc>
          <w:tcPr>
            <w:tcW w:w="194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color w:val="auto"/>
              </w:rPr>
              <w:t>805</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1,101</w:t>
            </w:r>
          </w:p>
        </w:tc>
      </w:tr>
      <w:tr>
        <w:trPr>
          <w:trHeight w:val="237"/>
        </w:trPr>
        <w:tc>
          <w:tcPr>
            <w:tcW w:w="5200" w:type="dxa"/>
            <w:vAlign w:val="bottom"/>
          </w:tcPr>
          <w:p>
            <w:pPr>
              <w:ind w:left="40"/>
              <w:spacing w:after="0"/>
              <w:rPr>
                <w:sz w:val="20"/>
                <w:szCs w:val="20"/>
                <w:color w:val="auto"/>
              </w:rPr>
            </w:pPr>
            <w:r>
              <w:rPr>
                <w:rFonts w:ascii="Arial" w:cs="Arial" w:eastAsia="Arial" w:hAnsi="Arial"/>
                <w:sz w:val="16"/>
                <w:szCs w:val="16"/>
                <w:color w:val="auto"/>
              </w:rPr>
              <w:t>Interest expense, net</w:t>
            </w:r>
          </w:p>
        </w:tc>
        <w:tc>
          <w:tcPr>
            <w:tcW w:w="2980" w:type="dxa"/>
            <w:vAlign w:val="bottom"/>
          </w:tcPr>
          <w:p>
            <w:pPr>
              <w:jc w:val="right"/>
              <w:ind w:right="599"/>
              <w:spacing w:after="0"/>
              <w:rPr>
                <w:sz w:val="20"/>
                <w:szCs w:val="20"/>
                <w:color w:val="auto"/>
              </w:rPr>
            </w:pPr>
            <w:r>
              <w:rPr>
                <w:rFonts w:ascii="Arial" w:cs="Arial" w:eastAsia="Arial" w:hAnsi="Arial"/>
                <w:sz w:val="16"/>
                <w:szCs w:val="16"/>
                <w:b w:val="1"/>
                <w:bCs w:val="1"/>
                <w:color w:val="auto"/>
              </w:rPr>
              <w:t>(136)</w:t>
            </w:r>
          </w:p>
        </w:tc>
        <w:tc>
          <w:tcPr>
            <w:tcW w:w="1940" w:type="dxa"/>
            <w:vAlign w:val="bottom"/>
          </w:tcPr>
          <w:p>
            <w:pPr>
              <w:jc w:val="right"/>
              <w:ind w:right="599"/>
              <w:spacing w:after="0"/>
              <w:rPr>
                <w:sz w:val="20"/>
                <w:szCs w:val="20"/>
                <w:color w:val="auto"/>
              </w:rPr>
            </w:pPr>
            <w:r>
              <w:rPr>
                <w:rFonts w:ascii="Arial" w:cs="Arial" w:eastAsia="Arial" w:hAnsi="Arial"/>
                <w:sz w:val="16"/>
                <w:szCs w:val="16"/>
                <w:color w:val="auto"/>
              </w:rPr>
              <w:t>(121)</w:t>
            </w:r>
          </w:p>
        </w:tc>
        <w:tc>
          <w:tcPr>
            <w:tcW w:w="1300" w:type="dxa"/>
            <w:vAlign w:val="bottom"/>
          </w:tcPr>
          <w:p>
            <w:pPr>
              <w:jc w:val="right"/>
              <w:spacing w:after="0"/>
              <w:rPr>
                <w:sz w:val="20"/>
                <w:szCs w:val="20"/>
                <w:color w:val="auto"/>
              </w:rPr>
            </w:pPr>
            <w:r>
              <w:rPr>
                <w:rFonts w:ascii="Arial" w:cs="Arial" w:eastAsia="Arial" w:hAnsi="Arial"/>
                <w:sz w:val="16"/>
                <w:szCs w:val="16"/>
                <w:color w:val="auto"/>
              </w:rPr>
              <w:t>(125)</w:t>
            </w:r>
          </w:p>
        </w:tc>
      </w:tr>
      <w:tr>
        <w:trPr>
          <w:trHeight w:val="33"/>
        </w:trPr>
        <w:tc>
          <w:tcPr>
            <w:tcW w:w="520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before income taxes</w:t>
            </w:r>
          </w:p>
        </w:tc>
        <w:tc>
          <w:tcPr>
            <w:tcW w:w="298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790</w:t>
            </w:r>
          </w:p>
        </w:tc>
        <w:tc>
          <w:tcPr>
            <w:tcW w:w="194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color w:val="auto"/>
              </w:rPr>
              <w:t>684</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976</w:t>
            </w:r>
          </w:p>
        </w:tc>
      </w:tr>
      <w:tr>
        <w:trPr>
          <w:trHeight w:val="237"/>
        </w:trPr>
        <w:tc>
          <w:tcPr>
            <w:tcW w:w="5200" w:type="dxa"/>
            <w:vAlign w:val="bottom"/>
          </w:tcPr>
          <w:p>
            <w:pPr>
              <w:ind w:left="40"/>
              <w:spacing w:after="0"/>
              <w:rPr>
                <w:sz w:val="20"/>
                <w:szCs w:val="20"/>
                <w:color w:val="auto"/>
              </w:rPr>
            </w:pPr>
            <w:r>
              <w:rPr>
                <w:rFonts w:ascii="Arial" w:cs="Arial" w:eastAsia="Arial" w:hAnsi="Arial"/>
                <w:sz w:val="16"/>
                <w:szCs w:val="16"/>
                <w:color w:val="auto"/>
              </w:rPr>
              <w:t>Income tax expense</w:t>
            </w:r>
          </w:p>
        </w:tc>
        <w:tc>
          <w:tcPr>
            <w:tcW w:w="2980" w:type="dxa"/>
            <w:vAlign w:val="bottom"/>
          </w:tcPr>
          <w:p>
            <w:pPr>
              <w:jc w:val="right"/>
              <w:ind w:right="599"/>
              <w:spacing w:after="0"/>
              <w:rPr>
                <w:sz w:val="20"/>
                <w:szCs w:val="20"/>
                <w:color w:val="auto"/>
              </w:rPr>
            </w:pPr>
            <w:r>
              <w:rPr>
                <w:rFonts w:ascii="Arial" w:cs="Arial" w:eastAsia="Arial" w:hAnsi="Arial"/>
                <w:sz w:val="16"/>
                <w:szCs w:val="16"/>
                <w:b w:val="1"/>
                <w:bCs w:val="1"/>
                <w:color w:val="auto"/>
              </w:rPr>
              <w:t>(353)</w:t>
            </w:r>
          </w:p>
        </w:tc>
        <w:tc>
          <w:tcPr>
            <w:tcW w:w="1940" w:type="dxa"/>
            <w:vAlign w:val="bottom"/>
          </w:tcPr>
          <w:p>
            <w:pPr>
              <w:jc w:val="right"/>
              <w:ind w:right="599"/>
              <w:spacing w:after="0"/>
              <w:rPr>
                <w:sz w:val="20"/>
                <w:szCs w:val="20"/>
                <w:color w:val="auto"/>
              </w:rPr>
            </w:pPr>
            <w:r>
              <w:rPr>
                <w:rFonts w:ascii="Arial" w:cs="Arial" w:eastAsia="Arial" w:hAnsi="Arial"/>
                <w:sz w:val="16"/>
                <w:szCs w:val="16"/>
                <w:color w:val="auto"/>
              </w:rPr>
              <w:t>(330)</w:t>
            </w:r>
          </w:p>
        </w:tc>
        <w:tc>
          <w:tcPr>
            <w:tcW w:w="1300" w:type="dxa"/>
            <w:vAlign w:val="bottom"/>
          </w:tcPr>
          <w:p>
            <w:pPr>
              <w:jc w:val="right"/>
              <w:spacing w:after="0"/>
              <w:rPr>
                <w:sz w:val="20"/>
                <w:szCs w:val="20"/>
                <w:color w:val="auto"/>
              </w:rPr>
            </w:pPr>
            <w:r>
              <w:rPr>
                <w:rFonts w:ascii="Arial" w:cs="Arial" w:eastAsia="Arial" w:hAnsi="Arial"/>
                <w:sz w:val="16"/>
                <w:szCs w:val="16"/>
                <w:color w:val="auto"/>
              </w:rPr>
              <w:t>(376)</w:t>
            </w:r>
          </w:p>
        </w:tc>
      </w:tr>
      <w:tr>
        <w:trPr>
          <w:trHeight w:val="33"/>
        </w:trPr>
        <w:tc>
          <w:tcPr>
            <w:tcW w:w="520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earnings</w:t>
            </w:r>
          </w:p>
        </w:tc>
        <w:tc>
          <w:tcPr>
            <w:tcW w:w="298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$437</w:t>
            </w:r>
          </w:p>
        </w:tc>
        <w:tc>
          <w:tcPr>
            <w:tcW w:w="194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color w:val="auto"/>
              </w:rPr>
              <w:t>$354</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$600</w:t>
            </w:r>
          </w:p>
        </w:tc>
      </w:tr>
      <w:tr>
        <w:trPr>
          <w:trHeight w:val="291"/>
        </w:trPr>
        <w:tc>
          <w:tcPr>
            <w:tcW w:w="5200" w:type="dxa"/>
            <w:vAlign w:val="bottom"/>
            <w:tcBorders>
              <w:top w:val="single" w:sz="8" w:color="auto"/>
            </w:tcBorders>
          </w:tcPr>
          <w:p>
            <w:pPr>
              <w:spacing w:after="0"/>
              <w:rPr>
                <w:sz w:val="24"/>
                <w:szCs w:val="24"/>
                <w:color w:val="auto"/>
              </w:rPr>
            </w:pPr>
          </w:p>
        </w:tc>
        <w:tc>
          <w:tcPr>
            <w:tcW w:w="2980" w:type="dxa"/>
            <w:vAlign w:val="bottom"/>
            <w:tcBorders>
              <w:top w:val="single" w:sz="8" w:color="auto"/>
            </w:tcBorders>
          </w:tcPr>
          <w:p>
            <w:pPr>
              <w:spacing w:after="0"/>
              <w:rPr>
                <w:sz w:val="24"/>
                <w:szCs w:val="24"/>
                <w:color w:val="auto"/>
              </w:rPr>
            </w:pPr>
          </w:p>
        </w:tc>
        <w:tc>
          <w:tcPr>
            <w:tcW w:w="194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per share:</w:t>
            </w:r>
          </w:p>
        </w:tc>
        <w:tc>
          <w:tcPr>
            <w:tcW w:w="298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37"/>
        </w:trPr>
        <w:tc>
          <w:tcPr>
            <w:tcW w:w="5200" w:type="dxa"/>
            <w:vAlign w:val="bottom"/>
          </w:tcPr>
          <w:p>
            <w:pPr>
              <w:ind w:left="280"/>
              <w:spacing w:after="0"/>
              <w:rPr>
                <w:sz w:val="20"/>
                <w:szCs w:val="20"/>
                <w:color w:val="auto"/>
              </w:rPr>
            </w:pPr>
            <w:r>
              <w:rPr>
                <w:rFonts w:ascii="Arial" w:cs="Arial" w:eastAsia="Arial" w:hAnsi="Arial"/>
                <w:sz w:val="16"/>
                <w:szCs w:val="16"/>
                <w:color w:val="auto"/>
              </w:rPr>
              <w:t>Basic</w:t>
            </w:r>
          </w:p>
        </w:tc>
        <w:tc>
          <w:tcPr>
            <w:tcW w:w="2980" w:type="dxa"/>
            <w:vAlign w:val="bottom"/>
          </w:tcPr>
          <w:p>
            <w:pPr>
              <w:jc w:val="right"/>
              <w:ind w:right="659"/>
              <w:spacing w:after="0"/>
              <w:rPr>
                <w:sz w:val="20"/>
                <w:szCs w:val="20"/>
                <w:color w:val="auto"/>
              </w:rPr>
            </w:pPr>
            <w:r>
              <w:rPr>
                <w:rFonts w:ascii="Arial" w:cs="Arial" w:eastAsia="Arial" w:hAnsi="Arial"/>
                <w:sz w:val="16"/>
                <w:szCs w:val="16"/>
                <w:b w:val="1"/>
                <w:bCs w:val="1"/>
                <w:color w:val="auto"/>
              </w:rPr>
              <w:t>$2.62</w:t>
            </w:r>
          </w:p>
        </w:tc>
        <w:tc>
          <w:tcPr>
            <w:tcW w:w="1940" w:type="dxa"/>
            <w:vAlign w:val="bottom"/>
          </w:tcPr>
          <w:p>
            <w:pPr>
              <w:jc w:val="right"/>
              <w:ind w:right="639"/>
              <w:spacing w:after="0"/>
              <w:rPr>
                <w:sz w:val="20"/>
                <w:szCs w:val="20"/>
                <w:color w:val="auto"/>
              </w:rPr>
            </w:pPr>
            <w:r>
              <w:rPr>
                <w:rFonts w:ascii="Arial" w:cs="Arial" w:eastAsia="Arial" w:hAnsi="Arial"/>
                <w:sz w:val="16"/>
                <w:szCs w:val="16"/>
                <w:color w:val="auto"/>
              </w:rPr>
              <w:t>$2.05</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$3.22</w:t>
            </w:r>
          </w:p>
        </w:tc>
      </w:tr>
      <w:tr>
        <w:trPr>
          <w:trHeight w:val="33"/>
        </w:trPr>
        <w:tc>
          <w:tcPr>
            <w:tcW w:w="52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5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298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$2.59</w:t>
            </w:r>
          </w:p>
        </w:tc>
        <w:tc>
          <w:tcPr>
            <w:tcW w:w="194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color w:val="auto"/>
              </w:rPr>
              <w:t>$2.02</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$3.15</w:t>
            </w:r>
          </w:p>
        </w:tc>
      </w:tr>
      <w:tr>
        <w:trPr>
          <w:trHeight w:val="291"/>
        </w:trPr>
        <w:tc>
          <w:tcPr>
            <w:tcW w:w="5200" w:type="dxa"/>
            <w:vAlign w:val="bottom"/>
            <w:tcBorders>
              <w:top w:val="single" w:sz="8" w:color="auto"/>
            </w:tcBorders>
          </w:tcPr>
          <w:p>
            <w:pPr>
              <w:spacing w:after="0"/>
              <w:rPr>
                <w:sz w:val="24"/>
                <w:szCs w:val="24"/>
                <w:color w:val="auto"/>
              </w:rPr>
            </w:pPr>
          </w:p>
        </w:tc>
        <w:tc>
          <w:tcPr>
            <w:tcW w:w="2980" w:type="dxa"/>
            <w:vAlign w:val="bottom"/>
            <w:tcBorders>
              <w:top w:val="single" w:sz="8" w:color="auto"/>
            </w:tcBorders>
          </w:tcPr>
          <w:p>
            <w:pPr>
              <w:spacing w:after="0"/>
              <w:rPr>
                <w:sz w:val="24"/>
                <w:szCs w:val="24"/>
                <w:color w:val="auto"/>
              </w:rPr>
            </w:pPr>
          </w:p>
        </w:tc>
        <w:tc>
          <w:tcPr>
            <w:tcW w:w="194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Weighted-average shares outstanding:</w:t>
            </w:r>
          </w:p>
        </w:tc>
        <w:tc>
          <w:tcPr>
            <w:tcW w:w="298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37"/>
        </w:trPr>
        <w:tc>
          <w:tcPr>
            <w:tcW w:w="5200" w:type="dxa"/>
            <w:vAlign w:val="bottom"/>
          </w:tcPr>
          <w:p>
            <w:pPr>
              <w:ind w:left="280"/>
              <w:spacing w:after="0"/>
              <w:rPr>
                <w:sz w:val="20"/>
                <w:szCs w:val="20"/>
                <w:color w:val="auto"/>
              </w:rPr>
            </w:pPr>
            <w:r>
              <w:rPr>
                <w:rFonts w:ascii="Arial" w:cs="Arial" w:eastAsia="Arial" w:hAnsi="Arial"/>
                <w:sz w:val="16"/>
                <w:szCs w:val="16"/>
                <w:color w:val="auto"/>
              </w:rPr>
              <w:t>Basic</w:t>
            </w:r>
          </w:p>
        </w:tc>
        <w:tc>
          <w:tcPr>
            <w:tcW w:w="2980" w:type="dxa"/>
            <w:vAlign w:val="bottom"/>
          </w:tcPr>
          <w:p>
            <w:pPr>
              <w:jc w:val="right"/>
              <w:ind w:right="659"/>
              <w:spacing w:after="0"/>
              <w:rPr>
                <w:sz w:val="20"/>
                <w:szCs w:val="20"/>
                <w:color w:val="auto"/>
              </w:rPr>
            </w:pPr>
            <w:r>
              <w:rPr>
                <w:rFonts w:ascii="Arial" w:cs="Arial" w:eastAsia="Arial" w:hAnsi="Arial"/>
                <w:sz w:val="16"/>
                <w:szCs w:val="16"/>
                <w:b w:val="1"/>
                <w:bCs w:val="1"/>
                <w:color w:val="auto"/>
              </w:rPr>
              <w:t>166.8</w:t>
            </w:r>
          </w:p>
        </w:tc>
        <w:tc>
          <w:tcPr>
            <w:tcW w:w="1940" w:type="dxa"/>
            <w:vAlign w:val="bottom"/>
          </w:tcPr>
          <w:p>
            <w:pPr>
              <w:jc w:val="right"/>
              <w:ind w:right="639"/>
              <w:spacing w:after="0"/>
              <w:rPr>
                <w:sz w:val="20"/>
                <w:szCs w:val="20"/>
                <w:color w:val="auto"/>
              </w:rPr>
            </w:pPr>
            <w:r>
              <w:rPr>
                <w:rFonts w:ascii="Arial" w:cs="Arial" w:eastAsia="Arial" w:hAnsi="Arial"/>
                <w:sz w:val="16"/>
                <w:szCs w:val="16"/>
                <w:color w:val="auto"/>
              </w:rPr>
              <w:t>173.2</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186.3</w:t>
            </w:r>
          </w:p>
        </w:tc>
      </w:tr>
      <w:tr>
        <w:trPr>
          <w:trHeight w:val="33"/>
        </w:trPr>
        <w:tc>
          <w:tcPr>
            <w:tcW w:w="52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298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168.9</w:t>
            </w:r>
          </w:p>
        </w:tc>
        <w:tc>
          <w:tcPr>
            <w:tcW w:w="194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color w:val="auto"/>
              </w:rPr>
              <w:t>175.6</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190.1</w:t>
            </w:r>
          </w:p>
        </w:tc>
      </w:tr>
      <w:tr>
        <w:trPr>
          <w:trHeight w:val="20"/>
        </w:trPr>
        <w:tc>
          <w:tcPr>
            <w:tcW w:w="5200" w:type="dxa"/>
            <w:vAlign w:val="bottom"/>
            <w:shd w:val="clear" w:color="auto" w:fill="000000"/>
          </w:tcPr>
          <w:p>
            <w:pPr>
              <w:spacing w:after="0" w:line="20" w:lineRule="exact"/>
              <w:rPr>
                <w:sz w:val="1"/>
                <w:szCs w:val="1"/>
                <w:color w:val="auto"/>
              </w:rPr>
            </w:pPr>
          </w:p>
        </w:tc>
        <w:tc>
          <w:tcPr>
            <w:tcW w:w="2980" w:type="dxa"/>
            <w:vAlign w:val="bottom"/>
            <w:shd w:val="clear" w:color="auto" w:fill="000000"/>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Consolidated Financial Statements are an integral part of these financial statements.</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Statements of Comprehensive Earnings</w:t>
      </w:r>
    </w:p>
    <w:p>
      <w:pPr>
        <w:spacing w:after="0"/>
        <w:rPr>
          <w:sz w:val="20"/>
          <w:szCs w:val="20"/>
          <w:color w:val="auto"/>
        </w:rPr>
      </w:pPr>
      <w:r>
        <w:rPr>
          <w:rFonts w:ascii="Arial" w:cs="Arial" w:eastAsia="Arial" w:hAnsi="Arial"/>
          <w:sz w:val="18"/>
          <w:szCs w:val="18"/>
          <w:color w:val="auto"/>
        </w:rPr>
        <w:t>In millions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60" w:type="dxa"/>
            <w:vAlign w:val="bottom"/>
          </w:tcPr>
          <w:p>
            <w:pPr>
              <w:ind w:left="40"/>
              <w:spacing w:after="0"/>
              <w:rPr>
                <w:sz w:val="20"/>
                <w:szCs w:val="20"/>
                <w:color w:val="auto"/>
              </w:rPr>
            </w:pPr>
            <w:r>
              <w:rPr>
                <w:rFonts w:ascii="Arial" w:cs="Arial" w:eastAsia="Arial" w:hAnsi="Arial"/>
                <w:sz w:val="16"/>
                <w:szCs w:val="16"/>
                <w:b w:val="1"/>
                <w:bCs w:val="1"/>
                <w:color w:val="auto"/>
              </w:rPr>
              <w:t>Fiscal year</w:t>
            </w:r>
          </w:p>
        </w:tc>
        <w:tc>
          <w:tcPr>
            <w:tcW w:w="2620" w:type="dxa"/>
            <w:vAlign w:val="bottom"/>
          </w:tcPr>
          <w:p>
            <w:pPr>
              <w:jc w:val="right"/>
              <w:ind w:right="759"/>
              <w:spacing w:after="0"/>
              <w:rPr>
                <w:sz w:val="20"/>
                <w:szCs w:val="20"/>
                <w:color w:val="auto"/>
              </w:rPr>
            </w:pPr>
            <w:r>
              <w:rPr>
                <w:rFonts w:ascii="Arial" w:cs="Arial" w:eastAsia="Arial" w:hAnsi="Arial"/>
                <w:sz w:val="16"/>
                <w:szCs w:val="16"/>
                <w:b w:val="1"/>
                <w:bCs w:val="1"/>
                <w:color w:val="auto"/>
              </w:rPr>
              <w:t>2017</w:t>
            </w:r>
          </w:p>
        </w:tc>
        <w:tc>
          <w:tcPr>
            <w:tcW w:w="1920" w:type="dxa"/>
            <w:vAlign w:val="bottom"/>
          </w:tcPr>
          <w:p>
            <w:pPr>
              <w:jc w:val="right"/>
              <w:ind w:right="719"/>
              <w:spacing w:after="0"/>
              <w:rPr>
                <w:sz w:val="20"/>
                <w:szCs w:val="20"/>
                <w:color w:val="auto"/>
              </w:rPr>
            </w:pPr>
            <w:r>
              <w:rPr>
                <w:rFonts w:ascii="Arial" w:cs="Arial" w:eastAsia="Arial" w:hAnsi="Arial"/>
                <w:sz w:val="16"/>
                <w:szCs w:val="16"/>
                <w:b w:val="1"/>
                <w:bCs w:val="1"/>
                <w:color w:val="auto"/>
              </w:rPr>
              <w:t>2016</w:t>
            </w:r>
          </w:p>
        </w:tc>
        <w:tc>
          <w:tcPr>
            <w:tcW w:w="1220" w:type="dxa"/>
            <w:vAlign w:val="bottom"/>
          </w:tcPr>
          <w:p>
            <w:pPr>
              <w:jc w:val="right"/>
              <w:ind w:right="19"/>
              <w:spacing w:after="0"/>
              <w:rPr>
                <w:sz w:val="20"/>
                <w:szCs w:val="20"/>
                <w:color w:val="auto"/>
              </w:rPr>
            </w:pPr>
            <w:r>
              <w:rPr>
                <w:rFonts w:ascii="Arial" w:cs="Arial" w:eastAsia="Arial" w:hAnsi="Arial"/>
                <w:sz w:val="16"/>
                <w:szCs w:val="16"/>
                <w:b w:val="1"/>
                <w:bCs w:val="1"/>
                <w:color w:val="auto"/>
              </w:rPr>
              <w:t>2015</w:t>
            </w:r>
          </w:p>
        </w:tc>
      </w:tr>
      <w:tr>
        <w:trPr>
          <w:trHeight w:val="33"/>
        </w:trPr>
        <w:tc>
          <w:tcPr>
            <w:tcW w:w="566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w:t>
            </w:r>
          </w:p>
        </w:tc>
        <w:tc>
          <w:tcPr>
            <w:tcW w:w="262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$437</w:t>
            </w:r>
          </w:p>
        </w:tc>
        <w:tc>
          <w:tcPr>
            <w:tcW w:w="192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color w:val="auto"/>
              </w:rPr>
              <w:t>$354</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$600</w:t>
            </w:r>
          </w:p>
        </w:tc>
      </w:tr>
      <w:tr>
        <w:trPr>
          <w:trHeight w:val="237"/>
        </w:trPr>
        <w:tc>
          <w:tcPr>
            <w:tcW w:w="5660" w:type="dxa"/>
            <w:vAlign w:val="bottom"/>
          </w:tcPr>
          <w:p>
            <w:pPr>
              <w:ind w:left="40"/>
              <w:spacing w:after="0"/>
              <w:rPr>
                <w:sz w:val="20"/>
                <w:szCs w:val="20"/>
                <w:color w:val="auto"/>
              </w:rPr>
            </w:pPr>
            <w:r>
              <w:rPr>
                <w:rFonts w:ascii="Arial" w:cs="Arial" w:eastAsia="Arial" w:hAnsi="Arial"/>
                <w:sz w:val="16"/>
                <w:szCs w:val="16"/>
                <w:color w:val="auto"/>
              </w:rPr>
              <w:t>Postretirement plan adjustments, net of tax of $2, ($1) and ($15)</w:t>
            </w:r>
          </w:p>
        </w:tc>
        <w:tc>
          <w:tcPr>
            <w:tcW w:w="2620" w:type="dxa"/>
            <w:vAlign w:val="bottom"/>
          </w:tcPr>
          <w:p>
            <w:pPr>
              <w:jc w:val="right"/>
              <w:ind w:right="699"/>
              <w:spacing w:after="0"/>
              <w:rPr>
                <w:sz w:val="20"/>
                <w:szCs w:val="20"/>
                <w:color w:val="auto"/>
              </w:rPr>
            </w:pPr>
            <w:r>
              <w:rPr>
                <w:rFonts w:ascii="Arial" w:cs="Arial" w:eastAsia="Arial" w:hAnsi="Arial"/>
                <w:sz w:val="16"/>
                <w:szCs w:val="16"/>
                <w:b w:val="1"/>
                <w:bCs w:val="1"/>
                <w:color w:val="auto"/>
              </w:rPr>
              <w:t>(6)</w:t>
            </w:r>
          </w:p>
        </w:tc>
        <w:tc>
          <w:tcPr>
            <w:tcW w:w="1920" w:type="dxa"/>
            <w:vAlign w:val="bottom"/>
          </w:tcPr>
          <w:p>
            <w:pPr>
              <w:jc w:val="right"/>
              <w:ind w:right="719"/>
              <w:spacing w:after="0"/>
              <w:rPr>
                <w:sz w:val="20"/>
                <w:szCs w:val="20"/>
                <w:color w:val="auto"/>
              </w:rPr>
            </w:pPr>
            <w:r>
              <w:rPr>
                <w:rFonts w:ascii="Arial" w:cs="Arial" w:eastAsia="Arial" w:hAnsi="Arial"/>
                <w:sz w:val="16"/>
                <w:szCs w:val="16"/>
                <w:color w:val="auto"/>
              </w:rPr>
              <w:t>1</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24</w:t>
            </w:r>
          </w:p>
        </w:tc>
      </w:tr>
      <w:tr>
        <w:trPr>
          <w:trHeight w:val="33"/>
        </w:trPr>
        <w:tc>
          <w:tcPr>
            <w:tcW w:w="56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currency translation adjustment</w:t>
            </w:r>
          </w:p>
        </w:tc>
        <w:tc>
          <w:tcPr>
            <w:tcW w:w="262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20</w:t>
            </w:r>
          </w:p>
        </w:tc>
        <w:tc>
          <w:tcPr>
            <w:tcW w:w="192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color w:val="auto"/>
              </w:rPr>
              <w:t>14</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31"/>
        </w:trPr>
        <w:tc>
          <w:tcPr>
            <w:tcW w:w="56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Comprehensive net earnings</w:t>
            </w:r>
          </w:p>
        </w:tc>
        <w:tc>
          <w:tcPr>
            <w:tcW w:w="2620" w:type="dxa"/>
            <w:vAlign w:val="bottom"/>
            <w:tcBorders>
              <w:top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$451</w:t>
            </w:r>
          </w:p>
        </w:tc>
        <w:tc>
          <w:tcPr>
            <w:tcW w:w="1920" w:type="dxa"/>
            <w:vAlign w:val="bottom"/>
            <w:tcBorders>
              <w:top w:val="single" w:sz="8" w:color="auto"/>
            </w:tcBorders>
          </w:tcPr>
          <w:p>
            <w:pPr>
              <w:jc w:val="right"/>
              <w:ind w:right="719"/>
              <w:spacing w:after="0"/>
              <w:rPr>
                <w:sz w:val="20"/>
                <w:szCs w:val="20"/>
                <w:color w:val="auto"/>
              </w:rPr>
            </w:pPr>
            <w:r>
              <w:rPr>
                <w:rFonts w:ascii="Arial" w:cs="Arial" w:eastAsia="Arial" w:hAnsi="Arial"/>
                <w:sz w:val="16"/>
                <w:szCs w:val="16"/>
                <w:color w:val="auto"/>
              </w:rPr>
              <w:t>$369</w:t>
            </w: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$606</w:t>
            </w:r>
          </w:p>
        </w:tc>
      </w:tr>
      <w:tr>
        <w:trPr>
          <w:trHeight w:val="33"/>
        </w:trPr>
        <w:tc>
          <w:tcPr>
            <w:tcW w:w="566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Consolidated Financial Statements are an integral part of these financial statements.</w:t>
      </w: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37</w:t>
      </w:r>
    </w:p>
    <w:p>
      <w:pPr>
        <w:sectPr>
          <w:pgSz w:w="11900" w:h="16838" w:orient="portrait"/>
          <w:cols w:equalWidth="0" w:num="1">
            <w:col w:w="11420"/>
          </w:cols>
          <w:pgMar w:left="240" w:top="126" w:right="239" w:bottom="1440" w:gutter="0" w:footer="0" w:header="0"/>
        </w:sectPr>
      </w:pPr>
    </w:p>
    <w:bookmarkStart w:id="37" w:name="page38"/>
    <w:bookmarkEnd w:id="37"/>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Balance Sheets</w:t>
      </w:r>
    </w:p>
    <w:p>
      <w:pPr>
        <w:spacing w:after="0"/>
        <w:rPr>
          <w:sz w:val="20"/>
          <w:szCs w:val="20"/>
          <w:color w:val="auto"/>
        </w:rPr>
      </w:pPr>
      <w:r>
        <w:rPr>
          <w:rFonts w:ascii="Arial" w:cs="Arial" w:eastAsia="Arial" w:hAnsi="Arial"/>
          <w:sz w:val="18"/>
          <w:szCs w:val="18"/>
          <w:color w:val="auto"/>
        </w:rPr>
        <w:t>In millions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40" w:type="dxa"/>
            <w:vAlign w:val="bottom"/>
          </w:tcPr>
          <w:p>
            <w:pPr>
              <w:spacing w:after="0"/>
              <w:rPr>
                <w:sz w:val="18"/>
                <w:szCs w:val="18"/>
                <w:color w:val="auto"/>
              </w:rPr>
            </w:pPr>
          </w:p>
        </w:tc>
        <w:tc>
          <w:tcPr>
            <w:tcW w:w="2240" w:type="dxa"/>
            <w:vAlign w:val="bottom"/>
          </w:tcPr>
          <w:p>
            <w:pPr>
              <w:jc w:val="right"/>
              <w:ind w:right="299"/>
              <w:spacing w:after="0"/>
              <w:rPr>
                <w:sz w:val="20"/>
                <w:szCs w:val="20"/>
                <w:color w:val="auto"/>
              </w:rPr>
            </w:pPr>
            <w:r>
              <w:rPr>
                <w:rFonts w:ascii="Arial" w:cs="Arial" w:eastAsia="Arial" w:hAnsi="Arial"/>
                <w:sz w:val="16"/>
                <w:szCs w:val="16"/>
                <w:b w:val="1"/>
                <w:bCs w:val="1"/>
                <w:color w:val="auto"/>
              </w:rPr>
              <w:t>February 3, 2018</w:t>
            </w:r>
          </w:p>
        </w:tc>
        <w:tc>
          <w:tcPr>
            <w:tcW w:w="1640" w:type="dxa"/>
            <w:vAlign w:val="bottom"/>
          </w:tcPr>
          <w:p>
            <w:pPr>
              <w:jc w:val="right"/>
              <w:ind w:right="19"/>
              <w:spacing w:after="0"/>
              <w:rPr>
                <w:sz w:val="20"/>
                <w:szCs w:val="20"/>
                <w:color w:val="auto"/>
              </w:rPr>
            </w:pPr>
            <w:r>
              <w:rPr>
                <w:rFonts w:ascii="Arial" w:cs="Arial" w:eastAsia="Arial" w:hAnsi="Arial"/>
                <w:sz w:val="16"/>
                <w:szCs w:val="16"/>
                <w:b w:val="1"/>
                <w:bCs w:val="1"/>
                <w:color w:val="auto"/>
              </w:rPr>
              <w:t>January 28, 2017</w:t>
            </w:r>
          </w:p>
        </w:tc>
      </w:tr>
      <w:tr>
        <w:trPr>
          <w:trHeight w:val="33"/>
        </w:trPr>
        <w:tc>
          <w:tcPr>
            <w:tcW w:w="75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2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37"/>
        </w:trPr>
        <w:tc>
          <w:tcPr>
            <w:tcW w:w="75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24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33"/>
        </w:trPr>
        <w:tc>
          <w:tcPr>
            <w:tcW w:w="75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224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$1,181</w:t>
            </w: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$1,007</w:t>
            </w:r>
          </w:p>
        </w:tc>
      </w:tr>
      <w:tr>
        <w:trPr>
          <w:trHeight w:val="237"/>
        </w:trPr>
        <w:tc>
          <w:tcPr>
            <w:tcW w:w="7540" w:type="dxa"/>
            <w:vAlign w:val="bottom"/>
          </w:tcPr>
          <w:p>
            <w:pPr>
              <w:ind w:left="280"/>
              <w:spacing w:after="0"/>
              <w:rPr>
                <w:sz w:val="20"/>
                <w:szCs w:val="20"/>
                <w:color w:val="auto"/>
              </w:rPr>
            </w:pPr>
            <w:r>
              <w:rPr>
                <w:rFonts w:ascii="Arial" w:cs="Arial" w:eastAsia="Arial" w:hAnsi="Arial"/>
                <w:sz w:val="16"/>
                <w:szCs w:val="16"/>
                <w:color w:val="auto"/>
              </w:rPr>
              <w:t>Accounts receivable, net</w:t>
            </w:r>
          </w:p>
        </w:tc>
        <w:tc>
          <w:tcPr>
            <w:tcW w:w="2240" w:type="dxa"/>
            <w:vAlign w:val="bottom"/>
          </w:tcPr>
          <w:p>
            <w:pPr>
              <w:jc w:val="right"/>
              <w:ind w:right="299"/>
              <w:spacing w:after="0"/>
              <w:rPr>
                <w:sz w:val="20"/>
                <w:szCs w:val="20"/>
                <w:color w:val="auto"/>
              </w:rPr>
            </w:pPr>
            <w:r>
              <w:rPr>
                <w:rFonts w:ascii="Arial" w:cs="Arial" w:eastAsia="Arial" w:hAnsi="Arial"/>
                <w:sz w:val="16"/>
                <w:szCs w:val="16"/>
                <w:b w:val="1"/>
                <w:bCs w:val="1"/>
                <w:color w:val="auto"/>
              </w:rPr>
              <w:t>145</w:t>
            </w: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199</w:t>
            </w:r>
          </w:p>
        </w:tc>
      </w:tr>
      <w:tr>
        <w:trPr>
          <w:trHeight w:val="33"/>
        </w:trPr>
        <w:tc>
          <w:tcPr>
            <w:tcW w:w="75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Merchandise inventories</w:t>
            </w:r>
          </w:p>
        </w:tc>
        <w:tc>
          <w:tcPr>
            <w:tcW w:w="224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2,027</w:t>
            </w: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1,896</w:t>
            </w:r>
          </w:p>
        </w:tc>
      </w:tr>
      <w:tr>
        <w:trPr>
          <w:trHeight w:val="237"/>
        </w:trPr>
        <w:tc>
          <w:tcPr>
            <w:tcW w:w="7540" w:type="dxa"/>
            <w:vAlign w:val="bottom"/>
          </w:tcPr>
          <w:p>
            <w:pPr>
              <w:ind w:left="280"/>
              <w:spacing w:after="0"/>
              <w:rPr>
                <w:sz w:val="20"/>
                <w:szCs w:val="20"/>
                <w:color w:val="auto"/>
              </w:rPr>
            </w:pPr>
            <w:r>
              <w:rPr>
                <w:rFonts w:ascii="Arial" w:cs="Arial" w:eastAsia="Arial" w:hAnsi="Arial"/>
                <w:sz w:val="16"/>
                <w:szCs w:val="16"/>
                <w:color w:val="auto"/>
              </w:rPr>
              <w:t>Prepaid expenses and other</w:t>
            </w:r>
          </w:p>
        </w:tc>
        <w:tc>
          <w:tcPr>
            <w:tcW w:w="2240" w:type="dxa"/>
            <w:vAlign w:val="bottom"/>
          </w:tcPr>
          <w:p>
            <w:pPr>
              <w:jc w:val="right"/>
              <w:ind w:right="299"/>
              <w:spacing w:after="0"/>
              <w:rPr>
                <w:sz w:val="20"/>
                <w:szCs w:val="20"/>
                <w:color w:val="auto"/>
              </w:rPr>
            </w:pPr>
            <w:r>
              <w:rPr>
                <w:rFonts w:ascii="Arial" w:cs="Arial" w:eastAsia="Arial" w:hAnsi="Arial"/>
                <w:sz w:val="16"/>
                <w:szCs w:val="16"/>
                <w:b w:val="1"/>
                <w:bCs w:val="1"/>
                <w:color w:val="auto"/>
              </w:rPr>
              <w:t>150</w:t>
            </w: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140</w:t>
            </w:r>
          </w:p>
        </w:tc>
      </w:tr>
      <w:tr>
        <w:trPr>
          <w:trHeight w:val="33"/>
        </w:trPr>
        <w:tc>
          <w:tcPr>
            <w:tcW w:w="75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current assets</w:t>
            </w:r>
          </w:p>
        </w:tc>
        <w:tc>
          <w:tcPr>
            <w:tcW w:w="224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3,503</w:t>
            </w: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3,242</w:t>
            </w:r>
          </w:p>
        </w:tc>
      </w:tr>
      <w:tr>
        <w:trPr>
          <w:trHeight w:val="297"/>
        </w:trPr>
        <w:tc>
          <w:tcPr>
            <w:tcW w:w="75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Land, property and equipment, net</w:t>
            </w:r>
          </w:p>
        </w:tc>
        <w:tc>
          <w:tcPr>
            <w:tcW w:w="224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3,939</w:t>
            </w: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3,897</w:t>
            </w:r>
          </w:p>
        </w:tc>
      </w:tr>
      <w:tr>
        <w:trPr>
          <w:trHeight w:val="237"/>
        </w:trPr>
        <w:tc>
          <w:tcPr>
            <w:tcW w:w="7540" w:type="dxa"/>
            <w:vAlign w:val="bottom"/>
          </w:tcPr>
          <w:p>
            <w:pPr>
              <w:ind w:left="40"/>
              <w:spacing w:after="0"/>
              <w:rPr>
                <w:sz w:val="20"/>
                <w:szCs w:val="20"/>
                <w:color w:val="auto"/>
              </w:rPr>
            </w:pPr>
            <w:r>
              <w:rPr>
                <w:rFonts w:ascii="Arial" w:cs="Arial" w:eastAsia="Arial" w:hAnsi="Arial"/>
                <w:sz w:val="16"/>
                <w:szCs w:val="16"/>
                <w:color w:val="auto"/>
              </w:rPr>
              <w:t>Goodwill</w:t>
            </w:r>
          </w:p>
        </w:tc>
        <w:tc>
          <w:tcPr>
            <w:tcW w:w="2240" w:type="dxa"/>
            <w:vAlign w:val="bottom"/>
          </w:tcPr>
          <w:p>
            <w:pPr>
              <w:jc w:val="right"/>
              <w:ind w:right="299"/>
              <w:spacing w:after="0"/>
              <w:rPr>
                <w:sz w:val="20"/>
                <w:szCs w:val="20"/>
                <w:color w:val="auto"/>
              </w:rPr>
            </w:pPr>
            <w:r>
              <w:rPr>
                <w:rFonts w:ascii="Arial" w:cs="Arial" w:eastAsia="Arial" w:hAnsi="Arial"/>
                <w:sz w:val="16"/>
                <w:szCs w:val="16"/>
                <w:b w:val="1"/>
                <w:bCs w:val="1"/>
                <w:color w:val="auto"/>
              </w:rPr>
              <w:t>238</w:t>
            </w: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238</w:t>
            </w:r>
          </w:p>
        </w:tc>
      </w:tr>
      <w:tr>
        <w:trPr>
          <w:trHeight w:val="33"/>
        </w:trPr>
        <w:tc>
          <w:tcPr>
            <w:tcW w:w="75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5"/>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224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435</w:t>
            </w: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481</w:t>
            </w:r>
          </w:p>
        </w:tc>
      </w:tr>
      <w:tr>
        <w:trPr>
          <w:trHeight w:val="231"/>
        </w:trPr>
        <w:tc>
          <w:tcPr>
            <w:tcW w:w="75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assets</w:t>
            </w:r>
          </w:p>
        </w:tc>
        <w:tc>
          <w:tcPr>
            <w:tcW w:w="224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$8,115</w:t>
            </w:r>
          </w:p>
        </w:tc>
        <w:tc>
          <w:tcPr>
            <w:tcW w:w="1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$7,858</w:t>
            </w:r>
          </w:p>
        </w:tc>
      </w:tr>
      <w:tr>
        <w:trPr>
          <w:trHeight w:val="33"/>
        </w:trPr>
        <w:tc>
          <w:tcPr>
            <w:tcW w:w="75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91"/>
        </w:trPr>
        <w:tc>
          <w:tcPr>
            <w:tcW w:w="7540" w:type="dxa"/>
            <w:vAlign w:val="bottom"/>
            <w:shd w:val="clear" w:color="auto" w:fill="CCEEFF"/>
          </w:tcPr>
          <w:p>
            <w:pPr>
              <w:spacing w:after="0"/>
              <w:rPr>
                <w:sz w:val="24"/>
                <w:szCs w:val="24"/>
                <w:color w:val="auto"/>
              </w:rPr>
            </w:pPr>
          </w:p>
        </w:tc>
        <w:tc>
          <w:tcPr>
            <w:tcW w:w="224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r>
      <w:tr>
        <w:trPr>
          <w:trHeight w:val="237"/>
        </w:trPr>
        <w:tc>
          <w:tcPr>
            <w:tcW w:w="7540" w:type="dxa"/>
            <w:vAlign w:val="bottom"/>
          </w:tcPr>
          <w:p>
            <w:pPr>
              <w:ind w:left="40"/>
              <w:spacing w:after="0"/>
              <w:rPr>
                <w:sz w:val="20"/>
                <w:szCs w:val="20"/>
                <w:color w:val="auto"/>
              </w:rPr>
            </w:pPr>
            <w:r>
              <w:rPr>
                <w:rFonts w:ascii="Arial" w:cs="Arial" w:eastAsia="Arial" w:hAnsi="Arial"/>
                <w:sz w:val="16"/>
                <w:szCs w:val="16"/>
                <w:b w:val="1"/>
                <w:bCs w:val="1"/>
                <w:color w:val="auto"/>
              </w:rPr>
              <w:t>Liabilities and Shareholders’ Equity</w:t>
            </w:r>
          </w:p>
        </w:tc>
        <w:tc>
          <w:tcPr>
            <w:tcW w:w="224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33"/>
        </w:trPr>
        <w:tc>
          <w:tcPr>
            <w:tcW w:w="75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22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37"/>
        </w:trPr>
        <w:tc>
          <w:tcPr>
            <w:tcW w:w="7540" w:type="dxa"/>
            <w:vAlign w:val="bottom"/>
          </w:tcPr>
          <w:p>
            <w:pPr>
              <w:ind w:left="280"/>
              <w:spacing w:after="0"/>
              <w:rPr>
                <w:sz w:val="20"/>
                <w:szCs w:val="20"/>
                <w:color w:val="auto"/>
              </w:rPr>
            </w:pPr>
            <w:r>
              <w:rPr>
                <w:rFonts w:ascii="Arial" w:cs="Arial" w:eastAsia="Arial" w:hAnsi="Arial"/>
                <w:sz w:val="16"/>
                <w:szCs w:val="16"/>
                <w:color w:val="auto"/>
              </w:rPr>
              <w:t>Accounts payable</w:t>
            </w:r>
          </w:p>
        </w:tc>
        <w:tc>
          <w:tcPr>
            <w:tcW w:w="2240" w:type="dxa"/>
            <w:vAlign w:val="bottom"/>
          </w:tcPr>
          <w:p>
            <w:pPr>
              <w:jc w:val="right"/>
              <w:ind w:right="299"/>
              <w:spacing w:after="0"/>
              <w:rPr>
                <w:sz w:val="20"/>
                <w:szCs w:val="20"/>
                <w:color w:val="auto"/>
              </w:rPr>
            </w:pPr>
            <w:r>
              <w:rPr>
                <w:rFonts w:ascii="Arial" w:cs="Arial" w:eastAsia="Arial" w:hAnsi="Arial"/>
                <w:sz w:val="16"/>
                <w:szCs w:val="16"/>
                <w:b w:val="1"/>
                <w:bCs w:val="1"/>
                <w:color w:val="auto"/>
              </w:rPr>
              <w:t>$1,409</w:t>
            </w: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$1,340</w:t>
            </w:r>
          </w:p>
        </w:tc>
      </w:tr>
      <w:tr>
        <w:trPr>
          <w:trHeight w:val="33"/>
        </w:trPr>
        <w:tc>
          <w:tcPr>
            <w:tcW w:w="75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Accrued salaries, wages and related benefits</w:t>
            </w:r>
          </w:p>
        </w:tc>
        <w:tc>
          <w:tcPr>
            <w:tcW w:w="224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578</w:t>
            </w: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455</w:t>
            </w:r>
          </w:p>
        </w:tc>
      </w:tr>
      <w:tr>
        <w:trPr>
          <w:trHeight w:val="237"/>
        </w:trPr>
        <w:tc>
          <w:tcPr>
            <w:tcW w:w="7540" w:type="dxa"/>
            <w:vAlign w:val="bottom"/>
          </w:tcPr>
          <w:p>
            <w:pPr>
              <w:ind w:left="280"/>
              <w:spacing w:after="0"/>
              <w:rPr>
                <w:sz w:val="20"/>
                <w:szCs w:val="20"/>
                <w:color w:val="auto"/>
              </w:rPr>
            </w:pPr>
            <w:r>
              <w:rPr>
                <w:rFonts w:ascii="Arial" w:cs="Arial" w:eastAsia="Arial" w:hAnsi="Arial"/>
                <w:sz w:val="16"/>
                <w:szCs w:val="16"/>
                <w:color w:val="auto"/>
              </w:rPr>
              <w:t>Other current liabilities</w:t>
            </w:r>
          </w:p>
        </w:tc>
        <w:tc>
          <w:tcPr>
            <w:tcW w:w="2240" w:type="dxa"/>
            <w:vAlign w:val="bottom"/>
          </w:tcPr>
          <w:p>
            <w:pPr>
              <w:jc w:val="right"/>
              <w:ind w:right="299"/>
              <w:spacing w:after="0"/>
              <w:rPr>
                <w:sz w:val="20"/>
                <w:szCs w:val="20"/>
                <w:color w:val="auto"/>
              </w:rPr>
            </w:pPr>
            <w:r>
              <w:rPr>
                <w:rFonts w:ascii="Arial" w:cs="Arial" w:eastAsia="Arial" w:hAnsi="Arial"/>
                <w:sz w:val="16"/>
                <w:szCs w:val="16"/>
                <w:b w:val="1"/>
                <w:bCs w:val="1"/>
                <w:color w:val="auto"/>
              </w:rPr>
              <w:t>1,246</w:t>
            </w: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1,223</w:t>
            </w:r>
          </w:p>
        </w:tc>
      </w:tr>
      <w:tr>
        <w:trPr>
          <w:trHeight w:val="33"/>
        </w:trPr>
        <w:tc>
          <w:tcPr>
            <w:tcW w:w="75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5"/>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Current portion of long-term debt</w:t>
            </w:r>
          </w:p>
        </w:tc>
        <w:tc>
          <w:tcPr>
            <w:tcW w:w="224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56</w:t>
            </w: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r>
      <w:tr>
        <w:trPr>
          <w:trHeight w:val="231"/>
        </w:trPr>
        <w:tc>
          <w:tcPr>
            <w:tcW w:w="75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current liabilities</w:t>
            </w:r>
          </w:p>
        </w:tc>
        <w:tc>
          <w:tcPr>
            <w:tcW w:w="224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3,289</w:t>
            </w:r>
          </w:p>
        </w:tc>
        <w:tc>
          <w:tcPr>
            <w:tcW w:w="1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3,029</w:t>
            </w:r>
          </w:p>
        </w:tc>
      </w:tr>
      <w:tr>
        <w:trPr>
          <w:trHeight w:val="33"/>
        </w:trPr>
        <w:tc>
          <w:tcPr>
            <w:tcW w:w="75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97"/>
        </w:trPr>
        <w:tc>
          <w:tcPr>
            <w:tcW w:w="7540" w:type="dxa"/>
            <w:vAlign w:val="bottom"/>
            <w:shd w:val="clear" w:color="auto" w:fill="CCEEFF"/>
          </w:tcPr>
          <w:p>
            <w:pPr>
              <w:spacing w:after="0"/>
              <w:rPr>
                <w:sz w:val="24"/>
                <w:szCs w:val="24"/>
                <w:color w:val="auto"/>
              </w:rPr>
            </w:pPr>
          </w:p>
        </w:tc>
        <w:tc>
          <w:tcPr>
            <w:tcW w:w="224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r>
      <w:tr>
        <w:trPr>
          <w:trHeight w:val="237"/>
        </w:trPr>
        <w:tc>
          <w:tcPr>
            <w:tcW w:w="7540" w:type="dxa"/>
            <w:vAlign w:val="bottom"/>
          </w:tcPr>
          <w:p>
            <w:pPr>
              <w:ind w:left="40"/>
              <w:spacing w:after="0"/>
              <w:rPr>
                <w:sz w:val="20"/>
                <w:szCs w:val="20"/>
                <w:color w:val="auto"/>
              </w:rPr>
            </w:pPr>
            <w:r>
              <w:rPr>
                <w:rFonts w:ascii="Arial" w:cs="Arial" w:eastAsia="Arial" w:hAnsi="Arial"/>
                <w:sz w:val="16"/>
                <w:szCs w:val="16"/>
                <w:color w:val="auto"/>
              </w:rPr>
              <w:t>Long-term debt, net</w:t>
            </w:r>
          </w:p>
        </w:tc>
        <w:tc>
          <w:tcPr>
            <w:tcW w:w="2240" w:type="dxa"/>
            <w:vAlign w:val="bottom"/>
          </w:tcPr>
          <w:p>
            <w:pPr>
              <w:jc w:val="right"/>
              <w:ind w:right="299"/>
              <w:spacing w:after="0"/>
              <w:rPr>
                <w:sz w:val="20"/>
                <w:szCs w:val="20"/>
                <w:color w:val="auto"/>
              </w:rPr>
            </w:pPr>
            <w:r>
              <w:rPr>
                <w:rFonts w:ascii="Arial" w:cs="Arial" w:eastAsia="Arial" w:hAnsi="Arial"/>
                <w:sz w:val="16"/>
                <w:szCs w:val="16"/>
                <w:b w:val="1"/>
                <w:bCs w:val="1"/>
                <w:color w:val="auto"/>
              </w:rPr>
              <w:t>2,681</w:t>
            </w: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2,763</w:t>
            </w:r>
          </w:p>
        </w:tc>
      </w:tr>
      <w:tr>
        <w:trPr>
          <w:trHeight w:val="33"/>
        </w:trPr>
        <w:tc>
          <w:tcPr>
            <w:tcW w:w="75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property incentives, net</w:t>
            </w:r>
          </w:p>
        </w:tc>
        <w:tc>
          <w:tcPr>
            <w:tcW w:w="224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495</w:t>
            </w: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521</w:t>
            </w:r>
          </w:p>
        </w:tc>
      </w:tr>
      <w:tr>
        <w:trPr>
          <w:trHeight w:val="237"/>
        </w:trPr>
        <w:tc>
          <w:tcPr>
            <w:tcW w:w="7540" w:type="dxa"/>
            <w:vAlign w:val="bottom"/>
          </w:tcPr>
          <w:p>
            <w:pPr>
              <w:ind w:left="40"/>
              <w:spacing w:after="0"/>
              <w:rPr>
                <w:sz w:val="20"/>
                <w:szCs w:val="20"/>
                <w:color w:val="auto"/>
              </w:rPr>
            </w:pPr>
            <w:r>
              <w:rPr>
                <w:rFonts w:ascii="Arial" w:cs="Arial" w:eastAsia="Arial" w:hAnsi="Arial"/>
                <w:sz w:val="16"/>
                <w:szCs w:val="16"/>
                <w:color w:val="auto"/>
              </w:rPr>
              <w:t>Other liabilities</w:t>
            </w:r>
          </w:p>
        </w:tc>
        <w:tc>
          <w:tcPr>
            <w:tcW w:w="2240" w:type="dxa"/>
            <w:vAlign w:val="bottom"/>
          </w:tcPr>
          <w:p>
            <w:pPr>
              <w:jc w:val="right"/>
              <w:ind w:right="299"/>
              <w:spacing w:after="0"/>
              <w:rPr>
                <w:sz w:val="20"/>
                <w:szCs w:val="20"/>
                <w:color w:val="auto"/>
              </w:rPr>
            </w:pPr>
            <w:r>
              <w:rPr>
                <w:rFonts w:ascii="Arial" w:cs="Arial" w:eastAsia="Arial" w:hAnsi="Arial"/>
                <w:sz w:val="16"/>
                <w:szCs w:val="16"/>
                <w:b w:val="1"/>
                <w:bCs w:val="1"/>
                <w:color w:val="auto"/>
              </w:rPr>
              <w:t>673</w:t>
            </w: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675</w:t>
            </w:r>
          </w:p>
        </w:tc>
      </w:tr>
      <w:tr>
        <w:trPr>
          <w:trHeight w:val="33"/>
        </w:trPr>
        <w:tc>
          <w:tcPr>
            <w:tcW w:w="75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97"/>
        </w:trPr>
        <w:tc>
          <w:tcPr>
            <w:tcW w:w="7540" w:type="dxa"/>
            <w:vAlign w:val="bottom"/>
            <w:shd w:val="clear" w:color="auto" w:fill="CCEEFF"/>
          </w:tcPr>
          <w:p>
            <w:pPr>
              <w:spacing w:after="0"/>
              <w:rPr>
                <w:sz w:val="24"/>
                <w:szCs w:val="24"/>
                <w:color w:val="auto"/>
              </w:rPr>
            </w:pPr>
          </w:p>
        </w:tc>
        <w:tc>
          <w:tcPr>
            <w:tcW w:w="224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r>
      <w:tr>
        <w:trPr>
          <w:trHeight w:val="237"/>
        </w:trPr>
        <w:tc>
          <w:tcPr>
            <w:tcW w:w="7540" w:type="dxa"/>
            <w:vAlign w:val="bottom"/>
          </w:tcPr>
          <w:p>
            <w:pPr>
              <w:ind w:left="40"/>
              <w:spacing w:after="0"/>
              <w:rPr>
                <w:sz w:val="20"/>
                <w:szCs w:val="20"/>
                <w:color w:val="auto"/>
              </w:rPr>
            </w:pPr>
            <w:r>
              <w:rPr>
                <w:rFonts w:ascii="Arial" w:cs="Arial" w:eastAsia="Arial" w:hAnsi="Arial"/>
                <w:sz w:val="16"/>
                <w:szCs w:val="16"/>
                <w:color w:val="auto"/>
              </w:rPr>
              <w:t>Commitments and contingencies (Note 10)</w:t>
            </w:r>
          </w:p>
        </w:tc>
        <w:tc>
          <w:tcPr>
            <w:tcW w:w="224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33"/>
        </w:trPr>
        <w:tc>
          <w:tcPr>
            <w:tcW w:w="75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97"/>
        </w:trPr>
        <w:tc>
          <w:tcPr>
            <w:tcW w:w="7540" w:type="dxa"/>
            <w:vAlign w:val="bottom"/>
            <w:shd w:val="clear" w:color="auto" w:fill="CCEEFF"/>
          </w:tcPr>
          <w:p>
            <w:pPr>
              <w:spacing w:after="0"/>
              <w:rPr>
                <w:sz w:val="24"/>
                <w:szCs w:val="24"/>
                <w:color w:val="auto"/>
              </w:rPr>
            </w:pPr>
          </w:p>
        </w:tc>
        <w:tc>
          <w:tcPr>
            <w:tcW w:w="224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r>
      <w:tr>
        <w:trPr>
          <w:trHeight w:val="237"/>
        </w:trPr>
        <w:tc>
          <w:tcPr>
            <w:tcW w:w="7540" w:type="dxa"/>
            <w:vAlign w:val="bottom"/>
          </w:tcPr>
          <w:p>
            <w:pPr>
              <w:ind w:left="40"/>
              <w:spacing w:after="0"/>
              <w:rPr>
                <w:sz w:val="20"/>
                <w:szCs w:val="20"/>
                <w:color w:val="auto"/>
              </w:rPr>
            </w:pPr>
            <w:r>
              <w:rPr>
                <w:rFonts w:ascii="Arial" w:cs="Arial" w:eastAsia="Arial" w:hAnsi="Arial"/>
                <w:sz w:val="16"/>
                <w:szCs w:val="16"/>
                <w:color w:val="auto"/>
              </w:rPr>
              <w:t>Shareholders’ equity:</w:t>
            </w:r>
          </w:p>
        </w:tc>
        <w:tc>
          <w:tcPr>
            <w:tcW w:w="224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33"/>
        </w:trPr>
        <w:tc>
          <w:tcPr>
            <w:tcW w:w="75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w w:val="99"/>
              </w:rPr>
              <w:t>Common stock, no par value: 1,000 shares authorized; 167.0 and 170.0 shares issued and outstanding</w:t>
            </w:r>
          </w:p>
        </w:tc>
        <w:tc>
          <w:tcPr>
            <w:tcW w:w="224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2,816</w:t>
            </w: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2,707</w:t>
            </w:r>
          </w:p>
        </w:tc>
      </w:tr>
      <w:tr>
        <w:trPr>
          <w:trHeight w:val="237"/>
        </w:trPr>
        <w:tc>
          <w:tcPr>
            <w:tcW w:w="7540" w:type="dxa"/>
            <w:vAlign w:val="bottom"/>
          </w:tcPr>
          <w:p>
            <w:pPr>
              <w:ind w:left="280"/>
              <w:spacing w:after="0"/>
              <w:rPr>
                <w:sz w:val="20"/>
                <w:szCs w:val="20"/>
                <w:color w:val="auto"/>
              </w:rPr>
            </w:pPr>
            <w:r>
              <w:rPr>
                <w:rFonts w:ascii="Arial" w:cs="Arial" w:eastAsia="Arial" w:hAnsi="Arial"/>
                <w:sz w:val="16"/>
                <w:szCs w:val="16"/>
                <w:color w:val="auto"/>
              </w:rPr>
              <w:t>Accumulated deficit</w:t>
            </w:r>
          </w:p>
        </w:tc>
        <w:tc>
          <w:tcPr>
            <w:tcW w:w="2240" w:type="dxa"/>
            <w:vAlign w:val="bottom"/>
          </w:tcPr>
          <w:p>
            <w:pPr>
              <w:jc w:val="right"/>
              <w:ind w:right="259"/>
              <w:spacing w:after="0"/>
              <w:rPr>
                <w:sz w:val="20"/>
                <w:szCs w:val="20"/>
                <w:color w:val="auto"/>
              </w:rPr>
            </w:pPr>
            <w:r>
              <w:rPr>
                <w:rFonts w:ascii="Arial" w:cs="Arial" w:eastAsia="Arial" w:hAnsi="Arial"/>
                <w:sz w:val="16"/>
                <w:szCs w:val="16"/>
                <w:b w:val="1"/>
                <w:bCs w:val="1"/>
                <w:color w:val="auto"/>
              </w:rPr>
              <w:t>(1,810)</w:t>
            </w:r>
          </w:p>
        </w:tc>
        <w:tc>
          <w:tcPr>
            <w:tcW w:w="1640" w:type="dxa"/>
            <w:vAlign w:val="bottom"/>
          </w:tcPr>
          <w:p>
            <w:pPr>
              <w:jc w:val="right"/>
              <w:spacing w:after="0"/>
              <w:rPr>
                <w:sz w:val="20"/>
                <w:szCs w:val="20"/>
                <w:color w:val="auto"/>
              </w:rPr>
            </w:pPr>
            <w:r>
              <w:rPr>
                <w:rFonts w:ascii="Arial" w:cs="Arial" w:eastAsia="Arial" w:hAnsi="Arial"/>
                <w:sz w:val="16"/>
                <w:szCs w:val="16"/>
                <w:color w:val="auto"/>
              </w:rPr>
              <w:t>(1,794)</w:t>
            </w:r>
          </w:p>
        </w:tc>
      </w:tr>
      <w:tr>
        <w:trPr>
          <w:trHeight w:val="33"/>
        </w:trPr>
        <w:tc>
          <w:tcPr>
            <w:tcW w:w="75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5"/>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Accumulated other comprehensive loss</w:t>
            </w:r>
          </w:p>
        </w:tc>
        <w:tc>
          <w:tcPr>
            <w:tcW w:w="22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(29)</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r>
      <w:tr>
        <w:trPr>
          <w:trHeight w:val="231"/>
        </w:trPr>
        <w:tc>
          <w:tcPr>
            <w:tcW w:w="75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shareholders’ equity</w:t>
            </w:r>
          </w:p>
        </w:tc>
        <w:tc>
          <w:tcPr>
            <w:tcW w:w="224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977</w:t>
            </w:r>
          </w:p>
        </w:tc>
        <w:tc>
          <w:tcPr>
            <w:tcW w:w="1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870</w:t>
            </w:r>
          </w:p>
        </w:tc>
      </w:tr>
      <w:tr>
        <w:trPr>
          <w:trHeight w:val="33"/>
        </w:trPr>
        <w:tc>
          <w:tcPr>
            <w:tcW w:w="75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liabilities and shareholders’ equity</w:t>
            </w:r>
          </w:p>
        </w:tc>
        <w:tc>
          <w:tcPr>
            <w:tcW w:w="224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$8,115</w:t>
            </w: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$7,858</w:t>
            </w:r>
          </w:p>
        </w:tc>
      </w:tr>
      <w:tr>
        <w:trPr>
          <w:trHeight w:val="20"/>
        </w:trPr>
        <w:tc>
          <w:tcPr>
            <w:tcW w:w="7540" w:type="dxa"/>
            <w:vAlign w:val="bottom"/>
            <w:shd w:val="clear" w:color="auto" w:fill="000000"/>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Consolidated Financial Statements are an integral part of these financial statements.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126" w:right="239" w:bottom="1440" w:gutter="0" w:footer="0" w:header="0"/>
        </w:sectPr>
      </w:pPr>
    </w:p>
    <w:bookmarkStart w:id="38" w:name="page39"/>
    <w:bookmarkEnd w:id="38"/>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Statements of Shareholders’ Equity</w:t>
      </w:r>
    </w:p>
    <w:p>
      <w:pPr>
        <w:spacing w:after="0"/>
        <w:rPr>
          <w:sz w:val="20"/>
          <w:szCs w:val="20"/>
          <w:color w:val="auto"/>
        </w:rPr>
      </w:pPr>
      <w:r>
        <w:rPr>
          <w:rFonts w:ascii="Arial" w:cs="Arial" w:eastAsia="Arial" w:hAnsi="Arial"/>
          <w:sz w:val="18"/>
          <w:szCs w:val="18"/>
          <w:color w:val="auto"/>
        </w:rPr>
        <w:t>In millions except per share amounts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780" w:type="dxa"/>
            <w:vAlign w:val="bottom"/>
          </w:tcPr>
          <w:p>
            <w:pPr>
              <w:jc w:val="right"/>
              <w:ind w:right="319"/>
              <w:spacing w:after="0"/>
              <w:rPr>
                <w:sz w:val="20"/>
                <w:szCs w:val="20"/>
                <w:color w:val="auto"/>
              </w:rPr>
            </w:pPr>
            <w:r>
              <w:rPr>
                <w:rFonts w:ascii="Arial" w:cs="Arial" w:eastAsia="Arial" w:hAnsi="Arial"/>
                <w:sz w:val="16"/>
                <w:szCs w:val="16"/>
                <w:b w:val="1"/>
                <w:bCs w:val="1"/>
                <w:color w:val="auto"/>
              </w:rPr>
              <w:t>Retained</w:t>
            </w:r>
          </w:p>
        </w:tc>
        <w:tc>
          <w:tcPr>
            <w:tcW w:w="1820" w:type="dxa"/>
            <w:vAlign w:val="bottom"/>
          </w:tcPr>
          <w:p>
            <w:pPr>
              <w:jc w:val="right"/>
              <w:ind w:right="339"/>
              <w:spacing w:after="0"/>
              <w:rPr>
                <w:sz w:val="20"/>
                <w:szCs w:val="20"/>
                <w:color w:val="auto"/>
              </w:rPr>
            </w:pPr>
            <w:r>
              <w:rPr>
                <w:rFonts w:ascii="Arial" w:cs="Arial" w:eastAsia="Arial" w:hAnsi="Arial"/>
                <w:sz w:val="16"/>
                <w:szCs w:val="16"/>
                <w:b w:val="1"/>
                <w:bCs w:val="1"/>
                <w:color w:val="auto"/>
              </w:rPr>
              <w:t>Accumulated</w:t>
            </w:r>
          </w:p>
        </w:tc>
        <w:tc>
          <w:tcPr>
            <w:tcW w:w="920" w:type="dxa"/>
            <w:vAlign w:val="bottom"/>
          </w:tcPr>
          <w:p>
            <w:pPr>
              <w:spacing w:after="0"/>
              <w:rPr>
                <w:sz w:val="18"/>
                <w:szCs w:val="18"/>
                <w:color w:val="auto"/>
              </w:rPr>
            </w:pPr>
          </w:p>
        </w:tc>
      </w:tr>
      <w:tr>
        <w:trPr>
          <w:trHeight w:val="270"/>
        </w:trPr>
        <w:tc>
          <w:tcPr>
            <w:tcW w:w="48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780" w:type="dxa"/>
            <w:vAlign w:val="bottom"/>
          </w:tcPr>
          <w:p>
            <w:pPr>
              <w:jc w:val="right"/>
              <w:ind w:right="319"/>
              <w:spacing w:after="0"/>
              <w:rPr>
                <w:sz w:val="20"/>
                <w:szCs w:val="20"/>
                <w:color w:val="auto"/>
              </w:rPr>
            </w:pPr>
            <w:r>
              <w:rPr>
                <w:rFonts w:ascii="Arial" w:cs="Arial" w:eastAsia="Arial" w:hAnsi="Arial"/>
                <w:sz w:val="16"/>
                <w:szCs w:val="16"/>
                <w:b w:val="1"/>
                <w:bCs w:val="1"/>
                <w:color w:val="auto"/>
              </w:rPr>
              <w:t>Earnings</w:t>
            </w:r>
          </w:p>
        </w:tc>
        <w:tc>
          <w:tcPr>
            <w:tcW w:w="1820" w:type="dxa"/>
            <w:vAlign w:val="bottom"/>
          </w:tcPr>
          <w:p>
            <w:pPr>
              <w:jc w:val="right"/>
              <w:ind w:right="339"/>
              <w:spacing w:after="0"/>
              <w:rPr>
                <w:sz w:val="20"/>
                <w:szCs w:val="20"/>
                <w:color w:val="auto"/>
              </w:rPr>
            </w:pPr>
            <w:r>
              <w:rPr>
                <w:rFonts w:ascii="Arial" w:cs="Arial" w:eastAsia="Arial" w:hAnsi="Arial"/>
                <w:sz w:val="16"/>
                <w:szCs w:val="16"/>
                <w:b w:val="1"/>
                <w:bCs w:val="1"/>
                <w:color w:val="auto"/>
              </w:rPr>
              <w:t>Other</w:t>
            </w:r>
          </w:p>
        </w:tc>
        <w:tc>
          <w:tcPr>
            <w:tcW w:w="920" w:type="dxa"/>
            <w:vAlign w:val="bottom"/>
          </w:tcPr>
          <w:p>
            <w:pPr>
              <w:spacing w:after="0"/>
              <w:rPr>
                <w:sz w:val="23"/>
                <w:szCs w:val="23"/>
                <w:color w:val="auto"/>
              </w:rPr>
            </w:pPr>
          </w:p>
        </w:tc>
      </w:tr>
      <w:tr>
        <w:trPr>
          <w:trHeight w:val="270"/>
        </w:trPr>
        <w:tc>
          <w:tcPr>
            <w:tcW w:w="4820" w:type="dxa"/>
            <w:vAlign w:val="bottom"/>
          </w:tcPr>
          <w:p>
            <w:pPr>
              <w:spacing w:after="0"/>
              <w:rPr>
                <w:sz w:val="23"/>
                <w:szCs w:val="23"/>
                <w:color w:val="auto"/>
              </w:rPr>
            </w:pPr>
          </w:p>
        </w:tc>
        <w:tc>
          <w:tcPr>
            <w:tcW w:w="2080" w:type="dxa"/>
            <w:vAlign w:val="bottom"/>
            <w:gridSpan w:val="2"/>
          </w:tcPr>
          <w:p>
            <w:pPr>
              <w:jc w:val="right"/>
              <w:ind w:right="399"/>
              <w:spacing w:after="0"/>
              <w:rPr>
                <w:sz w:val="20"/>
                <w:szCs w:val="20"/>
                <w:color w:val="auto"/>
              </w:rPr>
            </w:pPr>
            <w:r>
              <w:rPr>
                <w:rFonts w:ascii="Arial" w:cs="Arial" w:eastAsia="Arial" w:hAnsi="Arial"/>
                <w:sz w:val="16"/>
                <w:szCs w:val="16"/>
                <w:b w:val="1"/>
                <w:bCs w:val="1"/>
                <w:color w:val="auto"/>
              </w:rPr>
              <w:t>Common Stock</w:t>
            </w:r>
          </w:p>
        </w:tc>
        <w:tc>
          <w:tcPr>
            <w:tcW w:w="1780" w:type="dxa"/>
            <w:vAlign w:val="bottom"/>
          </w:tcPr>
          <w:p>
            <w:pPr>
              <w:jc w:val="right"/>
              <w:ind w:right="319"/>
              <w:spacing w:after="0"/>
              <w:rPr>
                <w:sz w:val="20"/>
                <w:szCs w:val="20"/>
                <w:color w:val="auto"/>
              </w:rPr>
            </w:pPr>
            <w:r>
              <w:rPr>
                <w:rFonts w:ascii="Arial" w:cs="Arial" w:eastAsia="Arial" w:hAnsi="Arial"/>
                <w:sz w:val="16"/>
                <w:szCs w:val="16"/>
                <w:b w:val="1"/>
                <w:bCs w:val="1"/>
                <w:color w:val="auto"/>
              </w:rPr>
              <w:t>(Accumulated</w:t>
            </w:r>
          </w:p>
        </w:tc>
        <w:tc>
          <w:tcPr>
            <w:tcW w:w="1820" w:type="dxa"/>
            <w:vAlign w:val="bottom"/>
          </w:tcPr>
          <w:p>
            <w:pPr>
              <w:jc w:val="right"/>
              <w:ind w:right="339"/>
              <w:spacing w:after="0"/>
              <w:rPr>
                <w:sz w:val="20"/>
                <w:szCs w:val="20"/>
                <w:color w:val="auto"/>
              </w:rPr>
            </w:pPr>
            <w:r>
              <w:rPr>
                <w:rFonts w:ascii="Arial" w:cs="Arial" w:eastAsia="Arial" w:hAnsi="Arial"/>
                <w:sz w:val="16"/>
                <w:szCs w:val="16"/>
                <w:b w:val="1"/>
                <w:bCs w:val="1"/>
                <w:color w:val="auto"/>
              </w:rPr>
              <w:t>Comprehensive</w:t>
            </w:r>
          </w:p>
        </w:tc>
        <w:tc>
          <w:tcPr>
            <w:tcW w:w="920" w:type="dxa"/>
            <w:vAlign w:val="bottom"/>
          </w:tcPr>
          <w:p>
            <w:pPr>
              <w:spacing w:after="0"/>
              <w:rPr>
                <w:sz w:val="23"/>
                <w:szCs w:val="23"/>
                <w:color w:val="auto"/>
              </w:rPr>
            </w:pPr>
          </w:p>
        </w:tc>
      </w:tr>
      <w:tr>
        <w:trPr>
          <w:trHeight w:val="33"/>
        </w:trPr>
        <w:tc>
          <w:tcPr>
            <w:tcW w:w="48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1"/>
        </w:trPr>
        <w:tc>
          <w:tcPr>
            <w:tcW w:w="4820" w:type="dxa"/>
            <w:vAlign w:val="bottom"/>
          </w:tcPr>
          <w:p>
            <w:pPr>
              <w:spacing w:after="0"/>
              <w:rPr>
                <w:sz w:val="20"/>
                <w:szCs w:val="20"/>
                <w:color w:val="auto"/>
              </w:rPr>
            </w:pPr>
          </w:p>
        </w:tc>
        <w:tc>
          <w:tcPr>
            <w:tcW w:w="1060" w:type="dxa"/>
            <w:vAlign w:val="bottom"/>
          </w:tcPr>
          <w:p>
            <w:pPr>
              <w:jc w:val="right"/>
              <w:ind w:right="299"/>
              <w:spacing w:after="0"/>
              <w:rPr>
                <w:sz w:val="20"/>
                <w:szCs w:val="20"/>
                <w:color w:val="auto"/>
              </w:rPr>
            </w:pPr>
            <w:r>
              <w:rPr>
                <w:rFonts w:ascii="Arial" w:cs="Arial" w:eastAsia="Arial" w:hAnsi="Arial"/>
                <w:sz w:val="16"/>
                <w:szCs w:val="16"/>
                <w:b w:val="1"/>
                <w:bCs w:val="1"/>
                <w:color w:val="auto"/>
              </w:rPr>
              <w:t>Shares</w:t>
            </w: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rPr>
              <w:t>Amount</w:t>
            </w:r>
          </w:p>
        </w:tc>
        <w:tc>
          <w:tcPr>
            <w:tcW w:w="1780" w:type="dxa"/>
            <w:vAlign w:val="bottom"/>
          </w:tcPr>
          <w:p>
            <w:pPr>
              <w:jc w:val="right"/>
              <w:ind w:right="319"/>
              <w:spacing w:after="0"/>
              <w:rPr>
                <w:sz w:val="20"/>
                <w:szCs w:val="20"/>
                <w:color w:val="auto"/>
              </w:rPr>
            </w:pPr>
            <w:r>
              <w:rPr>
                <w:rFonts w:ascii="Arial" w:cs="Arial" w:eastAsia="Arial" w:hAnsi="Arial"/>
                <w:sz w:val="16"/>
                <w:szCs w:val="16"/>
                <w:b w:val="1"/>
                <w:bCs w:val="1"/>
                <w:color w:val="auto"/>
              </w:rPr>
              <w:t>Deficit)</w:t>
            </w:r>
          </w:p>
        </w:tc>
        <w:tc>
          <w:tcPr>
            <w:tcW w:w="1820" w:type="dxa"/>
            <w:vAlign w:val="bottom"/>
          </w:tcPr>
          <w:p>
            <w:pPr>
              <w:jc w:val="right"/>
              <w:ind w:right="339"/>
              <w:spacing w:after="0"/>
              <w:rPr>
                <w:sz w:val="20"/>
                <w:szCs w:val="20"/>
                <w:color w:val="auto"/>
              </w:rPr>
            </w:pPr>
            <w:r>
              <w:rPr>
                <w:rFonts w:ascii="Arial" w:cs="Arial" w:eastAsia="Arial" w:hAnsi="Arial"/>
                <w:sz w:val="16"/>
                <w:szCs w:val="16"/>
                <w:b w:val="1"/>
                <w:bCs w:val="1"/>
                <w:color w:val="auto"/>
              </w:rPr>
              <w:t>Loss</w:t>
            </w:r>
          </w:p>
        </w:tc>
        <w:tc>
          <w:tcPr>
            <w:tcW w:w="920" w:type="dxa"/>
            <w:vAlign w:val="bottom"/>
          </w:tcPr>
          <w:p>
            <w:pPr>
              <w:jc w:val="right"/>
              <w:ind w:right="19"/>
              <w:spacing w:after="0"/>
              <w:rPr>
                <w:sz w:val="20"/>
                <w:szCs w:val="20"/>
                <w:color w:val="auto"/>
              </w:rPr>
            </w:pPr>
            <w:r>
              <w:rPr>
                <w:rFonts w:ascii="Arial" w:cs="Arial" w:eastAsia="Arial" w:hAnsi="Arial"/>
                <w:sz w:val="16"/>
                <w:szCs w:val="16"/>
                <w:b w:val="1"/>
                <w:bCs w:val="1"/>
                <w:color w:val="auto"/>
              </w:rPr>
              <w:t>Total</w:t>
            </w:r>
          </w:p>
        </w:tc>
      </w:tr>
      <w:tr>
        <w:trPr>
          <w:trHeight w:val="33"/>
        </w:trPr>
        <w:tc>
          <w:tcPr>
            <w:tcW w:w="48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January 31, 2015</w:t>
            </w:r>
          </w:p>
        </w:tc>
        <w:tc>
          <w:tcPr>
            <w:tcW w:w="106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190.1</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$2,338</w:t>
            </w:r>
          </w:p>
        </w:tc>
        <w:tc>
          <w:tcPr>
            <w:tcW w:w="178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$166</w:t>
            </w:r>
          </w:p>
        </w:tc>
        <w:tc>
          <w:tcPr>
            <w:tcW w:w="182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($64)</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$2,440</w:t>
            </w:r>
          </w:p>
        </w:tc>
      </w:tr>
      <w:tr>
        <w:trPr>
          <w:trHeight w:val="237"/>
        </w:trPr>
        <w:tc>
          <w:tcPr>
            <w:tcW w:w="4820" w:type="dxa"/>
            <w:vAlign w:val="bottom"/>
          </w:tcPr>
          <w:p>
            <w:pPr>
              <w:ind w:left="40"/>
              <w:spacing w:after="0"/>
              <w:rPr>
                <w:sz w:val="20"/>
                <w:szCs w:val="20"/>
                <w:color w:val="auto"/>
              </w:rPr>
            </w:pPr>
            <w:r>
              <w:rPr>
                <w:rFonts w:ascii="Arial" w:cs="Arial" w:eastAsia="Arial" w:hAnsi="Arial"/>
                <w:sz w:val="16"/>
                <w:szCs w:val="16"/>
                <w:color w:val="auto"/>
              </w:rPr>
              <w:t>Net earnings</w:t>
            </w:r>
          </w:p>
        </w:tc>
        <w:tc>
          <w:tcPr>
            <w:tcW w:w="106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780" w:type="dxa"/>
            <w:vAlign w:val="bottom"/>
          </w:tcPr>
          <w:p>
            <w:pPr>
              <w:jc w:val="right"/>
              <w:ind w:right="319"/>
              <w:spacing w:after="0"/>
              <w:rPr>
                <w:sz w:val="20"/>
                <w:szCs w:val="20"/>
                <w:color w:val="auto"/>
              </w:rPr>
            </w:pPr>
            <w:r>
              <w:rPr>
                <w:rFonts w:ascii="Arial" w:cs="Arial" w:eastAsia="Arial" w:hAnsi="Arial"/>
                <w:sz w:val="16"/>
                <w:szCs w:val="16"/>
                <w:color w:val="auto"/>
              </w:rPr>
              <w:t>600</w:t>
            </w:r>
          </w:p>
        </w:tc>
        <w:tc>
          <w:tcPr>
            <w:tcW w:w="182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600</w:t>
            </w:r>
          </w:p>
        </w:tc>
      </w:tr>
      <w:tr>
        <w:trPr>
          <w:trHeight w:val="33"/>
        </w:trPr>
        <w:tc>
          <w:tcPr>
            <w:tcW w:w="4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earnings</w:t>
            </w:r>
          </w:p>
        </w:tc>
        <w:tc>
          <w:tcPr>
            <w:tcW w:w="106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6</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r>
      <w:tr>
        <w:trPr>
          <w:trHeight w:val="237"/>
        </w:trPr>
        <w:tc>
          <w:tcPr>
            <w:tcW w:w="4820" w:type="dxa"/>
            <w:vAlign w:val="bottom"/>
          </w:tcPr>
          <w:p>
            <w:pPr>
              <w:ind w:left="40"/>
              <w:spacing w:after="0"/>
              <w:rPr>
                <w:sz w:val="20"/>
                <w:szCs w:val="20"/>
                <w:color w:val="auto"/>
              </w:rPr>
            </w:pPr>
            <w:r>
              <w:rPr>
                <w:rFonts w:ascii="Arial" w:cs="Arial" w:eastAsia="Arial" w:hAnsi="Arial"/>
                <w:sz w:val="16"/>
                <w:szCs w:val="16"/>
                <w:color w:val="auto"/>
              </w:rPr>
              <w:t>Dividends ($1.48 per share)</w:t>
            </w:r>
          </w:p>
        </w:tc>
        <w:tc>
          <w:tcPr>
            <w:tcW w:w="106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780" w:type="dxa"/>
            <w:vAlign w:val="bottom"/>
          </w:tcPr>
          <w:p>
            <w:pPr>
              <w:jc w:val="right"/>
              <w:ind w:right="259"/>
              <w:spacing w:after="0"/>
              <w:rPr>
                <w:sz w:val="20"/>
                <w:szCs w:val="20"/>
                <w:color w:val="auto"/>
              </w:rPr>
            </w:pPr>
            <w:r>
              <w:rPr>
                <w:rFonts w:ascii="Arial" w:cs="Arial" w:eastAsia="Arial" w:hAnsi="Arial"/>
                <w:sz w:val="16"/>
                <w:szCs w:val="16"/>
                <w:color w:val="auto"/>
              </w:rPr>
              <w:t>(280)</w:t>
            </w:r>
          </w:p>
        </w:tc>
        <w:tc>
          <w:tcPr>
            <w:tcW w:w="182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(280)</w:t>
            </w:r>
          </w:p>
        </w:tc>
      </w:tr>
      <w:tr>
        <w:trPr>
          <w:trHeight w:val="33"/>
        </w:trPr>
        <w:tc>
          <w:tcPr>
            <w:tcW w:w="4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0"/>
        </w:trPr>
        <w:tc>
          <w:tcPr>
            <w:tcW w:w="4820" w:type="dxa"/>
            <w:vAlign w:val="bottom"/>
            <w:shd w:val="clear" w:color="auto" w:fill="CCEEFF"/>
          </w:tcPr>
          <w:p>
            <w:pPr>
              <w:ind w:left="40"/>
              <w:spacing w:after="0"/>
              <w:rPr>
                <w:sz w:val="20"/>
                <w:szCs w:val="20"/>
                <w:color w:val="auto"/>
              </w:rPr>
            </w:pPr>
            <w:r>
              <w:rPr>
                <w:rFonts w:ascii="Arial" w:cs="Arial" w:eastAsia="Arial" w:hAnsi="Arial"/>
                <w:sz w:val="16"/>
                <w:szCs w:val="16"/>
                <w:color w:val="auto"/>
                <w:w w:val="99"/>
              </w:rPr>
              <w:t>Special dividend related to the sale of credit card receivables ($4.85</w:t>
            </w:r>
          </w:p>
        </w:tc>
        <w:tc>
          <w:tcPr>
            <w:tcW w:w="10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9"/>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per share)</w:t>
            </w:r>
          </w:p>
        </w:tc>
        <w:tc>
          <w:tcPr>
            <w:tcW w:w="106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(905)</w:t>
            </w:r>
          </w:p>
        </w:tc>
        <w:tc>
          <w:tcPr>
            <w:tcW w:w="18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(905)</w:t>
            </w:r>
          </w:p>
        </w:tc>
      </w:tr>
      <w:tr>
        <w:trPr>
          <w:trHeight w:val="237"/>
        </w:trPr>
        <w:tc>
          <w:tcPr>
            <w:tcW w:w="4820" w:type="dxa"/>
            <w:vAlign w:val="bottom"/>
          </w:tcPr>
          <w:p>
            <w:pPr>
              <w:ind w:left="40"/>
              <w:spacing w:after="0"/>
              <w:rPr>
                <w:sz w:val="20"/>
                <w:szCs w:val="20"/>
                <w:color w:val="auto"/>
              </w:rPr>
            </w:pPr>
            <w:r>
              <w:rPr>
                <w:rFonts w:ascii="Arial" w:cs="Arial" w:eastAsia="Arial" w:hAnsi="Arial"/>
                <w:sz w:val="16"/>
                <w:szCs w:val="16"/>
                <w:color w:val="auto"/>
              </w:rPr>
              <w:t>Issuance of common stock for Trunk Club acquisition</w:t>
            </w:r>
          </w:p>
        </w:tc>
        <w:tc>
          <w:tcPr>
            <w:tcW w:w="1060" w:type="dxa"/>
            <w:vAlign w:val="bottom"/>
          </w:tcPr>
          <w:p>
            <w:pPr>
              <w:jc w:val="right"/>
              <w:ind w:right="299"/>
              <w:spacing w:after="0"/>
              <w:rPr>
                <w:sz w:val="20"/>
                <w:szCs w:val="20"/>
                <w:color w:val="auto"/>
              </w:rPr>
            </w:pPr>
            <w:r>
              <w:rPr>
                <w:rFonts w:ascii="Arial" w:cs="Arial" w:eastAsia="Arial" w:hAnsi="Arial"/>
                <w:sz w:val="16"/>
                <w:szCs w:val="16"/>
                <w:color w:val="auto"/>
              </w:rPr>
              <w:t>0.3</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23</w:t>
            </w:r>
          </w:p>
        </w:tc>
        <w:tc>
          <w:tcPr>
            <w:tcW w:w="178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82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23</w:t>
            </w:r>
          </w:p>
        </w:tc>
      </w:tr>
      <w:tr>
        <w:trPr>
          <w:trHeight w:val="33"/>
        </w:trPr>
        <w:tc>
          <w:tcPr>
            <w:tcW w:w="4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Issuance of common stock under stock compensation plans</w:t>
            </w:r>
          </w:p>
        </w:tc>
        <w:tc>
          <w:tcPr>
            <w:tcW w:w="106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2.0</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108</w:t>
            </w:r>
          </w:p>
        </w:tc>
        <w:tc>
          <w:tcPr>
            <w:tcW w:w="178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w:t>
            </w:r>
          </w:p>
        </w:tc>
      </w:tr>
      <w:tr>
        <w:trPr>
          <w:trHeight w:val="237"/>
        </w:trPr>
        <w:tc>
          <w:tcPr>
            <w:tcW w:w="4820" w:type="dxa"/>
            <w:vAlign w:val="bottom"/>
          </w:tcPr>
          <w:p>
            <w:pPr>
              <w:ind w:left="40"/>
              <w:spacing w:after="0"/>
              <w:rPr>
                <w:sz w:val="20"/>
                <w:szCs w:val="20"/>
                <w:color w:val="auto"/>
              </w:rPr>
            </w:pPr>
            <w:r>
              <w:rPr>
                <w:rFonts w:ascii="Arial" w:cs="Arial" w:eastAsia="Arial" w:hAnsi="Arial"/>
                <w:sz w:val="16"/>
                <w:szCs w:val="16"/>
                <w:color w:val="auto"/>
              </w:rPr>
              <w:t>Stock-based compensation</w:t>
            </w:r>
          </w:p>
        </w:tc>
        <w:tc>
          <w:tcPr>
            <w:tcW w:w="1060" w:type="dxa"/>
            <w:vAlign w:val="bottom"/>
          </w:tcPr>
          <w:p>
            <w:pPr>
              <w:jc w:val="right"/>
              <w:ind w:right="299"/>
              <w:spacing w:after="0"/>
              <w:rPr>
                <w:sz w:val="20"/>
                <w:szCs w:val="20"/>
                <w:color w:val="auto"/>
              </w:rPr>
            </w:pPr>
            <w:r>
              <w:rPr>
                <w:rFonts w:ascii="Arial" w:cs="Arial" w:eastAsia="Arial" w:hAnsi="Arial"/>
                <w:sz w:val="16"/>
                <w:szCs w:val="16"/>
                <w:color w:val="auto"/>
              </w:rPr>
              <w:t>0.2</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70</w:t>
            </w:r>
          </w:p>
        </w:tc>
        <w:tc>
          <w:tcPr>
            <w:tcW w:w="178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82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70</w:t>
            </w:r>
          </w:p>
        </w:tc>
      </w:tr>
      <w:tr>
        <w:trPr>
          <w:trHeight w:val="33"/>
        </w:trPr>
        <w:tc>
          <w:tcPr>
            <w:tcW w:w="4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Repurchase of common stock</w:t>
            </w:r>
          </w:p>
        </w:tc>
        <w:tc>
          <w:tcPr>
            <w:tcW w:w="106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(19.1)</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(1,191)</w:t>
            </w:r>
          </w:p>
        </w:tc>
        <w:tc>
          <w:tcPr>
            <w:tcW w:w="18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(1,191)</w:t>
            </w:r>
          </w:p>
        </w:tc>
      </w:tr>
      <w:tr>
        <w:trPr>
          <w:trHeight w:val="231"/>
        </w:trPr>
        <w:tc>
          <w:tcPr>
            <w:tcW w:w="48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Balance at January 30, 2016</w:t>
            </w:r>
          </w:p>
        </w:tc>
        <w:tc>
          <w:tcPr>
            <w:tcW w:w="106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color w:val="auto"/>
              </w:rPr>
              <w:t>173.5</w:t>
            </w: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2,539</w:t>
            </w:r>
          </w:p>
        </w:tc>
        <w:tc>
          <w:tcPr>
            <w:tcW w:w="178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rPr>
              <w:t>(1,610)</w:t>
            </w:r>
          </w:p>
        </w:tc>
        <w:tc>
          <w:tcPr>
            <w:tcW w:w="182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rPr>
              <w:t>(58)</w:t>
            </w: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871</w:t>
            </w:r>
          </w:p>
        </w:tc>
      </w:tr>
      <w:tr>
        <w:trPr>
          <w:trHeight w:val="33"/>
        </w:trPr>
        <w:tc>
          <w:tcPr>
            <w:tcW w:w="4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w:t>
            </w:r>
          </w:p>
        </w:tc>
        <w:tc>
          <w:tcPr>
            <w:tcW w:w="106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354</w:t>
            </w:r>
          </w:p>
        </w:tc>
        <w:tc>
          <w:tcPr>
            <w:tcW w:w="18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354</w:t>
            </w:r>
          </w:p>
        </w:tc>
      </w:tr>
      <w:tr>
        <w:trPr>
          <w:trHeight w:val="237"/>
        </w:trPr>
        <w:tc>
          <w:tcPr>
            <w:tcW w:w="4820" w:type="dxa"/>
            <w:vAlign w:val="bottom"/>
          </w:tcPr>
          <w:p>
            <w:pPr>
              <w:ind w:left="40"/>
              <w:spacing w:after="0"/>
              <w:rPr>
                <w:sz w:val="20"/>
                <w:szCs w:val="20"/>
                <w:color w:val="auto"/>
              </w:rPr>
            </w:pPr>
            <w:r>
              <w:rPr>
                <w:rFonts w:ascii="Arial" w:cs="Arial" w:eastAsia="Arial" w:hAnsi="Arial"/>
                <w:sz w:val="16"/>
                <w:szCs w:val="16"/>
                <w:color w:val="auto"/>
              </w:rPr>
              <w:t>Other comprehensive earnings</w:t>
            </w:r>
          </w:p>
        </w:tc>
        <w:tc>
          <w:tcPr>
            <w:tcW w:w="106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78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820" w:type="dxa"/>
            <w:vAlign w:val="bottom"/>
          </w:tcPr>
          <w:p>
            <w:pPr>
              <w:jc w:val="right"/>
              <w:ind w:right="339"/>
              <w:spacing w:after="0"/>
              <w:rPr>
                <w:sz w:val="20"/>
                <w:szCs w:val="20"/>
                <w:color w:val="auto"/>
              </w:rPr>
            </w:pPr>
            <w:r>
              <w:rPr>
                <w:rFonts w:ascii="Arial" w:cs="Arial" w:eastAsia="Arial" w:hAnsi="Arial"/>
                <w:sz w:val="16"/>
                <w:szCs w:val="16"/>
                <w:color w:val="auto"/>
              </w:rPr>
              <w:t>15</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15</w:t>
            </w:r>
          </w:p>
        </w:tc>
      </w:tr>
      <w:tr>
        <w:trPr>
          <w:trHeight w:val="33"/>
        </w:trPr>
        <w:tc>
          <w:tcPr>
            <w:tcW w:w="4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Dividends ($1.48 per share)</w:t>
            </w:r>
          </w:p>
        </w:tc>
        <w:tc>
          <w:tcPr>
            <w:tcW w:w="106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(256)</w:t>
            </w:r>
          </w:p>
        </w:tc>
        <w:tc>
          <w:tcPr>
            <w:tcW w:w="18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(256)</w:t>
            </w:r>
          </w:p>
        </w:tc>
      </w:tr>
      <w:tr>
        <w:trPr>
          <w:trHeight w:val="237"/>
        </w:trPr>
        <w:tc>
          <w:tcPr>
            <w:tcW w:w="4820" w:type="dxa"/>
            <w:vAlign w:val="bottom"/>
          </w:tcPr>
          <w:p>
            <w:pPr>
              <w:ind w:left="40"/>
              <w:spacing w:after="0"/>
              <w:rPr>
                <w:sz w:val="20"/>
                <w:szCs w:val="20"/>
                <w:color w:val="auto"/>
              </w:rPr>
            </w:pPr>
            <w:r>
              <w:rPr>
                <w:rFonts w:ascii="Arial" w:cs="Arial" w:eastAsia="Arial" w:hAnsi="Arial"/>
                <w:sz w:val="16"/>
                <w:szCs w:val="16"/>
                <w:color w:val="auto"/>
              </w:rPr>
              <w:t>Issuance of common stock under stock compensation plans</w:t>
            </w:r>
          </w:p>
        </w:tc>
        <w:tc>
          <w:tcPr>
            <w:tcW w:w="1060" w:type="dxa"/>
            <w:vAlign w:val="bottom"/>
          </w:tcPr>
          <w:p>
            <w:pPr>
              <w:jc w:val="right"/>
              <w:ind w:right="299"/>
              <w:spacing w:after="0"/>
              <w:rPr>
                <w:sz w:val="20"/>
                <w:szCs w:val="20"/>
                <w:color w:val="auto"/>
              </w:rPr>
            </w:pPr>
            <w:r>
              <w:rPr>
                <w:rFonts w:ascii="Arial" w:cs="Arial" w:eastAsia="Arial" w:hAnsi="Arial"/>
                <w:sz w:val="16"/>
                <w:szCs w:val="16"/>
                <w:color w:val="auto"/>
              </w:rPr>
              <w:t>2.1</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83</w:t>
            </w:r>
          </w:p>
        </w:tc>
        <w:tc>
          <w:tcPr>
            <w:tcW w:w="178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82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83</w:t>
            </w:r>
          </w:p>
        </w:tc>
      </w:tr>
      <w:tr>
        <w:trPr>
          <w:trHeight w:val="33"/>
        </w:trPr>
        <w:tc>
          <w:tcPr>
            <w:tcW w:w="4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Stock-based compensation</w:t>
            </w:r>
          </w:p>
        </w:tc>
        <w:tc>
          <w:tcPr>
            <w:tcW w:w="106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0.3</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w:t>
            </w:r>
          </w:p>
        </w:tc>
        <w:tc>
          <w:tcPr>
            <w:tcW w:w="178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w:t>
            </w:r>
          </w:p>
        </w:tc>
      </w:tr>
      <w:tr>
        <w:trPr>
          <w:trHeight w:val="237"/>
        </w:trPr>
        <w:tc>
          <w:tcPr>
            <w:tcW w:w="4820" w:type="dxa"/>
            <w:vAlign w:val="bottom"/>
          </w:tcPr>
          <w:p>
            <w:pPr>
              <w:ind w:left="40"/>
              <w:spacing w:after="0"/>
              <w:rPr>
                <w:sz w:val="20"/>
                <w:szCs w:val="20"/>
                <w:color w:val="auto"/>
              </w:rPr>
            </w:pPr>
            <w:r>
              <w:rPr>
                <w:rFonts w:ascii="Arial" w:cs="Arial" w:eastAsia="Arial" w:hAnsi="Arial"/>
                <w:sz w:val="16"/>
                <w:szCs w:val="16"/>
                <w:color w:val="auto"/>
              </w:rPr>
              <w:t>Repurchase of common stock</w:t>
            </w:r>
          </w:p>
        </w:tc>
        <w:tc>
          <w:tcPr>
            <w:tcW w:w="1060" w:type="dxa"/>
            <w:vAlign w:val="bottom"/>
          </w:tcPr>
          <w:p>
            <w:pPr>
              <w:jc w:val="right"/>
              <w:ind w:right="239"/>
              <w:spacing w:after="0"/>
              <w:rPr>
                <w:sz w:val="20"/>
                <w:szCs w:val="20"/>
                <w:color w:val="auto"/>
              </w:rPr>
            </w:pPr>
            <w:r>
              <w:rPr>
                <w:rFonts w:ascii="Arial" w:cs="Arial" w:eastAsia="Arial" w:hAnsi="Arial"/>
                <w:sz w:val="16"/>
                <w:szCs w:val="16"/>
                <w:color w:val="auto"/>
              </w:rPr>
              <w:t>(5.9)</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780" w:type="dxa"/>
            <w:vAlign w:val="bottom"/>
          </w:tcPr>
          <w:p>
            <w:pPr>
              <w:jc w:val="right"/>
              <w:ind w:right="259"/>
              <w:spacing w:after="0"/>
              <w:rPr>
                <w:sz w:val="20"/>
                <w:szCs w:val="20"/>
                <w:color w:val="auto"/>
              </w:rPr>
            </w:pPr>
            <w:r>
              <w:rPr>
                <w:rFonts w:ascii="Arial" w:cs="Arial" w:eastAsia="Arial" w:hAnsi="Arial"/>
                <w:sz w:val="16"/>
                <w:szCs w:val="16"/>
                <w:color w:val="auto"/>
              </w:rPr>
              <w:t>(282)</w:t>
            </w:r>
          </w:p>
        </w:tc>
        <w:tc>
          <w:tcPr>
            <w:tcW w:w="182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(282)</w:t>
            </w:r>
          </w:p>
        </w:tc>
      </w:tr>
      <w:tr>
        <w:trPr>
          <w:trHeight w:val="33"/>
        </w:trPr>
        <w:tc>
          <w:tcPr>
            <w:tcW w:w="48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January 28, 2017</w:t>
            </w:r>
          </w:p>
        </w:tc>
        <w:tc>
          <w:tcPr>
            <w:tcW w:w="106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170.0</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2,707</w:t>
            </w:r>
          </w:p>
        </w:tc>
        <w:tc>
          <w:tcPr>
            <w:tcW w:w="178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(1,794)</w:t>
            </w:r>
          </w:p>
        </w:tc>
        <w:tc>
          <w:tcPr>
            <w:tcW w:w="182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(43)</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870</w:t>
            </w:r>
          </w:p>
        </w:tc>
      </w:tr>
      <w:tr>
        <w:trPr>
          <w:trHeight w:val="237"/>
        </w:trPr>
        <w:tc>
          <w:tcPr>
            <w:tcW w:w="4820" w:type="dxa"/>
            <w:vAlign w:val="bottom"/>
          </w:tcPr>
          <w:p>
            <w:pPr>
              <w:ind w:left="40"/>
              <w:spacing w:after="0"/>
              <w:rPr>
                <w:sz w:val="20"/>
                <w:szCs w:val="20"/>
                <w:color w:val="auto"/>
              </w:rPr>
            </w:pPr>
            <w:r>
              <w:rPr>
                <w:rFonts w:ascii="Arial" w:cs="Arial" w:eastAsia="Arial" w:hAnsi="Arial"/>
                <w:sz w:val="16"/>
                <w:szCs w:val="16"/>
                <w:color w:val="auto"/>
              </w:rPr>
              <w:t>Net earnings</w:t>
            </w:r>
          </w:p>
        </w:tc>
        <w:tc>
          <w:tcPr>
            <w:tcW w:w="106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780" w:type="dxa"/>
            <w:vAlign w:val="bottom"/>
          </w:tcPr>
          <w:p>
            <w:pPr>
              <w:jc w:val="right"/>
              <w:ind w:right="319"/>
              <w:spacing w:after="0"/>
              <w:rPr>
                <w:sz w:val="20"/>
                <w:szCs w:val="20"/>
                <w:color w:val="auto"/>
              </w:rPr>
            </w:pPr>
            <w:r>
              <w:rPr>
                <w:rFonts w:ascii="Arial" w:cs="Arial" w:eastAsia="Arial" w:hAnsi="Arial"/>
                <w:sz w:val="16"/>
                <w:szCs w:val="16"/>
                <w:color w:val="auto"/>
              </w:rPr>
              <w:t>437</w:t>
            </w:r>
          </w:p>
        </w:tc>
        <w:tc>
          <w:tcPr>
            <w:tcW w:w="182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437</w:t>
            </w:r>
          </w:p>
        </w:tc>
      </w:tr>
      <w:tr>
        <w:trPr>
          <w:trHeight w:val="33"/>
        </w:trPr>
        <w:tc>
          <w:tcPr>
            <w:tcW w:w="4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earnings</w:t>
            </w:r>
          </w:p>
        </w:tc>
        <w:tc>
          <w:tcPr>
            <w:tcW w:w="106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14</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r>
      <w:tr>
        <w:trPr>
          <w:trHeight w:val="237"/>
        </w:trPr>
        <w:tc>
          <w:tcPr>
            <w:tcW w:w="4820" w:type="dxa"/>
            <w:vAlign w:val="bottom"/>
          </w:tcPr>
          <w:p>
            <w:pPr>
              <w:ind w:left="40"/>
              <w:spacing w:after="0"/>
              <w:rPr>
                <w:sz w:val="20"/>
                <w:szCs w:val="20"/>
                <w:color w:val="auto"/>
              </w:rPr>
            </w:pPr>
            <w:r>
              <w:rPr>
                <w:rFonts w:ascii="Arial" w:cs="Arial" w:eastAsia="Arial" w:hAnsi="Arial"/>
                <w:sz w:val="16"/>
                <w:szCs w:val="16"/>
                <w:color w:val="auto"/>
              </w:rPr>
              <w:t>Dividends ($1.48 per share)</w:t>
            </w:r>
          </w:p>
        </w:tc>
        <w:tc>
          <w:tcPr>
            <w:tcW w:w="106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780" w:type="dxa"/>
            <w:vAlign w:val="bottom"/>
          </w:tcPr>
          <w:p>
            <w:pPr>
              <w:jc w:val="right"/>
              <w:ind w:right="259"/>
              <w:spacing w:after="0"/>
              <w:rPr>
                <w:sz w:val="20"/>
                <w:szCs w:val="20"/>
                <w:color w:val="auto"/>
              </w:rPr>
            </w:pPr>
            <w:r>
              <w:rPr>
                <w:rFonts w:ascii="Arial" w:cs="Arial" w:eastAsia="Arial" w:hAnsi="Arial"/>
                <w:sz w:val="16"/>
                <w:szCs w:val="16"/>
                <w:color w:val="auto"/>
              </w:rPr>
              <w:t>(247)</w:t>
            </w:r>
          </w:p>
        </w:tc>
        <w:tc>
          <w:tcPr>
            <w:tcW w:w="182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(247)</w:t>
            </w:r>
          </w:p>
        </w:tc>
      </w:tr>
      <w:tr>
        <w:trPr>
          <w:trHeight w:val="33"/>
        </w:trPr>
        <w:tc>
          <w:tcPr>
            <w:tcW w:w="4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Issuance of common stock under stock compensation plans</w:t>
            </w:r>
          </w:p>
        </w:tc>
        <w:tc>
          <w:tcPr>
            <w:tcW w:w="106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1.1</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w:t>
            </w:r>
          </w:p>
        </w:tc>
        <w:tc>
          <w:tcPr>
            <w:tcW w:w="178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w:t>
            </w:r>
          </w:p>
        </w:tc>
      </w:tr>
      <w:tr>
        <w:trPr>
          <w:trHeight w:val="237"/>
        </w:trPr>
        <w:tc>
          <w:tcPr>
            <w:tcW w:w="4820" w:type="dxa"/>
            <w:vAlign w:val="bottom"/>
          </w:tcPr>
          <w:p>
            <w:pPr>
              <w:ind w:left="40"/>
              <w:spacing w:after="0"/>
              <w:rPr>
                <w:sz w:val="20"/>
                <w:szCs w:val="20"/>
                <w:color w:val="auto"/>
              </w:rPr>
            </w:pPr>
            <w:r>
              <w:rPr>
                <w:rFonts w:ascii="Arial" w:cs="Arial" w:eastAsia="Arial" w:hAnsi="Arial"/>
                <w:sz w:val="16"/>
                <w:szCs w:val="16"/>
                <w:color w:val="auto"/>
              </w:rPr>
              <w:t>Stock-based compensation</w:t>
            </w:r>
          </w:p>
        </w:tc>
        <w:tc>
          <w:tcPr>
            <w:tcW w:w="1060" w:type="dxa"/>
            <w:vAlign w:val="bottom"/>
          </w:tcPr>
          <w:p>
            <w:pPr>
              <w:jc w:val="right"/>
              <w:ind w:right="299"/>
              <w:spacing w:after="0"/>
              <w:rPr>
                <w:sz w:val="20"/>
                <w:szCs w:val="20"/>
                <w:color w:val="auto"/>
              </w:rPr>
            </w:pPr>
            <w:r>
              <w:rPr>
                <w:rFonts w:ascii="Arial" w:cs="Arial" w:eastAsia="Arial" w:hAnsi="Arial"/>
                <w:sz w:val="16"/>
                <w:szCs w:val="16"/>
                <w:color w:val="auto"/>
              </w:rPr>
              <w:t>0.5</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70</w:t>
            </w:r>
          </w:p>
        </w:tc>
        <w:tc>
          <w:tcPr>
            <w:tcW w:w="178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82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70</w:t>
            </w:r>
          </w:p>
        </w:tc>
      </w:tr>
      <w:tr>
        <w:trPr>
          <w:trHeight w:val="33"/>
        </w:trPr>
        <w:tc>
          <w:tcPr>
            <w:tcW w:w="4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Repurchase of common stock</w:t>
            </w:r>
          </w:p>
        </w:tc>
        <w:tc>
          <w:tcPr>
            <w:tcW w:w="106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(4.6)</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(206)</w:t>
            </w:r>
          </w:p>
        </w:tc>
        <w:tc>
          <w:tcPr>
            <w:tcW w:w="18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(206)</w:t>
            </w:r>
          </w:p>
        </w:tc>
      </w:tr>
      <w:tr>
        <w:trPr>
          <w:trHeight w:val="231"/>
        </w:trPr>
        <w:tc>
          <w:tcPr>
            <w:tcW w:w="48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Balance at February 3, 2018</w:t>
            </w:r>
          </w:p>
        </w:tc>
        <w:tc>
          <w:tcPr>
            <w:tcW w:w="106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167.0</w:t>
            </w: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$2,816</w:t>
            </w:r>
          </w:p>
        </w:tc>
        <w:tc>
          <w:tcPr>
            <w:tcW w:w="178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($1,810)</w:t>
            </w:r>
          </w:p>
        </w:tc>
        <w:tc>
          <w:tcPr>
            <w:tcW w:w="182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($29)</w:t>
            </w: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$977</w:t>
            </w:r>
          </w:p>
        </w:tc>
      </w:tr>
      <w:tr>
        <w:trPr>
          <w:trHeight w:val="33"/>
        </w:trPr>
        <w:tc>
          <w:tcPr>
            <w:tcW w:w="48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Consolidated Financial Statements are an integral part of these financial statements.</w:t>
      </w: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39</w:t>
      </w:r>
    </w:p>
    <w:p>
      <w:pPr>
        <w:sectPr>
          <w:pgSz w:w="11900" w:h="16838" w:orient="portrait"/>
          <w:cols w:equalWidth="0" w:num="1">
            <w:col w:w="11420"/>
          </w:cols>
          <w:pgMar w:left="240" w:top="126" w:right="239" w:bottom="1440" w:gutter="0" w:footer="0" w:header="0"/>
        </w:sectPr>
      </w:pPr>
    </w:p>
    <w:bookmarkStart w:id="39" w:name="page40"/>
    <w:bookmarkEnd w:id="39"/>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Statements of Cash Flows</w:t>
      </w:r>
    </w:p>
    <w:p>
      <w:pPr>
        <w:spacing w:after="0"/>
        <w:rPr>
          <w:sz w:val="20"/>
          <w:szCs w:val="20"/>
          <w:color w:val="auto"/>
        </w:rPr>
      </w:pPr>
      <w:r>
        <w:rPr>
          <w:rFonts w:ascii="Arial" w:cs="Arial" w:eastAsia="Arial" w:hAnsi="Arial"/>
          <w:sz w:val="18"/>
          <w:szCs w:val="18"/>
          <w:color w:val="auto"/>
        </w:rPr>
        <w:t>In millions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Fiscal year</w:t>
            </w:r>
          </w:p>
        </w:tc>
        <w:tc>
          <w:tcPr>
            <w:tcW w:w="2120" w:type="dxa"/>
            <w:vAlign w:val="bottom"/>
          </w:tcPr>
          <w:p>
            <w:pPr>
              <w:jc w:val="right"/>
              <w:ind w:right="659"/>
              <w:spacing w:after="0"/>
              <w:rPr>
                <w:sz w:val="20"/>
                <w:szCs w:val="20"/>
                <w:color w:val="auto"/>
              </w:rPr>
            </w:pPr>
            <w:r>
              <w:rPr>
                <w:rFonts w:ascii="Arial" w:cs="Arial" w:eastAsia="Arial" w:hAnsi="Arial"/>
                <w:sz w:val="16"/>
                <w:szCs w:val="16"/>
                <w:b w:val="1"/>
                <w:bCs w:val="1"/>
                <w:color w:val="auto"/>
              </w:rPr>
              <w:t>2017</w:t>
            </w:r>
          </w:p>
        </w:tc>
        <w:tc>
          <w:tcPr>
            <w:tcW w:w="1840" w:type="dxa"/>
            <w:vAlign w:val="bottom"/>
          </w:tcPr>
          <w:p>
            <w:pPr>
              <w:jc w:val="right"/>
              <w:ind w:right="639"/>
              <w:spacing w:after="0"/>
              <w:rPr>
                <w:sz w:val="20"/>
                <w:szCs w:val="20"/>
                <w:color w:val="auto"/>
              </w:rPr>
            </w:pPr>
            <w:r>
              <w:rPr>
                <w:rFonts w:ascii="Arial" w:cs="Arial" w:eastAsia="Arial" w:hAnsi="Arial"/>
                <w:sz w:val="16"/>
                <w:szCs w:val="16"/>
                <w:b w:val="1"/>
                <w:bCs w:val="1"/>
                <w:color w:val="auto"/>
              </w:rPr>
              <w:t>2016</w:t>
            </w:r>
          </w:p>
        </w:tc>
        <w:tc>
          <w:tcPr>
            <w:tcW w:w="1180" w:type="dxa"/>
            <w:vAlign w:val="bottom"/>
          </w:tcPr>
          <w:p>
            <w:pPr>
              <w:jc w:val="right"/>
              <w:ind w:right="19"/>
              <w:spacing w:after="0"/>
              <w:rPr>
                <w:sz w:val="20"/>
                <w:szCs w:val="20"/>
                <w:color w:val="auto"/>
              </w:rPr>
            </w:pPr>
            <w:r>
              <w:rPr>
                <w:rFonts w:ascii="Arial" w:cs="Arial" w:eastAsia="Arial" w:hAnsi="Arial"/>
                <w:sz w:val="16"/>
                <w:szCs w:val="16"/>
                <w:b w:val="1"/>
                <w:bCs w:val="1"/>
                <w:color w:val="auto"/>
              </w:rPr>
              <w:t>2015</w:t>
            </w:r>
          </w:p>
        </w:tc>
      </w:tr>
      <w:tr>
        <w:trPr>
          <w:trHeight w:val="33"/>
        </w:trPr>
        <w:tc>
          <w:tcPr>
            <w:tcW w:w="62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2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37"/>
        </w:trPr>
        <w:tc>
          <w:tcPr>
            <w:tcW w:w="6280" w:type="dxa"/>
            <w:vAlign w:val="bottom"/>
          </w:tcPr>
          <w:p>
            <w:pPr>
              <w:ind w:left="40"/>
              <w:spacing w:after="0"/>
              <w:rPr>
                <w:sz w:val="20"/>
                <w:szCs w:val="20"/>
                <w:color w:val="auto"/>
              </w:rPr>
            </w:pPr>
            <w:r>
              <w:rPr>
                <w:rFonts w:ascii="Arial" w:cs="Arial" w:eastAsia="Arial" w:hAnsi="Arial"/>
                <w:sz w:val="16"/>
                <w:szCs w:val="16"/>
                <w:color w:val="auto"/>
              </w:rPr>
              <w:t>Net earnings</w:t>
            </w:r>
          </w:p>
        </w:tc>
        <w:tc>
          <w:tcPr>
            <w:tcW w:w="2120" w:type="dxa"/>
            <w:vAlign w:val="bottom"/>
          </w:tcPr>
          <w:p>
            <w:pPr>
              <w:jc w:val="right"/>
              <w:ind w:right="659"/>
              <w:spacing w:after="0"/>
              <w:rPr>
                <w:sz w:val="20"/>
                <w:szCs w:val="20"/>
                <w:color w:val="auto"/>
              </w:rPr>
            </w:pPr>
            <w:r>
              <w:rPr>
                <w:rFonts w:ascii="Arial" w:cs="Arial" w:eastAsia="Arial" w:hAnsi="Arial"/>
                <w:sz w:val="16"/>
                <w:szCs w:val="16"/>
                <w:b w:val="1"/>
                <w:bCs w:val="1"/>
                <w:color w:val="auto"/>
              </w:rPr>
              <w:t>$437</w:t>
            </w:r>
          </w:p>
        </w:tc>
        <w:tc>
          <w:tcPr>
            <w:tcW w:w="1840" w:type="dxa"/>
            <w:vAlign w:val="bottom"/>
          </w:tcPr>
          <w:p>
            <w:pPr>
              <w:jc w:val="right"/>
              <w:ind w:right="639"/>
              <w:spacing w:after="0"/>
              <w:rPr>
                <w:sz w:val="20"/>
                <w:szCs w:val="20"/>
                <w:color w:val="auto"/>
              </w:rPr>
            </w:pPr>
            <w:r>
              <w:rPr>
                <w:rFonts w:ascii="Arial" w:cs="Arial" w:eastAsia="Arial" w:hAnsi="Arial"/>
                <w:sz w:val="16"/>
                <w:szCs w:val="16"/>
                <w:color w:val="auto"/>
              </w:rPr>
              <w:t>$354</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$600</w:t>
            </w:r>
          </w:p>
        </w:tc>
      </w:tr>
      <w:tr>
        <w:trPr>
          <w:trHeight w:val="33"/>
        </w:trPr>
        <w:tc>
          <w:tcPr>
            <w:tcW w:w="62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 to reconcile net earnings to net cash provided by operating activities:</w:t>
            </w:r>
          </w:p>
        </w:tc>
        <w:tc>
          <w:tcPr>
            <w:tcW w:w="2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37"/>
        </w:trPr>
        <w:tc>
          <w:tcPr>
            <w:tcW w:w="6280" w:type="dxa"/>
            <w:vAlign w:val="bottom"/>
          </w:tcPr>
          <w:p>
            <w:pPr>
              <w:ind w:left="280"/>
              <w:spacing w:after="0"/>
              <w:rPr>
                <w:sz w:val="20"/>
                <w:szCs w:val="20"/>
                <w:color w:val="auto"/>
              </w:rPr>
            </w:pPr>
            <w:r>
              <w:rPr>
                <w:rFonts w:ascii="Arial" w:cs="Arial" w:eastAsia="Arial" w:hAnsi="Arial"/>
                <w:sz w:val="16"/>
                <w:szCs w:val="16"/>
                <w:color w:val="auto"/>
              </w:rPr>
              <w:t>Depreciation and amortization expenses</w:t>
            </w:r>
          </w:p>
        </w:tc>
        <w:tc>
          <w:tcPr>
            <w:tcW w:w="2120" w:type="dxa"/>
            <w:vAlign w:val="bottom"/>
          </w:tcPr>
          <w:p>
            <w:pPr>
              <w:jc w:val="right"/>
              <w:ind w:right="659"/>
              <w:spacing w:after="0"/>
              <w:rPr>
                <w:sz w:val="20"/>
                <w:szCs w:val="20"/>
                <w:color w:val="auto"/>
              </w:rPr>
            </w:pPr>
            <w:r>
              <w:rPr>
                <w:rFonts w:ascii="Arial" w:cs="Arial" w:eastAsia="Arial" w:hAnsi="Arial"/>
                <w:sz w:val="16"/>
                <w:szCs w:val="16"/>
                <w:b w:val="1"/>
                <w:bCs w:val="1"/>
                <w:color w:val="auto"/>
              </w:rPr>
              <w:t>666</w:t>
            </w:r>
          </w:p>
        </w:tc>
        <w:tc>
          <w:tcPr>
            <w:tcW w:w="1840" w:type="dxa"/>
            <w:vAlign w:val="bottom"/>
          </w:tcPr>
          <w:p>
            <w:pPr>
              <w:jc w:val="right"/>
              <w:ind w:right="639"/>
              <w:spacing w:after="0"/>
              <w:rPr>
                <w:sz w:val="20"/>
                <w:szCs w:val="20"/>
                <w:color w:val="auto"/>
              </w:rPr>
            </w:pPr>
            <w:r>
              <w:rPr>
                <w:rFonts w:ascii="Arial" w:cs="Arial" w:eastAsia="Arial" w:hAnsi="Arial"/>
                <w:sz w:val="16"/>
                <w:szCs w:val="16"/>
                <w:color w:val="auto"/>
              </w:rPr>
              <w:t>645</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576</w:t>
            </w:r>
          </w:p>
        </w:tc>
      </w:tr>
      <w:tr>
        <w:trPr>
          <w:trHeight w:val="33"/>
        </w:trPr>
        <w:tc>
          <w:tcPr>
            <w:tcW w:w="62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Goodwill impairment</w:t>
            </w:r>
          </w:p>
        </w:tc>
        <w:tc>
          <w:tcPr>
            <w:tcW w:w="212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w:t>
            </w:r>
          </w:p>
        </w:tc>
        <w:tc>
          <w:tcPr>
            <w:tcW w:w="184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color w:val="auto"/>
              </w:rPr>
              <w:t>197</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280" w:type="dxa"/>
            <w:vAlign w:val="bottom"/>
          </w:tcPr>
          <w:p>
            <w:pPr>
              <w:ind w:left="280"/>
              <w:spacing w:after="0"/>
              <w:rPr>
                <w:sz w:val="20"/>
                <w:szCs w:val="20"/>
                <w:color w:val="auto"/>
              </w:rPr>
            </w:pPr>
            <w:r>
              <w:rPr>
                <w:rFonts w:ascii="Arial" w:cs="Arial" w:eastAsia="Arial" w:hAnsi="Arial"/>
                <w:sz w:val="16"/>
                <w:szCs w:val="16"/>
                <w:color w:val="auto"/>
              </w:rPr>
              <w:t>Amortization of deferred property incentives and other, net</w:t>
            </w:r>
          </w:p>
        </w:tc>
        <w:tc>
          <w:tcPr>
            <w:tcW w:w="2120" w:type="dxa"/>
            <w:vAlign w:val="bottom"/>
          </w:tcPr>
          <w:p>
            <w:pPr>
              <w:jc w:val="right"/>
              <w:ind w:right="599"/>
              <w:spacing w:after="0"/>
              <w:rPr>
                <w:sz w:val="20"/>
                <w:szCs w:val="20"/>
                <w:color w:val="auto"/>
              </w:rPr>
            </w:pPr>
            <w:r>
              <w:rPr>
                <w:rFonts w:ascii="Arial" w:cs="Arial" w:eastAsia="Arial" w:hAnsi="Arial"/>
                <w:sz w:val="16"/>
                <w:szCs w:val="16"/>
                <w:b w:val="1"/>
                <w:bCs w:val="1"/>
                <w:color w:val="auto"/>
              </w:rPr>
              <w:t>(82)</w:t>
            </w:r>
          </w:p>
        </w:tc>
        <w:tc>
          <w:tcPr>
            <w:tcW w:w="1840" w:type="dxa"/>
            <w:vAlign w:val="bottom"/>
          </w:tcPr>
          <w:p>
            <w:pPr>
              <w:jc w:val="right"/>
              <w:ind w:right="599"/>
              <w:spacing w:after="0"/>
              <w:rPr>
                <w:sz w:val="20"/>
                <w:szCs w:val="20"/>
                <w:color w:val="auto"/>
              </w:rPr>
            </w:pPr>
            <w:r>
              <w:rPr>
                <w:rFonts w:ascii="Arial" w:cs="Arial" w:eastAsia="Arial" w:hAnsi="Arial"/>
                <w:sz w:val="16"/>
                <w:szCs w:val="16"/>
                <w:color w:val="auto"/>
              </w:rPr>
              <w:t>(76)</w:t>
            </w:r>
          </w:p>
        </w:tc>
        <w:tc>
          <w:tcPr>
            <w:tcW w:w="1180" w:type="dxa"/>
            <w:vAlign w:val="bottom"/>
          </w:tcPr>
          <w:p>
            <w:pPr>
              <w:jc w:val="right"/>
              <w:spacing w:after="0"/>
              <w:rPr>
                <w:sz w:val="20"/>
                <w:szCs w:val="20"/>
                <w:color w:val="auto"/>
              </w:rPr>
            </w:pPr>
            <w:r>
              <w:rPr>
                <w:rFonts w:ascii="Arial" w:cs="Arial" w:eastAsia="Arial" w:hAnsi="Arial"/>
                <w:sz w:val="16"/>
                <w:szCs w:val="16"/>
                <w:color w:val="auto"/>
              </w:rPr>
              <w:t>(64)</w:t>
            </w:r>
          </w:p>
        </w:tc>
      </w:tr>
      <w:tr>
        <w:trPr>
          <w:trHeight w:val="33"/>
        </w:trPr>
        <w:tc>
          <w:tcPr>
            <w:tcW w:w="62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Deferred income taxes, net</w:t>
            </w:r>
          </w:p>
        </w:tc>
        <w:tc>
          <w:tcPr>
            <w:tcW w:w="212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11</w:t>
            </w:r>
          </w:p>
        </w:tc>
        <w:tc>
          <w:tcPr>
            <w:tcW w:w="184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6"/>
                <w:szCs w:val="16"/>
                <w:color w:val="auto"/>
              </w:rPr>
              <w:t>(15)</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w:t>
            </w:r>
          </w:p>
        </w:tc>
      </w:tr>
      <w:tr>
        <w:trPr>
          <w:trHeight w:val="237"/>
        </w:trPr>
        <w:tc>
          <w:tcPr>
            <w:tcW w:w="6280" w:type="dxa"/>
            <w:vAlign w:val="bottom"/>
          </w:tcPr>
          <w:p>
            <w:pPr>
              <w:ind w:left="280"/>
              <w:spacing w:after="0"/>
              <w:rPr>
                <w:sz w:val="20"/>
                <w:szCs w:val="20"/>
                <w:color w:val="auto"/>
              </w:rPr>
            </w:pPr>
            <w:r>
              <w:rPr>
                <w:rFonts w:ascii="Arial" w:cs="Arial" w:eastAsia="Arial" w:hAnsi="Arial"/>
                <w:sz w:val="16"/>
                <w:szCs w:val="16"/>
                <w:color w:val="auto"/>
              </w:rPr>
              <w:t>Stock-based compensation expense</w:t>
            </w:r>
          </w:p>
        </w:tc>
        <w:tc>
          <w:tcPr>
            <w:tcW w:w="2120" w:type="dxa"/>
            <w:vAlign w:val="bottom"/>
          </w:tcPr>
          <w:p>
            <w:pPr>
              <w:jc w:val="right"/>
              <w:ind w:right="659"/>
              <w:spacing w:after="0"/>
              <w:rPr>
                <w:sz w:val="20"/>
                <w:szCs w:val="20"/>
                <w:color w:val="auto"/>
              </w:rPr>
            </w:pPr>
            <w:r>
              <w:rPr>
                <w:rFonts w:ascii="Arial" w:cs="Arial" w:eastAsia="Arial" w:hAnsi="Arial"/>
                <w:sz w:val="16"/>
                <w:szCs w:val="16"/>
                <w:b w:val="1"/>
                <w:bCs w:val="1"/>
                <w:color w:val="auto"/>
              </w:rPr>
              <w:t>77</w:t>
            </w:r>
          </w:p>
        </w:tc>
        <w:tc>
          <w:tcPr>
            <w:tcW w:w="1840" w:type="dxa"/>
            <w:vAlign w:val="bottom"/>
          </w:tcPr>
          <w:p>
            <w:pPr>
              <w:jc w:val="right"/>
              <w:ind w:right="639"/>
              <w:spacing w:after="0"/>
              <w:rPr>
                <w:sz w:val="20"/>
                <w:szCs w:val="20"/>
                <w:color w:val="auto"/>
              </w:rPr>
            </w:pPr>
            <w:r>
              <w:rPr>
                <w:rFonts w:ascii="Arial" w:cs="Arial" w:eastAsia="Arial" w:hAnsi="Arial"/>
                <w:sz w:val="16"/>
                <w:szCs w:val="16"/>
                <w:color w:val="auto"/>
              </w:rPr>
              <w:t>91</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70</w:t>
            </w:r>
          </w:p>
        </w:tc>
      </w:tr>
      <w:tr>
        <w:trPr>
          <w:trHeight w:val="33"/>
        </w:trPr>
        <w:tc>
          <w:tcPr>
            <w:tcW w:w="62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Bad debt expense</w:t>
            </w:r>
          </w:p>
        </w:tc>
        <w:tc>
          <w:tcPr>
            <w:tcW w:w="212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w:t>
            </w:r>
          </w:p>
        </w:tc>
        <w:tc>
          <w:tcPr>
            <w:tcW w:w="184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w:t>
            </w:r>
          </w:p>
        </w:tc>
      </w:tr>
      <w:tr>
        <w:trPr>
          <w:trHeight w:val="237"/>
        </w:trPr>
        <w:tc>
          <w:tcPr>
            <w:tcW w:w="6280" w:type="dxa"/>
            <w:vAlign w:val="bottom"/>
          </w:tcPr>
          <w:p>
            <w:pPr>
              <w:ind w:left="280"/>
              <w:spacing w:after="0"/>
              <w:rPr>
                <w:sz w:val="20"/>
                <w:szCs w:val="20"/>
                <w:color w:val="auto"/>
              </w:rPr>
            </w:pPr>
            <w:r>
              <w:rPr>
                <w:rFonts w:ascii="Arial" w:cs="Arial" w:eastAsia="Arial" w:hAnsi="Arial"/>
                <w:sz w:val="16"/>
                <w:szCs w:val="16"/>
                <w:color w:val="auto"/>
              </w:rPr>
              <w:t>Change in operating assets and liabilities:</w:t>
            </w:r>
          </w:p>
        </w:tc>
        <w:tc>
          <w:tcPr>
            <w:tcW w:w="21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3"/>
        </w:trPr>
        <w:tc>
          <w:tcPr>
            <w:tcW w:w="62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Accounts receivable</w:t>
            </w:r>
          </w:p>
        </w:tc>
        <w:tc>
          <w:tcPr>
            <w:tcW w:w="212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1</w:t>
            </w:r>
          </w:p>
        </w:tc>
        <w:tc>
          <w:tcPr>
            <w:tcW w:w="184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6"/>
                <w:szCs w:val="16"/>
                <w:color w:val="auto"/>
              </w:rPr>
              <w:t>(3)</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w:t>
            </w:r>
          </w:p>
        </w:tc>
      </w:tr>
      <w:tr>
        <w:trPr>
          <w:trHeight w:val="237"/>
        </w:trPr>
        <w:tc>
          <w:tcPr>
            <w:tcW w:w="6280" w:type="dxa"/>
            <w:vAlign w:val="bottom"/>
          </w:tcPr>
          <w:p>
            <w:pPr>
              <w:ind w:left="500"/>
              <w:spacing w:after="0"/>
              <w:rPr>
                <w:sz w:val="20"/>
                <w:szCs w:val="20"/>
                <w:color w:val="auto"/>
              </w:rPr>
            </w:pPr>
            <w:r>
              <w:rPr>
                <w:rFonts w:ascii="Arial" w:cs="Arial" w:eastAsia="Arial" w:hAnsi="Arial"/>
                <w:sz w:val="16"/>
                <w:szCs w:val="16"/>
                <w:color w:val="auto"/>
              </w:rPr>
              <w:t>Proceeds from sale of credit card receivables originated at Nordstrom</w:t>
            </w:r>
          </w:p>
        </w:tc>
        <w:tc>
          <w:tcPr>
            <w:tcW w:w="2120" w:type="dxa"/>
            <w:vAlign w:val="bottom"/>
          </w:tcPr>
          <w:p>
            <w:pPr>
              <w:jc w:val="right"/>
              <w:ind w:right="659"/>
              <w:spacing w:after="0"/>
              <w:rPr>
                <w:sz w:val="20"/>
                <w:szCs w:val="20"/>
                <w:color w:val="auto"/>
              </w:rPr>
            </w:pPr>
            <w:r>
              <w:rPr>
                <w:rFonts w:ascii="Arial" w:cs="Arial" w:eastAsia="Arial" w:hAnsi="Arial"/>
                <w:sz w:val="16"/>
                <w:szCs w:val="16"/>
                <w:b w:val="1"/>
                <w:bCs w:val="1"/>
                <w:color w:val="auto"/>
              </w:rPr>
              <w:t>39</w:t>
            </w:r>
          </w:p>
        </w:tc>
        <w:tc>
          <w:tcPr>
            <w:tcW w:w="1840" w:type="dxa"/>
            <w:vAlign w:val="bottom"/>
          </w:tcPr>
          <w:p>
            <w:pPr>
              <w:jc w:val="right"/>
              <w:ind w:right="63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1,297</w:t>
            </w:r>
          </w:p>
        </w:tc>
      </w:tr>
      <w:tr>
        <w:trPr>
          <w:trHeight w:val="33"/>
        </w:trPr>
        <w:tc>
          <w:tcPr>
            <w:tcW w:w="62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Merchandise inventories</w:t>
            </w:r>
          </w:p>
        </w:tc>
        <w:tc>
          <w:tcPr>
            <w:tcW w:w="212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6"/>
                <w:szCs w:val="16"/>
                <w:b w:val="1"/>
                <w:bCs w:val="1"/>
                <w:color w:val="auto"/>
              </w:rPr>
              <w:t>(62)</w:t>
            </w:r>
          </w:p>
        </w:tc>
        <w:tc>
          <w:tcPr>
            <w:tcW w:w="184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color w:val="auto"/>
              </w:rPr>
              <w:t>31</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(203)</w:t>
            </w:r>
          </w:p>
        </w:tc>
      </w:tr>
      <w:tr>
        <w:trPr>
          <w:trHeight w:val="237"/>
        </w:trPr>
        <w:tc>
          <w:tcPr>
            <w:tcW w:w="6280" w:type="dxa"/>
            <w:vAlign w:val="bottom"/>
          </w:tcPr>
          <w:p>
            <w:pPr>
              <w:ind w:left="500"/>
              <w:spacing w:after="0"/>
              <w:rPr>
                <w:sz w:val="20"/>
                <w:szCs w:val="20"/>
                <w:color w:val="auto"/>
              </w:rPr>
            </w:pPr>
            <w:r>
              <w:rPr>
                <w:rFonts w:ascii="Arial" w:cs="Arial" w:eastAsia="Arial" w:hAnsi="Arial"/>
                <w:sz w:val="16"/>
                <w:szCs w:val="16"/>
                <w:color w:val="auto"/>
              </w:rPr>
              <w:t>Prepaid expenses and other assets</w:t>
            </w:r>
          </w:p>
        </w:tc>
        <w:tc>
          <w:tcPr>
            <w:tcW w:w="2120" w:type="dxa"/>
            <w:vAlign w:val="bottom"/>
          </w:tcPr>
          <w:p>
            <w:pPr>
              <w:jc w:val="right"/>
              <w:ind w:right="599"/>
              <w:spacing w:after="0"/>
              <w:rPr>
                <w:sz w:val="20"/>
                <w:szCs w:val="20"/>
                <w:color w:val="auto"/>
              </w:rPr>
            </w:pPr>
            <w:r>
              <w:rPr>
                <w:rFonts w:ascii="Arial" w:cs="Arial" w:eastAsia="Arial" w:hAnsi="Arial"/>
                <w:sz w:val="16"/>
                <w:szCs w:val="16"/>
                <w:b w:val="1"/>
                <w:bCs w:val="1"/>
                <w:color w:val="auto"/>
              </w:rPr>
              <w:t>(21)</w:t>
            </w:r>
          </w:p>
        </w:tc>
        <w:tc>
          <w:tcPr>
            <w:tcW w:w="1840" w:type="dxa"/>
            <w:vAlign w:val="bottom"/>
          </w:tcPr>
          <w:p>
            <w:pPr>
              <w:jc w:val="right"/>
              <w:ind w:right="639"/>
              <w:spacing w:after="0"/>
              <w:rPr>
                <w:sz w:val="20"/>
                <w:szCs w:val="20"/>
                <w:color w:val="auto"/>
              </w:rPr>
            </w:pPr>
            <w:r>
              <w:rPr>
                <w:rFonts w:ascii="Arial" w:cs="Arial" w:eastAsia="Arial" w:hAnsi="Arial"/>
                <w:sz w:val="16"/>
                <w:szCs w:val="16"/>
                <w:color w:val="auto"/>
              </w:rPr>
              <w:t>100</w:t>
            </w:r>
          </w:p>
        </w:tc>
        <w:tc>
          <w:tcPr>
            <w:tcW w:w="1180" w:type="dxa"/>
            <w:vAlign w:val="bottom"/>
          </w:tcPr>
          <w:p>
            <w:pPr>
              <w:jc w:val="right"/>
              <w:spacing w:after="0"/>
              <w:rPr>
                <w:sz w:val="20"/>
                <w:szCs w:val="20"/>
                <w:color w:val="auto"/>
              </w:rPr>
            </w:pPr>
            <w:r>
              <w:rPr>
                <w:rFonts w:ascii="Arial" w:cs="Arial" w:eastAsia="Arial" w:hAnsi="Arial"/>
                <w:sz w:val="16"/>
                <w:szCs w:val="16"/>
                <w:color w:val="auto"/>
              </w:rPr>
              <w:t>(126)</w:t>
            </w:r>
          </w:p>
        </w:tc>
      </w:tr>
      <w:tr>
        <w:trPr>
          <w:trHeight w:val="33"/>
        </w:trPr>
        <w:tc>
          <w:tcPr>
            <w:tcW w:w="62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Accounts payable</w:t>
            </w:r>
          </w:p>
        </w:tc>
        <w:tc>
          <w:tcPr>
            <w:tcW w:w="212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77</w:t>
            </w:r>
          </w:p>
        </w:tc>
        <w:tc>
          <w:tcPr>
            <w:tcW w:w="184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color w:val="auto"/>
              </w:rPr>
              <w:t>16</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37"/>
        </w:trPr>
        <w:tc>
          <w:tcPr>
            <w:tcW w:w="6280" w:type="dxa"/>
            <w:vAlign w:val="bottom"/>
          </w:tcPr>
          <w:p>
            <w:pPr>
              <w:ind w:left="500"/>
              <w:spacing w:after="0"/>
              <w:rPr>
                <w:sz w:val="20"/>
                <w:szCs w:val="20"/>
                <w:color w:val="auto"/>
              </w:rPr>
            </w:pPr>
            <w:r>
              <w:rPr>
                <w:rFonts w:ascii="Arial" w:cs="Arial" w:eastAsia="Arial" w:hAnsi="Arial"/>
                <w:sz w:val="16"/>
                <w:szCs w:val="16"/>
                <w:color w:val="auto"/>
              </w:rPr>
              <w:t>Accrued salaries, wages and related benefits</w:t>
            </w:r>
          </w:p>
        </w:tc>
        <w:tc>
          <w:tcPr>
            <w:tcW w:w="2120" w:type="dxa"/>
            <w:vAlign w:val="bottom"/>
          </w:tcPr>
          <w:p>
            <w:pPr>
              <w:jc w:val="right"/>
              <w:ind w:right="659"/>
              <w:spacing w:after="0"/>
              <w:rPr>
                <w:sz w:val="20"/>
                <w:szCs w:val="20"/>
                <w:color w:val="auto"/>
              </w:rPr>
            </w:pPr>
            <w:r>
              <w:rPr>
                <w:rFonts w:ascii="Arial" w:cs="Arial" w:eastAsia="Arial" w:hAnsi="Arial"/>
                <w:sz w:val="16"/>
                <w:szCs w:val="16"/>
                <w:b w:val="1"/>
                <w:bCs w:val="1"/>
                <w:color w:val="auto"/>
              </w:rPr>
              <w:t>121</w:t>
            </w:r>
          </w:p>
        </w:tc>
        <w:tc>
          <w:tcPr>
            <w:tcW w:w="1840" w:type="dxa"/>
            <w:vAlign w:val="bottom"/>
          </w:tcPr>
          <w:p>
            <w:pPr>
              <w:jc w:val="right"/>
              <w:ind w:right="639"/>
              <w:spacing w:after="0"/>
              <w:rPr>
                <w:sz w:val="20"/>
                <w:szCs w:val="20"/>
                <w:color w:val="auto"/>
              </w:rPr>
            </w:pPr>
            <w:r>
              <w:rPr>
                <w:rFonts w:ascii="Arial" w:cs="Arial" w:eastAsia="Arial" w:hAnsi="Arial"/>
                <w:sz w:val="16"/>
                <w:szCs w:val="16"/>
                <w:color w:val="auto"/>
              </w:rPr>
              <w:t>38</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w:t>
            </w:r>
          </w:p>
        </w:tc>
      </w:tr>
      <w:tr>
        <w:trPr>
          <w:trHeight w:val="33"/>
        </w:trPr>
        <w:tc>
          <w:tcPr>
            <w:tcW w:w="62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Other current liabilities</w:t>
            </w:r>
          </w:p>
        </w:tc>
        <w:tc>
          <w:tcPr>
            <w:tcW w:w="212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48</w:t>
            </w:r>
          </w:p>
        </w:tc>
        <w:tc>
          <w:tcPr>
            <w:tcW w:w="184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color w:val="auto"/>
              </w:rPr>
              <w:t>181</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w:t>
            </w:r>
          </w:p>
        </w:tc>
      </w:tr>
      <w:tr>
        <w:trPr>
          <w:trHeight w:val="237"/>
        </w:trPr>
        <w:tc>
          <w:tcPr>
            <w:tcW w:w="6280" w:type="dxa"/>
            <w:vAlign w:val="bottom"/>
          </w:tcPr>
          <w:p>
            <w:pPr>
              <w:ind w:left="500"/>
              <w:spacing w:after="0"/>
              <w:rPr>
                <w:sz w:val="20"/>
                <w:szCs w:val="20"/>
                <w:color w:val="auto"/>
              </w:rPr>
            </w:pPr>
            <w:r>
              <w:rPr>
                <w:rFonts w:ascii="Arial" w:cs="Arial" w:eastAsia="Arial" w:hAnsi="Arial"/>
                <w:sz w:val="16"/>
                <w:szCs w:val="16"/>
                <w:color w:val="auto"/>
              </w:rPr>
              <w:t>Deferred property incentives</w:t>
            </w:r>
          </w:p>
        </w:tc>
        <w:tc>
          <w:tcPr>
            <w:tcW w:w="2120" w:type="dxa"/>
            <w:vAlign w:val="bottom"/>
          </w:tcPr>
          <w:p>
            <w:pPr>
              <w:jc w:val="right"/>
              <w:ind w:right="659"/>
              <w:spacing w:after="0"/>
              <w:rPr>
                <w:sz w:val="20"/>
                <w:szCs w:val="20"/>
                <w:color w:val="auto"/>
              </w:rPr>
            </w:pPr>
            <w:r>
              <w:rPr>
                <w:rFonts w:ascii="Arial" w:cs="Arial" w:eastAsia="Arial" w:hAnsi="Arial"/>
                <w:sz w:val="16"/>
                <w:szCs w:val="16"/>
                <w:b w:val="1"/>
                <w:bCs w:val="1"/>
                <w:color w:val="auto"/>
              </w:rPr>
              <w:t>64</w:t>
            </w:r>
          </w:p>
        </w:tc>
        <w:tc>
          <w:tcPr>
            <w:tcW w:w="1840" w:type="dxa"/>
            <w:vAlign w:val="bottom"/>
          </w:tcPr>
          <w:p>
            <w:pPr>
              <w:jc w:val="right"/>
              <w:ind w:right="639"/>
              <w:spacing w:after="0"/>
              <w:rPr>
                <w:sz w:val="20"/>
                <w:szCs w:val="20"/>
                <w:color w:val="auto"/>
              </w:rPr>
            </w:pPr>
            <w:r>
              <w:rPr>
                <w:rFonts w:ascii="Arial" w:cs="Arial" w:eastAsia="Arial" w:hAnsi="Arial"/>
                <w:sz w:val="16"/>
                <w:szCs w:val="16"/>
                <w:color w:val="auto"/>
              </w:rPr>
              <w:t>65</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156</w:t>
            </w:r>
          </w:p>
        </w:tc>
      </w:tr>
      <w:tr>
        <w:trPr>
          <w:trHeight w:val="33"/>
        </w:trPr>
        <w:tc>
          <w:tcPr>
            <w:tcW w:w="62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5"/>
        </w:trPr>
        <w:tc>
          <w:tcPr>
            <w:tcW w:w="6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Other liabilities</w:t>
            </w:r>
          </w:p>
        </w:tc>
        <w:tc>
          <w:tcPr>
            <w:tcW w:w="212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24</w:t>
            </w:r>
          </w:p>
        </w:tc>
        <w:tc>
          <w:tcPr>
            <w:tcW w:w="184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color w:val="auto"/>
              </w:rPr>
              <w:t>34</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r>
      <w:tr>
        <w:trPr>
          <w:trHeight w:val="231"/>
        </w:trPr>
        <w:tc>
          <w:tcPr>
            <w:tcW w:w="62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2120" w:type="dxa"/>
            <w:vAlign w:val="bottom"/>
            <w:tcBorders>
              <w:top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1,400</w:t>
            </w:r>
          </w:p>
        </w:tc>
        <w:tc>
          <w:tcPr>
            <w:tcW w:w="1840" w:type="dxa"/>
            <w:vAlign w:val="bottom"/>
            <w:tcBorders>
              <w:top w:val="single" w:sz="8" w:color="auto"/>
            </w:tcBorders>
          </w:tcPr>
          <w:p>
            <w:pPr>
              <w:jc w:val="right"/>
              <w:ind w:right="639"/>
              <w:spacing w:after="0"/>
              <w:rPr>
                <w:sz w:val="20"/>
                <w:szCs w:val="20"/>
                <w:color w:val="auto"/>
              </w:rPr>
            </w:pPr>
            <w:r>
              <w:rPr>
                <w:rFonts w:ascii="Arial" w:cs="Arial" w:eastAsia="Arial" w:hAnsi="Arial"/>
                <w:sz w:val="16"/>
                <w:szCs w:val="16"/>
                <w:color w:val="auto"/>
              </w:rPr>
              <w:t>1,658</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2,470</w:t>
            </w:r>
          </w:p>
        </w:tc>
      </w:tr>
      <w:tr>
        <w:trPr>
          <w:trHeight w:val="33"/>
        </w:trPr>
        <w:tc>
          <w:tcPr>
            <w:tcW w:w="62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6280" w:type="dxa"/>
            <w:vAlign w:val="bottom"/>
            <w:shd w:val="clear" w:color="auto" w:fill="CCEEFF"/>
          </w:tcPr>
          <w:p>
            <w:pPr>
              <w:spacing w:after="0"/>
              <w:rPr>
                <w:sz w:val="22"/>
                <w:szCs w:val="22"/>
                <w:color w:val="auto"/>
              </w:rPr>
            </w:pPr>
          </w:p>
        </w:tc>
        <w:tc>
          <w:tcPr>
            <w:tcW w:w="2120" w:type="dxa"/>
            <w:vAlign w:val="bottom"/>
            <w:shd w:val="clear" w:color="auto" w:fill="CCEEFF"/>
          </w:tcPr>
          <w:p>
            <w:pPr>
              <w:spacing w:after="0"/>
              <w:rPr>
                <w:sz w:val="22"/>
                <w:szCs w:val="22"/>
                <w:color w:val="auto"/>
              </w:rPr>
            </w:pPr>
          </w:p>
        </w:tc>
        <w:tc>
          <w:tcPr>
            <w:tcW w:w="18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37"/>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21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3"/>
        </w:trPr>
        <w:tc>
          <w:tcPr>
            <w:tcW w:w="62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Capital expenditures</w:t>
            </w:r>
          </w:p>
        </w:tc>
        <w:tc>
          <w:tcPr>
            <w:tcW w:w="212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6"/>
                <w:szCs w:val="16"/>
                <w:b w:val="1"/>
                <w:bCs w:val="1"/>
                <w:color w:val="auto"/>
              </w:rPr>
              <w:t>(731)</w:t>
            </w:r>
          </w:p>
        </w:tc>
        <w:tc>
          <w:tcPr>
            <w:tcW w:w="184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6"/>
                <w:szCs w:val="16"/>
                <w:color w:val="auto"/>
              </w:rPr>
              <w:t>(846)</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(1,082)</w:t>
            </w:r>
          </w:p>
        </w:tc>
      </w:tr>
      <w:tr>
        <w:trPr>
          <w:trHeight w:val="237"/>
        </w:trPr>
        <w:tc>
          <w:tcPr>
            <w:tcW w:w="6280" w:type="dxa"/>
            <w:vAlign w:val="bottom"/>
          </w:tcPr>
          <w:p>
            <w:pPr>
              <w:ind w:left="280"/>
              <w:spacing w:after="0"/>
              <w:rPr>
                <w:sz w:val="20"/>
                <w:szCs w:val="20"/>
                <w:color w:val="auto"/>
              </w:rPr>
            </w:pPr>
            <w:r>
              <w:rPr>
                <w:rFonts w:ascii="Arial" w:cs="Arial" w:eastAsia="Arial" w:hAnsi="Arial"/>
                <w:sz w:val="16"/>
                <w:szCs w:val="16"/>
                <w:color w:val="auto"/>
              </w:rPr>
              <w:t>Change in credit card receivables originated at third parties</w:t>
            </w:r>
          </w:p>
        </w:tc>
        <w:tc>
          <w:tcPr>
            <w:tcW w:w="2120" w:type="dxa"/>
            <w:vAlign w:val="bottom"/>
          </w:tcPr>
          <w:p>
            <w:pPr>
              <w:jc w:val="right"/>
              <w:ind w:right="659"/>
              <w:spacing w:after="0"/>
              <w:rPr>
                <w:sz w:val="20"/>
                <w:szCs w:val="20"/>
                <w:color w:val="auto"/>
              </w:rPr>
            </w:pPr>
            <w:r>
              <w:rPr>
                <w:rFonts w:ascii="Arial" w:cs="Arial" w:eastAsia="Arial" w:hAnsi="Arial"/>
                <w:sz w:val="16"/>
                <w:szCs w:val="16"/>
                <w:b w:val="1"/>
                <w:bCs w:val="1"/>
                <w:color w:val="auto"/>
              </w:rPr>
              <w:t>—</w:t>
            </w:r>
          </w:p>
        </w:tc>
        <w:tc>
          <w:tcPr>
            <w:tcW w:w="1840" w:type="dxa"/>
            <w:vAlign w:val="bottom"/>
          </w:tcPr>
          <w:p>
            <w:pPr>
              <w:jc w:val="right"/>
              <w:ind w:right="63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34</w:t>
            </w:r>
          </w:p>
        </w:tc>
      </w:tr>
      <w:tr>
        <w:trPr>
          <w:trHeight w:val="33"/>
        </w:trPr>
        <w:tc>
          <w:tcPr>
            <w:tcW w:w="62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sale of credit card receivables originated at third parties</w:t>
            </w:r>
          </w:p>
        </w:tc>
        <w:tc>
          <w:tcPr>
            <w:tcW w:w="212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16</w:t>
            </w:r>
          </w:p>
        </w:tc>
        <w:tc>
          <w:tcPr>
            <w:tcW w:w="184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890</w:t>
            </w:r>
          </w:p>
        </w:tc>
      </w:tr>
      <w:tr>
        <w:trPr>
          <w:trHeight w:val="237"/>
        </w:trPr>
        <w:tc>
          <w:tcPr>
            <w:tcW w:w="6280" w:type="dxa"/>
            <w:vAlign w:val="bottom"/>
          </w:tcPr>
          <w:p>
            <w:pPr>
              <w:ind w:left="280"/>
              <w:spacing w:after="0"/>
              <w:rPr>
                <w:sz w:val="20"/>
                <w:szCs w:val="20"/>
                <w:color w:val="auto"/>
              </w:rPr>
            </w:pPr>
            <w:r>
              <w:rPr>
                <w:rFonts w:ascii="Arial" w:cs="Arial" w:eastAsia="Arial" w:hAnsi="Arial"/>
                <w:sz w:val="16"/>
                <w:szCs w:val="16"/>
                <w:color w:val="auto"/>
              </w:rPr>
              <w:t>Other, net</w:t>
            </w:r>
          </w:p>
        </w:tc>
        <w:tc>
          <w:tcPr>
            <w:tcW w:w="2120" w:type="dxa"/>
            <w:vAlign w:val="bottom"/>
          </w:tcPr>
          <w:p>
            <w:pPr>
              <w:jc w:val="right"/>
              <w:ind w:right="659"/>
              <w:spacing w:after="0"/>
              <w:rPr>
                <w:sz w:val="20"/>
                <w:szCs w:val="20"/>
                <w:color w:val="auto"/>
              </w:rPr>
            </w:pPr>
            <w:r>
              <w:rPr>
                <w:rFonts w:ascii="Arial" w:cs="Arial" w:eastAsia="Arial" w:hAnsi="Arial"/>
                <w:sz w:val="16"/>
                <w:szCs w:val="16"/>
                <w:b w:val="1"/>
                <w:bCs w:val="1"/>
                <w:color w:val="auto"/>
              </w:rPr>
              <w:t>31</w:t>
            </w:r>
          </w:p>
        </w:tc>
        <w:tc>
          <w:tcPr>
            <w:tcW w:w="1840" w:type="dxa"/>
            <w:vAlign w:val="bottom"/>
          </w:tcPr>
          <w:p>
            <w:pPr>
              <w:jc w:val="right"/>
              <w:ind w:right="639"/>
              <w:spacing w:after="0"/>
              <w:rPr>
                <w:sz w:val="20"/>
                <w:szCs w:val="20"/>
                <w:color w:val="auto"/>
              </w:rPr>
            </w:pPr>
            <w:r>
              <w:rPr>
                <w:rFonts w:ascii="Arial" w:cs="Arial" w:eastAsia="Arial" w:hAnsi="Arial"/>
                <w:sz w:val="16"/>
                <w:szCs w:val="16"/>
                <w:color w:val="auto"/>
              </w:rPr>
              <w:t>55</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14</w:t>
            </w:r>
          </w:p>
        </w:tc>
      </w:tr>
      <w:tr>
        <w:trPr>
          <w:trHeight w:val="33"/>
        </w:trPr>
        <w:tc>
          <w:tcPr>
            <w:tcW w:w="62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used in investing activities</w:t>
            </w:r>
          </w:p>
        </w:tc>
        <w:tc>
          <w:tcPr>
            <w:tcW w:w="212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6"/>
                <w:szCs w:val="16"/>
                <w:b w:val="1"/>
                <w:bCs w:val="1"/>
                <w:color w:val="auto"/>
              </w:rPr>
              <w:t>(684)</w:t>
            </w:r>
          </w:p>
        </w:tc>
        <w:tc>
          <w:tcPr>
            <w:tcW w:w="184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6"/>
                <w:szCs w:val="16"/>
                <w:color w:val="auto"/>
              </w:rPr>
              <w:t>(791)</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w:t>
            </w:r>
          </w:p>
        </w:tc>
      </w:tr>
      <w:tr>
        <w:trPr>
          <w:trHeight w:val="264"/>
        </w:trPr>
        <w:tc>
          <w:tcPr>
            <w:tcW w:w="6280" w:type="dxa"/>
            <w:vAlign w:val="bottom"/>
            <w:tcBorders>
              <w:top w:val="single" w:sz="8" w:color="auto"/>
            </w:tcBorders>
          </w:tcPr>
          <w:p>
            <w:pPr>
              <w:spacing w:after="0"/>
              <w:rPr>
                <w:sz w:val="22"/>
                <w:szCs w:val="22"/>
                <w:color w:val="auto"/>
              </w:rPr>
            </w:pPr>
          </w:p>
        </w:tc>
        <w:tc>
          <w:tcPr>
            <w:tcW w:w="2120" w:type="dxa"/>
            <w:vAlign w:val="bottom"/>
            <w:tcBorders>
              <w:top w:val="single" w:sz="8" w:color="auto"/>
            </w:tcBorders>
          </w:tcPr>
          <w:p>
            <w:pPr>
              <w:spacing w:after="0"/>
              <w:rPr>
                <w:sz w:val="22"/>
                <w:szCs w:val="22"/>
                <w:color w:val="auto"/>
              </w:rPr>
            </w:pPr>
          </w:p>
        </w:tc>
        <w:tc>
          <w:tcPr>
            <w:tcW w:w="184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2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37"/>
        </w:trPr>
        <w:tc>
          <w:tcPr>
            <w:tcW w:w="6280" w:type="dxa"/>
            <w:vAlign w:val="bottom"/>
          </w:tcPr>
          <w:p>
            <w:pPr>
              <w:ind w:left="280"/>
              <w:spacing w:after="0"/>
              <w:rPr>
                <w:sz w:val="20"/>
                <w:szCs w:val="20"/>
                <w:color w:val="auto"/>
              </w:rPr>
            </w:pPr>
            <w:r>
              <w:rPr>
                <w:rFonts w:ascii="Arial" w:cs="Arial" w:eastAsia="Arial" w:hAnsi="Arial"/>
                <w:sz w:val="16"/>
                <w:szCs w:val="16"/>
                <w:color w:val="auto"/>
              </w:rPr>
              <w:t>Proceeds from long-term borrowings, net of discounts</w:t>
            </w:r>
          </w:p>
        </w:tc>
        <w:tc>
          <w:tcPr>
            <w:tcW w:w="2120" w:type="dxa"/>
            <w:vAlign w:val="bottom"/>
          </w:tcPr>
          <w:p>
            <w:pPr>
              <w:jc w:val="right"/>
              <w:ind w:right="659"/>
              <w:spacing w:after="0"/>
              <w:rPr>
                <w:sz w:val="20"/>
                <w:szCs w:val="20"/>
                <w:color w:val="auto"/>
              </w:rPr>
            </w:pPr>
            <w:r>
              <w:rPr>
                <w:rFonts w:ascii="Arial" w:cs="Arial" w:eastAsia="Arial" w:hAnsi="Arial"/>
                <w:sz w:val="16"/>
                <w:szCs w:val="16"/>
                <w:b w:val="1"/>
                <w:bCs w:val="1"/>
                <w:color w:val="auto"/>
              </w:rPr>
              <w:t>635</w:t>
            </w:r>
          </w:p>
        </w:tc>
        <w:tc>
          <w:tcPr>
            <w:tcW w:w="1840" w:type="dxa"/>
            <w:vAlign w:val="bottom"/>
          </w:tcPr>
          <w:p>
            <w:pPr>
              <w:jc w:val="right"/>
              <w:ind w:right="63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16</w:t>
            </w:r>
          </w:p>
        </w:tc>
      </w:tr>
      <w:tr>
        <w:trPr>
          <w:trHeight w:val="33"/>
        </w:trPr>
        <w:tc>
          <w:tcPr>
            <w:tcW w:w="62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Principal payments on long-term borrowings</w:t>
            </w:r>
          </w:p>
        </w:tc>
        <w:tc>
          <w:tcPr>
            <w:tcW w:w="212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6"/>
                <w:szCs w:val="16"/>
                <w:b w:val="1"/>
                <w:bCs w:val="1"/>
                <w:color w:val="auto"/>
              </w:rPr>
              <w:t>(661)</w:t>
            </w:r>
          </w:p>
        </w:tc>
        <w:tc>
          <w:tcPr>
            <w:tcW w:w="184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6"/>
                <w:szCs w:val="16"/>
                <w:color w:val="auto"/>
              </w:rPr>
              <w:t>(10)</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37"/>
        </w:trPr>
        <w:tc>
          <w:tcPr>
            <w:tcW w:w="6280" w:type="dxa"/>
            <w:vAlign w:val="bottom"/>
          </w:tcPr>
          <w:p>
            <w:pPr>
              <w:ind w:left="280"/>
              <w:spacing w:after="0"/>
              <w:rPr>
                <w:sz w:val="20"/>
                <w:szCs w:val="20"/>
                <w:color w:val="auto"/>
              </w:rPr>
            </w:pPr>
            <w:r>
              <w:rPr>
                <w:rFonts w:ascii="Arial" w:cs="Arial" w:eastAsia="Arial" w:hAnsi="Arial"/>
                <w:sz w:val="16"/>
                <w:szCs w:val="16"/>
                <w:color w:val="auto"/>
              </w:rPr>
              <w:t>Defeasance of long-term debt</w:t>
            </w:r>
          </w:p>
        </w:tc>
        <w:tc>
          <w:tcPr>
            <w:tcW w:w="2120" w:type="dxa"/>
            <w:vAlign w:val="bottom"/>
          </w:tcPr>
          <w:p>
            <w:pPr>
              <w:jc w:val="right"/>
              <w:ind w:right="659"/>
              <w:spacing w:after="0"/>
              <w:rPr>
                <w:sz w:val="20"/>
                <w:szCs w:val="20"/>
                <w:color w:val="auto"/>
              </w:rPr>
            </w:pPr>
            <w:r>
              <w:rPr>
                <w:rFonts w:ascii="Arial" w:cs="Arial" w:eastAsia="Arial" w:hAnsi="Arial"/>
                <w:sz w:val="16"/>
                <w:szCs w:val="16"/>
                <w:b w:val="1"/>
                <w:bCs w:val="1"/>
                <w:color w:val="auto"/>
              </w:rPr>
              <w:t>—</w:t>
            </w:r>
          </w:p>
        </w:tc>
        <w:tc>
          <w:tcPr>
            <w:tcW w:w="1840" w:type="dxa"/>
            <w:vAlign w:val="bottom"/>
          </w:tcPr>
          <w:p>
            <w:pPr>
              <w:jc w:val="right"/>
              <w:ind w:right="63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(339)</w:t>
            </w:r>
          </w:p>
        </w:tc>
      </w:tr>
      <w:tr>
        <w:trPr>
          <w:trHeight w:val="33"/>
        </w:trPr>
        <w:tc>
          <w:tcPr>
            <w:tcW w:w="62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(Decrease) increase in cash book overdrafts</w:t>
            </w:r>
          </w:p>
        </w:tc>
        <w:tc>
          <w:tcPr>
            <w:tcW w:w="212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6"/>
                <w:szCs w:val="16"/>
                <w:b w:val="1"/>
                <w:bCs w:val="1"/>
                <w:color w:val="auto"/>
              </w:rPr>
              <w:t>(55)</w:t>
            </w:r>
          </w:p>
        </w:tc>
        <w:tc>
          <w:tcPr>
            <w:tcW w:w="184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color w:val="auto"/>
              </w:rPr>
              <w:t>4</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w:t>
            </w:r>
          </w:p>
        </w:tc>
      </w:tr>
      <w:tr>
        <w:trPr>
          <w:trHeight w:val="237"/>
        </w:trPr>
        <w:tc>
          <w:tcPr>
            <w:tcW w:w="6280" w:type="dxa"/>
            <w:vAlign w:val="bottom"/>
          </w:tcPr>
          <w:p>
            <w:pPr>
              <w:ind w:left="280"/>
              <w:spacing w:after="0"/>
              <w:rPr>
                <w:sz w:val="20"/>
                <w:szCs w:val="20"/>
                <w:color w:val="auto"/>
              </w:rPr>
            </w:pPr>
            <w:r>
              <w:rPr>
                <w:rFonts w:ascii="Arial" w:cs="Arial" w:eastAsia="Arial" w:hAnsi="Arial"/>
                <w:sz w:val="16"/>
                <w:szCs w:val="16"/>
                <w:color w:val="auto"/>
              </w:rPr>
              <w:t>Cash dividends paid</w:t>
            </w:r>
          </w:p>
        </w:tc>
        <w:tc>
          <w:tcPr>
            <w:tcW w:w="2120" w:type="dxa"/>
            <w:vAlign w:val="bottom"/>
          </w:tcPr>
          <w:p>
            <w:pPr>
              <w:jc w:val="right"/>
              <w:ind w:right="599"/>
              <w:spacing w:after="0"/>
              <w:rPr>
                <w:sz w:val="20"/>
                <w:szCs w:val="20"/>
                <w:color w:val="auto"/>
              </w:rPr>
            </w:pPr>
            <w:r>
              <w:rPr>
                <w:rFonts w:ascii="Arial" w:cs="Arial" w:eastAsia="Arial" w:hAnsi="Arial"/>
                <w:sz w:val="16"/>
                <w:szCs w:val="16"/>
                <w:b w:val="1"/>
                <w:bCs w:val="1"/>
                <w:color w:val="auto"/>
              </w:rPr>
              <w:t>(247)</w:t>
            </w:r>
          </w:p>
        </w:tc>
        <w:tc>
          <w:tcPr>
            <w:tcW w:w="1840" w:type="dxa"/>
            <w:vAlign w:val="bottom"/>
          </w:tcPr>
          <w:p>
            <w:pPr>
              <w:jc w:val="right"/>
              <w:ind w:right="599"/>
              <w:spacing w:after="0"/>
              <w:rPr>
                <w:sz w:val="20"/>
                <w:szCs w:val="20"/>
                <w:color w:val="auto"/>
              </w:rPr>
            </w:pPr>
            <w:r>
              <w:rPr>
                <w:rFonts w:ascii="Arial" w:cs="Arial" w:eastAsia="Arial" w:hAnsi="Arial"/>
                <w:sz w:val="16"/>
                <w:szCs w:val="16"/>
                <w:color w:val="auto"/>
              </w:rPr>
              <w:t>(256)</w:t>
            </w:r>
          </w:p>
        </w:tc>
        <w:tc>
          <w:tcPr>
            <w:tcW w:w="1180" w:type="dxa"/>
            <w:vAlign w:val="bottom"/>
          </w:tcPr>
          <w:p>
            <w:pPr>
              <w:jc w:val="right"/>
              <w:spacing w:after="0"/>
              <w:rPr>
                <w:sz w:val="20"/>
                <w:szCs w:val="20"/>
                <w:color w:val="auto"/>
              </w:rPr>
            </w:pPr>
            <w:r>
              <w:rPr>
                <w:rFonts w:ascii="Arial" w:cs="Arial" w:eastAsia="Arial" w:hAnsi="Arial"/>
                <w:sz w:val="16"/>
                <w:szCs w:val="16"/>
                <w:color w:val="auto"/>
              </w:rPr>
              <w:t>(1,185)</w:t>
            </w:r>
          </w:p>
        </w:tc>
      </w:tr>
      <w:tr>
        <w:trPr>
          <w:trHeight w:val="33"/>
        </w:trPr>
        <w:tc>
          <w:tcPr>
            <w:tcW w:w="62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Payments for repurchase of common stock</w:t>
            </w:r>
          </w:p>
        </w:tc>
        <w:tc>
          <w:tcPr>
            <w:tcW w:w="212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6"/>
                <w:szCs w:val="16"/>
                <w:b w:val="1"/>
                <w:bCs w:val="1"/>
                <w:color w:val="auto"/>
              </w:rPr>
              <w:t>(211)</w:t>
            </w:r>
          </w:p>
        </w:tc>
        <w:tc>
          <w:tcPr>
            <w:tcW w:w="184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6"/>
                <w:szCs w:val="16"/>
                <w:color w:val="auto"/>
              </w:rPr>
              <w:t>(277)</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(1,192)</w:t>
            </w:r>
          </w:p>
        </w:tc>
      </w:tr>
      <w:tr>
        <w:trPr>
          <w:trHeight w:val="237"/>
        </w:trPr>
        <w:tc>
          <w:tcPr>
            <w:tcW w:w="6280" w:type="dxa"/>
            <w:vAlign w:val="bottom"/>
          </w:tcPr>
          <w:p>
            <w:pPr>
              <w:ind w:left="280"/>
              <w:spacing w:after="0"/>
              <w:rPr>
                <w:sz w:val="20"/>
                <w:szCs w:val="20"/>
                <w:color w:val="auto"/>
              </w:rPr>
            </w:pPr>
            <w:r>
              <w:rPr>
                <w:rFonts w:ascii="Arial" w:cs="Arial" w:eastAsia="Arial" w:hAnsi="Arial"/>
                <w:sz w:val="16"/>
                <w:szCs w:val="16"/>
                <w:color w:val="auto"/>
              </w:rPr>
              <w:t>Proceeds from issuances under stock compensation plans</w:t>
            </w:r>
          </w:p>
        </w:tc>
        <w:tc>
          <w:tcPr>
            <w:tcW w:w="2120" w:type="dxa"/>
            <w:vAlign w:val="bottom"/>
          </w:tcPr>
          <w:p>
            <w:pPr>
              <w:jc w:val="right"/>
              <w:ind w:right="659"/>
              <w:spacing w:after="0"/>
              <w:rPr>
                <w:sz w:val="20"/>
                <w:szCs w:val="20"/>
                <w:color w:val="auto"/>
              </w:rPr>
            </w:pPr>
            <w:r>
              <w:rPr>
                <w:rFonts w:ascii="Arial" w:cs="Arial" w:eastAsia="Arial" w:hAnsi="Arial"/>
                <w:sz w:val="16"/>
                <w:szCs w:val="16"/>
                <w:b w:val="1"/>
                <w:bCs w:val="1"/>
                <w:color w:val="auto"/>
              </w:rPr>
              <w:t>39</w:t>
            </w:r>
          </w:p>
        </w:tc>
        <w:tc>
          <w:tcPr>
            <w:tcW w:w="1840" w:type="dxa"/>
            <w:vAlign w:val="bottom"/>
          </w:tcPr>
          <w:p>
            <w:pPr>
              <w:jc w:val="right"/>
              <w:ind w:right="639"/>
              <w:spacing w:after="0"/>
              <w:rPr>
                <w:sz w:val="20"/>
                <w:szCs w:val="20"/>
                <w:color w:val="auto"/>
              </w:rPr>
            </w:pPr>
            <w:r>
              <w:rPr>
                <w:rFonts w:ascii="Arial" w:cs="Arial" w:eastAsia="Arial" w:hAnsi="Arial"/>
                <w:sz w:val="16"/>
                <w:szCs w:val="16"/>
                <w:color w:val="auto"/>
              </w:rPr>
              <w:t>83</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94</w:t>
            </w:r>
          </w:p>
        </w:tc>
      </w:tr>
      <w:tr>
        <w:trPr>
          <w:trHeight w:val="33"/>
        </w:trPr>
        <w:tc>
          <w:tcPr>
            <w:tcW w:w="62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Tax withholding on share-based awards</w:t>
            </w:r>
          </w:p>
        </w:tc>
        <w:tc>
          <w:tcPr>
            <w:tcW w:w="212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6"/>
                <w:szCs w:val="16"/>
                <w:b w:val="1"/>
                <w:bCs w:val="1"/>
                <w:color w:val="auto"/>
              </w:rPr>
              <w:t>(7)</w:t>
            </w:r>
          </w:p>
        </w:tc>
        <w:tc>
          <w:tcPr>
            <w:tcW w:w="184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6"/>
                <w:szCs w:val="16"/>
                <w:color w:val="auto"/>
              </w:rPr>
              <w:t>(5)</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37"/>
        </w:trPr>
        <w:tc>
          <w:tcPr>
            <w:tcW w:w="6280" w:type="dxa"/>
            <w:vAlign w:val="bottom"/>
          </w:tcPr>
          <w:p>
            <w:pPr>
              <w:ind w:left="280"/>
              <w:spacing w:after="0"/>
              <w:rPr>
                <w:sz w:val="20"/>
                <w:szCs w:val="20"/>
                <w:color w:val="auto"/>
              </w:rPr>
            </w:pPr>
            <w:r>
              <w:rPr>
                <w:rFonts w:ascii="Arial" w:cs="Arial" w:eastAsia="Arial" w:hAnsi="Arial"/>
                <w:sz w:val="16"/>
                <w:szCs w:val="16"/>
                <w:color w:val="auto"/>
              </w:rPr>
              <w:t>Other, net</w:t>
            </w:r>
          </w:p>
        </w:tc>
        <w:tc>
          <w:tcPr>
            <w:tcW w:w="2120" w:type="dxa"/>
            <w:vAlign w:val="bottom"/>
          </w:tcPr>
          <w:p>
            <w:pPr>
              <w:jc w:val="right"/>
              <w:ind w:right="599"/>
              <w:spacing w:after="0"/>
              <w:rPr>
                <w:sz w:val="20"/>
                <w:szCs w:val="20"/>
                <w:color w:val="auto"/>
              </w:rPr>
            </w:pPr>
            <w:r>
              <w:rPr>
                <w:rFonts w:ascii="Arial" w:cs="Arial" w:eastAsia="Arial" w:hAnsi="Arial"/>
                <w:sz w:val="16"/>
                <w:szCs w:val="16"/>
                <w:b w:val="1"/>
                <w:bCs w:val="1"/>
                <w:color w:val="auto"/>
              </w:rPr>
              <w:t>(35)</w:t>
            </w:r>
          </w:p>
        </w:tc>
        <w:tc>
          <w:tcPr>
            <w:tcW w:w="1840" w:type="dxa"/>
            <w:vAlign w:val="bottom"/>
          </w:tcPr>
          <w:p>
            <w:pPr>
              <w:jc w:val="right"/>
              <w:ind w:right="639"/>
              <w:spacing w:after="0"/>
              <w:rPr>
                <w:sz w:val="20"/>
                <w:szCs w:val="20"/>
                <w:color w:val="auto"/>
              </w:rPr>
            </w:pPr>
            <w:r>
              <w:rPr>
                <w:rFonts w:ascii="Arial" w:cs="Arial" w:eastAsia="Arial" w:hAnsi="Arial"/>
                <w:sz w:val="16"/>
                <w:szCs w:val="16"/>
                <w:color w:val="auto"/>
              </w:rPr>
              <w:t>6</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37</w:t>
            </w:r>
          </w:p>
        </w:tc>
      </w:tr>
      <w:tr>
        <w:trPr>
          <w:trHeight w:val="33"/>
        </w:trPr>
        <w:tc>
          <w:tcPr>
            <w:tcW w:w="62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used in financing activities</w:t>
            </w:r>
          </w:p>
        </w:tc>
        <w:tc>
          <w:tcPr>
            <w:tcW w:w="212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6"/>
                <w:szCs w:val="16"/>
                <w:b w:val="1"/>
                <w:bCs w:val="1"/>
                <w:color w:val="auto"/>
              </w:rPr>
              <w:t>(542)</w:t>
            </w:r>
          </w:p>
        </w:tc>
        <w:tc>
          <w:tcPr>
            <w:tcW w:w="184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6"/>
                <w:szCs w:val="16"/>
                <w:color w:val="auto"/>
              </w:rPr>
              <w:t>(455)</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(2,558)</w:t>
            </w:r>
          </w:p>
        </w:tc>
      </w:tr>
      <w:tr>
        <w:trPr>
          <w:trHeight w:val="264"/>
        </w:trPr>
        <w:tc>
          <w:tcPr>
            <w:tcW w:w="6280" w:type="dxa"/>
            <w:vAlign w:val="bottom"/>
            <w:tcBorders>
              <w:top w:val="single" w:sz="8" w:color="auto"/>
            </w:tcBorders>
          </w:tcPr>
          <w:p>
            <w:pPr>
              <w:spacing w:after="0"/>
              <w:rPr>
                <w:sz w:val="22"/>
                <w:szCs w:val="22"/>
                <w:color w:val="auto"/>
              </w:rPr>
            </w:pPr>
          </w:p>
        </w:tc>
        <w:tc>
          <w:tcPr>
            <w:tcW w:w="2120" w:type="dxa"/>
            <w:vAlign w:val="bottom"/>
            <w:tcBorders>
              <w:top w:val="single" w:sz="8" w:color="auto"/>
            </w:tcBorders>
          </w:tcPr>
          <w:p>
            <w:pPr>
              <w:spacing w:after="0"/>
              <w:rPr>
                <w:sz w:val="22"/>
                <w:szCs w:val="22"/>
                <w:color w:val="auto"/>
              </w:rPr>
            </w:pPr>
          </w:p>
        </w:tc>
        <w:tc>
          <w:tcPr>
            <w:tcW w:w="184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212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174</w:t>
            </w:r>
          </w:p>
        </w:tc>
        <w:tc>
          <w:tcPr>
            <w:tcW w:w="184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color w:val="auto"/>
              </w:rPr>
              <w:t>412</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(232)</w:t>
            </w:r>
          </w:p>
        </w:tc>
      </w:tr>
      <w:tr>
        <w:trPr>
          <w:trHeight w:val="237"/>
        </w:trPr>
        <w:tc>
          <w:tcPr>
            <w:tcW w:w="6280" w:type="dxa"/>
            <w:vAlign w:val="bottom"/>
          </w:tcPr>
          <w:p>
            <w:pPr>
              <w:ind w:left="40"/>
              <w:spacing w:after="0"/>
              <w:rPr>
                <w:sz w:val="20"/>
                <w:szCs w:val="20"/>
                <w:color w:val="auto"/>
              </w:rPr>
            </w:pPr>
            <w:r>
              <w:rPr>
                <w:rFonts w:ascii="Arial" w:cs="Arial" w:eastAsia="Arial" w:hAnsi="Arial"/>
                <w:sz w:val="16"/>
                <w:szCs w:val="16"/>
                <w:color w:val="auto"/>
              </w:rPr>
              <w:t>Cash and cash equivalents at beginning of year</w:t>
            </w:r>
          </w:p>
        </w:tc>
        <w:tc>
          <w:tcPr>
            <w:tcW w:w="2120" w:type="dxa"/>
            <w:vAlign w:val="bottom"/>
          </w:tcPr>
          <w:p>
            <w:pPr>
              <w:jc w:val="right"/>
              <w:ind w:right="659"/>
              <w:spacing w:after="0"/>
              <w:rPr>
                <w:sz w:val="20"/>
                <w:szCs w:val="20"/>
                <w:color w:val="auto"/>
              </w:rPr>
            </w:pPr>
            <w:r>
              <w:rPr>
                <w:rFonts w:ascii="Arial" w:cs="Arial" w:eastAsia="Arial" w:hAnsi="Arial"/>
                <w:sz w:val="16"/>
                <w:szCs w:val="16"/>
                <w:b w:val="1"/>
                <w:bCs w:val="1"/>
                <w:color w:val="auto"/>
              </w:rPr>
              <w:t>1,007</w:t>
            </w:r>
          </w:p>
        </w:tc>
        <w:tc>
          <w:tcPr>
            <w:tcW w:w="1840" w:type="dxa"/>
            <w:vAlign w:val="bottom"/>
          </w:tcPr>
          <w:p>
            <w:pPr>
              <w:jc w:val="right"/>
              <w:ind w:right="639"/>
              <w:spacing w:after="0"/>
              <w:rPr>
                <w:sz w:val="20"/>
                <w:szCs w:val="20"/>
                <w:color w:val="auto"/>
              </w:rPr>
            </w:pPr>
            <w:r>
              <w:rPr>
                <w:rFonts w:ascii="Arial" w:cs="Arial" w:eastAsia="Arial" w:hAnsi="Arial"/>
                <w:sz w:val="16"/>
                <w:szCs w:val="16"/>
                <w:color w:val="auto"/>
              </w:rPr>
              <w:t>595</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827</w:t>
            </w:r>
          </w:p>
        </w:tc>
      </w:tr>
      <w:tr>
        <w:trPr>
          <w:trHeight w:val="33"/>
        </w:trPr>
        <w:tc>
          <w:tcPr>
            <w:tcW w:w="62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and cash equivalents at end of year</w:t>
            </w:r>
          </w:p>
        </w:tc>
        <w:tc>
          <w:tcPr>
            <w:tcW w:w="212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$1,181</w:t>
            </w:r>
          </w:p>
        </w:tc>
        <w:tc>
          <w:tcPr>
            <w:tcW w:w="184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color w:val="auto"/>
              </w:rPr>
              <w:t>$1,007</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$595</w:t>
            </w:r>
          </w:p>
        </w:tc>
      </w:tr>
      <w:tr>
        <w:trPr>
          <w:trHeight w:val="264"/>
        </w:trPr>
        <w:tc>
          <w:tcPr>
            <w:tcW w:w="6280" w:type="dxa"/>
            <w:vAlign w:val="bottom"/>
            <w:tcBorders>
              <w:top w:val="single" w:sz="8" w:color="auto"/>
              <w:bottom w:val="single" w:sz="8" w:color="auto"/>
            </w:tcBorders>
          </w:tcPr>
          <w:p>
            <w:pPr>
              <w:spacing w:after="0"/>
              <w:rPr>
                <w:sz w:val="22"/>
                <w:szCs w:val="22"/>
                <w:color w:val="auto"/>
              </w:rPr>
            </w:pPr>
          </w:p>
        </w:tc>
        <w:tc>
          <w:tcPr>
            <w:tcW w:w="2120" w:type="dxa"/>
            <w:vAlign w:val="bottom"/>
            <w:tcBorders>
              <w:top w:val="single" w:sz="8" w:color="auto"/>
              <w:bottom w:val="single" w:sz="8" w:color="auto"/>
            </w:tcBorders>
          </w:tcPr>
          <w:p>
            <w:pPr>
              <w:spacing w:after="0"/>
              <w:rPr>
                <w:sz w:val="22"/>
                <w:szCs w:val="22"/>
                <w:color w:val="auto"/>
              </w:rPr>
            </w:pPr>
          </w:p>
        </w:tc>
        <w:tc>
          <w:tcPr>
            <w:tcW w:w="184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spacing w:after="0"/>
              <w:rPr>
                <w:sz w:val="22"/>
                <w:szCs w:val="22"/>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Supplemental Cash Flow Information</w:t>
            </w:r>
          </w:p>
        </w:tc>
        <w:tc>
          <w:tcPr>
            <w:tcW w:w="2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37"/>
        </w:trPr>
        <w:tc>
          <w:tcPr>
            <w:tcW w:w="6280" w:type="dxa"/>
            <w:vAlign w:val="bottom"/>
          </w:tcPr>
          <w:p>
            <w:pPr>
              <w:ind w:left="40"/>
              <w:spacing w:after="0"/>
              <w:rPr>
                <w:sz w:val="20"/>
                <w:szCs w:val="20"/>
                <w:color w:val="auto"/>
              </w:rPr>
            </w:pPr>
            <w:r>
              <w:rPr>
                <w:rFonts w:ascii="Arial" w:cs="Arial" w:eastAsia="Arial" w:hAnsi="Arial"/>
                <w:sz w:val="16"/>
                <w:szCs w:val="16"/>
                <w:color w:val="auto"/>
              </w:rPr>
              <w:t>Cash paid during the year for:</w:t>
            </w:r>
          </w:p>
        </w:tc>
        <w:tc>
          <w:tcPr>
            <w:tcW w:w="21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3"/>
        </w:trPr>
        <w:tc>
          <w:tcPr>
            <w:tcW w:w="62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Income taxes, net of refunds</w:t>
            </w:r>
          </w:p>
        </w:tc>
        <w:tc>
          <w:tcPr>
            <w:tcW w:w="212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$363</w:t>
            </w:r>
          </w:p>
        </w:tc>
        <w:tc>
          <w:tcPr>
            <w:tcW w:w="184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color w:val="auto"/>
              </w:rPr>
              <w:t>$112</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$383</w:t>
            </w:r>
          </w:p>
        </w:tc>
      </w:tr>
      <w:tr>
        <w:trPr>
          <w:trHeight w:val="237"/>
        </w:trPr>
        <w:tc>
          <w:tcPr>
            <w:tcW w:w="6280" w:type="dxa"/>
            <w:vAlign w:val="bottom"/>
          </w:tcPr>
          <w:p>
            <w:pPr>
              <w:ind w:left="280"/>
              <w:spacing w:after="0"/>
              <w:rPr>
                <w:sz w:val="20"/>
                <w:szCs w:val="20"/>
                <w:color w:val="auto"/>
              </w:rPr>
            </w:pPr>
            <w:r>
              <w:rPr>
                <w:rFonts w:ascii="Arial" w:cs="Arial" w:eastAsia="Arial" w:hAnsi="Arial"/>
                <w:sz w:val="16"/>
                <w:szCs w:val="16"/>
                <w:color w:val="auto"/>
              </w:rPr>
              <w:t>Interest, net of capitalized interest</w:t>
            </w:r>
          </w:p>
        </w:tc>
        <w:tc>
          <w:tcPr>
            <w:tcW w:w="2120" w:type="dxa"/>
            <w:vAlign w:val="bottom"/>
          </w:tcPr>
          <w:p>
            <w:pPr>
              <w:jc w:val="right"/>
              <w:ind w:right="659"/>
              <w:spacing w:after="0"/>
              <w:rPr>
                <w:sz w:val="20"/>
                <w:szCs w:val="20"/>
                <w:color w:val="auto"/>
              </w:rPr>
            </w:pPr>
            <w:r>
              <w:rPr>
                <w:rFonts w:ascii="Arial" w:cs="Arial" w:eastAsia="Arial" w:hAnsi="Arial"/>
                <w:sz w:val="16"/>
                <w:szCs w:val="16"/>
                <w:b w:val="1"/>
                <w:bCs w:val="1"/>
                <w:color w:val="auto"/>
              </w:rPr>
              <w:t>143</w:t>
            </w:r>
          </w:p>
        </w:tc>
        <w:tc>
          <w:tcPr>
            <w:tcW w:w="1840" w:type="dxa"/>
            <w:vAlign w:val="bottom"/>
          </w:tcPr>
          <w:p>
            <w:pPr>
              <w:jc w:val="right"/>
              <w:ind w:right="639"/>
              <w:spacing w:after="0"/>
              <w:rPr>
                <w:sz w:val="20"/>
                <w:szCs w:val="20"/>
                <w:color w:val="auto"/>
              </w:rPr>
            </w:pPr>
            <w:r>
              <w:rPr>
                <w:rFonts w:ascii="Arial" w:cs="Arial" w:eastAsia="Arial" w:hAnsi="Arial"/>
                <w:sz w:val="16"/>
                <w:szCs w:val="16"/>
                <w:color w:val="auto"/>
              </w:rPr>
              <w:t>134</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136</w:t>
            </w:r>
          </w:p>
        </w:tc>
      </w:tr>
      <w:tr>
        <w:trPr>
          <w:trHeight w:val="33"/>
        </w:trPr>
        <w:tc>
          <w:tcPr>
            <w:tcW w:w="62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280" w:type="dxa"/>
            <w:vAlign w:val="bottom"/>
            <w:shd w:val="clear" w:color="auto" w:fill="CCEEFF"/>
          </w:tcPr>
          <w:p>
            <w:pPr>
              <w:spacing w:after="0"/>
              <w:rPr>
                <w:sz w:val="23"/>
                <w:szCs w:val="23"/>
                <w:color w:val="auto"/>
              </w:rPr>
            </w:pPr>
          </w:p>
        </w:tc>
        <w:tc>
          <w:tcPr>
            <w:tcW w:w="2120" w:type="dxa"/>
            <w:vAlign w:val="bottom"/>
            <w:shd w:val="clear" w:color="auto" w:fill="CCEEFF"/>
          </w:tcPr>
          <w:p>
            <w:pPr>
              <w:spacing w:after="0"/>
              <w:rPr>
                <w:sz w:val="23"/>
                <w:szCs w:val="23"/>
                <w:color w:val="auto"/>
              </w:rPr>
            </w:pPr>
          </w:p>
        </w:tc>
        <w:tc>
          <w:tcPr>
            <w:tcW w:w="18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37"/>
        </w:trPr>
        <w:tc>
          <w:tcPr>
            <w:tcW w:w="6280" w:type="dxa"/>
            <w:vAlign w:val="bottom"/>
          </w:tcPr>
          <w:p>
            <w:pPr>
              <w:ind w:left="40"/>
              <w:spacing w:after="0"/>
              <w:rPr>
                <w:sz w:val="20"/>
                <w:szCs w:val="20"/>
                <w:color w:val="auto"/>
              </w:rPr>
            </w:pPr>
            <w:r>
              <w:rPr>
                <w:rFonts w:ascii="Arial" w:cs="Arial" w:eastAsia="Arial" w:hAnsi="Arial"/>
                <w:sz w:val="16"/>
                <w:szCs w:val="16"/>
                <w:color w:val="auto"/>
              </w:rPr>
              <w:t>Non-cash investing and financing activities:</w:t>
            </w:r>
          </w:p>
        </w:tc>
        <w:tc>
          <w:tcPr>
            <w:tcW w:w="21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3"/>
        </w:trPr>
        <w:tc>
          <w:tcPr>
            <w:tcW w:w="62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Beneficial interest asset acquired from the sale of credit card receivables</w:t>
            </w:r>
          </w:p>
        </w:tc>
        <w:tc>
          <w:tcPr>
            <w:tcW w:w="212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w:t>
            </w:r>
          </w:p>
        </w:tc>
        <w:tc>
          <w:tcPr>
            <w:tcW w:w="184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w:t>
            </w:r>
          </w:p>
        </w:tc>
      </w:tr>
      <w:tr>
        <w:trPr>
          <w:trHeight w:val="237"/>
        </w:trPr>
        <w:tc>
          <w:tcPr>
            <w:tcW w:w="6280" w:type="dxa"/>
            <w:vAlign w:val="bottom"/>
          </w:tcPr>
          <w:p>
            <w:pPr>
              <w:ind w:left="280"/>
              <w:spacing w:after="0"/>
              <w:rPr>
                <w:sz w:val="20"/>
                <w:szCs w:val="20"/>
                <w:color w:val="auto"/>
              </w:rPr>
            </w:pPr>
            <w:r>
              <w:rPr>
                <w:rFonts w:ascii="Arial" w:cs="Arial" w:eastAsia="Arial" w:hAnsi="Arial"/>
                <w:sz w:val="16"/>
                <w:szCs w:val="16"/>
                <w:color w:val="auto"/>
              </w:rPr>
              <w:t>Issuance of common stock for Trunk Club acquisition</w:t>
            </w:r>
          </w:p>
        </w:tc>
        <w:tc>
          <w:tcPr>
            <w:tcW w:w="2120" w:type="dxa"/>
            <w:vAlign w:val="bottom"/>
          </w:tcPr>
          <w:p>
            <w:pPr>
              <w:jc w:val="right"/>
              <w:ind w:right="659"/>
              <w:spacing w:after="0"/>
              <w:rPr>
                <w:sz w:val="20"/>
                <w:szCs w:val="20"/>
                <w:color w:val="auto"/>
              </w:rPr>
            </w:pPr>
            <w:r>
              <w:rPr>
                <w:rFonts w:ascii="Arial" w:cs="Arial" w:eastAsia="Arial" w:hAnsi="Arial"/>
                <w:sz w:val="16"/>
                <w:szCs w:val="16"/>
                <w:b w:val="1"/>
                <w:bCs w:val="1"/>
                <w:color w:val="auto"/>
              </w:rPr>
              <w:t>—</w:t>
            </w:r>
          </w:p>
        </w:tc>
        <w:tc>
          <w:tcPr>
            <w:tcW w:w="1840" w:type="dxa"/>
            <w:vAlign w:val="bottom"/>
          </w:tcPr>
          <w:p>
            <w:pPr>
              <w:jc w:val="right"/>
              <w:ind w:right="63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23</w:t>
            </w:r>
          </w:p>
        </w:tc>
      </w:tr>
      <w:tr>
        <w:trPr>
          <w:trHeight w:val="33"/>
        </w:trPr>
        <w:tc>
          <w:tcPr>
            <w:tcW w:w="62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ectPr>
          <w:pgSz w:w="11900" w:h="16838" w:orient="portrait"/>
          <w:cols w:equalWidth="0" w:num="1">
            <w:col w:w="11420"/>
          </w:cols>
          <w:pgMar w:left="240" w:top="126" w:right="239" w:bottom="0" w:gutter="0" w:footer="0" w:header="0"/>
        </w:sectPr>
      </w:pPr>
    </w:p>
    <w:bookmarkStart w:id="40" w:name="page41"/>
    <w:bookmarkEnd w:id="40"/>
    <w:p>
      <w:pPr>
        <w:spacing w:after="0"/>
        <w:rPr>
          <w:sz w:val="20"/>
          <w:szCs w:val="20"/>
          <w:color w:val="auto"/>
        </w:rPr>
      </w:pPr>
      <w:r>
        <w:rPr>
          <w:rFonts w:ascii="Arial" w:cs="Arial" w:eastAsia="Arial" w:hAnsi="Arial"/>
          <w:sz w:val="14"/>
          <w:szCs w:val="14"/>
          <w:color w:val="auto"/>
        </w:rPr>
        <w:t>The accompanying Notes to Consolidated Financial Statements are an integral part of these financial statements.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0219"/>
          </w:cols>
          <w:pgMar w:left="240" w:top="292" w:right="1440" w:bottom="1440" w:gutter="0" w:footer="0" w:header="0"/>
        </w:sectPr>
      </w:pPr>
    </w:p>
    <w:bookmarkStart w:id="41" w:name="page42"/>
    <w:bookmarkEnd w:id="41"/>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200" w:lineRule="exact"/>
        <w:rPr>
          <w:sz w:val="20"/>
          <w:szCs w:val="20"/>
          <w:color w:val="auto"/>
        </w:rPr>
      </w:pPr>
    </w:p>
    <w:p>
      <w:pPr>
        <w:spacing w:after="0" w:line="383" w:lineRule="exact"/>
        <w:rPr>
          <w:sz w:val="20"/>
          <w:szCs w:val="20"/>
          <w:color w:val="auto"/>
        </w:rPr>
      </w:pPr>
    </w:p>
    <w:p>
      <w:pPr>
        <w:ind w:right="3220"/>
        <w:spacing w:after="0" w:line="355" w:lineRule="auto"/>
        <w:rPr>
          <w:sz w:val="20"/>
          <w:szCs w:val="20"/>
          <w:color w:val="auto"/>
        </w:rPr>
      </w:pPr>
      <w:r>
        <w:rPr>
          <w:rFonts w:ascii="Arial" w:cs="Arial" w:eastAsia="Arial" w:hAnsi="Arial"/>
          <w:sz w:val="18"/>
          <w:szCs w:val="18"/>
          <w:b w:val="1"/>
          <w:bCs w:val="1"/>
          <w:color w:val="auto"/>
        </w:rPr>
        <w:t>NOTE 1: NATURE OF OPERATIONS AND SUMMARY OF SIGNIFICANT ACCOUNTING POLICIES The Company</w:t>
      </w:r>
    </w:p>
    <w:p>
      <w:pPr>
        <w:ind w:right="40"/>
        <w:spacing w:after="0" w:line="252" w:lineRule="auto"/>
        <w:rPr>
          <w:sz w:val="20"/>
          <w:szCs w:val="20"/>
          <w:color w:val="auto"/>
        </w:rPr>
      </w:pPr>
      <w:r>
        <w:rPr>
          <w:rFonts w:ascii="Arial" w:cs="Arial" w:eastAsia="Arial" w:hAnsi="Arial"/>
          <w:sz w:val="18"/>
          <w:szCs w:val="18"/>
          <w:color w:val="auto"/>
        </w:rPr>
        <w:t>Founded in 1901 as a retail shoe business in Seattle, Washington, Nordstrom, Inc. is now a leading fashion retailer that offers customers a well-edited selection of high-quality fashion brands focused on apparel, shoes, cosmetics and accessories for women, men, young adults and children. This breadth of merchandise allows us to serve a wide range of customers who appreciate quality fashion and a superior shopping experience. We offer an extensive selection of high-quality brand-name and private label merchandise through multiple retail channels, including 117 Nordstrom U.S. full-line stores, including Nordstrom Local and Nordstrom.com, six Canada full-line stores, 232 off-price Nordstrom Rack stores, Nordstromrack.com/HauteLook, seven Trunk Club clubhouses and TrunkClub.com, two Jeffrey boutiques and two Last Chance clearance stores. Our stores are located in 40 states throughout the U.S and in three provinces in Canada.</w:t>
      </w:r>
    </w:p>
    <w:p>
      <w:pPr>
        <w:spacing w:after="0" w:line="139"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Through our Credit segment, our customers can access a variety of payment products and services, including a selection of Nordstrom-branded Visa® credit cards in the U.S. and Canada, as well as a Nordstrom-branded private label credit card and a debit card for Nordstrom purchases. When customers use a Nordstrom-branded credit or debit card, they also participate in our loyalty program that provides benefits based on their level of spending. Although the primary purposes of our Credit segment are to foster greater customer loyalty and drive more sales, we also receive credit card revenue through our program agreement with TD Bank, N.A. (“TD”) (see Note 2: Credit Card Receivable Transaction).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w:t>
      </w:r>
    </w:p>
    <w:p>
      <w:pPr>
        <w:spacing w:after="0" w:line="2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We operate on a 52/53-week fiscal year ending on the Saturday closest to January 31st. References to 2017 relate to the 53-week fiscal year ended February 3, 2018. References to any other years included within this document are based on a 52-week fiscal year.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7" w:lineRule="exact"/>
        <w:rPr>
          <w:sz w:val="20"/>
          <w:szCs w:val="20"/>
          <w:color w:val="auto"/>
        </w:rPr>
      </w:pPr>
    </w:p>
    <w:p>
      <w:pPr>
        <w:ind w:right="780"/>
        <w:spacing w:after="0" w:line="261" w:lineRule="auto"/>
        <w:rPr>
          <w:sz w:val="20"/>
          <w:szCs w:val="20"/>
          <w:color w:val="auto"/>
        </w:rPr>
      </w:pPr>
      <w:r>
        <w:rPr>
          <w:rFonts w:ascii="Arial" w:cs="Arial" w:eastAsia="Arial" w:hAnsi="Arial"/>
          <w:sz w:val="18"/>
          <w:szCs w:val="18"/>
          <w:color w:val="auto"/>
        </w:rPr>
        <w:t>The Consolidated Financial Statements include the balances of Nordstrom, Inc. and its subsidiaries. All intercompany transactions and balances are eliminated in consolidation.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7"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U.S. requires management to make estimates and assumptions that affect the reported amounts of assets, liabilities, revenues and expenses, and disclosure of contingent assets and liabilities during the reporting period. Uncertainties regarding such estimates and assumptions are inherent in the preparation of financial statements and actual results may differ from these estimates and assumptions. Our most significant accounting judgments and estimates include revenue recognition, inventory, long-lived assets, goodwill, stock-based compensation and income taxes.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We recognize sales revenue net of estimated returns and excluding sales taxes. Revenue from sales to customers shipped directly from our stores and fulfillment centers, which includes shipping revenue when applicable, is recognized upon estimated receipt by the customer. We estimate customer merchandise returns based on historical return patterns and reduce sales and cost of sales accordingly. Activity in the allowance for sales returns, net, for the past three fiscal years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40" w:type="dxa"/>
            <w:vAlign w:val="bottom"/>
          </w:tcPr>
          <w:p>
            <w:pPr>
              <w:ind w:left="40"/>
              <w:spacing w:after="0"/>
              <w:rPr>
                <w:sz w:val="20"/>
                <w:szCs w:val="20"/>
                <w:color w:val="auto"/>
              </w:rPr>
            </w:pPr>
            <w:r>
              <w:rPr>
                <w:rFonts w:ascii="Arial" w:cs="Arial" w:eastAsia="Arial" w:hAnsi="Arial"/>
                <w:sz w:val="16"/>
                <w:szCs w:val="16"/>
                <w:b w:val="1"/>
                <w:bCs w:val="1"/>
                <w:color w:val="auto"/>
              </w:rPr>
              <w:t>Fiscal year</w:t>
            </w:r>
          </w:p>
        </w:tc>
        <w:tc>
          <w:tcPr>
            <w:tcW w:w="3680" w:type="dxa"/>
            <w:vAlign w:val="bottom"/>
          </w:tcPr>
          <w:p>
            <w:pPr>
              <w:jc w:val="right"/>
              <w:ind w:right="699"/>
              <w:spacing w:after="0"/>
              <w:rPr>
                <w:sz w:val="20"/>
                <w:szCs w:val="20"/>
                <w:color w:val="auto"/>
              </w:rPr>
            </w:pPr>
            <w:r>
              <w:rPr>
                <w:rFonts w:ascii="Arial" w:cs="Arial" w:eastAsia="Arial" w:hAnsi="Arial"/>
                <w:sz w:val="16"/>
                <w:szCs w:val="16"/>
                <w:b w:val="1"/>
                <w:bCs w:val="1"/>
                <w:color w:val="auto"/>
              </w:rPr>
              <w:t>2017</w:t>
            </w:r>
          </w:p>
        </w:tc>
        <w:tc>
          <w:tcPr>
            <w:tcW w:w="1920" w:type="dxa"/>
            <w:vAlign w:val="bottom"/>
          </w:tcPr>
          <w:p>
            <w:pPr>
              <w:jc w:val="right"/>
              <w:ind w:right="699"/>
              <w:spacing w:after="0"/>
              <w:rPr>
                <w:sz w:val="20"/>
                <w:szCs w:val="20"/>
                <w:color w:val="auto"/>
              </w:rPr>
            </w:pPr>
            <w:r>
              <w:rPr>
                <w:rFonts w:ascii="Arial" w:cs="Arial" w:eastAsia="Arial" w:hAnsi="Arial"/>
                <w:sz w:val="16"/>
                <w:szCs w:val="16"/>
                <w:b w:val="1"/>
                <w:bCs w:val="1"/>
                <w:color w:val="auto"/>
              </w:rPr>
              <w:t>2016</w:t>
            </w:r>
          </w:p>
        </w:tc>
        <w:tc>
          <w:tcPr>
            <w:tcW w:w="1260" w:type="dxa"/>
            <w:vAlign w:val="bottom"/>
          </w:tcPr>
          <w:p>
            <w:pPr>
              <w:jc w:val="right"/>
              <w:ind w:right="39"/>
              <w:spacing w:after="0"/>
              <w:rPr>
                <w:sz w:val="20"/>
                <w:szCs w:val="20"/>
                <w:color w:val="auto"/>
              </w:rPr>
            </w:pPr>
            <w:r>
              <w:rPr>
                <w:rFonts w:ascii="Arial" w:cs="Arial" w:eastAsia="Arial" w:hAnsi="Arial"/>
                <w:sz w:val="16"/>
                <w:szCs w:val="16"/>
                <w:b w:val="1"/>
                <w:bCs w:val="1"/>
                <w:color w:val="auto"/>
              </w:rPr>
              <w:t>2015</w:t>
            </w:r>
          </w:p>
        </w:tc>
      </w:tr>
      <w:tr>
        <w:trPr>
          <w:trHeight w:val="33"/>
        </w:trPr>
        <w:tc>
          <w:tcPr>
            <w:tcW w:w="454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Allowance at beginning of year</w:t>
            </w:r>
          </w:p>
        </w:tc>
        <w:tc>
          <w:tcPr>
            <w:tcW w:w="368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$187</w:t>
            </w:r>
          </w:p>
        </w:tc>
        <w:tc>
          <w:tcPr>
            <w:tcW w:w="192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color w:val="auto"/>
              </w:rPr>
              <w:t>$170</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$160</w:t>
            </w:r>
          </w:p>
        </w:tc>
      </w:tr>
      <w:tr>
        <w:trPr>
          <w:trHeight w:val="237"/>
        </w:trPr>
        <w:tc>
          <w:tcPr>
            <w:tcW w:w="4540" w:type="dxa"/>
            <w:vAlign w:val="bottom"/>
          </w:tcPr>
          <w:p>
            <w:pPr>
              <w:ind w:left="40"/>
              <w:spacing w:after="0"/>
              <w:rPr>
                <w:sz w:val="20"/>
                <w:szCs w:val="20"/>
                <w:color w:val="auto"/>
              </w:rPr>
            </w:pPr>
            <w:r>
              <w:rPr>
                <w:rFonts w:ascii="Arial" w:cs="Arial" w:eastAsia="Arial" w:hAnsi="Arial"/>
                <w:sz w:val="16"/>
                <w:szCs w:val="16"/>
                <w:color w:val="auto"/>
              </w:rPr>
              <w:t>Charged to costs and expenses</w:t>
            </w:r>
          </w:p>
        </w:tc>
        <w:tc>
          <w:tcPr>
            <w:tcW w:w="3680" w:type="dxa"/>
            <w:vAlign w:val="bottom"/>
          </w:tcPr>
          <w:p>
            <w:pPr>
              <w:jc w:val="right"/>
              <w:ind w:right="699"/>
              <w:spacing w:after="0"/>
              <w:rPr>
                <w:sz w:val="20"/>
                <w:szCs w:val="20"/>
                <w:color w:val="auto"/>
              </w:rPr>
            </w:pPr>
            <w:r>
              <w:rPr>
                <w:rFonts w:ascii="Arial" w:cs="Arial" w:eastAsia="Arial" w:hAnsi="Arial"/>
                <w:sz w:val="16"/>
                <w:szCs w:val="16"/>
                <w:b w:val="1"/>
                <w:bCs w:val="1"/>
                <w:color w:val="auto"/>
              </w:rPr>
              <w:t>3,307</w:t>
            </w:r>
          </w:p>
        </w:tc>
        <w:tc>
          <w:tcPr>
            <w:tcW w:w="1920" w:type="dxa"/>
            <w:vAlign w:val="bottom"/>
          </w:tcPr>
          <w:p>
            <w:pPr>
              <w:jc w:val="right"/>
              <w:ind w:right="699"/>
              <w:spacing w:after="0"/>
              <w:rPr>
                <w:sz w:val="20"/>
                <w:szCs w:val="20"/>
                <w:color w:val="auto"/>
              </w:rPr>
            </w:pPr>
            <w:r>
              <w:rPr>
                <w:rFonts w:ascii="Arial" w:cs="Arial" w:eastAsia="Arial" w:hAnsi="Arial"/>
                <w:sz w:val="16"/>
                <w:szCs w:val="16"/>
                <w:color w:val="auto"/>
              </w:rPr>
              <w:t>3,023</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2,720</w:t>
            </w:r>
          </w:p>
        </w:tc>
      </w:tr>
      <w:tr>
        <w:trPr>
          <w:trHeight w:val="33"/>
        </w:trPr>
        <w:tc>
          <w:tcPr>
            <w:tcW w:w="454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45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Deductions</w:t>
            </w:r>
            <w:r>
              <w:rPr>
                <w:rFonts w:ascii="Arial" w:cs="Arial" w:eastAsia="Arial" w:hAnsi="Arial"/>
                <w:sz w:val="21"/>
                <w:szCs w:val="21"/>
                <w:color w:val="auto"/>
                <w:vertAlign w:val="superscript"/>
              </w:rPr>
              <w:t>1</w:t>
            </w:r>
          </w:p>
        </w:tc>
        <w:tc>
          <w:tcPr>
            <w:tcW w:w="368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(3,310)</w:t>
            </w:r>
          </w:p>
        </w:tc>
        <w:tc>
          <w:tcPr>
            <w:tcW w:w="192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color w:val="auto"/>
              </w:rPr>
              <w:t>(3,006)</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(2,710)</w:t>
            </w:r>
          </w:p>
        </w:tc>
      </w:tr>
      <w:tr>
        <w:trPr>
          <w:trHeight w:val="231"/>
        </w:trPr>
        <w:tc>
          <w:tcPr>
            <w:tcW w:w="4540" w:type="dxa"/>
            <w:vAlign w:val="bottom"/>
          </w:tcPr>
          <w:p>
            <w:pPr>
              <w:ind w:left="40"/>
              <w:spacing w:after="0"/>
              <w:rPr>
                <w:sz w:val="20"/>
                <w:szCs w:val="20"/>
                <w:color w:val="auto"/>
              </w:rPr>
            </w:pPr>
            <w:r>
              <w:rPr>
                <w:rFonts w:ascii="Arial" w:cs="Arial" w:eastAsia="Arial" w:hAnsi="Arial"/>
                <w:sz w:val="16"/>
                <w:szCs w:val="16"/>
                <w:b w:val="1"/>
                <w:bCs w:val="1"/>
                <w:color w:val="auto"/>
              </w:rPr>
              <w:t>Allowance at end of year</w:t>
            </w:r>
          </w:p>
        </w:tc>
        <w:tc>
          <w:tcPr>
            <w:tcW w:w="3680" w:type="dxa"/>
            <w:vAlign w:val="bottom"/>
          </w:tcPr>
          <w:p>
            <w:pPr>
              <w:jc w:val="right"/>
              <w:ind w:right="699"/>
              <w:spacing w:after="0"/>
              <w:rPr>
                <w:sz w:val="20"/>
                <w:szCs w:val="20"/>
                <w:color w:val="auto"/>
              </w:rPr>
            </w:pPr>
            <w:r>
              <w:rPr>
                <w:rFonts w:ascii="Arial" w:cs="Arial" w:eastAsia="Arial" w:hAnsi="Arial"/>
                <w:sz w:val="16"/>
                <w:szCs w:val="16"/>
                <w:b w:val="1"/>
                <w:bCs w:val="1"/>
                <w:color w:val="auto"/>
              </w:rPr>
              <w:t>$184</w:t>
            </w:r>
          </w:p>
        </w:tc>
        <w:tc>
          <w:tcPr>
            <w:tcW w:w="1920" w:type="dxa"/>
            <w:vAlign w:val="bottom"/>
          </w:tcPr>
          <w:p>
            <w:pPr>
              <w:jc w:val="right"/>
              <w:ind w:right="699"/>
              <w:spacing w:after="0"/>
              <w:rPr>
                <w:sz w:val="20"/>
                <w:szCs w:val="20"/>
                <w:color w:val="auto"/>
              </w:rPr>
            </w:pPr>
            <w:r>
              <w:rPr>
                <w:rFonts w:ascii="Arial" w:cs="Arial" w:eastAsia="Arial" w:hAnsi="Arial"/>
                <w:sz w:val="16"/>
                <w:szCs w:val="16"/>
                <w:color w:val="auto"/>
              </w:rPr>
              <w:t>$187</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$170</w:t>
            </w:r>
          </w:p>
        </w:tc>
      </w:tr>
    </w:tbl>
    <w:p>
      <w:pPr>
        <w:spacing w:after="0" w:line="28" w:lineRule="exact"/>
        <w:rPr>
          <w:sz w:val="20"/>
          <w:szCs w:val="20"/>
          <w:color w:val="auto"/>
        </w:rPr>
      </w:pPr>
    </w:p>
    <w:p>
      <w:pPr>
        <w:ind w:left="80" w:hanging="72"/>
        <w:spacing w:after="0"/>
        <w:tabs>
          <w:tab w:leader="none" w:pos="80" w:val="left"/>
        </w:tabs>
        <w:numPr>
          <w:ilvl w:val="0"/>
          <w:numId w:val="62"/>
        </w:numPr>
        <w:rPr>
          <w:rFonts w:ascii="Arial" w:cs="Arial" w:eastAsia="Arial" w:hAnsi="Arial"/>
          <w:sz w:val="9"/>
          <w:szCs w:val="9"/>
          <w:color w:val="auto"/>
        </w:rPr>
      </w:pPr>
      <w:r>
        <w:rPr>
          <w:rFonts w:ascii="Arial" w:cs="Arial" w:eastAsia="Arial" w:hAnsi="Arial"/>
          <w:sz w:val="14"/>
          <w:szCs w:val="14"/>
          <w:color w:val="auto"/>
        </w:rPr>
        <w:t>Deductions consist of actual returns, net of the value of the merchandise returned and any sales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22947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Card Revenues, net</w:t>
      </w:r>
    </w:p>
    <w:p>
      <w:pPr>
        <w:spacing w:after="0" w:line="2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October 2015, we completed the sale of a substantial majority of our U.S. Visa and private label credit card portfolio to TD. In November 2017, we sold the remaining balances which consisted of employee credit card receivables for the U.S. Visa and Nordstrom private label credit cards to TD (see Note 2: Credit Card Receivable Transaction). Credit program revenues, net include our portion of the ongoing credit card revenue, net of credit losses, from both sold and newly generated credit card receivables pursuant to our program agreement with TD. Asset amortization and deferred revenue recognition associated with the assets and liabilities recorded as part of the transaction are also recorded in credit program revenues, net.</w:t>
      </w:r>
    </w:p>
    <w:p>
      <w:pPr>
        <w:spacing w:after="0" w:line="372"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41</w:t>
      </w:r>
    </w:p>
    <w:p>
      <w:pPr>
        <w:sectPr>
          <w:pgSz w:w="11900" w:h="16838" w:orient="portrait"/>
          <w:cols w:equalWidth="0" w:num="1">
            <w:col w:w="11420"/>
          </w:cols>
          <w:pgMar w:left="240" w:top="126" w:right="239" w:bottom="1440" w:gutter="0" w:footer="0" w:header="0"/>
        </w:sectPr>
      </w:pPr>
    </w:p>
    <w:bookmarkStart w:id="42" w:name="page43"/>
    <w:bookmarkEnd w:id="42"/>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Cost of sales includes the purchase cost of inventory sold (net of vendor allowances), in-bound freight and certain costs of our loyalty program benefits.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Loyalty Program</w:t>
      </w:r>
    </w:p>
    <w:p>
      <w:pPr>
        <w:spacing w:after="0" w:line="2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2016, our Nordstrom Rewards loyalty program, which allows customers to accumulate points based on their level of spending, was expanded to enable any customer interested in participating to earn benefits regardless of how they choose to pay. Prior to 2016, our loyalty program was only offered to Nordstrom cardholders. Upon reaching certain point thresholds, customers receive Nordstrom Notes (“Notes”), which can be redeemed for goods or services offered at Nordstrom full-line stores, Nordstrom.com, Nordstrom Rack and Nordstromrack.com/HauteLook. Nordstrom cardholders can also earn rewards at Trunk Club. Customers who participate in our loyalty program through our credit and debit cards receive additional benefits including reimbursements for alterations, Personal Triple Points days, shopping and fashion events and early access to the Anniversary Sale. Nordstrom Rewards loyalty program liabilities of $69 and $62 were included in other current liabilities at the end of 2017 and 2016.</w:t>
      </w:r>
    </w:p>
    <w:p>
      <w:pPr>
        <w:spacing w:after="0" w:line="12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estimate the net cost of Notes that will be issued and redeemed and record this cost as rewards points are accumulated. These costs, as well as reimbursed alterations, are recorded in cost of sales as we provide customers with products and services for these rewards. Other benefits of our Nordstrom Rewards loyalty program, including shopping and fashion events, are recorded in selling, general and administrative expenses. Total costs related to the Nordstrom Rewards loyalty program were $175, $162 and $164 in 2017, 2016 and 2015.</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Buying and Occupancy Costs</w:t>
      </w:r>
    </w:p>
    <w:p>
      <w:pPr>
        <w:spacing w:after="0" w:line="27" w:lineRule="exact"/>
        <w:rPr>
          <w:sz w:val="20"/>
          <w:szCs w:val="20"/>
          <w:color w:val="auto"/>
        </w:rPr>
      </w:pPr>
    </w:p>
    <w:p>
      <w:pPr>
        <w:ind w:right="300"/>
        <w:spacing w:after="0" w:line="290" w:lineRule="auto"/>
        <w:rPr>
          <w:sz w:val="20"/>
          <w:szCs w:val="20"/>
          <w:color w:val="auto"/>
        </w:rPr>
      </w:pPr>
      <w:r>
        <w:rPr>
          <w:rFonts w:ascii="Arial" w:cs="Arial" w:eastAsia="Arial" w:hAnsi="Arial"/>
          <w:sz w:val="17"/>
          <w:szCs w:val="17"/>
          <w:color w:val="auto"/>
        </w:rPr>
        <w:t>Buying costs consist primarily of compensation and other costs incurred by our merchandising and product development groups. Occupancy costs include rent, depreciation, property taxes and facility operating costs of our retail, corporate center, fulfillment facilities and distribution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Rent</w:t>
      </w:r>
    </w:p>
    <w:p>
      <w:pPr>
        <w:spacing w:after="0" w:line="2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recognize minimum rent expense, net of developer reimbursements, on a straight-line basis over the minimum lease term from the time that we control the leased property. For scheduled rent escalation clauses during the lease terms, we record minimum rent expense on a straight-line basis over the terms of the leases, with the adjustments accrued as current and noncurrent deferred rent and included in other current liabilities and other liabilities on our Consolidated Balance Sheet for the year ended February 3, 2018. Contingent rental payments, typically based on a percentage of sales, are recognized in rent expense when payment of the contingent rent is probable.</w:t>
      </w:r>
    </w:p>
    <w:p>
      <w:pPr>
        <w:spacing w:after="0" w:line="137"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We receive incentives from developers to construct stores in certain developments. At the end of 2017 and 2016, liabilities of $485 and $507 were recorded within deferred property incentives, net on the Consolidated Balance Sheets and were recognized as a reduction of rent expense on a straight-line basis over the lease terms.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7"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Selling, general and administrative expenses consist primarily of compensation and benefit costs, marketing, supply chain, technology and, prior to our credit card receivable transactions in October 2015 and November 2017, bad debt expense related to our credit card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w:t>
      </w:r>
    </w:p>
    <w:p>
      <w:pPr>
        <w:spacing w:after="0" w:line="2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Advertising production costs for internet, magazines, store events and other media are expensed the first time the advertisement is run. Online marketing costs are expensed when incurred. Total advertising expenses, net of vendor allowances, of $261, $241 and $227 in 2017, 2016 and 2015 were included in selling, general and administrative expenses.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126" w:right="239" w:bottom="1440" w:gutter="0" w:footer="0" w:header="0"/>
        </w:sectPr>
      </w:pPr>
    </w:p>
    <w:bookmarkStart w:id="43" w:name="page44"/>
    <w:bookmarkEnd w:id="43"/>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Vendor Allowances</w:t>
      </w:r>
    </w:p>
    <w:p>
      <w:pPr>
        <w:spacing w:after="0" w:line="2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receive allowances from merchandise vendors for cosmetic expenses, purchase price adjustments, cooperative advertising programs and various other expenses. Allowances for cosmetic expenses are recorded in selling, general and administrative expenses as a reduction of the related costs when incurred. Purchase price adjustments are recorded as a reduction of cost of sales at the point they have been earned and the related merchandise has been marked down or sold. Allowances for cooperative advertising programs and other expenses are recorded in selling, general and administrative expenses as a reduction of the related costs when incurred. Any allowances in excess of actual costs incurred that are included in selling, general and administrative expenses are recorded as a reduction of cost of sales. Vendor allowances earned are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60" w:type="dxa"/>
            <w:vAlign w:val="bottom"/>
          </w:tcPr>
          <w:p>
            <w:pPr>
              <w:ind w:left="40"/>
              <w:spacing w:after="0"/>
              <w:rPr>
                <w:sz w:val="20"/>
                <w:szCs w:val="20"/>
                <w:color w:val="auto"/>
              </w:rPr>
            </w:pPr>
            <w:r>
              <w:rPr>
                <w:rFonts w:ascii="Arial" w:cs="Arial" w:eastAsia="Arial" w:hAnsi="Arial"/>
                <w:sz w:val="16"/>
                <w:szCs w:val="16"/>
                <w:b w:val="1"/>
                <w:bCs w:val="1"/>
                <w:color w:val="auto"/>
              </w:rPr>
              <w:t>Fiscal year</w:t>
            </w:r>
          </w:p>
        </w:tc>
        <w:tc>
          <w:tcPr>
            <w:tcW w:w="3780" w:type="dxa"/>
            <w:vAlign w:val="bottom"/>
          </w:tcPr>
          <w:p>
            <w:pPr>
              <w:jc w:val="right"/>
              <w:ind w:right="719"/>
              <w:spacing w:after="0"/>
              <w:rPr>
                <w:sz w:val="20"/>
                <w:szCs w:val="20"/>
                <w:color w:val="auto"/>
              </w:rPr>
            </w:pPr>
            <w:r>
              <w:rPr>
                <w:rFonts w:ascii="Arial" w:cs="Arial" w:eastAsia="Arial" w:hAnsi="Arial"/>
                <w:sz w:val="16"/>
                <w:szCs w:val="16"/>
                <w:b w:val="1"/>
                <w:bCs w:val="1"/>
                <w:color w:val="auto"/>
              </w:rPr>
              <w:t>2017</w:t>
            </w:r>
          </w:p>
        </w:tc>
        <w:tc>
          <w:tcPr>
            <w:tcW w:w="1920" w:type="dxa"/>
            <w:vAlign w:val="bottom"/>
          </w:tcPr>
          <w:p>
            <w:pPr>
              <w:jc w:val="right"/>
              <w:ind w:right="719"/>
              <w:spacing w:after="0"/>
              <w:rPr>
                <w:sz w:val="20"/>
                <w:szCs w:val="20"/>
                <w:color w:val="auto"/>
              </w:rPr>
            </w:pPr>
            <w:r>
              <w:rPr>
                <w:rFonts w:ascii="Arial" w:cs="Arial" w:eastAsia="Arial" w:hAnsi="Arial"/>
                <w:sz w:val="16"/>
                <w:szCs w:val="16"/>
                <w:b w:val="1"/>
                <w:bCs w:val="1"/>
                <w:color w:val="auto"/>
              </w:rPr>
              <w:t>2016</w:t>
            </w:r>
          </w:p>
        </w:tc>
        <w:tc>
          <w:tcPr>
            <w:tcW w:w="1240" w:type="dxa"/>
            <w:vAlign w:val="bottom"/>
          </w:tcPr>
          <w:p>
            <w:pPr>
              <w:jc w:val="right"/>
              <w:ind w:right="39"/>
              <w:spacing w:after="0"/>
              <w:rPr>
                <w:sz w:val="20"/>
                <w:szCs w:val="20"/>
                <w:color w:val="auto"/>
              </w:rPr>
            </w:pPr>
            <w:r>
              <w:rPr>
                <w:rFonts w:ascii="Arial" w:cs="Arial" w:eastAsia="Arial" w:hAnsi="Arial"/>
                <w:sz w:val="16"/>
                <w:szCs w:val="16"/>
                <w:b w:val="1"/>
                <w:bCs w:val="1"/>
                <w:color w:val="auto"/>
              </w:rPr>
              <w:t>2015</w:t>
            </w:r>
          </w:p>
        </w:tc>
      </w:tr>
      <w:tr>
        <w:trPr>
          <w:trHeight w:val="33"/>
        </w:trPr>
        <w:tc>
          <w:tcPr>
            <w:tcW w:w="446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Cosmetic expenses</w:t>
            </w:r>
          </w:p>
        </w:tc>
        <w:tc>
          <w:tcPr>
            <w:tcW w:w="378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b w:val="1"/>
                <w:bCs w:val="1"/>
                <w:color w:val="auto"/>
              </w:rPr>
              <w:t>$159</w:t>
            </w:r>
          </w:p>
        </w:tc>
        <w:tc>
          <w:tcPr>
            <w:tcW w:w="192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color w:val="auto"/>
              </w:rPr>
              <w:t>$166</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$161</w:t>
            </w:r>
          </w:p>
        </w:tc>
      </w:tr>
      <w:tr>
        <w:trPr>
          <w:trHeight w:val="237"/>
        </w:trPr>
        <w:tc>
          <w:tcPr>
            <w:tcW w:w="4460" w:type="dxa"/>
            <w:vAlign w:val="bottom"/>
          </w:tcPr>
          <w:p>
            <w:pPr>
              <w:ind w:left="40"/>
              <w:spacing w:after="0"/>
              <w:rPr>
                <w:sz w:val="20"/>
                <w:szCs w:val="20"/>
                <w:color w:val="auto"/>
              </w:rPr>
            </w:pPr>
            <w:r>
              <w:rPr>
                <w:rFonts w:ascii="Arial" w:cs="Arial" w:eastAsia="Arial" w:hAnsi="Arial"/>
                <w:sz w:val="16"/>
                <w:szCs w:val="16"/>
                <w:color w:val="auto"/>
              </w:rPr>
              <w:t>Purchase price adjustments</w:t>
            </w:r>
          </w:p>
        </w:tc>
        <w:tc>
          <w:tcPr>
            <w:tcW w:w="3780" w:type="dxa"/>
            <w:vAlign w:val="bottom"/>
          </w:tcPr>
          <w:p>
            <w:pPr>
              <w:jc w:val="right"/>
              <w:ind w:right="719"/>
              <w:spacing w:after="0"/>
              <w:rPr>
                <w:sz w:val="20"/>
                <w:szCs w:val="20"/>
                <w:color w:val="auto"/>
              </w:rPr>
            </w:pPr>
            <w:r>
              <w:rPr>
                <w:rFonts w:ascii="Arial" w:cs="Arial" w:eastAsia="Arial" w:hAnsi="Arial"/>
                <w:sz w:val="16"/>
                <w:szCs w:val="16"/>
                <w:b w:val="1"/>
                <w:bCs w:val="1"/>
                <w:color w:val="auto"/>
              </w:rPr>
              <w:t>184</w:t>
            </w:r>
          </w:p>
        </w:tc>
        <w:tc>
          <w:tcPr>
            <w:tcW w:w="1920" w:type="dxa"/>
            <w:vAlign w:val="bottom"/>
          </w:tcPr>
          <w:p>
            <w:pPr>
              <w:jc w:val="right"/>
              <w:ind w:right="719"/>
              <w:spacing w:after="0"/>
              <w:rPr>
                <w:sz w:val="20"/>
                <w:szCs w:val="20"/>
                <w:color w:val="auto"/>
              </w:rPr>
            </w:pPr>
            <w:r>
              <w:rPr>
                <w:rFonts w:ascii="Arial" w:cs="Arial" w:eastAsia="Arial" w:hAnsi="Arial"/>
                <w:sz w:val="16"/>
                <w:szCs w:val="16"/>
                <w:color w:val="auto"/>
              </w:rPr>
              <w:t>179</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178</w:t>
            </w:r>
          </w:p>
        </w:tc>
      </w:tr>
      <w:tr>
        <w:trPr>
          <w:trHeight w:val="33"/>
        </w:trPr>
        <w:tc>
          <w:tcPr>
            <w:tcW w:w="446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Cooperative advertising</w:t>
            </w:r>
          </w:p>
        </w:tc>
        <w:tc>
          <w:tcPr>
            <w:tcW w:w="378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b w:val="1"/>
                <w:bCs w:val="1"/>
                <w:color w:val="auto"/>
              </w:rPr>
              <w:t>107</w:t>
            </w:r>
          </w:p>
        </w:tc>
        <w:tc>
          <w:tcPr>
            <w:tcW w:w="192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color w:val="auto"/>
              </w:rPr>
              <w:t>114</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109</w:t>
            </w:r>
          </w:p>
        </w:tc>
      </w:tr>
      <w:tr>
        <w:trPr>
          <w:trHeight w:val="237"/>
        </w:trPr>
        <w:tc>
          <w:tcPr>
            <w:tcW w:w="4460" w:type="dxa"/>
            <w:vAlign w:val="bottom"/>
          </w:tcPr>
          <w:p>
            <w:pPr>
              <w:ind w:left="40"/>
              <w:spacing w:after="0"/>
              <w:rPr>
                <w:sz w:val="20"/>
                <w:szCs w:val="20"/>
                <w:color w:val="auto"/>
              </w:rPr>
            </w:pPr>
            <w:r>
              <w:rPr>
                <w:rFonts w:ascii="Arial" w:cs="Arial" w:eastAsia="Arial" w:hAnsi="Arial"/>
                <w:sz w:val="16"/>
                <w:szCs w:val="16"/>
                <w:color w:val="auto"/>
              </w:rPr>
              <w:t>Other</w:t>
            </w:r>
          </w:p>
        </w:tc>
        <w:tc>
          <w:tcPr>
            <w:tcW w:w="3780" w:type="dxa"/>
            <w:vAlign w:val="bottom"/>
          </w:tcPr>
          <w:p>
            <w:pPr>
              <w:jc w:val="right"/>
              <w:ind w:right="719"/>
              <w:spacing w:after="0"/>
              <w:rPr>
                <w:sz w:val="20"/>
                <w:szCs w:val="20"/>
                <w:color w:val="auto"/>
              </w:rPr>
            </w:pPr>
            <w:r>
              <w:rPr>
                <w:rFonts w:ascii="Arial" w:cs="Arial" w:eastAsia="Arial" w:hAnsi="Arial"/>
                <w:sz w:val="16"/>
                <w:szCs w:val="16"/>
                <w:b w:val="1"/>
                <w:bCs w:val="1"/>
                <w:color w:val="auto"/>
              </w:rPr>
              <w:t>7</w:t>
            </w:r>
          </w:p>
        </w:tc>
        <w:tc>
          <w:tcPr>
            <w:tcW w:w="1920" w:type="dxa"/>
            <w:vAlign w:val="bottom"/>
          </w:tcPr>
          <w:p>
            <w:pPr>
              <w:jc w:val="right"/>
              <w:ind w:right="719"/>
              <w:spacing w:after="0"/>
              <w:rPr>
                <w:sz w:val="20"/>
                <w:szCs w:val="20"/>
                <w:color w:val="auto"/>
              </w:rPr>
            </w:pPr>
            <w:r>
              <w:rPr>
                <w:rFonts w:ascii="Arial" w:cs="Arial" w:eastAsia="Arial" w:hAnsi="Arial"/>
                <w:sz w:val="16"/>
                <w:szCs w:val="16"/>
                <w:color w:val="auto"/>
              </w:rPr>
              <w:t>6</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7</w:t>
            </w:r>
          </w:p>
        </w:tc>
      </w:tr>
      <w:tr>
        <w:trPr>
          <w:trHeight w:val="33"/>
        </w:trPr>
        <w:tc>
          <w:tcPr>
            <w:tcW w:w="446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vendor allowances</w:t>
            </w:r>
          </w:p>
        </w:tc>
        <w:tc>
          <w:tcPr>
            <w:tcW w:w="378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b w:val="1"/>
                <w:bCs w:val="1"/>
                <w:color w:val="auto"/>
              </w:rPr>
              <w:t>$457</w:t>
            </w:r>
          </w:p>
        </w:tc>
        <w:tc>
          <w:tcPr>
            <w:tcW w:w="192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color w:val="auto"/>
              </w:rPr>
              <w:t>$465</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$455</w:t>
            </w:r>
          </w:p>
        </w:tc>
      </w:tr>
      <w:tr>
        <w:trPr>
          <w:trHeight w:val="20"/>
        </w:trPr>
        <w:tc>
          <w:tcPr>
            <w:tcW w:w="4460" w:type="dxa"/>
            <w:vAlign w:val="bottom"/>
            <w:shd w:val="clear" w:color="auto" w:fill="000000"/>
          </w:tcPr>
          <w:p>
            <w:pPr>
              <w:spacing w:after="0" w:line="20" w:lineRule="exact"/>
              <w:rPr>
                <w:sz w:val="1"/>
                <w:szCs w:val="1"/>
                <w:color w:val="auto"/>
              </w:rPr>
            </w:pPr>
          </w:p>
        </w:tc>
        <w:tc>
          <w:tcPr>
            <w:tcW w:w="378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Shipping and Handling Costs</w:t>
      </w:r>
    </w:p>
    <w:p>
      <w:pPr>
        <w:spacing w:after="0" w:line="2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Our shipping and handling costs include payments to third-party shippers and costs to hold, move and prepare merchandise for shipment. These costs do not include in-bound freight to our distribution centers, which we include in the cost of our inventory. Shipping and handling costs of $523, $453 and $428 in 2017, 2016 and 2015 were included in selling, general and administrative expenses.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7"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We grant stock-based awards under our 2010 Equity Incentive Plan (“2010 Plan”), 2002 Nonemployee Director Stock Incentive Plan (“2002 Plan”) and Trunk Club Value Creation Plan (“VCP”), and employees may purchase our stock at a discount under our Employee Stock Purchase Plan (“ESPP”). We predominantly recognize stock-based compensation expense related to stock-based awards at their estimated grant date fair value, recorded on a straight-line basis over the requisite service period. Compensation expense for certain award holders is accelerated based upon age and years of service. The total compensation expense is reduced by actual forfeitures as they occur over the vesting period of the awards.</w:t>
      </w:r>
    </w:p>
    <w:p>
      <w:pPr>
        <w:spacing w:after="0" w:line="125"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We estimate the grant date fair value of stock options using the Binomial Lattice option valuation model. Stock-based compensation expense related to the VCP is based on the grant date fair value of the payout scenario we believe is probable using the Black-Scholes valuation model and is recognized on an accelerated basis due to performance criteria and graded vesting features of the plan. The fair value of restricted stock is determined based on the number of shares granted and the quoted price of our common stock on the date of grant, less the estimated present value of dividends over the vesting period. Performance share units granted prior to 2016 are classified as liabilities and revalued using the quoted price of our common stock as of each reporting date. Performance share units granted in 2016 and beyond are classified as equity and the fair value is determined using the Monte-Carlo valuation model.</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Store Opening Costs</w:t>
      </w:r>
    </w:p>
    <w:p>
      <w:pPr>
        <w:spacing w:after="0" w:line="2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Non-capital expenditures associated with opening new stores, including marketing expenses, relocation expenses and occupancy costs, are charged to expense as incurred. These costs are included in both buying and occupancy costs and selling, general and administrative expenses according to their nature as disclosed above.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Gift Cards</w:t>
      </w:r>
    </w:p>
    <w:p>
      <w:pPr>
        <w:spacing w:after="0" w:line="27" w:lineRule="exact"/>
        <w:rPr>
          <w:sz w:val="20"/>
          <w:szCs w:val="20"/>
          <w:color w:val="auto"/>
        </w:rPr>
      </w:pPr>
    </w:p>
    <w:p>
      <w:pPr>
        <w:ind w:right="300"/>
        <w:spacing w:after="0" w:line="252" w:lineRule="auto"/>
        <w:rPr>
          <w:sz w:val="20"/>
          <w:szCs w:val="20"/>
          <w:color w:val="auto"/>
        </w:rPr>
      </w:pPr>
      <w:r>
        <w:rPr>
          <w:rFonts w:ascii="Arial" w:cs="Arial" w:eastAsia="Arial" w:hAnsi="Arial"/>
          <w:sz w:val="18"/>
          <w:szCs w:val="18"/>
          <w:color w:val="auto"/>
        </w:rPr>
        <w:t>We recognize revenue from the sale of gift cards when the gift card is redeemed by the customer, or we recognize breakage income when the likelihood of redemption, based on historical experience, is deemed to be remote. Based on an analysis of our program since its inception in 1999, we determined that balances remaining on cards issued beyond five years are unlikely to be redeemed and therefore are recognized as income. Breakage income was $16, $12 and $11 in 2017, 2016 and 2015. To date, our breakage rate is approximately 2% of the amount initially issued as gift cards. Gift card breakage income is included in selling, general and administrative expenses. We had outstanding gift card liabilities of $425 and $389 at the end of 2017 and 2016, which are included in other current liabilities.</w:t>
      </w:r>
    </w:p>
    <w:p>
      <w:pPr>
        <w:spacing w:after="0" w:line="38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43</w:t>
      </w:r>
    </w:p>
    <w:p>
      <w:pPr>
        <w:sectPr>
          <w:pgSz w:w="11900" w:h="16838" w:orient="portrait"/>
          <w:cols w:equalWidth="0" w:num="1">
            <w:col w:w="11420"/>
          </w:cols>
          <w:pgMar w:left="240" w:top="126" w:right="239" w:bottom="1440" w:gutter="0" w:footer="0" w:header="0"/>
        </w:sectPr>
      </w:pPr>
    </w:p>
    <w:bookmarkStart w:id="44" w:name="page45"/>
    <w:bookmarkEnd w:id="44"/>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use the asset and liability method of accounting for income taxes. Using this method, deferred tax assets and liabilities are recorded based on differences between the financial reporting and tax basis of assets and liabilities and for operating loss and tax credit carryforwards. The deferred tax assets and liabilities are calculated using the enacted tax rates and laws that are expected to be in effect when the differences are expected to reverse. We routinely evaluate the likelihood of realizing the benefit of our deferred tax assets and may record a valuation allowance if, based on all available evidence, it is determined that some portion of the tax benefit will not be realized.</w:t>
      </w:r>
    </w:p>
    <w:p>
      <w:pPr>
        <w:spacing w:after="0" w:line="13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regularly evaluate the likelihood of realizing the benefit for income tax positions we have taken in various federal, state and foreign filings by considering all relevant facts, circumstances and information available. If we believe it is more likely than not that our position will be sustained, we recognize a benefit at the largest amount that we believe is cumulatively greater than 50% likely to be realized. Interest and penalties related to income tax matters are classified as a component of income tax expense.</w:t>
      </w:r>
    </w:p>
    <w:p>
      <w:pPr>
        <w:spacing w:after="0" w:line="133"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Income taxes require significant management judgment regarding applicable statutes and their related interpretation, the status of various income tax audits and our particular facts and circumstances. Also, as audits are completed or statutes of limitations lapse, it may be necessary to record adjustments to our taxes payable, deferred taxes, tax reserves or income tax expense.</w:t>
      </w:r>
    </w:p>
    <w:p>
      <w:pPr>
        <w:spacing w:after="0" w:line="127"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In December 2017, the Tax Cuts and Jobs Act (the “Tax Act”) was signed into law. Among numerous other provisions, the Tax Act significantly revises the U.S. federal corporate income tax by reducing the statutory rate from 35% to 21%. Net earnings included $42 related to the Tax Act, which includes a provisional one-time, non-cash charge of $51 related to the revaluation of our net deferred tax assets for the change in statutory tax rate and for the impacts associated with the future limitations on executive compensation, partially offset by cash tax savings from a lower federal tax rate. As we complete our analysis of the Tax Act and interpret any additional guidance issued by the U.S. Treasury Department, the Internal Revenue Service (“IRS”) and other standard-setting bodies, we may make adjustments to the provisional amounts, which may materially impact our provision for income taxes in the period in which the adjustments are recorded (see Note 13: Income Taxes).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Net Earnings</w:t>
      </w:r>
    </w:p>
    <w:p>
      <w:pPr>
        <w:spacing w:after="0" w:line="27" w:lineRule="exact"/>
        <w:rPr>
          <w:sz w:val="20"/>
          <w:szCs w:val="20"/>
          <w:color w:val="auto"/>
        </w:rPr>
      </w:pPr>
    </w:p>
    <w:p>
      <w:pPr>
        <w:ind w:right="740"/>
        <w:spacing w:after="0" w:line="261" w:lineRule="auto"/>
        <w:rPr>
          <w:sz w:val="20"/>
          <w:szCs w:val="20"/>
          <w:color w:val="auto"/>
        </w:rPr>
      </w:pPr>
      <w:r>
        <w:rPr>
          <w:rFonts w:ascii="Arial" w:cs="Arial" w:eastAsia="Arial" w:hAnsi="Arial"/>
          <w:sz w:val="18"/>
          <w:szCs w:val="18"/>
          <w:color w:val="auto"/>
        </w:rPr>
        <w:t>Comprehensive net earnings consist of net earnings and other gains and losses affecting equity that are excluded from net earnings. These consist of postretirement plan adjustments, net of related income tax effects and foreign currency translation adjustments.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Equivalents</w:t>
      </w:r>
    </w:p>
    <w:p>
      <w:pPr>
        <w:spacing w:after="0" w:line="2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Cash equivalents are short-term investments with a maturity of three months or less from the date of purchase and are carried at cost, which approximates fair value. At the end of 2017 and 2016, checks not yet presented for payment drawn in excess of our bank deposit balances were $101 and $156 and included within accounts payable on our Consolidated Balance Sheets.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27"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Accounts receivable, net includes receivables from non-Nordstrom-branded credit and debit cards and, prior to our credit card receivable sale transaction in November 2017, employee credit card receivables.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Merchandise Inventories</w:t>
      </w:r>
    </w:p>
    <w:p>
      <w:pPr>
        <w:spacing w:after="0" w:line="2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Merchandise inventories are generally stated at the lower of cost or market value using the retail inventory method. Under the retail method, the valuation of inventories is determined by applying a calculated cost-to-retail ratio to the retail value of ending inventory. The value of our inventory on the balance sheet is then reduced by a charge to cost of sales for retail inventory markdowns taken on the selling floor. To determine if the retail value of our inventory should be marked down, we consider current and anticipated demand, customer preferences, age of the merchandise and fashion trends. We reserve for obsolescence based on historical trends and specific identification.</w:t>
      </w:r>
    </w:p>
    <w:p>
      <w:pPr>
        <w:spacing w:after="0" w:line="13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Physical inventories are taken and inventory records are adjusted accordingly. We evaluate and determine our shrinkage rate using the most recent physical inventory and historical results as the basis for the shrinkage reserve following each physical inventory cycle and reporting date. The shrinkage reserve is based on a percentage of sales.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Land, Property and Equipment</w:t>
      </w:r>
    </w:p>
    <w:p>
      <w:pPr>
        <w:spacing w:after="0" w:line="27" w:lineRule="exact"/>
        <w:rPr>
          <w:sz w:val="20"/>
          <w:szCs w:val="20"/>
          <w:color w:val="auto"/>
        </w:rPr>
      </w:pPr>
    </w:p>
    <w:p>
      <w:pPr>
        <w:jc w:val="both"/>
        <w:ind w:right="120"/>
        <w:spacing w:after="0" w:line="255" w:lineRule="auto"/>
        <w:rPr>
          <w:sz w:val="20"/>
          <w:szCs w:val="20"/>
          <w:color w:val="auto"/>
        </w:rPr>
      </w:pPr>
      <w:r>
        <w:rPr>
          <w:rFonts w:ascii="Arial" w:cs="Arial" w:eastAsia="Arial" w:hAnsi="Arial"/>
          <w:sz w:val="18"/>
          <w:szCs w:val="18"/>
          <w:color w:val="auto"/>
        </w:rPr>
        <w:t>Land is recorded at historical cost, while property and equipment are recorded at cost less accumulated depreciation and amortization. Capitalized software includes the costs of developing or obtaining internal-use software, including external direct costs of materials and services and internal payroll costs related to the software project.</w:t>
      </w:r>
    </w:p>
    <w:p>
      <w:pPr>
        <w:spacing w:after="0" w:line="136"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color w:val="auto"/>
        </w:rPr>
        <w:t>We capitalize interest on construction in progress and software projects during the period in which expenditures have been made, activities are in progress to prepare the asset for its intended use and actual interest costs are being incurred.</w:t>
      </w:r>
    </w:p>
    <w:p>
      <w:pPr>
        <w:sectPr>
          <w:pgSz w:w="11900" w:h="16838" w:orient="portrait"/>
          <w:cols w:equalWidth="0" w:num="1">
            <w:col w:w="11400"/>
          </w:cols>
          <w:pgMar w:left="240" w:top="126" w:right="25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00"/>
          </w:cols>
          <w:pgMar w:left="240" w:top="126" w:right="259" w:bottom="1440" w:gutter="0" w:footer="0" w:header="0"/>
          <w:type w:val="continuous"/>
        </w:sectPr>
      </w:pPr>
    </w:p>
    <w:bookmarkStart w:id="45" w:name="page46"/>
    <w:bookmarkEnd w:id="45"/>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200" w:lineRule="exact"/>
        <w:rPr>
          <w:sz w:val="20"/>
          <w:szCs w:val="20"/>
          <w:color w:val="auto"/>
        </w:rPr>
      </w:pPr>
    </w:p>
    <w:p>
      <w:pPr>
        <w:spacing w:after="0" w:line="38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Depreciation and amortization are computed using the straight-line method over the asset’s estimated useful life, which is determined by asset category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160" w:type="dxa"/>
            <w:vAlign w:val="bottom"/>
          </w:tcPr>
          <w:p>
            <w:pPr>
              <w:ind w:left="40"/>
              <w:spacing w:after="0"/>
              <w:rPr>
                <w:sz w:val="20"/>
                <w:szCs w:val="20"/>
                <w:color w:val="auto"/>
              </w:rPr>
            </w:pPr>
            <w:r>
              <w:rPr>
                <w:rFonts w:ascii="Arial" w:cs="Arial" w:eastAsia="Arial" w:hAnsi="Arial"/>
                <w:sz w:val="16"/>
                <w:szCs w:val="16"/>
                <w:b w:val="1"/>
                <w:bCs w:val="1"/>
                <w:color w:val="auto"/>
              </w:rPr>
              <w:t>Asset</w:t>
            </w:r>
          </w:p>
        </w:tc>
        <w:tc>
          <w:tcPr>
            <w:tcW w:w="5240" w:type="dxa"/>
            <w:vAlign w:val="bottom"/>
          </w:tcPr>
          <w:p>
            <w:pPr>
              <w:jc w:val="right"/>
              <w:spacing w:after="0"/>
              <w:rPr>
                <w:sz w:val="20"/>
                <w:szCs w:val="20"/>
                <w:color w:val="auto"/>
              </w:rPr>
            </w:pPr>
            <w:r>
              <w:rPr>
                <w:rFonts w:ascii="Arial" w:cs="Arial" w:eastAsia="Arial" w:hAnsi="Arial"/>
                <w:sz w:val="16"/>
                <w:szCs w:val="16"/>
                <w:b w:val="1"/>
                <w:bCs w:val="1"/>
                <w:color w:val="auto"/>
              </w:rPr>
              <w:t>Life (in years)</w:t>
            </w:r>
          </w:p>
        </w:tc>
      </w:tr>
      <w:tr>
        <w:trPr>
          <w:trHeight w:val="33"/>
        </w:trPr>
        <w:tc>
          <w:tcPr>
            <w:tcW w:w="6160" w:type="dxa"/>
            <w:vAlign w:val="bottom"/>
            <w:tcBorders>
              <w:bottom w:val="single" w:sz="8" w:color="auto"/>
            </w:tcBorders>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r>
      <w:tr>
        <w:trPr>
          <w:trHeight w:val="230"/>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Buildings and improvements</w:t>
            </w:r>
          </w:p>
        </w:tc>
        <w:tc>
          <w:tcPr>
            <w:tcW w:w="5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 – 40</w:t>
            </w:r>
          </w:p>
        </w:tc>
      </w:tr>
      <w:tr>
        <w:trPr>
          <w:trHeight w:val="224"/>
        </w:trPr>
        <w:tc>
          <w:tcPr>
            <w:tcW w:w="6160" w:type="dxa"/>
            <w:vAlign w:val="bottom"/>
          </w:tcPr>
          <w:p>
            <w:pPr>
              <w:ind w:left="40"/>
              <w:spacing w:after="0"/>
              <w:rPr>
                <w:sz w:val="20"/>
                <w:szCs w:val="20"/>
                <w:color w:val="auto"/>
              </w:rPr>
            </w:pPr>
            <w:r>
              <w:rPr>
                <w:rFonts w:ascii="Arial" w:cs="Arial" w:eastAsia="Arial" w:hAnsi="Arial"/>
                <w:sz w:val="16"/>
                <w:szCs w:val="16"/>
                <w:color w:val="auto"/>
              </w:rPr>
              <w:t>Store fixtures and equipment</w:t>
            </w:r>
          </w:p>
        </w:tc>
        <w:tc>
          <w:tcPr>
            <w:tcW w:w="5240" w:type="dxa"/>
            <w:vAlign w:val="bottom"/>
          </w:tcPr>
          <w:p>
            <w:pPr>
              <w:jc w:val="right"/>
              <w:spacing w:after="0"/>
              <w:rPr>
                <w:sz w:val="20"/>
                <w:szCs w:val="20"/>
                <w:color w:val="auto"/>
              </w:rPr>
            </w:pPr>
            <w:r>
              <w:rPr>
                <w:rFonts w:ascii="Arial" w:cs="Arial" w:eastAsia="Arial" w:hAnsi="Arial"/>
                <w:sz w:val="16"/>
                <w:szCs w:val="16"/>
                <w:color w:val="auto"/>
              </w:rPr>
              <w:t>3 – 15</w:t>
            </w:r>
          </w:p>
        </w:tc>
      </w:tr>
      <w:tr>
        <w:trPr>
          <w:trHeight w:val="33"/>
        </w:trPr>
        <w:tc>
          <w:tcPr>
            <w:tcW w:w="6160" w:type="dxa"/>
            <w:vAlign w:val="bottom"/>
          </w:tcPr>
          <w:p>
            <w:pPr>
              <w:spacing w:after="0"/>
              <w:rPr>
                <w:sz w:val="2"/>
                <w:szCs w:val="2"/>
                <w:color w:val="auto"/>
              </w:rPr>
            </w:pPr>
          </w:p>
        </w:tc>
        <w:tc>
          <w:tcPr>
            <w:tcW w:w="5240" w:type="dxa"/>
            <w:vAlign w:val="bottom"/>
          </w:tcPr>
          <w:p>
            <w:pPr>
              <w:spacing w:after="0"/>
              <w:rPr>
                <w:sz w:val="2"/>
                <w:szCs w:val="2"/>
                <w:color w:val="auto"/>
              </w:rPr>
            </w:pPr>
          </w:p>
        </w:tc>
      </w:tr>
      <w:tr>
        <w:trPr>
          <w:trHeight w:val="237"/>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Leasehold improvements</w:t>
            </w:r>
          </w:p>
        </w:tc>
        <w:tc>
          <w:tcPr>
            <w:tcW w:w="5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 – 40</w:t>
            </w:r>
          </w:p>
        </w:tc>
      </w:tr>
      <w:tr>
        <w:trPr>
          <w:trHeight w:val="224"/>
        </w:trPr>
        <w:tc>
          <w:tcPr>
            <w:tcW w:w="6160" w:type="dxa"/>
            <w:vAlign w:val="bottom"/>
          </w:tcPr>
          <w:p>
            <w:pPr>
              <w:ind w:left="40"/>
              <w:spacing w:after="0"/>
              <w:rPr>
                <w:sz w:val="20"/>
                <w:szCs w:val="20"/>
                <w:color w:val="auto"/>
              </w:rPr>
            </w:pPr>
            <w:r>
              <w:rPr>
                <w:rFonts w:ascii="Arial" w:cs="Arial" w:eastAsia="Arial" w:hAnsi="Arial"/>
                <w:sz w:val="16"/>
                <w:szCs w:val="16"/>
                <w:color w:val="auto"/>
              </w:rPr>
              <w:t>Capitalized software</w:t>
            </w:r>
          </w:p>
        </w:tc>
        <w:tc>
          <w:tcPr>
            <w:tcW w:w="5240" w:type="dxa"/>
            <w:vAlign w:val="bottom"/>
          </w:tcPr>
          <w:p>
            <w:pPr>
              <w:jc w:val="right"/>
              <w:spacing w:after="0"/>
              <w:rPr>
                <w:sz w:val="20"/>
                <w:szCs w:val="20"/>
                <w:color w:val="auto"/>
              </w:rPr>
            </w:pPr>
            <w:r>
              <w:rPr>
                <w:rFonts w:ascii="Arial" w:cs="Arial" w:eastAsia="Arial" w:hAnsi="Arial"/>
                <w:sz w:val="16"/>
                <w:szCs w:val="16"/>
                <w:color w:val="auto"/>
              </w:rPr>
              <w:t>3 – 7</w:t>
            </w:r>
          </w:p>
        </w:tc>
      </w:tr>
      <w:tr>
        <w:trPr>
          <w:trHeight w:val="33"/>
        </w:trPr>
        <w:tc>
          <w:tcPr>
            <w:tcW w:w="6160" w:type="dxa"/>
            <w:vAlign w:val="bottom"/>
            <w:tcBorders>
              <w:bottom w:val="single" w:sz="8" w:color="auto"/>
            </w:tcBorders>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Leasehold improvements and leased property and equipment that are purchased at the inception of the lease, or during the lease term, are amortized over the shorter of the lease term or the asset life. Lease terms include the fixed, non-cancellable term of a lease, plus any renewal periods determined to be reasonably assured.</w:t>
      </w:r>
    </w:p>
    <w:p>
      <w:pPr>
        <w:spacing w:after="0" w:line="127" w:lineRule="exact"/>
        <w:rPr>
          <w:sz w:val="20"/>
          <w:szCs w:val="20"/>
          <w:color w:val="auto"/>
        </w:rPr>
      </w:pPr>
    </w:p>
    <w:p>
      <w:pPr>
        <w:ind w:right="600"/>
        <w:spacing w:after="0" w:line="352" w:lineRule="auto"/>
        <w:rPr>
          <w:sz w:val="20"/>
          <w:szCs w:val="20"/>
          <w:color w:val="auto"/>
        </w:rPr>
      </w:pPr>
      <w:r>
        <w:rPr>
          <w:rFonts w:ascii="Arial" w:cs="Arial" w:eastAsia="Arial" w:hAnsi="Arial"/>
          <w:sz w:val="18"/>
          <w:szCs w:val="18"/>
          <w:color w:val="auto"/>
        </w:rPr>
        <w:t xml:space="preserve">We receive contributions from vendors for the construction of certain fixtures in our stores. These contributions offset the related capital expenditures. </w:t>
      </w:r>
      <w:r>
        <w:rPr>
          <w:rFonts w:ascii="Arial" w:cs="Arial" w:eastAsia="Arial" w:hAnsi="Arial"/>
          <w:sz w:val="18"/>
          <w:szCs w:val="18"/>
          <w:b w:val="1"/>
          <w:bCs w:val="1"/>
          <w:color w:val="auto"/>
        </w:rPr>
        <w:t>Goodwill</w:t>
      </w:r>
    </w:p>
    <w:p>
      <w:pPr>
        <w:spacing w:after="0" w:line="1" w:lineRule="exact"/>
        <w:rPr>
          <w:sz w:val="20"/>
          <w:szCs w:val="20"/>
          <w:color w:val="auto"/>
        </w:rPr>
      </w:pPr>
    </w:p>
    <w:p>
      <w:pPr>
        <w:ind w:right="260"/>
        <w:spacing w:after="0" w:line="290" w:lineRule="auto"/>
        <w:rPr>
          <w:sz w:val="20"/>
          <w:szCs w:val="20"/>
          <w:color w:val="auto"/>
        </w:rPr>
      </w:pPr>
      <w:r>
        <w:rPr>
          <w:rFonts w:ascii="Arial" w:cs="Arial" w:eastAsia="Arial" w:hAnsi="Arial"/>
          <w:sz w:val="16"/>
          <w:szCs w:val="16"/>
          <w:color w:val="auto"/>
        </w:rPr>
        <w:t>Goodwill represents the excess of acquisition cost over the fair value of the related net assets acquired and is not subject to amortization. We review our goodwill annually for impairment or when circumstances indicate that the carrying value may exceed the fair value. We perform this evaluation at the reporting unit level, comprised of the principal business units within our Retail segment, through the application of a two-step fair value test. The first step compares the carrying value of the reporting unit to its estimated fair value, which is based on the expected present value of future cash flows (income approach), comparable public companies and acquisitions (market approach) or a combination of both. If fair value is lower than the carrying value, then a second step is performed to quantify the amount of the impairment. The following summarizes our goodwill activity for the past three fiscal years: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340" w:type="dxa"/>
            <w:vAlign w:val="bottom"/>
            <w:tcBorders>
              <w:bottom w:val="single" w:sz="8" w:color="auto"/>
            </w:tcBorders>
          </w:tcPr>
          <w:p>
            <w:pPr>
              <w:spacing w:after="0"/>
              <w:rPr>
                <w:sz w:val="21"/>
                <w:szCs w:val="21"/>
                <w:color w:val="auto"/>
              </w:rPr>
            </w:pPr>
          </w:p>
        </w:tc>
        <w:tc>
          <w:tcPr>
            <w:tcW w:w="27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Trunk Club</w:t>
            </w:r>
          </w:p>
        </w:tc>
        <w:tc>
          <w:tcPr>
            <w:tcW w:w="208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HauteLook</w:t>
            </w:r>
          </w:p>
        </w:tc>
        <w:tc>
          <w:tcPr>
            <w:tcW w:w="198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Other</w:t>
            </w:r>
            <w:r>
              <w:rPr>
                <w:rFonts w:ascii="Arial" w:cs="Arial" w:eastAsia="Arial" w:hAnsi="Arial"/>
                <w:sz w:val="21"/>
                <w:szCs w:val="21"/>
                <w:color w:val="auto"/>
                <w:vertAlign w:val="superscript"/>
              </w:rPr>
              <w:t>1</w:t>
            </w: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Total</w:t>
            </w: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January 31, 2015</w:t>
            </w:r>
          </w:p>
        </w:tc>
        <w:tc>
          <w:tcPr>
            <w:tcW w:w="278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$261</w:t>
            </w:r>
          </w:p>
        </w:tc>
        <w:tc>
          <w:tcPr>
            <w:tcW w:w="208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color w:val="auto"/>
              </w:rPr>
              <w:t>$121</w:t>
            </w:r>
          </w:p>
        </w:tc>
        <w:tc>
          <w:tcPr>
            <w:tcW w:w="198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color w:val="auto"/>
              </w:rPr>
              <w:t>$53</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$435</w:t>
            </w: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Additions</w:t>
            </w:r>
          </w:p>
        </w:tc>
        <w:tc>
          <w:tcPr>
            <w:tcW w:w="2780" w:type="dxa"/>
            <w:vAlign w:val="bottom"/>
          </w:tcPr>
          <w:p>
            <w:pPr>
              <w:jc w:val="right"/>
              <w:ind w:right="539"/>
              <w:spacing w:after="0"/>
              <w:rPr>
                <w:sz w:val="20"/>
                <w:szCs w:val="20"/>
                <w:color w:val="auto"/>
              </w:rPr>
            </w:pPr>
            <w:r>
              <w:rPr>
                <w:rFonts w:ascii="Arial" w:cs="Arial" w:eastAsia="Arial" w:hAnsi="Arial"/>
                <w:sz w:val="16"/>
                <w:szCs w:val="16"/>
                <w:color w:val="auto"/>
              </w:rPr>
              <w:t>—</w:t>
            </w:r>
          </w:p>
        </w:tc>
        <w:tc>
          <w:tcPr>
            <w:tcW w:w="2080" w:type="dxa"/>
            <w:vAlign w:val="bottom"/>
          </w:tcPr>
          <w:p>
            <w:pPr>
              <w:jc w:val="right"/>
              <w:ind w:right="639"/>
              <w:spacing w:after="0"/>
              <w:rPr>
                <w:sz w:val="20"/>
                <w:szCs w:val="20"/>
                <w:color w:val="auto"/>
              </w:rPr>
            </w:pPr>
            <w:r>
              <w:rPr>
                <w:rFonts w:ascii="Arial" w:cs="Arial" w:eastAsia="Arial" w:hAnsi="Arial"/>
                <w:sz w:val="16"/>
                <w:szCs w:val="16"/>
                <w:color w:val="auto"/>
              </w:rPr>
              <w:t>—</w:t>
            </w:r>
          </w:p>
        </w:tc>
        <w:tc>
          <w:tcPr>
            <w:tcW w:w="1980" w:type="dxa"/>
            <w:vAlign w:val="bottom"/>
          </w:tcPr>
          <w:p>
            <w:pPr>
              <w:jc w:val="right"/>
              <w:ind w:right="69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34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January 30, 2016</w:t>
            </w:r>
          </w:p>
        </w:tc>
        <w:tc>
          <w:tcPr>
            <w:tcW w:w="278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261</w:t>
            </w:r>
          </w:p>
        </w:tc>
        <w:tc>
          <w:tcPr>
            <w:tcW w:w="208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color w:val="auto"/>
              </w:rPr>
              <w:t>121</w:t>
            </w:r>
          </w:p>
        </w:tc>
        <w:tc>
          <w:tcPr>
            <w:tcW w:w="198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color w:val="auto"/>
              </w:rPr>
              <w:t>53</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435</w:t>
            </w: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Impairment</w:t>
            </w:r>
          </w:p>
        </w:tc>
        <w:tc>
          <w:tcPr>
            <w:tcW w:w="2780" w:type="dxa"/>
            <w:vAlign w:val="bottom"/>
          </w:tcPr>
          <w:p>
            <w:pPr>
              <w:jc w:val="right"/>
              <w:ind w:right="479"/>
              <w:spacing w:after="0"/>
              <w:rPr>
                <w:sz w:val="20"/>
                <w:szCs w:val="20"/>
                <w:color w:val="auto"/>
              </w:rPr>
            </w:pPr>
            <w:r>
              <w:rPr>
                <w:rFonts w:ascii="Arial" w:cs="Arial" w:eastAsia="Arial" w:hAnsi="Arial"/>
                <w:sz w:val="16"/>
                <w:szCs w:val="16"/>
                <w:color w:val="auto"/>
              </w:rPr>
              <w:t>(197)</w:t>
            </w:r>
          </w:p>
        </w:tc>
        <w:tc>
          <w:tcPr>
            <w:tcW w:w="2080" w:type="dxa"/>
            <w:vAlign w:val="bottom"/>
          </w:tcPr>
          <w:p>
            <w:pPr>
              <w:jc w:val="right"/>
              <w:ind w:right="639"/>
              <w:spacing w:after="0"/>
              <w:rPr>
                <w:sz w:val="20"/>
                <w:szCs w:val="20"/>
                <w:color w:val="auto"/>
              </w:rPr>
            </w:pPr>
            <w:r>
              <w:rPr>
                <w:rFonts w:ascii="Arial" w:cs="Arial" w:eastAsia="Arial" w:hAnsi="Arial"/>
                <w:sz w:val="16"/>
                <w:szCs w:val="16"/>
                <w:color w:val="auto"/>
              </w:rPr>
              <w:t>—</w:t>
            </w:r>
          </w:p>
        </w:tc>
        <w:tc>
          <w:tcPr>
            <w:tcW w:w="1980" w:type="dxa"/>
            <w:vAlign w:val="bottom"/>
          </w:tcPr>
          <w:p>
            <w:pPr>
              <w:jc w:val="right"/>
              <w:ind w:right="69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(197)</w:t>
            </w:r>
          </w:p>
        </w:tc>
      </w:tr>
      <w:tr>
        <w:trPr>
          <w:trHeight w:val="33"/>
        </w:trPr>
        <w:tc>
          <w:tcPr>
            <w:tcW w:w="334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January 28, 2017</w:t>
            </w:r>
          </w:p>
        </w:tc>
        <w:tc>
          <w:tcPr>
            <w:tcW w:w="278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64</w:t>
            </w:r>
          </w:p>
        </w:tc>
        <w:tc>
          <w:tcPr>
            <w:tcW w:w="208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color w:val="auto"/>
              </w:rPr>
              <w:t>121</w:t>
            </w:r>
          </w:p>
        </w:tc>
        <w:tc>
          <w:tcPr>
            <w:tcW w:w="198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color w:val="auto"/>
              </w:rPr>
              <w:t>53</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238</w:t>
            </w: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Additions</w:t>
            </w:r>
          </w:p>
        </w:tc>
        <w:tc>
          <w:tcPr>
            <w:tcW w:w="2780" w:type="dxa"/>
            <w:vAlign w:val="bottom"/>
          </w:tcPr>
          <w:p>
            <w:pPr>
              <w:jc w:val="right"/>
              <w:ind w:right="539"/>
              <w:spacing w:after="0"/>
              <w:rPr>
                <w:sz w:val="20"/>
                <w:szCs w:val="20"/>
                <w:color w:val="auto"/>
              </w:rPr>
            </w:pPr>
            <w:r>
              <w:rPr>
                <w:rFonts w:ascii="Arial" w:cs="Arial" w:eastAsia="Arial" w:hAnsi="Arial"/>
                <w:sz w:val="16"/>
                <w:szCs w:val="16"/>
                <w:color w:val="auto"/>
              </w:rPr>
              <w:t>—</w:t>
            </w:r>
          </w:p>
        </w:tc>
        <w:tc>
          <w:tcPr>
            <w:tcW w:w="2080" w:type="dxa"/>
            <w:vAlign w:val="bottom"/>
          </w:tcPr>
          <w:p>
            <w:pPr>
              <w:jc w:val="right"/>
              <w:ind w:right="639"/>
              <w:spacing w:after="0"/>
              <w:rPr>
                <w:sz w:val="20"/>
                <w:szCs w:val="20"/>
                <w:color w:val="auto"/>
              </w:rPr>
            </w:pPr>
            <w:r>
              <w:rPr>
                <w:rFonts w:ascii="Arial" w:cs="Arial" w:eastAsia="Arial" w:hAnsi="Arial"/>
                <w:sz w:val="16"/>
                <w:szCs w:val="16"/>
                <w:color w:val="auto"/>
              </w:rPr>
              <w:t>—</w:t>
            </w:r>
          </w:p>
        </w:tc>
        <w:tc>
          <w:tcPr>
            <w:tcW w:w="1980" w:type="dxa"/>
            <w:vAlign w:val="bottom"/>
          </w:tcPr>
          <w:p>
            <w:pPr>
              <w:jc w:val="right"/>
              <w:ind w:right="69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34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1"/>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February 3, 2018</w:t>
            </w:r>
          </w:p>
        </w:tc>
        <w:tc>
          <w:tcPr>
            <w:tcW w:w="2780" w:type="dxa"/>
            <w:vAlign w:val="bottom"/>
            <w:shd w:val="clear" w:color="auto" w:fill="CCEEFF"/>
          </w:tcPr>
          <w:p>
            <w:pPr>
              <w:jc w:val="right"/>
              <w:ind w:right="539"/>
              <w:spacing w:after="0"/>
              <w:rPr>
                <w:sz w:val="20"/>
                <w:szCs w:val="20"/>
                <w:color w:val="auto"/>
              </w:rPr>
            </w:pPr>
            <w:r>
              <w:rPr>
                <w:rFonts w:ascii="Arial" w:cs="Arial" w:eastAsia="Arial" w:hAnsi="Arial"/>
                <w:sz w:val="16"/>
                <w:szCs w:val="16"/>
                <w:b w:val="1"/>
                <w:bCs w:val="1"/>
                <w:color w:val="auto"/>
              </w:rPr>
              <w:t>$64</w:t>
            </w:r>
          </w:p>
        </w:tc>
        <w:tc>
          <w:tcPr>
            <w:tcW w:w="2080" w:type="dxa"/>
            <w:vAlign w:val="bottom"/>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$121</w:t>
            </w:r>
          </w:p>
        </w:tc>
        <w:tc>
          <w:tcPr>
            <w:tcW w:w="1980" w:type="dxa"/>
            <w:vAlign w:val="bottom"/>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$53</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$238</w:t>
            </w:r>
          </w:p>
        </w:tc>
      </w:tr>
      <w:tr>
        <w:trPr>
          <w:trHeight w:val="33"/>
        </w:trPr>
        <w:tc>
          <w:tcPr>
            <w:tcW w:w="3340" w:type="dxa"/>
            <w:vAlign w:val="bottom"/>
            <w:shd w:val="clear" w:color="auto" w:fill="CCEEFF"/>
          </w:tcPr>
          <w:p>
            <w:pPr>
              <w:spacing w:after="0"/>
              <w:rPr>
                <w:sz w:val="2"/>
                <w:szCs w:val="2"/>
                <w:color w:val="auto"/>
              </w:rPr>
            </w:pPr>
          </w:p>
        </w:tc>
        <w:tc>
          <w:tcPr>
            <w:tcW w:w="278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80" w:hanging="72"/>
        <w:spacing w:after="0"/>
        <w:tabs>
          <w:tab w:leader="none" w:pos="80" w:val="left"/>
        </w:tabs>
        <w:numPr>
          <w:ilvl w:val="0"/>
          <w:numId w:val="63"/>
        </w:numPr>
        <w:rPr>
          <w:rFonts w:ascii="Arial" w:cs="Arial" w:eastAsia="Arial" w:hAnsi="Arial"/>
          <w:sz w:val="9"/>
          <w:szCs w:val="9"/>
          <w:color w:val="auto"/>
        </w:rPr>
      </w:pPr>
      <w:r>
        <w:rPr>
          <w:rFonts w:ascii="Arial" w:cs="Arial" w:eastAsia="Arial" w:hAnsi="Arial"/>
          <w:sz w:val="14"/>
          <w:szCs w:val="14"/>
          <w:color w:val="auto"/>
        </w:rPr>
        <w:t>Other includes Nordstrom.com and Jeffrey goodwill.</w:t>
      </w:r>
    </w:p>
    <w:p>
      <w:pPr>
        <w:spacing w:after="0" w:line="162"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The goodwill impairment charge of $197 for the year ended January 28, 2017 related to Trunk Club resulted from changes to the long-term operating plan that reflected lower expectations for growth and profitability than previous expectations (see Note 8: Fair Value Measurements).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w:t>
      </w:r>
    </w:p>
    <w:p>
      <w:pPr>
        <w:spacing w:after="0" w:line="2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When facts and circumstances indicate that the carrying values of long-lived assets, including buildings, equipment and amortizable intangible assets, may be impaired, we perform an evaluation of recoverability by comparing the carrying values of the net assets to their related projected undiscounted future cash flows, in addition to other quantitative and qualitative analyses.</w:t>
      </w:r>
    </w:p>
    <w:p>
      <w:pPr>
        <w:spacing w:after="0" w:line="13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Land, property and equipment are grouped at the lowest level at which there are identifiable cash flows when assessing impairment. Cash flows for our retail store assets are identified at the individual store level, while our intangible assets associated with HauteLook and Trunk Club are identified at their respective reporting unit levels. The assets recorded in connection with the credit card receivable transaction are individually evaluated against the anticipated cash flows under the program agreement (see Note 2: Credit Card Receivable Transaction).</w:t>
      </w:r>
    </w:p>
    <w:p>
      <w:pPr>
        <w:spacing w:after="0" w:line="13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did not record any material impairment losses for long-lived tangible or amortizable intangible assets in 2017 or 2016. In 2015, our cash flow analyses resulted in retail store impairment charges of $24 and other various impairment losses of $23. The 2015 retail store impairment of $24 related to our full-line store in Puerto Rico and was primarily driven by a challenging retail market in this territory.</w:t>
      </w:r>
    </w:p>
    <w:p>
      <w:pPr>
        <w:spacing w:after="0" w:line="12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Amortization expense for acquired intangibles was $11, $14 and $16 in 2017, 2016 and 2015. Future amortization expense of acquired intangible assets as of February 3, 2018, are expected to be $7 in 2018 and $7 in 2019.</w:t>
      </w:r>
    </w:p>
    <w:p>
      <w:pPr>
        <w:sectPr>
          <w:pgSz w:w="11900" w:h="16838" w:orient="portrait"/>
          <w:cols w:equalWidth="0" w:num="1">
            <w:col w:w="11420"/>
          </w:cols>
          <w:pgMar w:left="240" w:top="126" w:right="239" w:bottom="1440" w:gutter="0" w:footer="0" w:header="0"/>
        </w:sectPr>
      </w:pPr>
    </w:p>
    <w:p>
      <w:pPr>
        <w:spacing w:after="0" w:line="364" w:lineRule="exact"/>
        <w:rPr>
          <w:sz w:val="20"/>
          <w:szCs w:val="20"/>
          <w:color w:val="auto"/>
        </w:rPr>
      </w:pPr>
    </w:p>
    <w:p>
      <w:pPr>
        <w:ind w:left="9580"/>
        <w:spacing w:after="0"/>
        <w:rPr>
          <w:sz w:val="20"/>
          <w:szCs w:val="20"/>
          <w:color w:val="auto"/>
        </w:rPr>
      </w:pPr>
      <w:r>
        <w:rPr>
          <w:rFonts w:ascii="Arial" w:cs="Arial" w:eastAsia="Arial" w:hAnsi="Arial"/>
          <w:sz w:val="11"/>
          <w:szCs w:val="11"/>
          <w:color w:val="auto"/>
        </w:rPr>
        <w:t xml:space="preserve">Nordstrom, Inc. and subsidiaries </w:t>
      </w:r>
      <w:r>
        <w:rPr>
          <w:rFonts w:ascii="Arial" w:cs="Arial" w:eastAsia="Arial" w:hAnsi="Arial"/>
          <w:sz w:val="14"/>
          <w:szCs w:val="14"/>
          <w:color w:val="auto"/>
        </w:rPr>
        <w:t>45</w:t>
      </w:r>
    </w:p>
    <w:p>
      <w:pPr>
        <w:sectPr>
          <w:pgSz w:w="11900" w:h="16838" w:orient="portrait"/>
          <w:cols w:equalWidth="0" w:num="1">
            <w:col w:w="11420"/>
          </w:cols>
          <w:pgMar w:left="240" w:top="126" w:right="239" w:bottom="1440" w:gutter="0" w:footer="0" w:header="0"/>
          <w:type w:val="continuous"/>
        </w:sectPr>
      </w:pPr>
    </w:p>
    <w:bookmarkStart w:id="46" w:name="page47"/>
    <w:bookmarkEnd w:id="46"/>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Self-Insurance</w:t>
      </w:r>
    </w:p>
    <w:p>
      <w:pPr>
        <w:spacing w:after="0" w:line="27"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We retain a portion of the risk for certain losses related to employee health and welfare, workers’ compensation and other liability claims. Liabilities associated with these losses include undiscounted estimates of both losses reported and losses incurred but not yet reported. We estimate our ultimate cost using an actuarially-based analysis of claims experience, regulatory changes and other relevant factors.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2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have six full-line stores in Canada and have announced plans to open the first six Nordstrom Rack stores in Canada in 2018. The functional currency of our Canadian operation is the Canadian Dollar. We translate assets and liabilities into U.S. Dollars using the exchange rate in effect at the balance sheet date, while we translate revenues and expenses using a weighted-average exchange rate for the period. We record these translation adjustments as a component of accumulated other comprehensive loss on the Consolidated Balance Sheets.</w:t>
      </w:r>
    </w:p>
    <w:p>
      <w:pPr>
        <w:spacing w:after="0" w:line="13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addition, our U.S. operation incurs certain expenditures denominated in Canadian Dollars and our Canadian operation incurs certain expenditures denominated in U.S. Dollars. This activity results in transaction gains and losses that arise from exchange rate fluctuations, which are recorded as gains or losses in the Consolidated Statements of Earnings. As of February 3, 2018, activities associated with foreign currency exchange risk have not had a material impact on our Consolidated Financial Statements.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 xml:space="preserve">In May 2014, the Financial Accounting Standards Board (“FASB”) issued Accounting Standards Update (“ASU”) No. 2014-09,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Customers</w:t>
      </w:r>
      <w:r>
        <w:rPr>
          <w:rFonts w:ascii="Arial" w:cs="Arial" w:eastAsia="Arial" w:hAnsi="Arial"/>
          <w:sz w:val="18"/>
          <w:szCs w:val="18"/>
          <w:color w:val="auto"/>
        </w:rPr>
        <w:t>, which was subsequently modified in August 2015 by ASU No. 2015-14, Revenue from Contracts with Customers: Deferral of the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Date. The core principle of ASU No. 2014-09 is that companies should recognize revenue when the transfer of promised goods or services to customers occurs in an amount that reflects what the company expects to receive. It requires additional disclosures to describe the nature, amount, timing and uncertainty of revenue and cash flows from contracts with customers. In 2016, the FASB issued additional ASUs which clarify the implementation guidance on principal versus agent considerations, on identifying performance obligations and licensing, on the revenue recognition criteria and other technical corrections. We plan to adopt this ASU in the first quarter of 2018 using the modified retrospective adoption method. In our ongoing evaluation of this ASU, we have determined that the new standard will result in a net cumulative effect adjustment to decrease beginning accumulated deficit by approximately $55, as well as the following impacts:</w:t>
      </w:r>
    </w:p>
    <w:p>
      <w:pPr>
        <w:spacing w:after="0" w:line="144" w:lineRule="exact"/>
        <w:rPr>
          <w:sz w:val="20"/>
          <w:szCs w:val="20"/>
          <w:color w:val="auto"/>
        </w:rPr>
      </w:pPr>
    </w:p>
    <w:p>
      <w:pPr>
        <w:ind w:left="500" w:right="80" w:hanging="168"/>
        <w:spacing w:after="0" w:line="277" w:lineRule="auto"/>
        <w:tabs>
          <w:tab w:leader="none" w:pos="5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Gift card breakage will be recorded in sales, rather than selling, general, and administrative expenses. It will be estimated based on expected customer redemption periods, rather than when redemption is considered remote.</w:t>
      </w:r>
    </w:p>
    <w:p>
      <w:pPr>
        <w:spacing w:after="0" w:line="8" w:lineRule="exact"/>
        <w:rPr>
          <w:rFonts w:ascii="Arial" w:cs="Arial" w:eastAsia="Arial" w:hAnsi="Arial"/>
          <w:sz w:val="18"/>
          <w:szCs w:val="18"/>
          <w:color w:val="auto"/>
        </w:rPr>
      </w:pPr>
    </w:p>
    <w:p>
      <w:pPr>
        <w:ind w:left="500" w:right="160" w:hanging="168"/>
        <w:spacing w:after="0" w:line="277" w:lineRule="auto"/>
        <w:tabs>
          <w:tab w:leader="none" w:pos="5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Loyalty sales attributable to our Nordstrom Rewards loyalty program benefits (for example, Notes, alterations) will be deferred rather than recording the loyalty program expenses as an increase to cost of sales.</w:t>
      </w:r>
    </w:p>
    <w:p>
      <w:pPr>
        <w:spacing w:after="0" w:line="8" w:lineRule="exact"/>
        <w:rPr>
          <w:rFonts w:ascii="Arial" w:cs="Arial" w:eastAsia="Arial" w:hAnsi="Arial"/>
          <w:sz w:val="18"/>
          <w:szCs w:val="18"/>
          <w:color w:val="auto"/>
        </w:rPr>
      </w:pPr>
    </w:p>
    <w:p>
      <w:pPr>
        <w:ind w:left="500" w:right="40" w:hanging="168"/>
        <w:spacing w:after="0" w:line="277" w:lineRule="auto"/>
        <w:tabs>
          <w:tab w:leader="none" w:pos="5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Remaining unamortized balances of deferred revenue and investment in contract asset related to the sale of our receivables to TD will be written off as a cumulative-effect adjustment reducing accumulated deficit.</w:t>
      </w:r>
    </w:p>
    <w:p>
      <w:pPr>
        <w:spacing w:after="0" w:line="8" w:lineRule="exact"/>
        <w:rPr>
          <w:rFonts w:ascii="Arial" w:cs="Arial" w:eastAsia="Arial" w:hAnsi="Arial"/>
          <w:sz w:val="18"/>
          <w:szCs w:val="18"/>
          <w:color w:val="auto"/>
        </w:rPr>
      </w:pPr>
    </w:p>
    <w:p>
      <w:pPr>
        <w:ind w:left="500" w:hanging="168"/>
        <w:spacing w:after="0"/>
        <w:tabs>
          <w:tab w:leader="none" w:pos="5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Revenue related to our online sales will be recognized at the shipping point rather than upon receipt by the customer.</w:t>
      </w:r>
    </w:p>
    <w:p>
      <w:pPr>
        <w:spacing w:after="0" w:line="63" w:lineRule="exact"/>
        <w:rPr>
          <w:rFonts w:ascii="Arial" w:cs="Arial" w:eastAsia="Arial" w:hAnsi="Arial"/>
          <w:sz w:val="18"/>
          <w:szCs w:val="18"/>
          <w:color w:val="auto"/>
        </w:rPr>
      </w:pPr>
    </w:p>
    <w:p>
      <w:pPr>
        <w:ind w:left="500" w:hanging="168"/>
        <w:spacing w:after="0"/>
        <w:tabs>
          <w:tab w:leader="none" w:pos="5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Estimated costs of returns will be recorded as a current asset rather than netted with our sales return reserve.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do not expect the provisions of this ASU to have a material impact on our Consolidated Financial Statements beyond our initial adoption.</w:t>
      </w:r>
    </w:p>
    <w:p>
      <w:pPr>
        <w:spacing w:after="0" w:line="17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w:t>
      </w:r>
      <w:r>
        <w:rPr>
          <w:rFonts w:ascii="Arial" w:cs="Arial" w:eastAsia="Arial" w:hAnsi="Arial"/>
          <w:sz w:val="16"/>
          <w:szCs w:val="16"/>
          <w:color w:val="auto"/>
        </w:rPr>
        <w:t>. This ASU increases transparency and comparability by recognizing a lessee’s rights and obligations resulting from leases by recording them on the balance sheet as right-of-use assets and lease liabilities. The new standard requires lessees to apply a dual approach, classifying leases as either finance or operating leases based on the principle of whether or not the lease is effectively a financed purchase by the lessee. This classification dictates whether lease expense is to be recognized based on an effective interest method or on a straight-line basis over the term of the lease. Additional qualitative and quantitative disclosures will be required to give financial statement users information on the amount, timing and judgments related to a reporting entity’s cash flows arising from leases. This ASU is effective for Nordstrom beginning in the first quarter of 2019. We are currently evaluating the impact of the standard, which will require recognizing and measuring leases at the beginning of the earliest period presented using a modified retrospective approach. We expect adoption of this standard will have a material impact on our Consolidated Financial Statements.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380"/>
          </w:cols>
          <w:pgMar w:left="240" w:top="126" w:right="279" w:bottom="1440" w:gutter="0" w:footer="0" w:header="0"/>
        </w:sectPr>
      </w:pPr>
    </w:p>
    <w:bookmarkStart w:id="47" w:name="page48"/>
    <w:bookmarkEnd w:id="47"/>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200" w:lineRule="exact"/>
        <w:rPr>
          <w:sz w:val="20"/>
          <w:szCs w:val="20"/>
          <w:color w:val="auto"/>
        </w:rPr>
      </w:pPr>
    </w:p>
    <w:p>
      <w:pPr>
        <w:spacing w:after="0" w:line="387"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 xml:space="preserve">In March 2016, the FASB issued ASU No. 2016-09, </w:t>
      </w:r>
      <w:r>
        <w:rPr>
          <w:rFonts w:ascii="Arial" w:cs="Arial" w:eastAsia="Arial" w:hAnsi="Arial"/>
          <w:sz w:val="18"/>
          <w:szCs w:val="18"/>
          <w:i w:val="1"/>
          <w:iCs w:val="1"/>
          <w:color w:val="auto"/>
        </w:rPr>
        <w:t>Compensation — Stock Compensation — Improvements to Employee Share-Based Payment Accounting</w:t>
      </w:r>
      <w:r>
        <w:rPr>
          <w:rFonts w:ascii="Arial" w:cs="Arial" w:eastAsia="Arial" w:hAnsi="Arial"/>
          <w:sz w:val="18"/>
          <w:szCs w:val="18"/>
          <w:color w:val="auto"/>
        </w:rPr>
        <w:t>, which simplifies several aspects of the accounting for share-based payments and presentation within the financial statements. We adopted ASU No. 2016-09 with an effective date of January 29, 2017. The impact of the adoption resulted in the following:</w:t>
      </w:r>
    </w:p>
    <w:p>
      <w:pPr>
        <w:spacing w:after="0" w:line="127" w:lineRule="exact"/>
        <w:rPr>
          <w:sz w:val="20"/>
          <w:szCs w:val="20"/>
          <w:color w:val="auto"/>
        </w:rPr>
      </w:pPr>
    </w:p>
    <w:p>
      <w:pPr>
        <w:ind w:left="500" w:right="140" w:hanging="168"/>
        <w:spacing w:after="0" w:line="295" w:lineRule="auto"/>
        <w:tabs>
          <w:tab w:leader="none" w:pos="5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Excess tax benefits and deficiencies resulting from stock-based compensation arrangements are now recorded within income tax expense on the Consolidated Statement of Earnings when the awards vest or are settled, rather than within equity. Additionally, excess tax benefits are now excluded from assumed future proceeds in our calculation of diluted shares for purposes of determining diluted earnings per share. The prospective adoption of this provision did not have a material effect on the Consolidated Financial Statements for the year ended February 3, 2018. We had no previously unrecognized excess tax benefits that would have resulted in a cumulative-effect adjustment to beginning retained earnings.</w:t>
      </w:r>
    </w:p>
    <w:p>
      <w:pPr>
        <w:spacing w:after="0" w:line="3" w:lineRule="exact"/>
        <w:rPr>
          <w:rFonts w:ascii="Arial" w:cs="Arial" w:eastAsia="Arial" w:hAnsi="Arial"/>
          <w:sz w:val="16"/>
          <w:szCs w:val="16"/>
          <w:color w:val="auto"/>
        </w:rPr>
      </w:pPr>
    </w:p>
    <w:p>
      <w:pPr>
        <w:ind w:left="500" w:right="60" w:hanging="168"/>
        <w:spacing w:after="0" w:line="264" w:lineRule="auto"/>
        <w:tabs>
          <w:tab w:leader="none" w:pos="5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Forfeitures on share-based awards are recorded as they occur, rather than our historical method of estimating forfeitures at the grant date. In evaluating the impact of this change, the adjustment to adopt on a modified retrospective basis was immaterial, therefore, no adjustment has been made to beginning retained earnings.</w:t>
      </w:r>
    </w:p>
    <w:p>
      <w:pPr>
        <w:spacing w:after="0" w:line="19" w:lineRule="exact"/>
        <w:rPr>
          <w:rFonts w:ascii="Arial" w:cs="Arial" w:eastAsia="Arial" w:hAnsi="Arial"/>
          <w:sz w:val="18"/>
          <w:szCs w:val="18"/>
          <w:color w:val="auto"/>
        </w:rPr>
      </w:pPr>
    </w:p>
    <w:p>
      <w:pPr>
        <w:ind w:left="500" w:right="20" w:hanging="168"/>
        <w:spacing w:after="0" w:line="273" w:lineRule="auto"/>
        <w:tabs>
          <w:tab w:leader="none" w:pos="5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Excess tax benefits from stock-based compensation arrangements are classified as cash flows from operations, rather than as cash flows from financing activities. We adopted this change retrospectively, which resulted in an increase to net cash provided by operating activities and an increase in cash flows used in financing activities of $5 for 2016 and $15 for 2015. Additionally, cash flows related to withholding shares for tax purposes on net-settled awards are classified as financing activities, rather than operating activities. This classification change was also adopted retrospectively, resulting in an increase of $5 for 2016 and $4 for 2015 to net cash provided by operating activities with an offsetting increase to net cash used in financing activities on the Consolidated Statement of Cash Flows for 2016 and 2015.</w:t>
      </w:r>
    </w:p>
    <w:p>
      <w:pPr>
        <w:spacing w:after="0" w:line="124"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 xml:space="preserve">In January 2017, the FASB issued ASU No. 2017-04, </w:t>
      </w:r>
      <w:r>
        <w:rPr>
          <w:rFonts w:ascii="Arial" w:cs="Arial" w:eastAsia="Arial" w:hAnsi="Arial"/>
          <w:sz w:val="17"/>
          <w:szCs w:val="17"/>
          <w:i w:val="1"/>
          <w:iCs w:val="1"/>
          <w:color w:val="auto"/>
        </w:rPr>
        <w:t>Intangibles — Goodwill and Other: Simplifying the Test for Goodwill Impairment</w:t>
      </w:r>
      <w:r>
        <w:rPr>
          <w:rFonts w:ascii="Arial" w:cs="Arial" w:eastAsia="Arial" w:hAnsi="Arial"/>
          <w:sz w:val="17"/>
          <w:szCs w:val="17"/>
          <w:color w:val="auto"/>
        </w:rPr>
        <w:t>, which simplifies the accounting for goodwill impairment by eliminating step two from the goodwill impairment test. Under this new guidance, if the carrying amount of a reporting unit exceeds its estimated fair value, an impairment charge shall be recognized in an amount equal to that excess, limited to the total amount of goodwill allocated to that reporting unit. The ASU is effective prospectively for fiscal years and interim periods within those years beginning after December 15, 2019. Early adoption is permitted for interim or annual goodwill impairment tests performed on testing dates after January 1, 2017. We are currently evaluating the impact this guidance would have on our Consolidated Financial Statements.</w:t>
      </w:r>
    </w:p>
    <w:p>
      <w:pPr>
        <w:spacing w:after="0" w:line="124"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In December 2017, the Securities and Exchange Commission (“SEC”) released Staff Accounting Bulletin No. 118 (the “Bulletin”), which provides accounting guidance regarding accounting for income taxes for the reporting period that includes the enactment of the Tax Act. The Bulletin provides guidance in those situations where the accounting for certain income tax effects of the Tax Act will be incomplete by the time financial statements are issued for the reporting period that includes the enactment date. For those elements of the Tax Act that cannot be reasonably estimated, no effect will be recorded.</w:t>
      </w:r>
    </w:p>
    <w:p>
      <w:pPr>
        <w:spacing w:after="0" w:line="100"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The SEC has provided in the Bulletin that in situations where the accounting is incomplete for certain effects of the Tax Act, a measurement period which begins in the reporting period that includes the enactment of the Tax Act and ends when the entity has obtained, prepared and analyzed the information is needed in order to complete the accounting requirements. The measurement period shall not exceed one year from enactment. In accordance with SAB 118, we have recorded provisional tax expense associated with the impacts of the Tax Act (see Note 13: Income Taxes for additional information).</w:t>
      </w:r>
    </w:p>
    <w:p>
      <w:pPr>
        <w:spacing w:after="0" w:line="10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 xml:space="preserve">In February 2018, the FASB issued ASU No. 2018-02, </w:t>
      </w:r>
      <w:r>
        <w:rPr>
          <w:rFonts w:ascii="Arial" w:cs="Arial" w:eastAsia="Arial" w:hAnsi="Arial"/>
          <w:sz w:val="17"/>
          <w:szCs w:val="17"/>
          <w:i w:val="1"/>
          <w:iCs w:val="1"/>
          <w:color w:val="auto"/>
        </w:rPr>
        <w:t>Income Statement — Reporting Comprehensive Income: Reclassification of Certain Tax Effects from</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Accumulated Other Comprehensive Income. </w:t>
      </w:r>
      <w:r>
        <w:rPr>
          <w:rFonts w:ascii="Arial" w:cs="Arial" w:eastAsia="Arial" w:hAnsi="Arial"/>
          <w:sz w:val="17"/>
          <w:szCs w:val="17"/>
          <w:color w:val="auto"/>
        </w:rPr>
        <w:t>This new guidance will allow a reclassification from accumulated other comprehensive income to retained</w:t>
      </w:r>
      <w:r>
        <w:rPr>
          <w:rFonts w:ascii="Arial" w:cs="Arial" w:eastAsia="Arial" w:hAnsi="Arial"/>
          <w:sz w:val="17"/>
          <w:szCs w:val="17"/>
          <w:i w:val="1"/>
          <w:iCs w:val="1"/>
          <w:color w:val="auto"/>
        </w:rPr>
        <w:t xml:space="preserve"> </w:t>
      </w:r>
      <w:r>
        <w:rPr>
          <w:rFonts w:ascii="Arial" w:cs="Arial" w:eastAsia="Arial" w:hAnsi="Arial"/>
          <w:sz w:val="17"/>
          <w:szCs w:val="17"/>
          <w:color w:val="auto"/>
        </w:rPr>
        <w:t>earnings for stranded tax effects resulting from the Tax Act. The ASU is effective for us beginning in the first quarter of 2019, with early adoption permitted. We do not expect the adoption of this standard to have a material impact on our Consolidated Financial Statements.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CREDIT CARD RECEIVABLE TRANSACTION</w:t>
      </w:r>
    </w:p>
    <w:p>
      <w:pPr>
        <w:spacing w:after="0" w:line="27"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In October 2015, we completed the sale of a substantial majority of our U.S. Visa and private label credit card portfolio to TD. In November 2017, we sold the remaining balances which consisted of employee credit card receivables for the U.S. Visa and Nordstrom private label credit cards to TD for an amount equal to the gross value of the outstanding receivables. Additionally, we entered into an amended long-term program agreement under which TD is the exclusive issuer of our U.S. consumer credit cards and we perform account servicing functions.</w:t>
      </w:r>
    </w:p>
    <w:p>
      <w:pPr>
        <w:spacing w:after="0" w:line="383"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47</w:t>
      </w:r>
    </w:p>
    <w:p>
      <w:pPr>
        <w:sectPr>
          <w:pgSz w:w="11900" w:h="16838" w:orient="portrait"/>
          <w:cols w:equalWidth="0" w:num="1">
            <w:col w:w="11420"/>
          </w:cols>
          <w:pgMar w:left="240" w:top="126" w:right="239" w:bottom="1440" w:gutter="0" w:footer="0" w:header="0"/>
        </w:sectPr>
      </w:pPr>
    </w:p>
    <w:bookmarkStart w:id="48" w:name="page49"/>
    <w:bookmarkEnd w:id="48"/>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200" w:lineRule="exact"/>
        <w:rPr>
          <w:sz w:val="20"/>
          <w:szCs w:val="20"/>
          <w:color w:val="auto"/>
        </w:rPr>
      </w:pPr>
    </w:p>
    <w:p>
      <w:pPr>
        <w:spacing w:after="0" w:line="3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connection with the close of the credit card receivable transaction in October 2015, we defeased $325 in secured Series 2011-1 Class A Notes in order to provide the credit card receivables to TD free and clear. At close, we received $2.2 billion in cash consideration reflecting the par value of the receivables sold, and incurred $32 in transaction-related expenses during the third quarter of 2015. Pursuant to the agreement, we are obligated to offer and administer our Nordstrom Rewards loyalty program and perform other account servicing functions. In return, we receive a portion of the ongoing credit card revenue, net of credit losses, from both the sold and newly generated credit card receivables. At close of the November 2017 transaction, we received $55 in cash consideration reflecting the par value of the employee receivables sold.</w:t>
      </w:r>
    </w:p>
    <w:p>
      <w:pPr>
        <w:spacing w:after="0" w:line="13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October 2015, we recorded certain assets and liabilities associated with the arrangement. The beneficial interest asset is amortized over approximately four years based primarily on the payment rate of the associated receivables. The deferred revenue and investment in contract asset are recognized/amortized over seven years on a straight-line basis, following the delivery of the contract obligations and expected life of the agreement. We record each of these items in credit card revenue, net in our Consolidated Statements of Earnings.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Presentation</w:t>
      </w:r>
    </w:p>
    <w:p>
      <w:pPr>
        <w:spacing w:after="0" w:line="2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Nordstrom private label credit and debit cards can be used at a majority of our U.S. retail businesses, while Nordstrom Visa credit cards also may be used for purchases outside of Nordstrom. Prior to the completion of the credit card receivable transactions in October 2015 and November 2017, cash flows from the use of both the private label and Nordstrom Visa credit cards for sales originating at our stores and our digital channels were treated as an operating activity within the Consolidated Statements of Cash Flows, as they related to sales at Nordstrom. Additionally, cash flows arising from the use of Nordstrom Visa credit cards outside of our stores were treated as an investing activity within the Consolidated Statements of Cash Flows, as they represented loans made to our customers for purchases at third parties.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LAND, PROPERTY AND EQUIPMENT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Land, property and equipment consist of the following: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4000" w:type="dxa"/>
            <w:vAlign w:val="bottom"/>
          </w:tcPr>
          <w:p>
            <w:pPr>
              <w:jc w:val="right"/>
              <w:ind w:right="359"/>
              <w:spacing w:after="0"/>
              <w:rPr>
                <w:sz w:val="20"/>
                <w:szCs w:val="20"/>
                <w:color w:val="auto"/>
              </w:rPr>
            </w:pPr>
            <w:r>
              <w:rPr>
                <w:rFonts w:ascii="Arial" w:cs="Arial" w:eastAsia="Arial" w:hAnsi="Arial"/>
                <w:sz w:val="16"/>
                <w:szCs w:val="16"/>
                <w:b w:val="1"/>
                <w:bCs w:val="1"/>
                <w:color w:val="auto"/>
              </w:rPr>
              <w:t>February 3, 2018</w:t>
            </w:r>
          </w:p>
        </w:tc>
        <w:tc>
          <w:tcPr>
            <w:tcW w:w="1800" w:type="dxa"/>
            <w:vAlign w:val="bottom"/>
          </w:tcPr>
          <w:p>
            <w:pPr>
              <w:jc w:val="right"/>
              <w:ind w:right="139"/>
              <w:spacing w:after="0"/>
              <w:rPr>
                <w:sz w:val="20"/>
                <w:szCs w:val="20"/>
                <w:color w:val="auto"/>
              </w:rPr>
            </w:pPr>
            <w:r>
              <w:rPr>
                <w:rFonts w:ascii="Arial" w:cs="Arial" w:eastAsia="Arial" w:hAnsi="Arial"/>
                <w:sz w:val="16"/>
                <w:szCs w:val="16"/>
                <w:b w:val="1"/>
                <w:bCs w:val="1"/>
                <w:color w:val="auto"/>
              </w:rPr>
              <w:t>January 28, 2017</w:t>
            </w:r>
          </w:p>
        </w:tc>
      </w:tr>
      <w:tr>
        <w:trPr>
          <w:trHeight w:val="33"/>
        </w:trPr>
        <w:tc>
          <w:tcPr>
            <w:tcW w:w="560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Land and land improvements</w:t>
            </w:r>
          </w:p>
        </w:tc>
        <w:tc>
          <w:tcPr>
            <w:tcW w:w="400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$111</w:t>
            </w:r>
          </w:p>
        </w:tc>
        <w:tc>
          <w:tcPr>
            <w:tcW w:w="18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$107</w:t>
            </w:r>
          </w:p>
        </w:tc>
      </w:tr>
      <w:tr>
        <w:trPr>
          <w:trHeight w:val="237"/>
        </w:trPr>
        <w:tc>
          <w:tcPr>
            <w:tcW w:w="5600" w:type="dxa"/>
            <w:vAlign w:val="bottom"/>
          </w:tcPr>
          <w:p>
            <w:pPr>
              <w:ind w:left="40"/>
              <w:spacing w:after="0"/>
              <w:rPr>
                <w:sz w:val="20"/>
                <w:szCs w:val="20"/>
                <w:color w:val="auto"/>
              </w:rPr>
            </w:pPr>
            <w:r>
              <w:rPr>
                <w:rFonts w:ascii="Arial" w:cs="Arial" w:eastAsia="Arial" w:hAnsi="Arial"/>
                <w:sz w:val="16"/>
                <w:szCs w:val="16"/>
                <w:color w:val="auto"/>
              </w:rPr>
              <w:t>Buildings and building improvements</w:t>
            </w:r>
          </w:p>
        </w:tc>
        <w:tc>
          <w:tcPr>
            <w:tcW w:w="4000" w:type="dxa"/>
            <w:vAlign w:val="bottom"/>
          </w:tcPr>
          <w:p>
            <w:pPr>
              <w:jc w:val="right"/>
              <w:ind w:right="359"/>
              <w:spacing w:after="0"/>
              <w:rPr>
                <w:sz w:val="20"/>
                <w:szCs w:val="20"/>
                <w:color w:val="auto"/>
              </w:rPr>
            </w:pPr>
            <w:r>
              <w:rPr>
                <w:rFonts w:ascii="Arial" w:cs="Arial" w:eastAsia="Arial" w:hAnsi="Arial"/>
                <w:sz w:val="16"/>
                <w:szCs w:val="16"/>
                <w:b w:val="1"/>
                <w:bCs w:val="1"/>
                <w:color w:val="auto"/>
              </w:rPr>
              <w:t>1,246</w:t>
            </w:r>
          </w:p>
        </w:tc>
        <w:tc>
          <w:tcPr>
            <w:tcW w:w="1800" w:type="dxa"/>
            <w:vAlign w:val="bottom"/>
          </w:tcPr>
          <w:p>
            <w:pPr>
              <w:jc w:val="right"/>
              <w:ind w:right="139"/>
              <w:spacing w:after="0"/>
              <w:rPr>
                <w:sz w:val="20"/>
                <w:szCs w:val="20"/>
                <w:color w:val="auto"/>
              </w:rPr>
            </w:pPr>
            <w:r>
              <w:rPr>
                <w:rFonts w:ascii="Arial" w:cs="Arial" w:eastAsia="Arial" w:hAnsi="Arial"/>
                <w:sz w:val="16"/>
                <w:szCs w:val="16"/>
                <w:color w:val="auto"/>
              </w:rPr>
              <w:t>1,198</w:t>
            </w:r>
          </w:p>
        </w:tc>
      </w:tr>
      <w:tr>
        <w:trPr>
          <w:trHeight w:val="33"/>
        </w:trPr>
        <w:tc>
          <w:tcPr>
            <w:tcW w:w="560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Leasehold improvements</w:t>
            </w:r>
          </w:p>
        </w:tc>
        <w:tc>
          <w:tcPr>
            <w:tcW w:w="400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3,099</w:t>
            </w:r>
          </w:p>
        </w:tc>
        <w:tc>
          <w:tcPr>
            <w:tcW w:w="18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2,938</w:t>
            </w:r>
          </w:p>
        </w:tc>
      </w:tr>
      <w:tr>
        <w:trPr>
          <w:trHeight w:val="237"/>
        </w:trPr>
        <w:tc>
          <w:tcPr>
            <w:tcW w:w="5600" w:type="dxa"/>
            <w:vAlign w:val="bottom"/>
          </w:tcPr>
          <w:p>
            <w:pPr>
              <w:ind w:left="40"/>
              <w:spacing w:after="0"/>
              <w:rPr>
                <w:sz w:val="20"/>
                <w:szCs w:val="20"/>
                <w:color w:val="auto"/>
              </w:rPr>
            </w:pPr>
            <w:r>
              <w:rPr>
                <w:rFonts w:ascii="Arial" w:cs="Arial" w:eastAsia="Arial" w:hAnsi="Arial"/>
                <w:sz w:val="16"/>
                <w:szCs w:val="16"/>
                <w:color w:val="auto"/>
              </w:rPr>
              <w:t>Store fixtures and equipment</w:t>
            </w:r>
          </w:p>
        </w:tc>
        <w:tc>
          <w:tcPr>
            <w:tcW w:w="4000" w:type="dxa"/>
            <w:vAlign w:val="bottom"/>
          </w:tcPr>
          <w:p>
            <w:pPr>
              <w:jc w:val="right"/>
              <w:ind w:right="359"/>
              <w:spacing w:after="0"/>
              <w:rPr>
                <w:sz w:val="20"/>
                <w:szCs w:val="20"/>
                <w:color w:val="auto"/>
              </w:rPr>
            </w:pPr>
            <w:r>
              <w:rPr>
                <w:rFonts w:ascii="Arial" w:cs="Arial" w:eastAsia="Arial" w:hAnsi="Arial"/>
                <w:sz w:val="16"/>
                <w:szCs w:val="16"/>
                <w:b w:val="1"/>
                <w:bCs w:val="1"/>
                <w:color w:val="auto"/>
              </w:rPr>
              <w:t>3,724</w:t>
            </w:r>
          </w:p>
        </w:tc>
        <w:tc>
          <w:tcPr>
            <w:tcW w:w="1800" w:type="dxa"/>
            <w:vAlign w:val="bottom"/>
          </w:tcPr>
          <w:p>
            <w:pPr>
              <w:jc w:val="right"/>
              <w:ind w:right="139"/>
              <w:spacing w:after="0"/>
              <w:rPr>
                <w:sz w:val="20"/>
                <w:szCs w:val="20"/>
                <w:color w:val="auto"/>
              </w:rPr>
            </w:pPr>
            <w:r>
              <w:rPr>
                <w:rFonts w:ascii="Arial" w:cs="Arial" w:eastAsia="Arial" w:hAnsi="Arial"/>
                <w:sz w:val="16"/>
                <w:szCs w:val="16"/>
                <w:color w:val="auto"/>
              </w:rPr>
              <w:t>3,513</w:t>
            </w:r>
          </w:p>
        </w:tc>
      </w:tr>
      <w:tr>
        <w:trPr>
          <w:trHeight w:val="33"/>
        </w:trPr>
        <w:tc>
          <w:tcPr>
            <w:tcW w:w="560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Capitalized software</w:t>
            </w:r>
          </w:p>
        </w:tc>
        <w:tc>
          <w:tcPr>
            <w:tcW w:w="400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1,280</w:t>
            </w:r>
          </w:p>
        </w:tc>
        <w:tc>
          <w:tcPr>
            <w:tcW w:w="18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1,183</w:t>
            </w:r>
          </w:p>
        </w:tc>
      </w:tr>
      <w:tr>
        <w:trPr>
          <w:trHeight w:val="237"/>
        </w:trPr>
        <w:tc>
          <w:tcPr>
            <w:tcW w:w="5600" w:type="dxa"/>
            <w:vAlign w:val="bottom"/>
          </w:tcPr>
          <w:p>
            <w:pPr>
              <w:ind w:left="40"/>
              <w:spacing w:after="0"/>
              <w:rPr>
                <w:sz w:val="20"/>
                <w:szCs w:val="20"/>
                <w:color w:val="auto"/>
              </w:rPr>
            </w:pPr>
            <w:r>
              <w:rPr>
                <w:rFonts w:ascii="Arial" w:cs="Arial" w:eastAsia="Arial" w:hAnsi="Arial"/>
                <w:sz w:val="16"/>
                <w:szCs w:val="16"/>
                <w:color w:val="auto"/>
              </w:rPr>
              <w:t>Construction in progress</w:t>
            </w:r>
          </w:p>
        </w:tc>
        <w:tc>
          <w:tcPr>
            <w:tcW w:w="4000" w:type="dxa"/>
            <w:vAlign w:val="bottom"/>
          </w:tcPr>
          <w:p>
            <w:pPr>
              <w:jc w:val="right"/>
              <w:ind w:right="359"/>
              <w:spacing w:after="0"/>
              <w:rPr>
                <w:sz w:val="20"/>
                <w:szCs w:val="20"/>
                <w:color w:val="auto"/>
              </w:rPr>
            </w:pPr>
            <w:r>
              <w:rPr>
                <w:rFonts w:ascii="Arial" w:cs="Arial" w:eastAsia="Arial" w:hAnsi="Arial"/>
                <w:sz w:val="16"/>
                <w:szCs w:val="16"/>
                <w:b w:val="1"/>
                <w:bCs w:val="1"/>
                <w:color w:val="auto"/>
              </w:rPr>
              <w:t>584</w:t>
            </w:r>
          </w:p>
        </w:tc>
        <w:tc>
          <w:tcPr>
            <w:tcW w:w="1800" w:type="dxa"/>
            <w:vAlign w:val="bottom"/>
          </w:tcPr>
          <w:p>
            <w:pPr>
              <w:jc w:val="right"/>
              <w:ind w:right="139"/>
              <w:spacing w:after="0"/>
              <w:rPr>
                <w:sz w:val="20"/>
                <w:szCs w:val="20"/>
                <w:color w:val="auto"/>
              </w:rPr>
            </w:pPr>
            <w:r>
              <w:rPr>
                <w:rFonts w:ascii="Arial" w:cs="Arial" w:eastAsia="Arial" w:hAnsi="Arial"/>
                <w:sz w:val="16"/>
                <w:szCs w:val="16"/>
                <w:color w:val="auto"/>
              </w:rPr>
              <w:t>554</w:t>
            </w:r>
          </w:p>
        </w:tc>
      </w:tr>
      <w:tr>
        <w:trPr>
          <w:trHeight w:val="33"/>
        </w:trPr>
        <w:tc>
          <w:tcPr>
            <w:tcW w:w="560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69"/>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Land, property and equipment</w:t>
            </w:r>
          </w:p>
        </w:tc>
        <w:tc>
          <w:tcPr>
            <w:tcW w:w="400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10,044</w:t>
            </w:r>
          </w:p>
        </w:tc>
        <w:tc>
          <w:tcPr>
            <w:tcW w:w="18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9,493</w:t>
            </w:r>
          </w:p>
        </w:tc>
      </w:tr>
      <w:tr>
        <w:trPr>
          <w:trHeight w:val="231"/>
        </w:trPr>
        <w:tc>
          <w:tcPr>
            <w:tcW w:w="56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Less: accumulated depreciation and amortization</w:t>
            </w:r>
          </w:p>
        </w:tc>
        <w:tc>
          <w:tcPr>
            <w:tcW w:w="400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(6,105)</w:t>
            </w:r>
          </w:p>
        </w:tc>
        <w:tc>
          <w:tcPr>
            <w:tcW w:w="18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(5,596)</w:t>
            </w:r>
          </w:p>
        </w:tc>
      </w:tr>
      <w:tr>
        <w:trPr>
          <w:trHeight w:val="33"/>
        </w:trPr>
        <w:tc>
          <w:tcPr>
            <w:tcW w:w="560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Land, property and equipment, net</w:t>
            </w:r>
          </w:p>
        </w:tc>
        <w:tc>
          <w:tcPr>
            <w:tcW w:w="400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$3,939</w:t>
            </w:r>
          </w:p>
        </w:tc>
        <w:tc>
          <w:tcPr>
            <w:tcW w:w="18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$3,897</w:t>
            </w:r>
          </w:p>
        </w:tc>
      </w:tr>
      <w:tr>
        <w:trPr>
          <w:trHeight w:val="20"/>
        </w:trPr>
        <w:tc>
          <w:tcPr>
            <w:tcW w:w="5600" w:type="dxa"/>
            <w:vAlign w:val="bottom"/>
            <w:shd w:val="clear" w:color="auto" w:fill="000000"/>
          </w:tcPr>
          <w:p>
            <w:pPr>
              <w:spacing w:after="0" w:line="20" w:lineRule="exact"/>
              <w:rPr>
                <w:sz w:val="1"/>
                <w:szCs w:val="1"/>
                <w:color w:val="auto"/>
              </w:rPr>
            </w:pPr>
          </w:p>
        </w:tc>
        <w:tc>
          <w:tcPr>
            <w:tcW w:w="400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total cost of property and equipment held under capital lease obligations was $26 at the end of 2017 and 2016, with related accumulated amortization of $25 in 2017 and 2016. Depreciation and amortization expense was $655, $631 and $560 in 2017, 2016 and 2015.</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SELF-INSURANCE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Our self-insurance reserves are summarized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60" w:type="dxa"/>
            <w:vAlign w:val="bottom"/>
          </w:tcPr>
          <w:p>
            <w:pPr>
              <w:spacing w:after="0"/>
              <w:rPr>
                <w:sz w:val="18"/>
                <w:szCs w:val="18"/>
                <w:color w:val="auto"/>
              </w:rPr>
            </w:pPr>
          </w:p>
        </w:tc>
        <w:tc>
          <w:tcPr>
            <w:tcW w:w="4680" w:type="dxa"/>
            <w:vAlign w:val="bottom"/>
          </w:tcPr>
          <w:p>
            <w:pPr>
              <w:jc w:val="right"/>
              <w:ind w:right="299"/>
              <w:spacing w:after="0"/>
              <w:rPr>
                <w:sz w:val="20"/>
                <w:szCs w:val="20"/>
                <w:color w:val="auto"/>
              </w:rPr>
            </w:pPr>
            <w:r>
              <w:rPr>
                <w:rFonts w:ascii="Arial" w:cs="Arial" w:eastAsia="Arial" w:hAnsi="Arial"/>
                <w:sz w:val="16"/>
                <w:szCs w:val="16"/>
                <w:b w:val="1"/>
                <w:bCs w:val="1"/>
                <w:color w:val="auto"/>
              </w:rPr>
              <w:t>February 3, 2018</w:t>
            </w:r>
          </w:p>
        </w:tc>
        <w:tc>
          <w:tcPr>
            <w:tcW w:w="1660" w:type="dxa"/>
            <w:vAlign w:val="bottom"/>
          </w:tcPr>
          <w:p>
            <w:pPr>
              <w:jc w:val="right"/>
              <w:ind w:right="39"/>
              <w:spacing w:after="0"/>
              <w:rPr>
                <w:sz w:val="20"/>
                <w:szCs w:val="20"/>
                <w:color w:val="auto"/>
              </w:rPr>
            </w:pPr>
            <w:r>
              <w:rPr>
                <w:rFonts w:ascii="Arial" w:cs="Arial" w:eastAsia="Arial" w:hAnsi="Arial"/>
                <w:sz w:val="16"/>
                <w:szCs w:val="16"/>
                <w:b w:val="1"/>
                <w:bCs w:val="1"/>
                <w:color w:val="auto"/>
              </w:rPr>
              <w:t>January 28, 2017</w:t>
            </w:r>
          </w:p>
        </w:tc>
      </w:tr>
      <w:tr>
        <w:trPr>
          <w:trHeight w:val="33"/>
        </w:trPr>
        <w:tc>
          <w:tcPr>
            <w:tcW w:w="5060" w:type="dxa"/>
            <w:vAlign w:val="bottom"/>
            <w:tcBorders>
              <w:bottom w:val="single" w:sz="8" w:color="auto"/>
            </w:tcBorders>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Workers’ compensation</w:t>
            </w:r>
          </w:p>
        </w:tc>
        <w:tc>
          <w:tcPr>
            <w:tcW w:w="46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$71</w:t>
            </w: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w:t>
            </w:r>
          </w:p>
        </w:tc>
      </w:tr>
      <w:tr>
        <w:trPr>
          <w:trHeight w:val="237"/>
        </w:trPr>
        <w:tc>
          <w:tcPr>
            <w:tcW w:w="5060" w:type="dxa"/>
            <w:vAlign w:val="bottom"/>
          </w:tcPr>
          <w:p>
            <w:pPr>
              <w:ind w:left="40"/>
              <w:spacing w:after="0"/>
              <w:rPr>
                <w:sz w:val="20"/>
                <w:szCs w:val="20"/>
                <w:color w:val="auto"/>
              </w:rPr>
            </w:pPr>
            <w:r>
              <w:rPr>
                <w:rFonts w:ascii="Arial" w:cs="Arial" w:eastAsia="Arial" w:hAnsi="Arial"/>
                <w:sz w:val="16"/>
                <w:szCs w:val="16"/>
                <w:color w:val="auto"/>
              </w:rPr>
              <w:t>Employee health and welfare</w:t>
            </w:r>
          </w:p>
        </w:tc>
        <w:tc>
          <w:tcPr>
            <w:tcW w:w="4680" w:type="dxa"/>
            <w:vAlign w:val="bottom"/>
          </w:tcPr>
          <w:p>
            <w:pPr>
              <w:jc w:val="right"/>
              <w:ind w:right="299"/>
              <w:spacing w:after="0"/>
              <w:rPr>
                <w:sz w:val="20"/>
                <w:szCs w:val="20"/>
                <w:color w:val="auto"/>
              </w:rPr>
            </w:pPr>
            <w:r>
              <w:rPr>
                <w:rFonts w:ascii="Arial" w:cs="Arial" w:eastAsia="Arial" w:hAnsi="Arial"/>
                <w:sz w:val="16"/>
                <w:szCs w:val="16"/>
                <w:b w:val="1"/>
                <w:bCs w:val="1"/>
                <w:color w:val="auto"/>
              </w:rPr>
              <w:t>26</w:t>
            </w: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29</w:t>
            </w:r>
          </w:p>
        </w:tc>
      </w:tr>
      <w:tr>
        <w:trPr>
          <w:trHeight w:val="33"/>
        </w:trPr>
        <w:tc>
          <w:tcPr>
            <w:tcW w:w="506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5"/>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liability</w:t>
            </w:r>
          </w:p>
        </w:tc>
        <w:tc>
          <w:tcPr>
            <w:tcW w:w="46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18</w:t>
            </w: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w:t>
            </w:r>
          </w:p>
        </w:tc>
      </w:tr>
      <w:tr>
        <w:trPr>
          <w:trHeight w:val="231"/>
        </w:trPr>
        <w:tc>
          <w:tcPr>
            <w:tcW w:w="50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self-insurance reserve</w:t>
            </w:r>
          </w:p>
        </w:tc>
        <w:tc>
          <w:tcPr>
            <w:tcW w:w="468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$115</w:t>
            </w:r>
          </w:p>
        </w:tc>
        <w:tc>
          <w:tcPr>
            <w:tcW w:w="16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$114</w:t>
            </w:r>
          </w:p>
        </w:tc>
      </w:tr>
      <w:tr>
        <w:trPr>
          <w:trHeight w:val="33"/>
        </w:trPr>
        <w:tc>
          <w:tcPr>
            <w:tcW w:w="5060" w:type="dxa"/>
            <w:vAlign w:val="bottom"/>
            <w:tcBorders>
              <w:bottom w:val="single" w:sz="8" w:color="auto"/>
            </w:tcBorders>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Our workers’ compensation policies have a retention per claim of $1 or less and no policy limits.</w:t>
      </w:r>
    </w:p>
    <w:p>
      <w:pPr>
        <w:spacing w:after="0" w:line="171" w:lineRule="exact"/>
        <w:rPr>
          <w:sz w:val="20"/>
          <w:szCs w:val="20"/>
          <w:color w:val="auto"/>
        </w:rPr>
      </w:pPr>
    </w:p>
    <w:p>
      <w:pPr>
        <w:jc w:val="both"/>
        <w:ind w:right="140"/>
        <w:spacing w:after="0" w:line="277" w:lineRule="auto"/>
        <w:rPr>
          <w:sz w:val="20"/>
          <w:szCs w:val="20"/>
          <w:color w:val="auto"/>
        </w:rPr>
      </w:pPr>
      <w:r>
        <w:rPr>
          <w:rFonts w:ascii="Arial" w:cs="Arial" w:eastAsia="Arial" w:hAnsi="Arial"/>
          <w:sz w:val="18"/>
          <w:szCs w:val="18"/>
          <w:color w:val="auto"/>
        </w:rPr>
        <w:t>We are self-insured for the majority of our employee health and welfare coverage and we do not use stop-loss coverage. Participants contribute to the cost of their coverage through premiums and out-of-pocket expenses for deductibles, co-pays and co-insurance.</w:t>
      </w:r>
    </w:p>
    <w:p>
      <w:pPr>
        <w:spacing w:after="0" w:line="11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Our liability policies, encompassing an employment practices liability, with a policy limit up to $30, and a commercial general liability, with a policy limit up to $151, have a retention per claim of $3 or less.</w:t>
      </w:r>
    </w:p>
    <w:p>
      <w:pPr>
        <w:sectPr>
          <w:pgSz w:w="11900" w:h="16838" w:orient="portrait"/>
          <w:cols w:equalWidth="0" w:num="1">
            <w:col w:w="11420"/>
          </w:cols>
          <w:pgMar w:left="240" w:top="126" w:right="239" w:bottom="1440" w:gutter="0" w:footer="0" w:header="0"/>
        </w:sectPr>
      </w:pPr>
    </w:p>
    <w:p>
      <w:pPr>
        <w:spacing w:after="0" w:line="364" w:lineRule="exact"/>
        <w:rPr>
          <w:sz w:val="20"/>
          <w:szCs w:val="20"/>
          <w:color w:val="auto"/>
        </w:rPr>
      </w:pPr>
    </w:p>
    <w:p>
      <w:pPr>
        <w:ind w:left="9580"/>
        <w:spacing w:after="0"/>
        <w:rPr>
          <w:sz w:val="20"/>
          <w:szCs w:val="20"/>
          <w:color w:val="auto"/>
        </w:rPr>
      </w:pPr>
      <w:r>
        <w:rPr>
          <w:rFonts w:ascii="Arial" w:cs="Arial" w:eastAsia="Arial" w:hAnsi="Arial"/>
          <w:sz w:val="11"/>
          <w:szCs w:val="11"/>
          <w:color w:val="auto"/>
        </w:rPr>
        <w:t xml:space="preserve">Nordstrom, Inc. and subsidiaries </w:t>
      </w:r>
      <w:r>
        <w:rPr>
          <w:rFonts w:ascii="Arial" w:cs="Arial" w:eastAsia="Arial" w:hAnsi="Arial"/>
          <w:sz w:val="14"/>
          <w:szCs w:val="14"/>
          <w:color w:val="auto"/>
        </w:rPr>
        <w:t>48</w:t>
      </w:r>
    </w:p>
    <w:p>
      <w:pPr>
        <w:sectPr>
          <w:pgSz w:w="11900" w:h="16838" w:orient="portrait"/>
          <w:cols w:equalWidth="0" w:num="1">
            <w:col w:w="11420"/>
          </w:cols>
          <w:pgMar w:left="240" w:top="126" w:right="239" w:bottom="1440" w:gutter="0" w:footer="0" w:header="0"/>
          <w:type w:val="continuous"/>
        </w:sectPr>
      </w:pPr>
    </w:p>
    <w:bookmarkStart w:id="49" w:name="page50"/>
    <w:bookmarkEnd w:id="49"/>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401(K) PLAN</w:t>
      </w:r>
    </w:p>
    <w:p>
      <w:pPr>
        <w:spacing w:after="0" w:line="27"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We provide a 401(k) plan for our employees that allows for employee elective contributions and discretionary Company contributions. Employee elective contributions are funded through voluntary payroll deductions. Our discretionary Company contribution is funded in an amount determined by our Board of Directors each year. Total expenses related to Company contributions of $110, $92 and $62 in 2017, 2016 and 2015 were included in both buying and occupancy costs and selling, general and administrative expenses on our Consolidated Statements of Earnings. The $110 in 2017 included $94 of matching contributions and $16 for a one-time discretionary profit-sharing contribution.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POSTRETIREMENT BENEFITS</w:t>
      </w:r>
    </w:p>
    <w:p>
      <w:pPr>
        <w:spacing w:after="0" w:line="2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have an unfunded defined benefit Supplemental Executive Retirement Plan (“SERP”), which provides retirement benefits to certain officers and select employees. The SERP has different benefit levels depending on the participant’s role in the Company. At the end of 2017, we had 57 participants in the plan, including 16 officers and select employees eligible for SERP benefits, 40 retirees and one beneficiary. This plan is non-qualified and does not have a minimum funding requirement.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 Obligations and Funded Status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Our benefit obligation and funded status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80" w:type="dxa"/>
            <w:vAlign w:val="bottom"/>
          </w:tcPr>
          <w:p>
            <w:pPr>
              <w:spacing w:after="0"/>
              <w:rPr>
                <w:sz w:val="18"/>
                <w:szCs w:val="18"/>
                <w:color w:val="auto"/>
              </w:rPr>
            </w:pPr>
          </w:p>
        </w:tc>
        <w:tc>
          <w:tcPr>
            <w:tcW w:w="4080" w:type="dxa"/>
            <w:vAlign w:val="bottom"/>
          </w:tcPr>
          <w:p>
            <w:pPr>
              <w:jc w:val="right"/>
              <w:ind w:right="319"/>
              <w:spacing w:after="0"/>
              <w:rPr>
                <w:sz w:val="20"/>
                <w:szCs w:val="20"/>
                <w:color w:val="auto"/>
              </w:rPr>
            </w:pPr>
            <w:r>
              <w:rPr>
                <w:rFonts w:ascii="Arial" w:cs="Arial" w:eastAsia="Arial" w:hAnsi="Arial"/>
                <w:sz w:val="16"/>
                <w:szCs w:val="16"/>
                <w:b w:val="1"/>
                <w:bCs w:val="1"/>
                <w:color w:val="auto"/>
              </w:rPr>
              <w:t>February 3, 2018</w:t>
            </w:r>
          </w:p>
        </w:tc>
        <w:tc>
          <w:tcPr>
            <w:tcW w:w="1640" w:type="dxa"/>
            <w:vAlign w:val="bottom"/>
          </w:tcPr>
          <w:p>
            <w:pPr>
              <w:jc w:val="right"/>
              <w:ind w:right="39"/>
              <w:spacing w:after="0"/>
              <w:rPr>
                <w:sz w:val="20"/>
                <w:szCs w:val="20"/>
                <w:color w:val="auto"/>
              </w:rPr>
            </w:pPr>
            <w:r>
              <w:rPr>
                <w:rFonts w:ascii="Arial" w:cs="Arial" w:eastAsia="Arial" w:hAnsi="Arial"/>
                <w:sz w:val="16"/>
                <w:szCs w:val="16"/>
                <w:b w:val="1"/>
                <w:bCs w:val="1"/>
                <w:color w:val="auto"/>
              </w:rPr>
              <w:t>January 28, 2017</w:t>
            </w:r>
          </w:p>
        </w:tc>
      </w:tr>
      <w:tr>
        <w:trPr>
          <w:trHeight w:val="33"/>
        </w:trPr>
        <w:tc>
          <w:tcPr>
            <w:tcW w:w="568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 in benefit obligation:</w:t>
            </w:r>
          </w:p>
        </w:tc>
        <w:tc>
          <w:tcPr>
            <w:tcW w:w="40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37"/>
        </w:trPr>
        <w:tc>
          <w:tcPr>
            <w:tcW w:w="5680" w:type="dxa"/>
            <w:vAlign w:val="bottom"/>
          </w:tcPr>
          <w:p>
            <w:pPr>
              <w:ind w:left="280"/>
              <w:spacing w:after="0"/>
              <w:rPr>
                <w:sz w:val="20"/>
                <w:szCs w:val="20"/>
                <w:color w:val="auto"/>
              </w:rPr>
            </w:pPr>
            <w:r>
              <w:rPr>
                <w:rFonts w:ascii="Arial" w:cs="Arial" w:eastAsia="Arial" w:hAnsi="Arial"/>
                <w:sz w:val="16"/>
                <w:szCs w:val="16"/>
                <w:color w:val="auto"/>
              </w:rPr>
              <w:t>Benefit obligation at beginning of year</w:t>
            </w:r>
          </w:p>
        </w:tc>
        <w:tc>
          <w:tcPr>
            <w:tcW w:w="4080" w:type="dxa"/>
            <w:vAlign w:val="bottom"/>
          </w:tcPr>
          <w:p>
            <w:pPr>
              <w:jc w:val="right"/>
              <w:ind w:right="319"/>
              <w:spacing w:after="0"/>
              <w:rPr>
                <w:sz w:val="20"/>
                <w:szCs w:val="20"/>
                <w:color w:val="auto"/>
              </w:rPr>
            </w:pPr>
            <w:r>
              <w:rPr>
                <w:rFonts w:ascii="Arial" w:cs="Arial" w:eastAsia="Arial" w:hAnsi="Arial"/>
                <w:sz w:val="16"/>
                <w:szCs w:val="16"/>
                <w:b w:val="1"/>
                <w:bCs w:val="1"/>
                <w:color w:val="auto"/>
              </w:rPr>
              <w:t>$188</w:t>
            </w: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$181</w:t>
            </w:r>
          </w:p>
        </w:tc>
      </w:tr>
      <w:tr>
        <w:trPr>
          <w:trHeight w:val="33"/>
        </w:trPr>
        <w:tc>
          <w:tcPr>
            <w:tcW w:w="568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Participant service cost</w:t>
            </w:r>
          </w:p>
        </w:tc>
        <w:tc>
          <w:tcPr>
            <w:tcW w:w="408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3</w:t>
            </w: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r>
      <w:tr>
        <w:trPr>
          <w:trHeight w:val="237"/>
        </w:trPr>
        <w:tc>
          <w:tcPr>
            <w:tcW w:w="5680" w:type="dxa"/>
            <w:vAlign w:val="bottom"/>
          </w:tcPr>
          <w:p>
            <w:pPr>
              <w:ind w:left="500"/>
              <w:spacing w:after="0"/>
              <w:rPr>
                <w:sz w:val="20"/>
                <w:szCs w:val="20"/>
                <w:color w:val="auto"/>
              </w:rPr>
            </w:pPr>
            <w:r>
              <w:rPr>
                <w:rFonts w:ascii="Arial" w:cs="Arial" w:eastAsia="Arial" w:hAnsi="Arial"/>
                <w:sz w:val="16"/>
                <w:szCs w:val="16"/>
                <w:color w:val="auto"/>
              </w:rPr>
              <w:t>Interest cost</w:t>
            </w:r>
          </w:p>
        </w:tc>
        <w:tc>
          <w:tcPr>
            <w:tcW w:w="4080" w:type="dxa"/>
            <w:vAlign w:val="bottom"/>
          </w:tcPr>
          <w:p>
            <w:pPr>
              <w:jc w:val="right"/>
              <w:ind w:right="319"/>
              <w:spacing w:after="0"/>
              <w:rPr>
                <w:sz w:val="20"/>
                <w:szCs w:val="20"/>
                <w:color w:val="auto"/>
              </w:rPr>
            </w:pPr>
            <w:r>
              <w:rPr>
                <w:rFonts w:ascii="Arial" w:cs="Arial" w:eastAsia="Arial" w:hAnsi="Arial"/>
                <w:sz w:val="16"/>
                <w:szCs w:val="16"/>
                <w:b w:val="1"/>
                <w:bCs w:val="1"/>
                <w:color w:val="auto"/>
              </w:rPr>
              <w:t>7</w:t>
            </w: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7</w:t>
            </w:r>
          </w:p>
        </w:tc>
      </w:tr>
      <w:tr>
        <w:trPr>
          <w:trHeight w:val="33"/>
        </w:trPr>
        <w:tc>
          <w:tcPr>
            <w:tcW w:w="568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Benefits paid</w:t>
            </w:r>
          </w:p>
        </w:tc>
        <w:tc>
          <w:tcPr>
            <w:tcW w:w="408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(8)</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37"/>
        </w:trPr>
        <w:tc>
          <w:tcPr>
            <w:tcW w:w="5680" w:type="dxa"/>
            <w:vAlign w:val="bottom"/>
          </w:tcPr>
          <w:p>
            <w:pPr>
              <w:ind w:left="500"/>
              <w:spacing w:after="0"/>
              <w:rPr>
                <w:sz w:val="20"/>
                <w:szCs w:val="20"/>
                <w:color w:val="auto"/>
              </w:rPr>
            </w:pPr>
            <w:r>
              <w:rPr>
                <w:rFonts w:ascii="Arial" w:cs="Arial" w:eastAsia="Arial" w:hAnsi="Arial"/>
                <w:sz w:val="16"/>
                <w:szCs w:val="16"/>
                <w:color w:val="auto"/>
              </w:rPr>
              <w:t>Actuarial gain</w:t>
            </w:r>
          </w:p>
        </w:tc>
        <w:tc>
          <w:tcPr>
            <w:tcW w:w="4080" w:type="dxa"/>
            <w:vAlign w:val="bottom"/>
          </w:tcPr>
          <w:p>
            <w:pPr>
              <w:jc w:val="right"/>
              <w:ind w:right="319"/>
              <w:spacing w:after="0"/>
              <w:rPr>
                <w:sz w:val="20"/>
                <w:szCs w:val="20"/>
                <w:color w:val="auto"/>
              </w:rPr>
            </w:pPr>
            <w:r>
              <w:rPr>
                <w:rFonts w:ascii="Arial" w:cs="Arial" w:eastAsia="Arial" w:hAnsi="Arial"/>
                <w:sz w:val="16"/>
                <w:szCs w:val="16"/>
                <w:b w:val="1"/>
                <w:bCs w:val="1"/>
                <w:color w:val="auto"/>
              </w:rPr>
              <w:t>10</w:t>
            </w: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4</w:t>
            </w:r>
          </w:p>
        </w:tc>
      </w:tr>
      <w:tr>
        <w:trPr>
          <w:trHeight w:val="33"/>
        </w:trPr>
        <w:tc>
          <w:tcPr>
            <w:tcW w:w="568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b w:val="1"/>
                <w:bCs w:val="1"/>
                <w:color w:val="auto"/>
              </w:rPr>
              <w:t>Benefit obligation at end of year</w:t>
            </w:r>
          </w:p>
        </w:tc>
        <w:tc>
          <w:tcPr>
            <w:tcW w:w="408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200</w:t>
            </w: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188</w:t>
            </w:r>
          </w:p>
        </w:tc>
      </w:tr>
      <w:tr>
        <w:trPr>
          <w:trHeight w:val="237"/>
        </w:trPr>
        <w:tc>
          <w:tcPr>
            <w:tcW w:w="5680" w:type="dxa"/>
            <w:vAlign w:val="bottom"/>
          </w:tcPr>
          <w:p>
            <w:pPr>
              <w:ind w:left="40"/>
              <w:spacing w:after="0"/>
              <w:rPr>
                <w:sz w:val="20"/>
                <w:szCs w:val="20"/>
                <w:color w:val="auto"/>
              </w:rPr>
            </w:pPr>
            <w:r>
              <w:rPr>
                <w:rFonts w:ascii="Arial" w:cs="Arial" w:eastAsia="Arial" w:hAnsi="Arial"/>
                <w:sz w:val="16"/>
                <w:szCs w:val="16"/>
                <w:color w:val="auto"/>
              </w:rPr>
              <w:t>Change in plan assets:</w:t>
            </w:r>
          </w:p>
        </w:tc>
        <w:tc>
          <w:tcPr>
            <w:tcW w:w="40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33"/>
        </w:trPr>
        <w:tc>
          <w:tcPr>
            <w:tcW w:w="568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Fair value of plan assets at beginning of year</w:t>
            </w:r>
          </w:p>
        </w:tc>
        <w:tc>
          <w:tcPr>
            <w:tcW w:w="408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w:t>
            </w: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5680" w:type="dxa"/>
            <w:vAlign w:val="bottom"/>
          </w:tcPr>
          <w:p>
            <w:pPr>
              <w:ind w:left="500"/>
              <w:spacing w:after="0"/>
              <w:rPr>
                <w:sz w:val="20"/>
                <w:szCs w:val="20"/>
                <w:color w:val="auto"/>
              </w:rPr>
            </w:pPr>
            <w:r>
              <w:rPr>
                <w:rFonts w:ascii="Arial" w:cs="Arial" w:eastAsia="Arial" w:hAnsi="Arial"/>
                <w:sz w:val="16"/>
                <w:szCs w:val="16"/>
                <w:color w:val="auto"/>
              </w:rPr>
              <w:t>Employer contribution</w:t>
            </w:r>
          </w:p>
        </w:tc>
        <w:tc>
          <w:tcPr>
            <w:tcW w:w="4080" w:type="dxa"/>
            <w:vAlign w:val="bottom"/>
          </w:tcPr>
          <w:p>
            <w:pPr>
              <w:jc w:val="right"/>
              <w:ind w:right="319"/>
              <w:spacing w:after="0"/>
              <w:rPr>
                <w:sz w:val="20"/>
                <w:szCs w:val="20"/>
                <w:color w:val="auto"/>
              </w:rPr>
            </w:pPr>
            <w:r>
              <w:rPr>
                <w:rFonts w:ascii="Arial" w:cs="Arial" w:eastAsia="Arial" w:hAnsi="Arial"/>
                <w:sz w:val="16"/>
                <w:szCs w:val="16"/>
                <w:b w:val="1"/>
                <w:bCs w:val="1"/>
                <w:color w:val="auto"/>
              </w:rPr>
              <w:t>8</w:t>
            </w: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7</w:t>
            </w:r>
          </w:p>
        </w:tc>
      </w:tr>
      <w:tr>
        <w:trPr>
          <w:trHeight w:val="33"/>
        </w:trPr>
        <w:tc>
          <w:tcPr>
            <w:tcW w:w="568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5"/>
        </w:trPr>
        <w:tc>
          <w:tcPr>
            <w:tcW w:w="56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Benefits paid</w:t>
            </w:r>
          </w:p>
        </w:tc>
        <w:tc>
          <w:tcPr>
            <w:tcW w:w="408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(8)</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31"/>
        </w:trPr>
        <w:tc>
          <w:tcPr>
            <w:tcW w:w="5680" w:type="dxa"/>
            <w:vAlign w:val="bottom"/>
            <w:tcBorders>
              <w:top w:val="single" w:sz="8" w:color="auto"/>
            </w:tcBorders>
          </w:tcPr>
          <w:p>
            <w:pPr>
              <w:ind w:left="280"/>
              <w:spacing w:after="0"/>
              <w:rPr>
                <w:sz w:val="20"/>
                <w:szCs w:val="20"/>
                <w:color w:val="auto"/>
              </w:rPr>
            </w:pPr>
            <w:r>
              <w:rPr>
                <w:rFonts w:ascii="Arial" w:cs="Arial" w:eastAsia="Arial" w:hAnsi="Arial"/>
                <w:sz w:val="16"/>
                <w:szCs w:val="16"/>
                <w:b w:val="1"/>
                <w:bCs w:val="1"/>
                <w:color w:val="auto"/>
              </w:rPr>
              <w:t>Fair value of plan assets at end of year</w:t>
            </w:r>
          </w:p>
        </w:tc>
        <w:tc>
          <w:tcPr>
            <w:tcW w:w="408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w:t>
            </w:r>
          </w:p>
        </w:tc>
        <w:tc>
          <w:tcPr>
            <w:tcW w:w="1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568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b w:val="1"/>
                <w:bCs w:val="1"/>
                <w:color w:val="auto"/>
              </w:rPr>
              <w:t>Underfunded status at end of year</w:t>
            </w:r>
          </w:p>
        </w:tc>
        <w:tc>
          <w:tcPr>
            <w:tcW w:w="408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($200)</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($188)</w:t>
            </w:r>
          </w:p>
        </w:tc>
      </w:tr>
      <w:tr>
        <w:trPr>
          <w:trHeight w:val="20"/>
        </w:trPr>
        <w:tc>
          <w:tcPr>
            <w:tcW w:w="5680" w:type="dxa"/>
            <w:vAlign w:val="bottom"/>
            <w:shd w:val="clear" w:color="auto" w:fill="000000"/>
          </w:tcPr>
          <w:p>
            <w:pPr>
              <w:spacing w:after="0" w:line="20" w:lineRule="exact"/>
              <w:rPr>
                <w:sz w:val="1"/>
                <w:szCs w:val="1"/>
                <w:color w:val="auto"/>
              </w:rPr>
            </w:pPr>
          </w:p>
        </w:tc>
        <w:tc>
          <w:tcPr>
            <w:tcW w:w="408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accumulated benefit obligation, which is the present value of benefits, assuming no future compensation changes, was $197 and $184 at the end of 2017 and 2016.</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as liabilities in the Consolidated Balance Sheets consist of the following: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40" w:type="dxa"/>
            <w:vAlign w:val="bottom"/>
          </w:tcPr>
          <w:p>
            <w:pPr>
              <w:spacing w:after="0"/>
              <w:rPr>
                <w:sz w:val="18"/>
                <w:szCs w:val="18"/>
                <w:color w:val="auto"/>
              </w:rPr>
            </w:pPr>
          </w:p>
        </w:tc>
        <w:tc>
          <w:tcPr>
            <w:tcW w:w="4200" w:type="dxa"/>
            <w:vAlign w:val="bottom"/>
          </w:tcPr>
          <w:p>
            <w:pPr>
              <w:jc w:val="right"/>
              <w:ind w:right="299"/>
              <w:spacing w:after="0"/>
              <w:rPr>
                <w:sz w:val="20"/>
                <w:szCs w:val="20"/>
                <w:color w:val="auto"/>
              </w:rPr>
            </w:pPr>
            <w:r>
              <w:rPr>
                <w:rFonts w:ascii="Arial" w:cs="Arial" w:eastAsia="Arial" w:hAnsi="Arial"/>
                <w:sz w:val="16"/>
                <w:szCs w:val="16"/>
                <w:b w:val="1"/>
                <w:bCs w:val="1"/>
                <w:color w:val="auto"/>
              </w:rPr>
              <w:t>February 3, 2018</w:t>
            </w:r>
          </w:p>
        </w:tc>
        <w:tc>
          <w:tcPr>
            <w:tcW w:w="1660" w:type="dxa"/>
            <w:vAlign w:val="bottom"/>
          </w:tcPr>
          <w:p>
            <w:pPr>
              <w:jc w:val="right"/>
              <w:ind w:right="39"/>
              <w:spacing w:after="0"/>
              <w:rPr>
                <w:sz w:val="20"/>
                <w:szCs w:val="20"/>
                <w:color w:val="auto"/>
              </w:rPr>
            </w:pPr>
            <w:r>
              <w:rPr>
                <w:rFonts w:ascii="Arial" w:cs="Arial" w:eastAsia="Arial" w:hAnsi="Arial"/>
                <w:sz w:val="16"/>
                <w:szCs w:val="16"/>
                <w:b w:val="1"/>
                <w:bCs w:val="1"/>
                <w:color w:val="auto"/>
              </w:rPr>
              <w:t>January 28, 2017</w:t>
            </w:r>
          </w:p>
        </w:tc>
      </w:tr>
      <w:tr>
        <w:trPr>
          <w:trHeight w:val="33"/>
        </w:trPr>
        <w:tc>
          <w:tcPr>
            <w:tcW w:w="5540" w:type="dxa"/>
            <w:vAlign w:val="bottom"/>
            <w:tcBorders>
              <w:bottom w:val="single" w:sz="8" w:color="auto"/>
            </w:tcBorders>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Accrued salaries, wages and related benefits</w:t>
            </w:r>
          </w:p>
        </w:tc>
        <w:tc>
          <w:tcPr>
            <w:tcW w:w="42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$9</w:t>
            </w: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w:t>
            </w:r>
          </w:p>
        </w:tc>
      </w:tr>
      <w:tr>
        <w:trPr>
          <w:trHeight w:val="237"/>
        </w:trPr>
        <w:tc>
          <w:tcPr>
            <w:tcW w:w="5540" w:type="dxa"/>
            <w:vAlign w:val="bottom"/>
          </w:tcPr>
          <w:p>
            <w:pPr>
              <w:ind w:left="40"/>
              <w:spacing w:after="0"/>
              <w:rPr>
                <w:sz w:val="20"/>
                <w:szCs w:val="20"/>
                <w:color w:val="auto"/>
              </w:rPr>
            </w:pPr>
            <w:r>
              <w:rPr>
                <w:rFonts w:ascii="Arial" w:cs="Arial" w:eastAsia="Arial" w:hAnsi="Arial"/>
                <w:sz w:val="16"/>
                <w:szCs w:val="16"/>
                <w:color w:val="auto"/>
              </w:rPr>
              <w:t>Other liabilities (noncurrent)</w:t>
            </w:r>
          </w:p>
        </w:tc>
        <w:tc>
          <w:tcPr>
            <w:tcW w:w="4200" w:type="dxa"/>
            <w:vAlign w:val="bottom"/>
          </w:tcPr>
          <w:p>
            <w:pPr>
              <w:jc w:val="right"/>
              <w:ind w:right="299"/>
              <w:spacing w:after="0"/>
              <w:rPr>
                <w:sz w:val="20"/>
                <w:szCs w:val="20"/>
                <w:color w:val="auto"/>
              </w:rPr>
            </w:pPr>
            <w:r>
              <w:rPr>
                <w:rFonts w:ascii="Arial" w:cs="Arial" w:eastAsia="Arial" w:hAnsi="Arial"/>
                <w:sz w:val="16"/>
                <w:szCs w:val="16"/>
                <w:b w:val="1"/>
                <w:bCs w:val="1"/>
                <w:color w:val="auto"/>
              </w:rPr>
              <w:t>191</w:t>
            </w: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180</w:t>
            </w:r>
          </w:p>
        </w:tc>
      </w:tr>
      <w:tr>
        <w:trPr>
          <w:trHeight w:val="33"/>
        </w:trPr>
        <w:tc>
          <w:tcPr>
            <w:tcW w:w="5540" w:type="dxa"/>
            <w:vAlign w:val="bottom"/>
            <w:tcBorders>
              <w:bottom w:val="single" w:sz="8" w:color="auto"/>
            </w:tcBorders>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amount recognized</w:t>
            </w:r>
          </w:p>
        </w:tc>
        <w:tc>
          <w:tcPr>
            <w:tcW w:w="42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$200</w:t>
            </w: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$188</w:t>
            </w:r>
          </w:p>
        </w:tc>
      </w:tr>
      <w:tr>
        <w:trPr>
          <w:trHeight w:val="20"/>
        </w:trPr>
        <w:tc>
          <w:tcPr>
            <w:tcW w:w="5540" w:type="dxa"/>
            <w:vAlign w:val="bottom"/>
            <w:shd w:val="clear" w:color="auto" w:fill="000000"/>
          </w:tcPr>
          <w:p>
            <w:pPr>
              <w:spacing w:after="0" w:line="20" w:lineRule="exact"/>
              <w:rPr>
                <w:sz w:val="1"/>
                <w:szCs w:val="1"/>
                <w:color w:val="auto"/>
              </w:rPr>
            </w:pPr>
          </w:p>
        </w:tc>
        <w:tc>
          <w:tcPr>
            <w:tcW w:w="420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SERP Expense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SERP expense recognized in the Consolidated Statements of Earnings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80" w:type="dxa"/>
            <w:vAlign w:val="bottom"/>
          </w:tcPr>
          <w:p>
            <w:pPr>
              <w:ind w:left="40"/>
              <w:spacing w:after="0"/>
              <w:rPr>
                <w:sz w:val="20"/>
                <w:szCs w:val="20"/>
                <w:color w:val="auto"/>
              </w:rPr>
            </w:pPr>
            <w:r>
              <w:rPr>
                <w:rFonts w:ascii="Arial" w:cs="Arial" w:eastAsia="Arial" w:hAnsi="Arial"/>
                <w:sz w:val="16"/>
                <w:szCs w:val="16"/>
                <w:b w:val="1"/>
                <w:bCs w:val="1"/>
                <w:color w:val="auto"/>
              </w:rPr>
              <w:t>Fiscal year</w:t>
            </w:r>
          </w:p>
        </w:tc>
        <w:tc>
          <w:tcPr>
            <w:tcW w:w="3560" w:type="dxa"/>
            <w:vAlign w:val="bottom"/>
          </w:tcPr>
          <w:p>
            <w:pPr>
              <w:jc w:val="right"/>
              <w:ind w:right="719"/>
              <w:spacing w:after="0"/>
              <w:rPr>
                <w:sz w:val="20"/>
                <w:szCs w:val="20"/>
                <w:color w:val="auto"/>
              </w:rPr>
            </w:pPr>
            <w:r>
              <w:rPr>
                <w:rFonts w:ascii="Arial" w:cs="Arial" w:eastAsia="Arial" w:hAnsi="Arial"/>
                <w:sz w:val="16"/>
                <w:szCs w:val="16"/>
                <w:b w:val="1"/>
                <w:bCs w:val="1"/>
                <w:color w:val="auto"/>
              </w:rPr>
              <w:t>2017</w:t>
            </w:r>
          </w:p>
        </w:tc>
        <w:tc>
          <w:tcPr>
            <w:tcW w:w="1920" w:type="dxa"/>
            <w:vAlign w:val="bottom"/>
          </w:tcPr>
          <w:p>
            <w:pPr>
              <w:jc w:val="right"/>
              <w:ind w:right="719"/>
              <w:spacing w:after="0"/>
              <w:rPr>
                <w:sz w:val="20"/>
                <w:szCs w:val="20"/>
                <w:color w:val="auto"/>
              </w:rPr>
            </w:pPr>
            <w:r>
              <w:rPr>
                <w:rFonts w:ascii="Arial" w:cs="Arial" w:eastAsia="Arial" w:hAnsi="Arial"/>
                <w:sz w:val="16"/>
                <w:szCs w:val="16"/>
                <w:b w:val="1"/>
                <w:bCs w:val="1"/>
                <w:color w:val="auto"/>
              </w:rPr>
              <w:t>2016</w:t>
            </w:r>
          </w:p>
        </w:tc>
        <w:tc>
          <w:tcPr>
            <w:tcW w:w="1240" w:type="dxa"/>
            <w:vAlign w:val="bottom"/>
          </w:tcPr>
          <w:p>
            <w:pPr>
              <w:jc w:val="right"/>
              <w:ind w:right="39"/>
              <w:spacing w:after="0"/>
              <w:rPr>
                <w:sz w:val="20"/>
                <w:szCs w:val="20"/>
                <w:color w:val="auto"/>
              </w:rPr>
            </w:pPr>
            <w:r>
              <w:rPr>
                <w:rFonts w:ascii="Arial" w:cs="Arial" w:eastAsia="Arial" w:hAnsi="Arial"/>
                <w:sz w:val="16"/>
                <w:szCs w:val="16"/>
                <w:b w:val="1"/>
                <w:bCs w:val="1"/>
                <w:color w:val="auto"/>
              </w:rPr>
              <w:t>2015</w:t>
            </w:r>
          </w:p>
        </w:tc>
      </w:tr>
      <w:tr>
        <w:trPr>
          <w:trHeight w:val="33"/>
        </w:trPr>
        <w:tc>
          <w:tcPr>
            <w:tcW w:w="468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Participant service cost</w:t>
            </w:r>
          </w:p>
        </w:tc>
        <w:tc>
          <w:tcPr>
            <w:tcW w:w="356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b w:val="1"/>
                <w:bCs w:val="1"/>
                <w:color w:val="auto"/>
              </w:rPr>
              <w:t>$3</w:t>
            </w:r>
          </w:p>
        </w:tc>
        <w:tc>
          <w:tcPr>
            <w:tcW w:w="192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color w:val="auto"/>
              </w:rPr>
              <w:t>$3</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r>
      <w:tr>
        <w:trPr>
          <w:trHeight w:val="237"/>
        </w:trPr>
        <w:tc>
          <w:tcPr>
            <w:tcW w:w="468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3560" w:type="dxa"/>
            <w:vAlign w:val="bottom"/>
          </w:tcPr>
          <w:p>
            <w:pPr>
              <w:jc w:val="right"/>
              <w:ind w:right="719"/>
              <w:spacing w:after="0"/>
              <w:rPr>
                <w:sz w:val="20"/>
                <w:szCs w:val="20"/>
                <w:color w:val="auto"/>
              </w:rPr>
            </w:pPr>
            <w:r>
              <w:rPr>
                <w:rFonts w:ascii="Arial" w:cs="Arial" w:eastAsia="Arial" w:hAnsi="Arial"/>
                <w:sz w:val="16"/>
                <w:szCs w:val="16"/>
                <w:b w:val="1"/>
                <w:bCs w:val="1"/>
                <w:color w:val="auto"/>
              </w:rPr>
              <w:t>7</w:t>
            </w:r>
          </w:p>
        </w:tc>
        <w:tc>
          <w:tcPr>
            <w:tcW w:w="1920" w:type="dxa"/>
            <w:vAlign w:val="bottom"/>
          </w:tcPr>
          <w:p>
            <w:pPr>
              <w:jc w:val="right"/>
              <w:ind w:right="719"/>
              <w:spacing w:after="0"/>
              <w:rPr>
                <w:sz w:val="20"/>
                <w:szCs w:val="20"/>
                <w:color w:val="auto"/>
              </w:rPr>
            </w:pPr>
            <w:r>
              <w:rPr>
                <w:rFonts w:ascii="Arial" w:cs="Arial" w:eastAsia="Arial" w:hAnsi="Arial"/>
                <w:sz w:val="16"/>
                <w:szCs w:val="16"/>
                <w:color w:val="auto"/>
              </w:rPr>
              <w:t>7</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7</w:t>
            </w:r>
          </w:p>
        </w:tc>
      </w:tr>
      <w:tr>
        <w:trPr>
          <w:trHeight w:val="33"/>
        </w:trPr>
        <w:tc>
          <w:tcPr>
            <w:tcW w:w="468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5"/>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net loss and other</w:t>
            </w:r>
          </w:p>
        </w:tc>
        <w:tc>
          <w:tcPr>
            <w:tcW w:w="356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b w:val="1"/>
                <w:bCs w:val="1"/>
                <w:color w:val="auto"/>
              </w:rPr>
              <w:t>3</w:t>
            </w:r>
          </w:p>
        </w:tc>
        <w:tc>
          <w:tcPr>
            <w:tcW w:w="192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color w:val="auto"/>
              </w:rPr>
              <w:t>3</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r>
      <w:tr>
        <w:trPr>
          <w:trHeight w:val="231"/>
        </w:trPr>
        <w:tc>
          <w:tcPr>
            <w:tcW w:w="46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SERP expense</w:t>
            </w:r>
          </w:p>
        </w:tc>
        <w:tc>
          <w:tcPr>
            <w:tcW w:w="3560" w:type="dxa"/>
            <w:vAlign w:val="bottom"/>
            <w:tcBorders>
              <w:top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$13</w:t>
            </w:r>
          </w:p>
        </w:tc>
        <w:tc>
          <w:tcPr>
            <w:tcW w:w="1920" w:type="dxa"/>
            <w:vAlign w:val="bottom"/>
            <w:tcBorders>
              <w:top w:val="single" w:sz="8" w:color="auto"/>
            </w:tcBorders>
          </w:tcPr>
          <w:p>
            <w:pPr>
              <w:jc w:val="right"/>
              <w:ind w:right="719"/>
              <w:spacing w:after="0"/>
              <w:rPr>
                <w:sz w:val="20"/>
                <w:szCs w:val="20"/>
                <w:color w:val="auto"/>
              </w:rPr>
            </w:pPr>
            <w:r>
              <w:rPr>
                <w:rFonts w:ascii="Arial" w:cs="Arial" w:eastAsia="Arial" w:hAnsi="Arial"/>
                <w:sz w:val="16"/>
                <w:szCs w:val="16"/>
                <w:color w:val="auto"/>
              </w:rPr>
              <w:t>$13</w:t>
            </w: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$21</w:t>
            </w:r>
          </w:p>
        </w:tc>
      </w:tr>
      <w:tr>
        <w:trPr>
          <w:trHeight w:val="33"/>
        </w:trPr>
        <w:tc>
          <w:tcPr>
            <w:tcW w:w="468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6" w:right="239" w:bottom="1440" w:gutter="0" w:footer="0" w:header="0"/>
        </w:sectPr>
      </w:pPr>
    </w:p>
    <w:p>
      <w:pPr>
        <w:spacing w:after="0" w:line="195" w:lineRule="exact"/>
        <w:rPr>
          <w:sz w:val="20"/>
          <w:szCs w:val="20"/>
          <w:color w:val="auto"/>
        </w:rPr>
      </w:pPr>
    </w:p>
    <w:p>
      <w:pPr>
        <w:ind w:left="9580"/>
        <w:spacing w:after="0"/>
        <w:rPr>
          <w:sz w:val="20"/>
          <w:szCs w:val="20"/>
          <w:color w:val="auto"/>
        </w:rPr>
      </w:pPr>
      <w:r>
        <w:rPr>
          <w:rFonts w:ascii="Arial" w:cs="Arial" w:eastAsia="Arial" w:hAnsi="Arial"/>
          <w:sz w:val="11"/>
          <w:szCs w:val="11"/>
          <w:color w:val="auto"/>
        </w:rPr>
        <w:t xml:space="preserve">Nordstrom, Inc. and subsidiaries </w:t>
      </w:r>
      <w:r>
        <w:rPr>
          <w:rFonts w:ascii="Arial" w:cs="Arial" w:eastAsia="Arial" w:hAnsi="Arial"/>
          <w:sz w:val="14"/>
          <w:szCs w:val="14"/>
          <w:color w:val="auto"/>
        </w:rPr>
        <w:t>49</w:t>
      </w:r>
    </w:p>
    <w:p>
      <w:pPr>
        <w:sectPr>
          <w:pgSz w:w="11900" w:h="16838" w:orient="portrait"/>
          <w:cols w:equalWidth="0" w:num="1">
            <w:col w:w="11420"/>
          </w:cols>
          <w:pgMar w:left="240" w:top="126" w:right="239" w:bottom="1440" w:gutter="0" w:footer="0" w:header="0"/>
          <w:type w:val="continuous"/>
        </w:sectPr>
      </w:pPr>
    </w:p>
    <w:bookmarkStart w:id="50" w:name="page51"/>
    <w:bookmarkEnd w:id="50"/>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Amounts not yet reflected in SERP expense and included in accumulated other comprehensive loss (pre-tax) consist of the following: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40" w:type="dxa"/>
            <w:vAlign w:val="bottom"/>
          </w:tcPr>
          <w:p>
            <w:pPr>
              <w:spacing w:after="0"/>
              <w:rPr>
                <w:sz w:val="18"/>
                <w:szCs w:val="18"/>
                <w:color w:val="auto"/>
              </w:rPr>
            </w:pPr>
          </w:p>
        </w:tc>
        <w:tc>
          <w:tcPr>
            <w:tcW w:w="4120" w:type="dxa"/>
            <w:vAlign w:val="bottom"/>
          </w:tcPr>
          <w:p>
            <w:pPr>
              <w:jc w:val="right"/>
              <w:ind w:right="319"/>
              <w:spacing w:after="0"/>
              <w:rPr>
                <w:sz w:val="20"/>
                <w:szCs w:val="20"/>
                <w:color w:val="auto"/>
              </w:rPr>
            </w:pPr>
            <w:r>
              <w:rPr>
                <w:rFonts w:ascii="Arial" w:cs="Arial" w:eastAsia="Arial" w:hAnsi="Arial"/>
                <w:sz w:val="16"/>
                <w:szCs w:val="16"/>
                <w:b w:val="1"/>
                <w:bCs w:val="1"/>
                <w:color w:val="auto"/>
              </w:rPr>
              <w:t>February 3, 2018</w:t>
            </w:r>
          </w:p>
        </w:tc>
        <w:tc>
          <w:tcPr>
            <w:tcW w:w="1640" w:type="dxa"/>
            <w:vAlign w:val="bottom"/>
          </w:tcPr>
          <w:p>
            <w:pPr>
              <w:jc w:val="right"/>
              <w:ind w:right="39"/>
              <w:spacing w:after="0"/>
              <w:rPr>
                <w:sz w:val="20"/>
                <w:szCs w:val="20"/>
                <w:color w:val="auto"/>
              </w:rPr>
            </w:pPr>
            <w:r>
              <w:rPr>
                <w:rFonts w:ascii="Arial" w:cs="Arial" w:eastAsia="Arial" w:hAnsi="Arial"/>
                <w:sz w:val="16"/>
                <w:szCs w:val="16"/>
                <w:b w:val="1"/>
                <w:bCs w:val="1"/>
                <w:color w:val="auto"/>
              </w:rPr>
              <w:t>January 28, 2017</w:t>
            </w:r>
          </w:p>
        </w:tc>
      </w:tr>
      <w:tr>
        <w:trPr>
          <w:trHeight w:val="33"/>
        </w:trPr>
        <w:tc>
          <w:tcPr>
            <w:tcW w:w="5640" w:type="dxa"/>
            <w:vAlign w:val="bottom"/>
            <w:tcBorders>
              <w:bottom w:val="single" w:sz="8" w:color="auto"/>
            </w:tcBorders>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Accumulated loss</w:t>
            </w:r>
          </w:p>
        </w:tc>
        <w:tc>
          <w:tcPr>
            <w:tcW w:w="412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($46)</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r>
      <w:tr>
        <w:trPr>
          <w:trHeight w:val="237"/>
        </w:trPr>
        <w:tc>
          <w:tcPr>
            <w:tcW w:w="5640" w:type="dxa"/>
            <w:vAlign w:val="bottom"/>
          </w:tcPr>
          <w:p>
            <w:pPr>
              <w:ind w:left="40"/>
              <w:spacing w:after="0"/>
              <w:rPr>
                <w:sz w:val="20"/>
                <w:szCs w:val="20"/>
                <w:color w:val="auto"/>
              </w:rPr>
            </w:pPr>
            <w:r>
              <w:rPr>
                <w:rFonts w:ascii="Arial" w:cs="Arial" w:eastAsia="Arial" w:hAnsi="Arial"/>
                <w:sz w:val="16"/>
                <w:szCs w:val="16"/>
                <w:color w:val="auto"/>
              </w:rPr>
              <w:t>Prior service credit</w:t>
            </w:r>
          </w:p>
        </w:tc>
        <w:tc>
          <w:tcPr>
            <w:tcW w:w="4120" w:type="dxa"/>
            <w:vAlign w:val="bottom"/>
          </w:tcPr>
          <w:p>
            <w:pPr>
              <w:jc w:val="right"/>
              <w:ind w:right="319"/>
              <w:spacing w:after="0"/>
              <w:rPr>
                <w:sz w:val="20"/>
                <w:szCs w:val="20"/>
                <w:color w:val="auto"/>
              </w:rPr>
            </w:pPr>
            <w:r>
              <w:rPr>
                <w:rFonts w:ascii="Arial" w:cs="Arial" w:eastAsia="Arial" w:hAnsi="Arial"/>
                <w:sz w:val="16"/>
                <w:szCs w:val="16"/>
                <w:b w:val="1"/>
                <w:bCs w:val="1"/>
                <w:color w:val="auto"/>
              </w:rPr>
              <w:t>2</w:t>
            </w: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4</w:t>
            </w:r>
          </w:p>
        </w:tc>
      </w:tr>
      <w:tr>
        <w:trPr>
          <w:trHeight w:val="33"/>
        </w:trPr>
        <w:tc>
          <w:tcPr>
            <w:tcW w:w="5640" w:type="dxa"/>
            <w:vAlign w:val="bottom"/>
            <w:tcBorders>
              <w:bottom w:val="single" w:sz="8" w:color="auto"/>
            </w:tcBorders>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accumulated other comprehensive loss</w:t>
            </w:r>
          </w:p>
        </w:tc>
        <w:tc>
          <w:tcPr>
            <w:tcW w:w="412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($44)</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r>
      <w:tr>
        <w:trPr>
          <w:trHeight w:val="20"/>
        </w:trPr>
        <w:tc>
          <w:tcPr>
            <w:tcW w:w="5640" w:type="dxa"/>
            <w:vAlign w:val="bottom"/>
            <w:shd w:val="clear" w:color="auto" w:fill="000000"/>
          </w:tcPr>
          <w:p>
            <w:pPr>
              <w:spacing w:after="0" w:line="20" w:lineRule="exact"/>
              <w:rPr>
                <w:sz w:val="1"/>
                <w:szCs w:val="1"/>
                <w:color w:val="auto"/>
              </w:rPr>
            </w:pPr>
          </w:p>
        </w:tc>
        <w:tc>
          <w:tcPr>
            <w:tcW w:w="412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In 2018, we expect $4 of costs currently in accumulated other comprehensive loss to be recognized as components of SERP expense.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Assumptions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Weighted-average assumptions used to determine our benefit obligation and SERP expense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40" w:type="dxa"/>
            <w:vAlign w:val="bottom"/>
          </w:tcPr>
          <w:p>
            <w:pPr>
              <w:ind w:left="40"/>
              <w:spacing w:after="0"/>
              <w:rPr>
                <w:sz w:val="20"/>
                <w:szCs w:val="20"/>
                <w:color w:val="auto"/>
              </w:rPr>
            </w:pPr>
            <w:r>
              <w:rPr>
                <w:rFonts w:ascii="Arial" w:cs="Arial" w:eastAsia="Arial" w:hAnsi="Arial"/>
                <w:sz w:val="16"/>
                <w:szCs w:val="16"/>
                <w:b w:val="1"/>
                <w:bCs w:val="1"/>
                <w:color w:val="auto"/>
              </w:rPr>
              <w:t>Fiscal year</w:t>
            </w:r>
          </w:p>
        </w:tc>
        <w:tc>
          <w:tcPr>
            <w:tcW w:w="3060" w:type="dxa"/>
            <w:vAlign w:val="bottom"/>
          </w:tcPr>
          <w:p>
            <w:pPr>
              <w:jc w:val="right"/>
              <w:ind w:right="839"/>
              <w:spacing w:after="0"/>
              <w:rPr>
                <w:sz w:val="20"/>
                <w:szCs w:val="20"/>
                <w:color w:val="auto"/>
              </w:rPr>
            </w:pPr>
            <w:r>
              <w:rPr>
                <w:rFonts w:ascii="Arial" w:cs="Arial" w:eastAsia="Arial" w:hAnsi="Arial"/>
                <w:sz w:val="16"/>
                <w:szCs w:val="16"/>
                <w:b w:val="1"/>
                <w:bCs w:val="1"/>
                <w:color w:val="auto"/>
              </w:rPr>
              <w:t>2017</w:t>
            </w:r>
          </w:p>
        </w:tc>
        <w:tc>
          <w:tcPr>
            <w:tcW w:w="1960" w:type="dxa"/>
            <w:vAlign w:val="bottom"/>
          </w:tcPr>
          <w:p>
            <w:pPr>
              <w:jc w:val="right"/>
              <w:ind w:right="799"/>
              <w:spacing w:after="0"/>
              <w:rPr>
                <w:sz w:val="20"/>
                <w:szCs w:val="20"/>
                <w:color w:val="auto"/>
              </w:rPr>
            </w:pPr>
            <w:r>
              <w:rPr>
                <w:rFonts w:ascii="Arial" w:cs="Arial" w:eastAsia="Arial" w:hAnsi="Arial"/>
                <w:sz w:val="16"/>
                <w:szCs w:val="16"/>
                <w:b w:val="1"/>
                <w:bCs w:val="1"/>
                <w:color w:val="auto"/>
              </w:rPr>
              <w:t>2016</w:t>
            </w:r>
          </w:p>
        </w:tc>
        <w:tc>
          <w:tcPr>
            <w:tcW w:w="1240" w:type="dxa"/>
            <w:vAlign w:val="bottom"/>
          </w:tcPr>
          <w:p>
            <w:pPr>
              <w:jc w:val="right"/>
              <w:ind w:right="79"/>
              <w:spacing w:after="0"/>
              <w:rPr>
                <w:sz w:val="20"/>
                <w:szCs w:val="20"/>
                <w:color w:val="auto"/>
              </w:rPr>
            </w:pPr>
            <w:r>
              <w:rPr>
                <w:rFonts w:ascii="Arial" w:cs="Arial" w:eastAsia="Arial" w:hAnsi="Arial"/>
                <w:sz w:val="16"/>
                <w:szCs w:val="16"/>
                <w:b w:val="1"/>
                <w:bCs w:val="1"/>
                <w:color w:val="auto"/>
              </w:rPr>
              <w:t>2015</w:t>
            </w:r>
          </w:p>
        </w:tc>
      </w:tr>
      <w:tr>
        <w:trPr>
          <w:trHeight w:val="33"/>
        </w:trPr>
        <w:tc>
          <w:tcPr>
            <w:tcW w:w="51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Assumptions used to determine benefit obligation:</w:t>
            </w:r>
          </w:p>
        </w:tc>
        <w:tc>
          <w:tcPr>
            <w:tcW w:w="306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7"/>
        </w:trPr>
        <w:tc>
          <w:tcPr>
            <w:tcW w:w="5140" w:type="dxa"/>
            <w:vAlign w:val="bottom"/>
          </w:tcPr>
          <w:p>
            <w:pPr>
              <w:ind w:left="280"/>
              <w:spacing w:after="0"/>
              <w:rPr>
                <w:sz w:val="20"/>
                <w:szCs w:val="20"/>
                <w:color w:val="auto"/>
              </w:rPr>
            </w:pPr>
            <w:r>
              <w:rPr>
                <w:rFonts w:ascii="Arial" w:cs="Arial" w:eastAsia="Arial" w:hAnsi="Arial"/>
                <w:sz w:val="16"/>
                <w:szCs w:val="16"/>
                <w:color w:val="auto"/>
              </w:rPr>
              <w:t>Discount rate</w:t>
            </w:r>
          </w:p>
        </w:tc>
        <w:tc>
          <w:tcPr>
            <w:tcW w:w="3060" w:type="dxa"/>
            <w:vAlign w:val="bottom"/>
          </w:tcPr>
          <w:p>
            <w:pPr>
              <w:jc w:val="right"/>
              <w:ind w:right="679"/>
              <w:spacing w:after="0"/>
              <w:rPr>
                <w:sz w:val="20"/>
                <w:szCs w:val="20"/>
                <w:color w:val="auto"/>
              </w:rPr>
            </w:pPr>
            <w:r>
              <w:rPr>
                <w:rFonts w:ascii="Arial" w:cs="Arial" w:eastAsia="Arial" w:hAnsi="Arial"/>
                <w:sz w:val="16"/>
                <w:szCs w:val="16"/>
                <w:b w:val="1"/>
                <w:bCs w:val="1"/>
                <w:color w:val="auto"/>
              </w:rPr>
              <w:t>3.95%</w:t>
            </w:r>
          </w:p>
        </w:tc>
        <w:tc>
          <w:tcPr>
            <w:tcW w:w="1960" w:type="dxa"/>
            <w:vAlign w:val="bottom"/>
          </w:tcPr>
          <w:p>
            <w:pPr>
              <w:jc w:val="right"/>
              <w:ind w:right="679"/>
              <w:spacing w:after="0"/>
              <w:rPr>
                <w:sz w:val="20"/>
                <w:szCs w:val="20"/>
                <w:color w:val="auto"/>
              </w:rPr>
            </w:pPr>
            <w:r>
              <w:rPr>
                <w:rFonts w:ascii="Arial" w:cs="Arial" w:eastAsia="Arial" w:hAnsi="Arial"/>
                <w:sz w:val="16"/>
                <w:szCs w:val="16"/>
                <w:color w:val="auto"/>
              </w:rPr>
              <w:t>4.31%</w:t>
            </w:r>
          </w:p>
        </w:tc>
        <w:tc>
          <w:tcPr>
            <w:tcW w:w="1240" w:type="dxa"/>
            <w:vAlign w:val="bottom"/>
          </w:tcPr>
          <w:p>
            <w:pPr>
              <w:jc w:val="right"/>
              <w:spacing w:after="0"/>
              <w:rPr>
                <w:sz w:val="20"/>
                <w:szCs w:val="20"/>
                <w:color w:val="auto"/>
              </w:rPr>
            </w:pPr>
            <w:r>
              <w:rPr>
                <w:rFonts w:ascii="Arial" w:cs="Arial" w:eastAsia="Arial" w:hAnsi="Arial"/>
                <w:sz w:val="16"/>
                <w:szCs w:val="16"/>
                <w:color w:val="auto"/>
              </w:rPr>
              <w:t>4.55%</w:t>
            </w:r>
          </w:p>
        </w:tc>
      </w:tr>
      <w:tr>
        <w:trPr>
          <w:trHeight w:val="33"/>
        </w:trPr>
        <w:tc>
          <w:tcPr>
            <w:tcW w:w="51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5"/>
        </w:trPr>
        <w:tc>
          <w:tcPr>
            <w:tcW w:w="5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Rate of compensation increase</w:t>
            </w:r>
          </w:p>
        </w:tc>
        <w:tc>
          <w:tcPr>
            <w:tcW w:w="306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3.00%</w:t>
            </w:r>
          </w:p>
        </w:tc>
        <w:tc>
          <w:tcPr>
            <w:tcW w:w="196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6"/>
                <w:szCs w:val="16"/>
                <w:color w:val="auto"/>
              </w:rPr>
              <w:t>3.00%</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w:t>
            </w:r>
          </w:p>
        </w:tc>
      </w:tr>
      <w:tr>
        <w:trPr>
          <w:trHeight w:val="231"/>
        </w:trPr>
        <w:tc>
          <w:tcPr>
            <w:tcW w:w="51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Assumptions used to determine SERP expense:</w:t>
            </w:r>
          </w:p>
        </w:tc>
        <w:tc>
          <w:tcPr>
            <w:tcW w:w="3060" w:type="dxa"/>
            <w:vAlign w:val="bottom"/>
            <w:tcBorders>
              <w:top w:val="single" w:sz="8" w:color="auto"/>
            </w:tcBorders>
          </w:tcPr>
          <w:p>
            <w:pPr>
              <w:spacing w:after="0"/>
              <w:rPr>
                <w:sz w:val="20"/>
                <w:szCs w:val="20"/>
                <w:color w:val="auto"/>
              </w:rPr>
            </w:pPr>
          </w:p>
        </w:tc>
        <w:tc>
          <w:tcPr>
            <w:tcW w:w="19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r>
      <w:tr>
        <w:trPr>
          <w:trHeight w:val="33"/>
        </w:trPr>
        <w:tc>
          <w:tcPr>
            <w:tcW w:w="51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Discount rate</w:t>
            </w:r>
          </w:p>
        </w:tc>
        <w:tc>
          <w:tcPr>
            <w:tcW w:w="306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4.31%</w:t>
            </w:r>
          </w:p>
        </w:tc>
        <w:tc>
          <w:tcPr>
            <w:tcW w:w="196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6"/>
                <w:szCs w:val="16"/>
                <w:color w:val="auto"/>
              </w:rPr>
              <w:t>4.55%</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3.70%</w:t>
            </w:r>
          </w:p>
        </w:tc>
      </w:tr>
      <w:tr>
        <w:trPr>
          <w:trHeight w:val="237"/>
        </w:trPr>
        <w:tc>
          <w:tcPr>
            <w:tcW w:w="5140" w:type="dxa"/>
            <w:vAlign w:val="bottom"/>
          </w:tcPr>
          <w:p>
            <w:pPr>
              <w:ind w:left="280"/>
              <w:spacing w:after="0"/>
              <w:rPr>
                <w:sz w:val="20"/>
                <w:szCs w:val="20"/>
                <w:color w:val="auto"/>
              </w:rPr>
            </w:pPr>
            <w:r>
              <w:rPr>
                <w:rFonts w:ascii="Arial" w:cs="Arial" w:eastAsia="Arial" w:hAnsi="Arial"/>
                <w:sz w:val="16"/>
                <w:szCs w:val="16"/>
                <w:color w:val="auto"/>
              </w:rPr>
              <w:t>Rate of compensation increase</w:t>
            </w:r>
          </w:p>
        </w:tc>
        <w:tc>
          <w:tcPr>
            <w:tcW w:w="3060" w:type="dxa"/>
            <w:vAlign w:val="bottom"/>
          </w:tcPr>
          <w:p>
            <w:pPr>
              <w:jc w:val="right"/>
              <w:ind w:right="679"/>
              <w:spacing w:after="0"/>
              <w:rPr>
                <w:sz w:val="20"/>
                <w:szCs w:val="20"/>
                <w:color w:val="auto"/>
              </w:rPr>
            </w:pPr>
            <w:r>
              <w:rPr>
                <w:rFonts w:ascii="Arial" w:cs="Arial" w:eastAsia="Arial" w:hAnsi="Arial"/>
                <w:sz w:val="16"/>
                <w:szCs w:val="16"/>
                <w:b w:val="1"/>
                <w:bCs w:val="1"/>
                <w:color w:val="auto"/>
              </w:rPr>
              <w:t>3.00%</w:t>
            </w:r>
          </w:p>
        </w:tc>
        <w:tc>
          <w:tcPr>
            <w:tcW w:w="1960" w:type="dxa"/>
            <w:vAlign w:val="bottom"/>
          </w:tcPr>
          <w:p>
            <w:pPr>
              <w:jc w:val="right"/>
              <w:ind w:right="679"/>
              <w:spacing w:after="0"/>
              <w:rPr>
                <w:sz w:val="20"/>
                <w:szCs w:val="20"/>
                <w:color w:val="auto"/>
              </w:rPr>
            </w:pPr>
            <w:r>
              <w:rPr>
                <w:rFonts w:ascii="Arial" w:cs="Arial" w:eastAsia="Arial" w:hAnsi="Arial"/>
                <w:sz w:val="16"/>
                <w:szCs w:val="16"/>
                <w:color w:val="auto"/>
              </w:rPr>
              <w:t>3.00%</w:t>
            </w:r>
          </w:p>
        </w:tc>
        <w:tc>
          <w:tcPr>
            <w:tcW w:w="1240" w:type="dxa"/>
            <w:vAlign w:val="bottom"/>
          </w:tcPr>
          <w:p>
            <w:pPr>
              <w:jc w:val="right"/>
              <w:spacing w:after="0"/>
              <w:rPr>
                <w:sz w:val="20"/>
                <w:szCs w:val="20"/>
                <w:color w:val="auto"/>
              </w:rPr>
            </w:pPr>
            <w:r>
              <w:rPr>
                <w:rFonts w:ascii="Arial" w:cs="Arial" w:eastAsia="Arial" w:hAnsi="Arial"/>
                <w:sz w:val="16"/>
                <w:szCs w:val="16"/>
                <w:color w:val="auto"/>
              </w:rPr>
              <w:t>3.00%</w:t>
            </w:r>
          </w:p>
        </w:tc>
      </w:tr>
      <w:tr>
        <w:trPr>
          <w:trHeight w:val="33"/>
        </w:trPr>
        <w:tc>
          <w:tcPr>
            <w:tcW w:w="51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Benefit Payments and Contributions</w:t>
      </w:r>
    </w:p>
    <w:p>
      <w:pPr>
        <w:spacing w:after="0" w:line="27"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As of February 3, 2018, the expected future benefit payments based upon the assumptions described above and including benefits attributable to estimated future employee service are as follows: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Fiscal year</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9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2018</w:t>
            </w:r>
          </w:p>
        </w:tc>
        <w:tc>
          <w:tcPr>
            <w:tcW w:w="54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w:t>
            </w:r>
          </w:p>
        </w:tc>
      </w:tr>
      <w:tr>
        <w:trPr>
          <w:trHeight w:val="224"/>
        </w:trPr>
        <w:tc>
          <w:tcPr>
            <w:tcW w:w="5980" w:type="dxa"/>
            <w:vAlign w:val="bottom"/>
          </w:tcPr>
          <w:p>
            <w:pPr>
              <w:ind w:left="40"/>
              <w:spacing w:after="0"/>
              <w:rPr>
                <w:sz w:val="20"/>
                <w:szCs w:val="20"/>
                <w:color w:val="auto"/>
              </w:rPr>
            </w:pPr>
            <w:r>
              <w:rPr>
                <w:rFonts w:ascii="Arial" w:cs="Arial" w:eastAsia="Arial" w:hAnsi="Arial"/>
                <w:sz w:val="16"/>
                <w:szCs w:val="16"/>
                <w:color w:val="auto"/>
              </w:rPr>
              <w:t>2019</w:t>
            </w:r>
          </w:p>
        </w:tc>
        <w:tc>
          <w:tcPr>
            <w:tcW w:w="5420" w:type="dxa"/>
            <w:vAlign w:val="bottom"/>
          </w:tcPr>
          <w:p>
            <w:pPr>
              <w:jc w:val="right"/>
              <w:ind w:right="39"/>
              <w:spacing w:after="0"/>
              <w:rPr>
                <w:sz w:val="20"/>
                <w:szCs w:val="20"/>
                <w:color w:val="auto"/>
              </w:rPr>
            </w:pPr>
            <w:r>
              <w:rPr>
                <w:rFonts w:ascii="Arial" w:cs="Arial" w:eastAsia="Arial" w:hAnsi="Arial"/>
                <w:sz w:val="16"/>
                <w:szCs w:val="16"/>
                <w:color w:val="auto"/>
              </w:rPr>
              <w:t>10</w:t>
            </w:r>
          </w:p>
        </w:tc>
      </w:tr>
      <w:tr>
        <w:trPr>
          <w:trHeight w:val="33"/>
        </w:trPr>
        <w:tc>
          <w:tcPr>
            <w:tcW w:w="5980" w:type="dxa"/>
            <w:vAlign w:val="bottom"/>
          </w:tcPr>
          <w:p>
            <w:pPr>
              <w:spacing w:after="0"/>
              <w:rPr>
                <w:sz w:val="2"/>
                <w:szCs w:val="2"/>
                <w:color w:val="auto"/>
              </w:rPr>
            </w:pPr>
          </w:p>
        </w:tc>
        <w:tc>
          <w:tcPr>
            <w:tcW w:w="5420" w:type="dxa"/>
            <w:vAlign w:val="bottom"/>
          </w:tcPr>
          <w:p>
            <w:pPr>
              <w:spacing w:after="0"/>
              <w:rPr>
                <w:sz w:val="2"/>
                <w:szCs w:val="2"/>
                <w:color w:val="auto"/>
              </w:rPr>
            </w:pPr>
          </w:p>
        </w:tc>
      </w:tr>
      <w:tr>
        <w:trPr>
          <w:trHeight w:val="237"/>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5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r>
      <w:tr>
        <w:trPr>
          <w:trHeight w:val="224"/>
        </w:trPr>
        <w:tc>
          <w:tcPr>
            <w:tcW w:w="5980" w:type="dxa"/>
            <w:vAlign w:val="bottom"/>
          </w:tcPr>
          <w:p>
            <w:pPr>
              <w:ind w:left="40"/>
              <w:spacing w:after="0"/>
              <w:rPr>
                <w:sz w:val="20"/>
                <w:szCs w:val="20"/>
                <w:color w:val="auto"/>
              </w:rPr>
            </w:pPr>
            <w:r>
              <w:rPr>
                <w:rFonts w:ascii="Arial" w:cs="Arial" w:eastAsia="Arial" w:hAnsi="Arial"/>
                <w:sz w:val="16"/>
                <w:szCs w:val="16"/>
                <w:color w:val="auto"/>
              </w:rPr>
              <w:t>2021</w:t>
            </w:r>
          </w:p>
        </w:tc>
        <w:tc>
          <w:tcPr>
            <w:tcW w:w="5420" w:type="dxa"/>
            <w:vAlign w:val="bottom"/>
          </w:tcPr>
          <w:p>
            <w:pPr>
              <w:jc w:val="right"/>
              <w:ind w:right="39"/>
              <w:spacing w:after="0"/>
              <w:rPr>
                <w:sz w:val="20"/>
                <w:szCs w:val="20"/>
                <w:color w:val="auto"/>
              </w:rPr>
            </w:pPr>
            <w:r>
              <w:rPr>
                <w:rFonts w:ascii="Arial" w:cs="Arial" w:eastAsia="Arial" w:hAnsi="Arial"/>
                <w:sz w:val="16"/>
                <w:szCs w:val="16"/>
                <w:color w:val="auto"/>
              </w:rPr>
              <w:t>11</w:t>
            </w:r>
          </w:p>
        </w:tc>
      </w:tr>
      <w:tr>
        <w:trPr>
          <w:trHeight w:val="33"/>
        </w:trPr>
        <w:tc>
          <w:tcPr>
            <w:tcW w:w="5980" w:type="dxa"/>
            <w:vAlign w:val="bottom"/>
          </w:tcPr>
          <w:p>
            <w:pPr>
              <w:spacing w:after="0"/>
              <w:rPr>
                <w:sz w:val="2"/>
                <w:szCs w:val="2"/>
                <w:color w:val="auto"/>
              </w:rPr>
            </w:pPr>
          </w:p>
        </w:tc>
        <w:tc>
          <w:tcPr>
            <w:tcW w:w="5420" w:type="dxa"/>
            <w:vAlign w:val="bottom"/>
          </w:tcPr>
          <w:p>
            <w:pPr>
              <w:spacing w:after="0"/>
              <w:rPr>
                <w:sz w:val="2"/>
                <w:szCs w:val="2"/>
                <w:color w:val="auto"/>
              </w:rPr>
            </w:pPr>
          </w:p>
        </w:tc>
      </w:tr>
      <w:tr>
        <w:trPr>
          <w:trHeight w:val="237"/>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5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r>
      <w:tr>
        <w:trPr>
          <w:trHeight w:val="224"/>
        </w:trPr>
        <w:tc>
          <w:tcPr>
            <w:tcW w:w="5980" w:type="dxa"/>
            <w:vAlign w:val="bottom"/>
          </w:tcPr>
          <w:p>
            <w:pPr>
              <w:ind w:left="40"/>
              <w:spacing w:after="0"/>
              <w:rPr>
                <w:sz w:val="20"/>
                <w:szCs w:val="20"/>
                <w:color w:val="auto"/>
              </w:rPr>
            </w:pPr>
            <w:r>
              <w:rPr>
                <w:rFonts w:ascii="Arial" w:cs="Arial" w:eastAsia="Arial" w:hAnsi="Arial"/>
                <w:sz w:val="16"/>
                <w:szCs w:val="16"/>
                <w:color w:val="auto"/>
              </w:rPr>
              <w:t>2023 – 2027</w:t>
            </w:r>
          </w:p>
        </w:tc>
        <w:tc>
          <w:tcPr>
            <w:tcW w:w="5420" w:type="dxa"/>
            <w:vAlign w:val="bottom"/>
          </w:tcPr>
          <w:p>
            <w:pPr>
              <w:jc w:val="right"/>
              <w:ind w:right="39"/>
              <w:spacing w:after="0"/>
              <w:rPr>
                <w:sz w:val="20"/>
                <w:szCs w:val="20"/>
                <w:color w:val="auto"/>
              </w:rPr>
            </w:pPr>
            <w:r>
              <w:rPr>
                <w:rFonts w:ascii="Arial" w:cs="Arial" w:eastAsia="Arial" w:hAnsi="Arial"/>
                <w:sz w:val="16"/>
                <w:szCs w:val="16"/>
                <w:color w:val="auto"/>
              </w:rPr>
              <w:t>61</w:t>
            </w:r>
          </w:p>
        </w:tc>
      </w:tr>
      <w:tr>
        <w:trPr>
          <w:trHeight w:val="33"/>
        </w:trPr>
        <w:tc>
          <w:tcPr>
            <w:tcW w:w="5980" w:type="dxa"/>
            <w:vAlign w:val="bottom"/>
            <w:tcBorders>
              <w:bottom w:val="single" w:sz="8" w:color="auto"/>
            </w:tcBorders>
          </w:tcPr>
          <w:p>
            <w:pPr>
              <w:spacing w:after="0"/>
              <w:rPr>
                <w:sz w:val="2"/>
                <w:szCs w:val="2"/>
                <w:color w:val="auto"/>
              </w:rPr>
            </w:pPr>
          </w:p>
        </w:tc>
        <w:tc>
          <w:tcPr>
            <w:tcW w:w="5420" w:type="dxa"/>
            <w:vAlign w:val="bottom"/>
            <w:tcBorders>
              <w:bottom w:val="single" w:sz="8" w:color="auto"/>
            </w:tcBorders>
          </w:tcPr>
          <w:p>
            <w:pPr>
              <w:spacing w:after="0"/>
              <w:rPr>
                <w:sz w:val="2"/>
                <w:szCs w:val="2"/>
                <w:color w:val="auto"/>
              </w:rPr>
            </w:pPr>
          </w:p>
        </w:tc>
      </w:tr>
      <w:tr>
        <w:trPr>
          <w:trHeight w:val="649"/>
        </w:trPr>
        <w:tc>
          <w:tcPr>
            <w:tcW w:w="5980" w:type="dxa"/>
            <w:vAlign w:val="bottom"/>
          </w:tcPr>
          <w:p>
            <w:pPr>
              <w:spacing w:after="0"/>
              <w:rPr>
                <w:sz w:val="20"/>
                <w:szCs w:val="20"/>
                <w:color w:val="auto"/>
              </w:rPr>
            </w:pPr>
            <w:r>
              <w:rPr>
                <w:rFonts w:ascii="Arial" w:cs="Arial" w:eastAsia="Arial" w:hAnsi="Arial"/>
                <w:sz w:val="16"/>
                <w:szCs w:val="16"/>
                <w:color w:val="auto"/>
              </w:rPr>
              <w:t>50</w:t>
            </w:r>
          </w:p>
        </w:tc>
        <w:tc>
          <w:tcPr>
            <w:tcW w:w="5420" w:type="dxa"/>
            <w:vAlign w:val="bottom"/>
          </w:tcPr>
          <w:p>
            <w:pPr>
              <w:spacing w:after="0"/>
              <w:rPr>
                <w:sz w:val="24"/>
                <w:szCs w:val="24"/>
                <w:color w:val="auto"/>
              </w:rPr>
            </w:pPr>
          </w:p>
        </w:tc>
      </w:tr>
    </w:tbl>
    <w:p>
      <w:pPr>
        <w:sectPr>
          <w:pgSz w:w="11900" w:h="16838" w:orient="portrait"/>
          <w:cols w:equalWidth="0" w:num="1">
            <w:col w:w="11400"/>
          </w:cols>
          <w:pgMar w:left="240" w:top="126" w:right="259" w:bottom="1440" w:gutter="0" w:footer="0" w:header="0"/>
        </w:sectPr>
      </w:pPr>
    </w:p>
    <w:bookmarkStart w:id="51" w:name="page52"/>
    <w:bookmarkEnd w:id="51"/>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DEBT AND CREDIT FACILITIES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long-term debt, including capital leases,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40" w:type="dxa"/>
            <w:vAlign w:val="bottom"/>
          </w:tcPr>
          <w:p>
            <w:pPr>
              <w:spacing w:after="0"/>
              <w:rPr>
                <w:sz w:val="18"/>
                <w:szCs w:val="18"/>
                <w:color w:val="auto"/>
              </w:rPr>
            </w:pPr>
          </w:p>
        </w:tc>
        <w:tc>
          <w:tcPr>
            <w:tcW w:w="4020" w:type="dxa"/>
            <w:vAlign w:val="bottom"/>
          </w:tcPr>
          <w:p>
            <w:pPr>
              <w:jc w:val="right"/>
              <w:ind w:right="319"/>
              <w:spacing w:after="0"/>
              <w:rPr>
                <w:sz w:val="20"/>
                <w:szCs w:val="20"/>
                <w:color w:val="auto"/>
              </w:rPr>
            </w:pPr>
            <w:r>
              <w:rPr>
                <w:rFonts w:ascii="Arial" w:cs="Arial" w:eastAsia="Arial" w:hAnsi="Arial"/>
                <w:sz w:val="16"/>
                <w:szCs w:val="16"/>
                <w:b w:val="1"/>
                <w:bCs w:val="1"/>
                <w:color w:val="auto"/>
              </w:rPr>
              <w:t>February 3, 2018</w:t>
            </w:r>
          </w:p>
        </w:tc>
        <w:tc>
          <w:tcPr>
            <w:tcW w:w="1640" w:type="dxa"/>
            <w:vAlign w:val="bottom"/>
          </w:tcPr>
          <w:p>
            <w:pPr>
              <w:jc w:val="right"/>
              <w:ind w:right="39"/>
              <w:spacing w:after="0"/>
              <w:rPr>
                <w:sz w:val="20"/>
                <w:szCs w:val="20"/>
                <w:color w:val="auto"/>
              </w:rPr>
            </w:pPr>
            <w:r>
              <w:rPr>
                <w:rFonts w:ascii="Arial" w:cs="Arial" w:eastAsia="Arial" w:hAnsi="Arial"/>
                <w:sz w:val="16"/>
                <w:szCs w:val="16"/>
                <w:b w:val="1"/>
                <w:bCs w:val="1"/>
                <w:color w:val="auto"/>
              </w:rPr>
              <w:t>January 28, 2017</w:t>
            </w:r>
          </w:p>
        </w:tc>
      </w:tr>
      <w:tr>
        <w:trPr>
          <w:trHeight w:val="33"/>
        </w:trPr>
        <w:tc>
          <w:tcPr>
            <w:tcW w:w="574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Secured</w:t>
            </w:r>
          </w:p>
        </w:tc>
        <w:tc>
          <w:tcPr>
            <w:tcW w:w="40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37"/>
        </w:trPr>
        <w:tc>
          <w:tcPr>
            <w:tcW w:w="5740" w:type="dxa"/>
            <w:vAlign w:val="bottom"/>
          </w:tcPr>
          <w:p>
            <w:pPr>
              <w:ind w:left="280"/>
              <w:spacing w:after="0"/>
              <w:rPr>
                <w:sz w:val="20"/>
                <w:szCs w:val="20"/>
                <w:color w:val="auto"/>
              </w:rPr>
            </w:pPr>
            <w:r>
              <w:rPr>
                <w:rFonts w:ascii="Arial" w:cs="Arial" w:eastAsia="Arial" w:hAnsi="Arial"/>
                <w:sz w:val="16"/>
                <w:szCs w:val="16"/>
                <w:color w:val="auto"/>
              </w:rPr>
              <w:t>Mortgage payable, 7.68%, due April 2020</w:t>
            </w:r>
          </w:p>
        </w:tc>
        <w:tc>
          <w:tcPr>
            <w:tcW w:w="4020" w:type="dxa"/>
            <w:vAlign w:val="bottom"/>
          </w:tcPr>
          <w:p>
            <w:pPr>
              <w:jc w:val="right"/>
              <w:ind w:right="319"/>
              <w:spacing w:after="0"/>
              <w:rPr>
                <w:sz w:val="20"/>
                <w:szCs w:val="20"/>
                <w:color w:val="auto"/>
              </w:rPr>
            </w:pPr>
            <w:r>
              <w:rPr>
                <w:rFonts w:ascii="Arial" w:cs="Arial" w:eastAsia="Arial" w:hAnsi="Arial"/>
                <w:sz w:val="16"/>
                <w:szCs w:val="16"/>
                <w:b w:val="1"/>
                <w:bCs w:val="1"/>
                <w:color w:val="auto"/>
              </w:rPr>
              <w:t>$17</w:t>
            </w: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$24</w:t>
            </w:r>
          </w:p>
        </w:tc>
      </w:tr>
      <w:tr>
        <w:trPr>
          <w:trHeight w:val="33"/>
        </w:trPr>
        <w:tc>
          <w:tcPr>
            <w:tcW w:w="57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5"/>
        </w:trPr>
        <w:tc>
          <w:tcPr>
            <w:tcW w:w="5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402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1</w:t>
            </w: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r>
      <w:tr>
        <w:trPr>
          <w:trHeight w:val="231"/>
        </w:trPr>
        <w:tc>
          <w:tcPr>
            <w:tcW w:w="574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color w:val="auto"/>
              </w:rPr>
              <w:t>Total secured debt</w:t>
            </w:r>
          </w:p>
        </w:tc>
        <w:tc>
          <w:tcPr>
            <w:tcW w:w="402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18</w:t>
            </w:r>
          </w:p>
        </w:tc>
        <w:tc>
          <w:tcPr>
            <w:tcW w:w="1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27</w:t>
            </w:r>
          </w:p>
        </w:tc>
      </w:tr>
      <w:tr>
        <w:trPr>
          <w:trHeight w:val="33"/>
        </w:trPr>
        <w:tc>
          <w:tcPr>
            <w:tcW w:w="574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Unsecured</w:t>
            </w:r>
          </w:p>
        </w:tc>
        <w:tc>
          <w:tcPr>
            <w:tcW w:w="40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37"/>
        </w:trPr>
        <w:tc>
          <w:tcPr>
            <w:tcW w:w="5740" w:type="dxa"/>
            <w:vAlign w:val="bottom"/>
          </w:tcPr>
          <w:p>
            <w:pPr>
              <w:ind w:left="280"/>
              <w:spacing w:after="0"/>
              <w:rPr>
                <w:sz w:val="20"/>
                <w:szCs w:val="20"/>
                <w:color w:val="auto"/>
              </w:rPr>
            </w:pPr>
            <w:r>
              <w:rPr>
                <w:rFonts w:ascii="Arial" w:cs="Arial" w:eastAsia="Arial" w:hAnsi="Arial"/>
                <w:sz w:val="16"/>
                <w:szCs w:val="16"/>
                <w:color w:val="auto"/>
              </w:rPr>
              <w:t>Net of unamortized discount:</w:t>
            </w:r>
          </w:p>
        </w:tc>
        <w:tc>
          <w:tcPr>
            <w:tcW w:w="402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33"/>
        </w:trPr>
        <w:tc>
          <w:tcPr>
            <w:tcW w:w="57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Senior notes, 6.25%, due January 2018</w:t>
            </w:r>
          </w:p>
        </w:tc>
        <w:tc>
          <w:tcPr>
            <w:tcW w:w="402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w:t>
            </w: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650</w:t>
            </w:r>
          </w:p>
        </w:tc>
      </w:tr>
      <w:tr>
        <w:trPr>
          <w:trHeight w:val="237"/>
        </w:trPr>
        <w:tc>
          <w:tcPr>
            <w:tcW w:w="5740" w:type="dxa"/>
            <w:vAlign w:val="bottom"/>
          </w:tcPr>
          <w:p>
            <w:pPr>
              <w:ind w:left="500"/>
              <w:spacing w:after="0"/>
              <w:rPr>
                <w:sz w:val="20"/>
                <w:szCs w:val="20"/>
                <w:color w:val="auto"/>
              </w:rPr>
            </w:pPr>
            <w:r>
              <w:rPr>
                <w:rFonts w:ascii="Arial" w:cs="Arial" w:eastAsia="Arial" w:hAnsi="Arial"/>
                <w:sz w:val="16"/>
                <w:szCs w:val="16"/>
                <w:color w:val="auto"/>
              </w:rPr>
              <w:t>Senior notes, 4.75%, due May 2020</w:t>
            </w:r>
          </w:p>
        </w:tc>
        <w:tc>
          <w:tcPr>
            <w:tcW w:w="4020" w:type="dxa"/>
            <w:vAlign w:val="bottom"/>
          </w:tcPr>
          <w:p>
            <w:pPr>
              <w:jc w:val="right"/>
              <w:ind w:right="319"/>
              <w:spacing w:after="0"/>
              <w:rPr>
                <w:sz w:val="20"/>
                <w:szCs w:val="20"/>
                <w:color w:val="auto"/>
              </w:rPr>
            </w:pPr>
            <w:r>
              <w:rPr>
                <w:rFonts w:ascii="Arial" w:cs="Arial" w:eastAsia="Arial" w:hAnsi="Arial"/>
                <w:sz w:val="16"/>
                <w:szCs w:val="16"/>
                <w:b w:val="1"/>
                <w:bCs w:val="1"/>
                <w:color w:val="auto"/>
              </w:rPr>
              <w:t>500</w:t>
            </w: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499</w:t>
            </w:r>
          </w:p>
        </w:tc>
      </w:tr>
      <w:tr>
        <w:trPr>
          <w:trHeight w:val="33"/>
        </w:trPr>
        <w:tc>
          <w:tcPr>
            <w:tcW w:w="57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Senior notes, 4.00%, due October 2021</w:t>
            </w:r>
          </w:p>
        </w:tc>
        <w:tc>
          <w:tcPr>
            <w:tcW w:w="402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500</w:t>
            </w: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500</w:t>
            </w:r>
          </w:p>
        </w:tc>
      </w:tr>
      <w:tr>
        <w:trPr>
          <w:trHeight w:val="237"/>
        </w:trPr>
        <w:tc>
          <w:tcPr>
            <w:tcW w:w="5740" w:type="dxa"/>
            <w:vAlign w:val="bottom"/>
          </w:tcPr>
          <w:p>
            <w:pPr>
              <w:ind w:left="500"/>
              <w:spacing w:after="0"/>
              <w:rPr>
                <w:sz w:val="20"/>
                <w:szCs w:val="20"/>
                <w:color w:val="auto"/>
              </w:rPr>
            </w:pPr>
            <w:r>
              <w:rPr>
                <w:rFonts w:ascii="Arial" w:cs="Arial" w:eastAsia="Arial" w:hAnsi="Arial"/>
                <w:sz w:val="16"/>
                <w:szCs w:val="16"/>
                <w:color w:val="auto"/>
              </w:rPr>
              <w:t>Senior notes, 4.00%, due March 2027</w:t>
            </w:r>
          </w:p>
        </w:tc>
        <w:tc>
          <w:tcPr>
            <w:tcW w:w="4020" w:type="dxa"/>
            <w:vAlign w:val="bottom"/>
          </w:tcPr>
          <w:p>
            <w:pPr>
              <w:jc w:val="right"/>
              <w:ind w:right="319"/>
              <w:spacing w:after="0"/>
              <w:rPr>
                <w:sz w:val="20"/>
                <w:szCs w:val="20"/>
                <w:color w:val="auto"/>
              </w:rPr>
            </w:pPr>
            <w:r>
              <w:rPr>
                <w:rFonts w:ascii="Arial" w:cs="Arial" w:eastAsia="Arial" w:hAnsi="Arial"/>
                <w:sz w:val="16"/>
                <w:szCs w:val="16"/>
                <w:b w:val="1"/>
                <w:bCs w:val="1"/>
                <w:color w:val="auto"/>
              </w:rPr>
              <w:t>349</w:t>
            </w: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57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Senior debentures, 6.95%, due March 2028</w:t>
            </w:r>
          </w:p>
        </w:tc>
        <w:tc>
          <w:tcPr>
            <w:tcW w:w="402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300</w:t>
            </w: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300</w:t>
            </w:r>
          </w:p>
        </w:tc>
      </w:tr>
      <w:tr>
        <w:trPr>
          <w:trHeight w:val="237"/>
        </w:trPr>
        <w:tc>
          <w:tcPr>
            <w:tcW w:w="5740" w:type="dxa"/>
            <w:vAlign w:val="bottom"/>
          </w:tcPr>
          <w:p>
            <w:pPr>
              <w:ind w:left="500"/>
              <w:spacing w:after="0"/>
              <w:rPr>
                <w:sz w:val="20"/>
                <w:szCs w:val="20"/>
                <w:color w:val="auto"/>
              </w:rPr>
            </w:pPr>
            <w:r>
              <w:rPr>
                <w:rFonts w:ascii="Arial" w:cs="Arial" w:eastAsia="Arial" w:hAnsi="Arial"/>
                <w:sz w:val="16"/>
                <w:szCs w:val="16"/>
                <w:color w:val="auto"/>
              </w:rPr>
              <w:t>Senior notes, 7.00%, due January 2038</w:t>
            </w:r>
          </w:p>
        </w:tc>
        <w:tc>
          <w:tcPr>
            <w:tcW w:w="4020" w:type="dxa"/>
            <w:vAlign w:val="bottom"/>
          </w:tcPr>
          <w:p>
            <w:pPr>
              <w:jc w:val="right"/>
              <w:ind w:right="319"/>
              <w:spacing w:after="0"/>
              <w:rPr>
                <w:sz w:val="20"/>
                <w:szCs w:val="20"/>
                <w:color w:val="auto"/>
              </w:rPr>
            </w:pPr>
            <w:r>
              <w:rPr>
                <w:rFonts w:ascii="Arial" w:cs="Arial" w:eastAsia="Arial" w:hAnsi="Arial"/>
                <w:sz w:val="16"/>
                <w:szCs w:val="16"/>
                <w:b w:val="1"/>
                <w:bCs w:val="1"/>
                <w:color w:val="auto"/>
              </w:rPr>
              <w:t>146</w:t>
            </w: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146</w:t>
            </w:r>
          </w:p>
        </w:tc>
      </w:tr>
      <w:tr>
        <w:trPr>
          <w:trHeight w:val="33"/>
        </w:trPr>
        <w:tc>
          <w:tcPr>
            <w:tcW w:w="57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Senior notes, 5.00%, due January 2044</w:t>
            </w:r>
          </w:p>
        </w:tc>
        <w:tc>
          <w:tcPr>
            <w:tcW w:w="402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892</w:t>
            </w: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602</w:t>
            </w:r>
          </w:p>
        </w:tc>
      </w:tr>
      <w:tr>
        <w:trPr>
          <w:trHeight w:val="270"/>
        </w:trPr>
        <w:tc>
          <w:tcPr>
            <w:tcW w:w="574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tc>
        <w:tc>
          <w:tcPr>
            <w:tcW w:w="40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32</w:t>
            </w:r>
          </w:p>
        </w:tc>
        <w:tc>
          <w:tcPr>
            <w:tcW w:w="1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50</w:t>
            </w:r>
          </w:p>
        </w:tc>
      </w:tr>
      <w:tr>
        <w:trPr>
          <w:trHeight w:val="269"/>
        </w:trPr>
        <w:tc>
          <w:tcPr>
            <w:tcW w:w="5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b w:val="1"/>
                <w:bCs w:val="1"/>
                <w:color w:val="auto"/>
              </w:rPr>
              <w:t>Total unsecured debt</w:t>
            </w:r>
          </w:p>
        </w:tc>
        <w:tc>
          <w:tcPr>
            <w:tcW w:w="402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2,719</w:t>
            </w: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2,747</w:t>
            </w:r>
          </w:p>
        </w:tc>
      </w:tr>
      <w:tr>
        <w:trPr>
          <w:trHeight w:val="291"/>
        </w:trPr>
        <w:tc>
          <w:tcPr>
            <w:tcW w:w="5740" w:type="dxa"/>
            <w:vAlign w:val="bottom"/>
            <w:tcBorders>
              <w:top w:val="single" w:sz="8" w:color="auto"/>
            </w:tcBorders>
          </w:tcPr>
          <w:p>
            <w:pPr>
              <w:spacing w:after="0"/>
              <w:rPr>
                <w:sz w:val="24"/>
                <w:szCs w:val="24"/>
                <w:color w:val="auto"/>
              </w:rPr>
            </w:pPr>
          </w:p>
        </w:tc>
        <w:tc>
          <w:tcPr>
            <w:tcW w:w="4020" w:type="dxa"/>
            <w:vAlign w:val="bottom"/>
            <w:tcBorders>
              <w:top w:val="single" w:sz="8" w:color="auto"/>
            </w:tcBorders>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long-term debt</w:t>
            </w:r>
          </w:p>
        </w:tc>
        <w:tc>
          <w:tcPr>
            <w:tcW w:w="402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2,737</w:t>
            </w: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2,774</w:t>
            </w:r>
          </w:p>
        </w:tc>
      </w:tr>
      <w:tr>
        <w:trPr>
          <w:trHeight w:val="237"/>
        </w:trPr>
        <w:tc>
          <w:tcPr>
            <w:tcW w:w="5740" w:type="dxa"/>
            <w:vAlign w:val="bottom"/>
          </w:tcPr>
          <w:p>
            <w:pPr>
              <w:ind w:left="40"/>
              <w:spacing w:after="0"/>
              <w:rPr>
                <w:sz w:val="20"/>
                <w:szCs w:val="20"/>
                <w:color w:val="auto"/>
              </w:rPr>
            </w:pPr>
            <w:r>
              <w:rPr>
                <w:rFonts w:ascii="Arial" w:cs="Arial" w:eastAsia="Arial" w:hAnsi="Arial"/>
                <w:sz w:val="16"/>
                <w:szCs w:val="16"/>
                <w:color w:val="auto"/>
              </w:rPr>
              <w:t>Less: current portion</w:t>
            </w:r>
          </w:p>
        </w:tc>
        <w:tc>
          <w:tcPr>
            <w:tcW w:w="4020" w:type="dxa"/>
            <w:vAlign w:val="bottom"/>
          </w:tcPr>
          <w:p>
            <w:pPr>
              <w:jc w:val="right"/>
              <w:ind w:right="259"/>
              <w:spacing w:after="0"/>
              <w:rPr>
                <w:sz w:val="20"/>
                <w:szCs w:val="20"/>
                <w:color w:val="auto"/>
              </w:rPr>
            </w:pPr>
            <w:r>
              <w:rPr>
                <w:rFonts w:ascii="Arial" w:cs="Arial" w:eastAsia="Arial" w:hAnsi="Arial"/>
                <w:sz w:val="16"/>
                <w:szCs w:val="16"/>
                <w:b w:val="1"/>
                <w:bCs w:val="1"/>
                <w:color w:val="auto"/>
              </w:rPr>
              <w:t>(56)</w:t>
            </w:r>
          </w:p>
        </w:tc>
        <w:tc>
          <w:tcPr>
            <w:tcW w:w="164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33"/>
        </w:trPr>
        <w:tc>
          <w:tcPr>
            <w:tcW w:w="574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1"/>
        </w:trPr>
        <w:tc>
          <w:tcPr>
            <w:tcW w:w="57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Total due beyond one year</w:t>
            </w:r>
          </w:p>
        </w:tc>
        <w:tc>
          <w:tcPr>
            <w:tcW w:w="4020" w:type="dxa"/>
            <w:vAlign w:val="bottom"/>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$2,681</w:t>
            </w:r>
          </w:p>
        </w:tc>
        <w:tc>
          <w:tcPr>
            <w:tcW w:w="16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$2,763</w:t>
            </w:r>
          </w:p>
        </w:tc>
      </w:tr>
      <w:tr>
        <w:trPr>
          <w:trHeight w:val="33"/>
        </w:trPr>
        <w:tc>
          <w:tcPr>
            <w:tcW w:w="5740" w:type="dxa"/>
            <w:vAlign w:val="bottom"/>
            <w:shd w:val="clear" w:color="auto" w:fill="CCEEFF"/>
          </w:tcPr>
          <w:p>
            <w:pPr>
              <w:spacing w:after="0"/>
              <w:rPr>
                <w:sz w:val="2"/>
                <w:szCs w:val="2"/>
                <w:color w:val="auto"/>
              </w:rPr>
            </w:pPr>
          </w:p>
        </w:tc>
        <w:tc>
          <w:tcPr>
            <w:tcW w:w="402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2947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ind w:left="80" w:hanging="72"/>
        <w:spacing w:after="0"/>
        <w:tabs>
          <w:tab w:leader="none" w:pos="80" w:val="left"/>
        </w:tabs>
        <w:numPr>
          <w:ilvl w:val="0"/>
          <w:numId w:val="66"/>
        </w:numPr>
        <w:rPr>
          <w:rFonts w:ascii="Arial" w:cs="Arial" w:eastAsia="Arial" w:hAnsi="Arial"/>
          <w:sz w:val="9"/>
          <w:szCs w:val="9"/>
          <w:color w:val="auto"/>
        </w:rPr>
      </w:pPr>
      <w:r>
        <w:rPr>
          <w:rFonts w:ascii="Arial" w:cs="Arial" w:eastAsia="Arial" w:hAnsi="Arial"/>
          <w:sz w:val="14"/>
          <w:szCs w:val="14"/>
          <w:color w:val="auto"/>
        </w:rPr>
        <w:t>Other unsecured debt includes our Puerto Rico unsecured borrowing facility partially offset by deferred bond issue costs.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Our mortgage payable is secured by an office building that had a net book value of $56 at the end of 2017.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Required principal payments on long-term debt, excluding capital lease obligations, are as follows:</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Fiscal year</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8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2018</w:t>
            </w:r>
          </w:p>
        </w:tc>
        <w:tc>
          <w:tcPr>
            <w:tcW w:w="558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w:t>
            </w:r>
          </w:p>
        </w:tc>
      </w:tr>
      <w:tr>
        <w:trPr>
          <w:trHeight w:val="224"/>
        </w:trPr>
        <w:tc>
          <w:tcPr>
            <w:tcW w:w="5820" w:type="dxa"/>
            <w:vAlign w:val="bottom"/>
          </w:tcPr>
          <w:p>
            <w:pPr>
              <w:ind w:left="40"/>
              <w:spacing w:after="0"/>
              <w:rPr>
                <w:sz w:val="20"/>
                <w:szCs w:val="20"/>
                <w:color w:val="auto"/>
              </w:rPr>
            </w:pPr>
            <w:r>
              <w:rPr>
                <w:rFonts w:ascii="Arial" w:cs="Arial" w:eastAsia="Arial" w:hAnsi="Arial"/>
                <w:sz w:val="16"/>
                <w:szCs w:val="16"/>
                <w:color w:val="auto"/>
              </w:rPr>
              <w:t>2019</w:t>
            </w:r>
          </w:p>
        </w:tc>
        <w:tc>
          <w:tcPr>
            <w:tcW w:w="5580" w:type="dxa"/>
            <w:vAlign w:val="bottom"/>
          </w:tcPr>
          <w:p>
            <w:pPr>
              <w:jc w:val="right"/>
              <w:ind w:right="39"/>
              <w:spacing w:after="0"/>
              <w:rPr>
                <w:sz w:val="20"/>
                <w:szCs w:val="20"/>
                <w:color w:val="auto"/>
              </w:rPr>
            </w:pPr>
            <w:r>
              <w:rPr>
                <w:rFonts w:ascii="Arial" w:cs="Arial" w:eastAsia="Arial" w:hAnsi="Arial"/>
                <w:sz w:val="16"/>
                <w:szCs w:val="16"/>
                <w:color w:val="auto"/>
              </w:rPr>
              <w:t>8</w:t>
            </w:r>
          </w:p>
        </w:tc>
      </w:tr>
      <w:tr>
        <w:trPr>
          <w:trHeight w:val="33"/>
        </w:trPr>
        <w:tc>
          <w:tcPr>
            <w:tcW w:w="5820" w:type="dxa"/>
            <w:vAlign w:val="bottom"/>
          </w:tcPr>
          <w:p>
            <w:pPr>
              <w:spacing w:after="0"/>
              <w:rPr>
                <w:sz w:val="2"/>
                <w:szCs w:val="2"/>
                <w:color w:val="auto"/>
              </w:rPr>
            </w:pPr>
          </w:p>
        </w:tc>
        <w:tc>
          <w:tcPr>
            <w:tcW w:w="5580" w:type="dxa"/>
            <w:vAlign w:val="bottom"/>
          </w:tcPr>
          <w:p>
            <w:pPr>
              <w:spacing w:after="0"/>
              <w:rPr>
                <w:sz w:val="2"/>
                <w:szCs w:val="2"/>
                <w:color w:val="auto"/>
              </w:rPr>
            </w:pPr>
          </w:p>
        </w:tc>
      </w:tr>
      <w:tr>
        <w:trPr>
          <w:trHeight w:val="237"/>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5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502</w:t>
            </w:r>
          </w:p>
        </w:tc>
      </w:tr>
      <w:tr>
        <w:trPr>
          <w:trHeight w:val="224"/>
        </w:trPr>
        <w:tc>
          <w:tcPr>
            <w:tcW w:w="5820" w:type="dxa"/>
            <w:vAlign w:val="bottom"/>
          </w:tcPr>
          <w:p>
            <w:pPr>
              <w:ind w:left="40"/>
              <w:spacing w:after="0"/>
              <w:rPr>
                <w:sz w:val="20"/>
                <w:szCs w:val="20"/>
                <w:color w:val="auto"/>
              </w:rPr>
            </w:pPr>
            <w:r>
              <w:rPr>
                <w:rFonts w:ascii="Arial" w:cs="Arial" w:eastAsia="Arial" w:hAnsi="Arial"/>
                <w:sz w:val="16"/>
                <w:szCs w:val="16"/>
                <w:color w:val="auto"/>
              </w:rPr>
              <w:t>2021</w:t>
            </w:r>
          </w:p>
        </w:tc>
        <w:tc>
          <w:tcPr>
            <w:tcW w:w="5580" w:type="dxa"/>
            <w:vAlign w:val="bottom"/>
          </w:tcPr>
          <w:p>
            <w:pPr>
              <w:jc w:val="right"/>
              <w:ind w:right="39"/>
              <w:spacing w:after="0"/>
              <w:rPr>
                <w:sz w:val="20"/>
                <w:szCs w:val="20"/>
                <w:color w:val="auto"/>
              </w:rPr>
            </w:pPr>
            <w:r>
              <w:rPr>
                <w:rFonts w:ascii="Arial" w:cs="Arial" w:eastAsia="Arial" w:hAnsi="Arial"/>
                <w:sz w:val="16"/>
                <w:szCs w:val="16"/>
                <w:color w:val="auto"/>
              </w:rPr>
              <w:t>500</w:t>
            </w:r>
          </w:p>
        </w:tc>
      </w:tr>
      <w:tr>
        <w:trPr>
          <w:trHeight w:val="33"/>
        </w:trPr>
        <w:tc>
          <w:tcPr>
            <w:tcW w:w="5820" w:type="dxa"/>
            <w:vAlign w:val="bottom"/>
          </w:tcPr>
          <w:p>
            <w:pPr>
              <w:spacing w:after="0"/>
              <w:rPr>
                <w:sz w:val="2"/>
                <w:szCs w:val="2"/>
                <w:color w:val="auto"/>
              </w:rPr>
            </w:pPr>
          </w:p>
        </w:tc>
        <w:tc>
          <w:tcPr>
            <w:tcW w:w="5580" w:type="dxa"/>
            <w:vAlign w:val="bottom"/>
          </w:tcPr>
          <w:p>
            <w:pPr>
              <w:spacing w:after="0"/>
              <w:rPr>
                <w:sz w:val="2"/>
                <w:szCs w:val="2"/>
                <w:color w:val="auto"/>
              </w:rPr>
            </w:pPr>
          </w:p>
        </w:tc>
      </w:tr>
      <w:tr>
        <w:trPr>
          <w:trHeight w:val="237"/>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5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24"/>
        </w:trPr>
        <w:tc>
          <w:tcPr>
            <w:tcW w:w="582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5580" w:type="dxa"/>
            <w:vAlign w:val="bottom"/>
          </w:tcPr>
          <w:p>
            <w:pPr>
              <w:jc w:val="right"/>
              <w:ind w:right="39"/>
              <w:spacing w:after="0"/>
              <w:rPr>
                <w:sz w:val="20"/>
                <w:szCs w:val="20"/>
                <w:color w:val="auto"/>
              </w:rPr>
            </w:pPr>
            <w:r>
              <w:rPr>
                <w:rFonts w:ascii="Arial" w:cs="Arial" w:eastAsia="Arial" w:hAnsi="Arial"/>
                <w:sz w:val="16"/>
                <w:szCs w:val="16"/>
                <w:color w:val="auto"/>
              </w:rPr>
              <w:t>1,764</w:t>
            </w:r>
          </w:p>
        </w:tc>
      </w:tr>
      <w:tr>
        <w:trPr>
          <w:trHeight w:val="33"/>
        </w:trPr>
        <w:tc>
          <w:tcPr>
            <w:tcW w:w="5820" w:type="dxa"/>
            <w:vAlign w:val="bottom"/>
            <w:tcBorders>
              <w:bottom w:val="single" w:sz="8" w:color="auto"/>
            </w:tcBorders>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During 2017, we issued $350 aggregate principal amount of 4.00% senior unsecured notes due March 2027 and $300 aggregate principal amount of 5.00% senior unsecured notes due January 2044. With the proceeds of these new notes, we retired our $650 senior unsecured notes that were due January 2018. We incurred $18 of net interest expense related to the refinancing, which included the write-off of unamortized balances associated with the debt discount, issue costs and fair value hedge adjustment resulting from the sale of our interest rate swap agreements in 2012. It also included a one-time payment of $24 to 2018 Senior Note holders under a make-whole provision, which represents the net present value of the expected coupon payments had the notes been outstanding through the original maturity date.</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51</w:t>
      </w:r>
    </w:p>
    <w:p>
      <w:pPr>
        <w:sectPr>
          <w:pgSz w:w="11900" w:h="16838" w:orient="portrait"/>
          <w:cols w:equalWidth="0" w:num="1">
            <w:col w:w="11420"/>
          </w:cols>
          <w:pgMar w:left="240" w:top="126" w:right="239" w:bottom="1440" w:gutter="0" w:footer="0" w:header="0"/>
        </w:sectPr>
      </w:pPr>
    </w:p>
    <w:bookmarkStart w:id="52" w:name="page53"/>
    <w:bookmarkEnd w:id="52"/>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interest expense, net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00" w:type="dxa"/>
            <w:vAlign w:val="bottom"/>
          </w:tcPr>
          <w:p>
            <w:pPr>
              <w:ind w:left="40"/>
              <w:spacing w:after="0"/>
              <w:rPr>
                <w:sz w:val="20"/>
                <w:szCs w:val="20"/>
                <w:color w:val="auto"/>
              </w:rPr>
            </w:pPr>
            <w:r>
              <w:rPr>
                <w:rFonts w:ascii="Arial" w:cs="Arial" w:eastAsia="Arial" w:hAnsi="Arial"/>
                <w:sz w:val="16"/>
                <w:szCs w:val="16"/>
                <w:b w:val="1"/>
                <w:bCs w:val="1"/>
                <w:color w:val="auto"/>
              </w:rPr>
              <w:t>Fiscal year</w:t>
            </w:r>
          </w:p>
        </w:tc>
        <w:tc>
          <w:tcPr>
            <w:tcW w:w="2960" w:type="dxa"/>
            <w:vAlign w:val="bottom"/>
          </w:tcPr>
          <w:p>
            <w:pPr>
              <w:jc w:val="right"/>
              <w:ind w:right="739"/>
              <w:spacing w:after="0"/>
              <w:rPr>
                <w:sz w:val="20"/>
                <w:szCs w:val="20"/>
                <w:color w:val="auto"/>
              </w:rPr>
            </w:pPr>
            <w:r>
              <w:rPr>
                <w:rFonts w:ascii="Arial" w:cs="Arial" w:eastAsia="Arial" w:hAnsi="Arial"/>
                <w:sz w:val="16"/>
                <w:szCs w:val="16"/>
                <w:b w:val="1"/>
                <w:bCs w:val="1"/>
                <w:color w:val="auto"/>
              </w:rPr>
              <w:t>2017</w:t>
            </w:r>
          </w:p>
        </w:tc>
        <w:tc>
          <w:tcPr>
            <w:tcW w:w="1940" w:type="dxa"/>
            <w:vAlign w:val="bottom"/>
          </w:tcPr>
          <w:p>
            <w:pPr>
              <w:jc w:val="right"/>
              <w:ind w:right="759"/>
              <w:spacing w:after="0"/>
              <w:rPr>
                <w:sz w:val="20"/>
                <w:szCs w:val="20"/>
                <w:color w:val="auto"/>
              </w:rPr>
            </w:pPr>
            <w:r>
              <w:rPr>
                <w:rFonts w:ascii="Arial" w:cs="Arial" w:eastAsia="Arial" w:hAnsi="Arial"/>
                <w:sz w:val="16"/>
                <w:szCs w:val="16"/>
                <w:b w:val="1"/>
                <w:bCs w:val="1"/>
                <w:color w:val="auto"/>
              </w:rPr>
              <w:t>2016</w:t>
            </w:r>
          </w:p>
        </w:tc>
        <w:tc>
          <w:tcPr>
            <w:tcW w:w="1200" w:type="dxa"/>
            <w:vAlign w:val="bottom"/>
          </w:tcPr>
          <w:p>
            <w:pPr>
              <w:jc w:val="right"/>
              <w:ind w:right="39"/>
              <w:spacing w:after="0"/>
              <w:rPr>
                <w:sz w:val="20"/>
                <w:szCs w:val="20"/>
                <w:color w:val="auto"/>
              </w:rPr>
            </w:pPr>
            <w:r>
              <w:rPr>
                <w:rFonts w:ascii="Arial" w:cs="Arial" w:eastAsia="Arial" w:hAnsi="Arial"/>
                <w:sz w:val="16"/>
                <w:szCs w:val="16"/>
                <w:b w:val="1"/>
                <w:bCs w:val="1"/>
                <w:color w:val="auto"/>
              </w:rPr>
              <w:t>2015</w:t>
            </w:r>
          </w:p>
        </w:tc>
      </w:tr>
      <w:tr>
        <w:trPr>
          <w:trHeight w:val="33"/>
        </w:trPr>
        <w:tc>
          <w:tcPr>
            <w:tcW w:w="530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on long-term debt and short-term borrowings</w:t>
            </w:r>
          </w:p>
        </w:tc>
        <w:tc>
          <w:tcPr>
            <w:tcW w:w="296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$168</w:t>
            </w:r>
          </w:p>
        </w:tc>
        <w:tc>
          <w:tcPr>
            <w:tcW w:w="1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rPr>
              <w:t>$147</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$153</w:t>
            </w:r>
          </w:p>
        </w:tc>
      </w:tr>
      <w:tr>
        <w:trPr>
          <w:trHeight w:val="237"/>
        </w:trPr>
        <w:tc>
          <w:tcPr>
            <w:tcW w:w="5300" w:type="dxa"/>
            <w:vAlign w:val="bottom"/>
          </w:tcPr>
          <w:p>
            <w:pPr>
              <w:ind w:left="40"/>
              <w:spacing w:after="0"/>
              <w:rPr>
                <w:sz w:val="20"/>
                <w:szCs w:val="20"/>
                <w:color w:val="auto"/>
              </w:rPr>
            </w:pPr>
            <w:r>
              <w:rPr>
                <w:rFonts w:ascii="Arial" w:cs="Arial" w:eastAsia="Arial" w:hAnsi="Arial"/>
                <w:sz w:val="16"/>
                <w:szCs w:val="16"/>
                <w:color w:val="auto"/>
              </w:rPr>
              <w:t>Less:</w:t>
            </w:r>
          </w:p>
        </w:tc>
        <w:tc>
          <w:tcPr>
            <w:tcW w:w="29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
        </w:trPr>
        <w:tc>
          <w:tcPr>
            <w:tcW w:w="53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 income</w:t>
            </w:r>
          </w:p>
        </w:tc>
        <w:tc>
          <w:tcPr>
            <w:tcW w:w="296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(5)</w:t>
            </w:r>
          </w:p>
        </w:tc>
        <w:tc>
          <w:tcPr>
            <w:tcW w:w="194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color w:val="auto"/>
              </w:rPr>
              <w:t>(1)</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5300" w:type="dxa"/>
            <w:vAlign w:val="bottom"/>
          </w:tcPr>
          <w:p>
            <w:pPr>
              <w:ind w:left="280"/>
              <w:spacing w:after="0"/>
              <w:rPr>
                <w:sz w:val="20"/>
                <w:szCs w:val="20"/>
                <w:color w:val="auto"/>
              </w:rPr>
            </w:pPr>
            <w:r>
              <w:rPr>
                <w:rFonts w:ascii="Arial" w:cs="Arial" w:eastAsia="Arial" w:hAnsi="Arial"/>
                <w:sz w:val="16"/>
                <w:szCs w:val="16"/>
                <w:color w:val="auto"/>
              </w:rPr>
              <w:t>Capitalized interest</w:t>
            </w:r>
          </w:p>
        </w:tc>
        <w:tc>
          <w:tcPr>
            <w:tcW w:w="2960" w:type="dxa"/>
            <w:vAlign w:val="bottom"/>
          </w:tcPr>
          <w:p>
            <w:pPr>
              <w:jc w:val="right"/>
              <w:ind w:right="699"/>
              <w:spacing w:after="0"/>
              <w:rPr>
                <w:sz w:val="20"/>
                <w:szCs w:val="20"/>
                <w:color w:val="auto"/>
              </w:rPr>
            </w:pPr>
            <w:r>
              <w:rPr>
                <w:rFonts w:ascii="Arial" w:cs="Arial" w:eastAsia="Arial" w:hAnsi="Arial"/>
                <w:sz w:val="16"/>
                <w:szCs w:val="16"/>
                <w:b w:val="1"/>
                <w:bCs w:val="1"/>
                <w:color w:val="auto"/>
              </w:rPr>
              <w:t>(27)</w:t>
            </w:r>
          </w:p>
        </w:tc>
        <w:tc>
          <w:tcPr>
            <w:tcW w:w="1940" w:type="dxa"/>
            <w:vAlign w:val="bottom"/>
          </w:tcPr>
          <w:p>
            <w:pPr>
              <w:jc w:val="right"/>
              <w:ind w:right="699"/>
              <w:spacing w:after="0"/>
              <w:rPr>
                <w:sz w:val="20"/>
                <w:szCs w:val="20"/>
                <w:color w:val="auto"/>
              </w:rPr>
            </w:pPr>
            <w:r>
              <w:rPr>
                <w:rFonts w:ascii="Arial" w:cs="Arial" w:eastAsia="Arial" w:hAnsi="Arial"/>
                <w:sz w:val="16"/>
                <w:szCs w:val="16"/>
                <w:color w:val="auto"/>
              </w:rPr>
              <w:t>(25)</w:t>
            </w:r>
          </w:p>
        </w:tc>
        <w:tc>
          <w:tcPr>
            <w:tcW w:w="120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33"/>
        </w:trPr>
        <w:tc>
          <w:tcPr>
            <w:tcW w:w="530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Interest expense, net</w:t>
            </w:r>
          </w:p>
        </w:tc>
        <w:tc>
          <w:tcPr>
            <w:tcW w:w="296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$136</w:t>
            </w:r>
          </w:p>
        </w:tc>
        <w:tc>
          <w:tcPr>
            <w:tcW w:w="1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rPr>
              <w:t>$121</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$125</w:t>
            </w:r>
          </w:p>
        </w:tc>
      </w:tr>
      <w:tr>
        <w:trPr>
          <w:trHeight w:val="20"/>
        </w:trPr>
        <w:tc>
          <w:tcPr>
            <w:tcW w:w="5300" w:type="dxa"/>
            <w:vAlign w:val="bottom"/>
            <w:shd w:val="clear" w:color="auto" w:fill="000000"/>
          </w:tcPr>
          <w:p>
            <w:pPr>
              <w:spacing w:after="0" w:line="20" w:lineRule="exact"/>
              <w:rPr>
                <w:sz w:val="1"/>
                <w:szCs w:val="1"/>
                <w:color w:val="auto"/>
              </w:rPr>
            </w:pPr>
          </w:p>
        </w:tc>
        <w:tc>
          <w:tcPr>
            <w:tcW w:w="2960" w:type="dxa"/>
            <w:vAlign w:val="bottom"/>
            <w:shd w:val="clear" w:color="auto" w:fill="000000"/>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27" w:lineRule="exact"/>
        <w:rPr>
          <w:sz w:val="20"/>
          <w:szCs w:val="20"/>
          <w:color w:val="auto"/>
        </w:rPr>
      </w:pPr>
    </w:p>
    <w:p>
      <w:pPr>
        <w:jc w:val="both"/>
        <w:ind w:right="200"/>
        <w:spacing w:after="0" w:line="254" w:lineRule="auto"/>
        <w:rPr>
          <w:sz w:val="20"/>
          <w:szCs w:val="20"/>
          <w:color w:val="auto"/>
        </w:rPr>
      </w:pPr>
      <w:r>
        <w:rPr>
          <w:rFonts w:ascii="Arial" w:cs="Arial" w:eastAsia="Arial" w:hAnsi="Arial"/>
          <w:sz w:val="18"/>
          <w:szCs w:val="18"/>
          <w:color w:val="auto"/>
        </w:rPr>
        <w:t>As of February 3, 2018, we had total short-term borrowing capacity of $800 under our senior unsecured revolving credit facility (“revolver”) that expires in April 2020. Under the terms of our revolver, we pay a variable rate of interest and a commitment fee based on our debt rating. The revolver is available for working capital, capital expenditures and general corporate purposes. We have the option to increase the revolving commitment by up to $200, to a total of $1,000, provided that we obtain written consent from the lenders.</w:t>
      </w:r>
    </w:p>
    <w:p>
      <w:pPr>
        <w:spacing w:after="0" w:line="136" w:lineRule="exact"/>
        <w:rPr>
          <w:sz w:val="20"/>
          <w:szCs w:val="20"/>
          <w:color w:val="auto"/>
        </w:rPr>
      </w:pPr>
    </w:p>
    <w:p>
      <w:pPr>
        <w:jc w:val="both"/>
        <w:ind w:right="80"/>
        <w:spacing w:after="0" w:line="308" w:lineRule="auto"/>
        <w:rPr>
          <w:sz w:val="20"/>
          <w:szCs w:val="20"/>
          <w:color w:val="auto"/>
        </w:rPr>
      </w:pPr>
      <w:r>
        <w:rPr>
          <w:rFonts w:ascii="Arial" w:cs="Arial" w:eastAsia="Arial" w:hAnsi="Arial"/>
          <w:sz w:val="17"/>
          <w:szCs w:val="17"/>
          <w:color w:val="auto"/>
        </w:rPr>
        <w:t>The revolver requires that we maintain an adjusted debt to earnings before interest, income taxes, depreciation, amortization and rent (“EBITDAR”) leverage ratio of no more than four times. As of February 3, 2018 and January 28, 2017, we were in compliance with this covenant.</w:t>
      </w:r>
    </w:p>
    <w:p>
      <w:pPr>
        <w:spacing w:after="0" w:line="93"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Our $800 commercial paper program allows us to use the proceeds to fund operating cash requirements. Under the terms of the commercial paper agreement, we pay a rate of interest based on, among other factors, the maturity of the issuance and market conditions. The issuance of commercial paper has the effect, while it is outstanding, of reducing available liquidity under the revolver by an amount equal to the principal amount of commercial paper.</w:t>
      </w:r>
    </w:p>
    <w:p>
      <w:pPr>
        <w:spacing w:after="0" w:line="9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As of February 3, 2018 and January 28, 2017, we had no issuances outstanding under our commercial paper program and no borrowings outstanding under our revolver.</w:t>
      </w:r>
    </w:p>
    <w:p>
      <w:pPr>
        <w:spacing w:after="0" w:line="11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Our wholly owned subsidiary in Puerto Rico maintains a $52 unsecured borrowing facility to support our expansion into that market. The facility expires in Fall 2018 and borrowings on this facility incur interest based upon the LIBOR plus 1.275% per annum and also incurred a fee based on any unused commitment. As of February 3, 2018 and January 28, 2017, we had $48 and $50 outstanding on this facility, which is included as a component in other unsecured debt and the current portion of debt.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FAIR VALUE MEASUREMENTS</w:t>
      </w:r>
    </w:p>
    <w:p>
      <w:pPr>
        <w:spacing w:after="0" w:line="27"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We disclose our financial assets and liabilities that are measured at fair value in our Consolidated Balance Sheets by level within the fair value hierarchy as defined by applicable accounting standards:</w:t>
      </w:r>
    </w:p>
    <w:p>
      <w:pPr>
        <w:spacing w:after="0" w:line="13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1: Quoted market prices in active markets for identical assets or liabilities</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2: Other observable market-based inputs or unobservable inputs that are corroborated by market data</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3: Unobservable inputs that cannot be corroborated by market data that reflect the reporting entity’s own assumptions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 Not Measured at Fair Value</w:t>
      </w:r>
    </w:p>
    <w:p>
      <w:pPr>
        <w:spacing w:after="0" w:line="27"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Financial instruments not measured at fair value on a recurring basis include cash and cash equivalents, accounts receivable, accounts payable and certificates of deposit, which approximate fair value due to their short-term nature, and long-term debt.</w:t>
      </w:r>
    </w:p>
    <w:p>
      <w:pPr>
        <w:spacing w:after="0" w:line="130"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We estimate the fair value of long-term debt using quoted market prices of the same or similar issues and, as such, this is considered a Level 2 fair value measurement. The following table summarizes the carrying value and fair value estimate of our long-term debt, including current maturities: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00" w:type="dxa"/>
            <w:vAlign w:val="bottom"/>
          </w:tcPr>
          <w:p>
            <w:pPr>
              <w:spacing w:after="0"/>
              <w:rPr>
                <w:sz w:val="18"/>
                <w:szCs w:val="18"/>
                <w:color w:val="auto"/>
              </w:rPr>
            </w:pPr>
          </w:p>
        </w:tc>
        <w:tc>
          <w:tcPr>
            <w:tcW w:w="4560" w:type="dxa"/>
            <w:vAlign w:val="bottom"/>
          </w:tcPr>
          <w:p>
            <w:pPr>
              <w:jc w:val="right"/>
              <w:ind w:right="279"/>
              <w:spacing w:after="0"/>
              <w:rPr>
                <w:sz w:val="20"/>
                <w:szCs w:val="20"/>
                <w:color w:val="auto"/>
              </w:rPr>
            </w:pPr>
            <w:r>
              <w:rPr>
                <w:rFonts w:ascii="Arial" w:cs="Arial" w:eastAsia="Arial" w:hAnsi="Arial"/>
                <w:sz w:val="16"/>
                <w:szCs w:val="16"/>
                <w:b w:val="1"/>
                <w:bCs w:val="1"/>
                <w:color w:val="auto"/>
              </w:rPr>
              <w:t>February 3, 2018</w:t>
            </w:r>
          </w:p>
        </w:tc>
        <w:tc>
          <w:tcPr>
            <w:tcW w:w="1660" w:type="dxa"/>
            <w:vAlign w:val="bottom"/>
          </w:tcPr>
          <w:p>
            <w:pPr>
              <w:jc w:val="right"/>
              <w:ind w:right="19"/>
              <w:spacing w:after="0"/>
              <w:rPr>
                <w:sz w:val="20"/>
                <w:szCs w:val="20"/>
                <w:color w:val="auto"/>
              </w:rPr>
            </w:pPr>
            <w:r>
              <w:rPr>
                <w:rFonts w:ascii="Arial" w:cs="Arial" w:eastAsia="Arial" w:hAnsi="Arial"/>
                <w:sz w:val="16"/>
                <w:szCs w:val="16"/>
                <w:b w:val="1"/>
                <w:bCs w:val="1"/>
                <w:color w:val="auto"/>
              </w:rPr>
              <w:t>January 28, 2017</w:t>
            </w:r>
          </w:p>
        </w:tc>
      </w:tr>
      <w:tr>
        <w:trPr>
          <w:trHeight w:val="33"/>
        </w:trPr>
        <w:tc>
          <w:tcPr>
            <w:tcW w:w="5200" w:type="dxa"/>
            <w:vAlign w:val="bottom"/>
            <w:tcBorders>
              <w:bottom w:val="single" w:sz="8" w:color="auto"/>
            </w:tcBorders>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Carrying value of long-term debt</w:t>
            </w:r>
          </w:p>
        </w:tc>
        <w:tc>
          <w:tcPr>
            <w:tcW w:w="45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$2,737</w:t>
            </w: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$2,774</w:t>
            </w:r>
          </w:p>
        </w:tc>
      </w:tr>
      <w:tr>
        <w:trPr>
          <w:trHeight w:val="237"/>
        </w:trPr>
        <w:tc>
          <w:tcPr>
            <w:tcW w:w="5200" w:type="dxa"/>
            <w:vAlign w:val="bottom"/>
          </w:tcPr>
          <w:p>
            <w:pPr>
              <w:ind w:left="40"/>
              <w:spacing w:after="0"/>
              <w:rPr>
                <w:sz w:val="20"/>
                <w:szCs w:val="20"/>
                <w:color w:val="auto"/>
              </w:rPr>
            </w:pPr>
            <w:r>
              <w:rPr>
                <w:rFonts w:ascii="Arial" w:cs="Arial" w:eastAsia="Arial" w:hAnsi="Arial"/>
                <w:sz w:val="16"/>
                <w:szCs w:val="16"/>
                <w:color w:val="auto"/>
              </w:rPr>
              <w:t>Fair value of long-term debt</w:t>
            </w:r>
          </w:p>
        </w:tc>
        <w:tc>
          <w:tcPr>
            <w:tcW w:w="4560" w:type="dxa"/>
            <w:vAlign w:val="bottom"/>
          </w:tcPr>
          <w:p>
            <w:pPr>
              <w:jc w:val="right"/>
              <w:ind w:right="279"/>
              <w:spacing w:after="0"/>
              <w:rPr>
                <w:sz w:val="20"/>
                <w:szCs w:val="20"/>
                <w:color w:val="auto"/>
              </w:rPr>
            </w:pPr>
            <w:r>
              <w:rPr>
                <w:rFonts w:ascii="Arial" w:cs="Arial" w:eastAsia="Arial" w:hAnsi="Arial"/>
                <w:sz w:val="16"/>
                <w:szCs w:val="16"/>
                <w:b w:val="1"/>
                <w:bCs w:val="1"/>
                <w:color w:val="auto"/>
              </w:rPr>
              <w:t>2,827</w:t>
            </w: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2,949</w:t>
            </w:r>
          </w:p>
        </w:tc>
      </w:tr>
      <w:tr>
        <w:trPr>
          <w:trHeight w:val="33"/>
        </w:trPr>
        <w:tc>
          <w:tcPr>
            <w:tcW w:w="5200" w:type="dxa"/>
            <w:vAlign w:val="bottom"/>
            <w:tcBorders>
              <w:bottom w:val="single" w:sz="8" w:color="auto"/>
            </w:tcBorders>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649"/>
        </w:trPr>
        <w:tc>
          <w:tcPr>
            <w:tcW w:w="5200" w:type="dxa"/>
            <w:vAlign w:val="bottom"/>
          </w:tcPr>
          <w:p>
            <w:pPr>
              <w:jc w:val="right"/>
              <w:ind w:right="4939"/>
              <w:spacing w:after="0"/>
              <w:rPr>
                <w:sz w:val="20"/>
                <w:szCs w:val="20"/>
                <w:color w:val="auto"/>
              </w:rPr>
            </w:pPr>
            <w:r>
              <w:rPr>
                <w:rFonts w:ascii="Arial" w:cs="Arial" w:eastAsia="Arial" w:hAnsi="Arial"/>
                <w:sz w:val="16"/>
                <w:szCs w:val="16"/>
                <w:color w:val="auto"/>
                <w:w w:val="89"/>
              </w:rPr>
              <w:t>52</w:t>
            </w:r>
          </w:p>
        </w:tc>
        <w:tc>
          <w:tcPr>
            <w:tcW w:w="4560" w:type="dxa"/>
            <w:vAlign w:val="bottom"/>
          </w:tcPr>
          <w:p>
            <w:pPr>
              <w:spacing w:after="0"/>
              <w:rPr>
                <w:sz w:val="24"/>
                <w:szCs w:val="24"/>
                <w:color w:val="auto"/>
              </w:rPr>
            </w:pPr>
          </w:p>
        </w:tc>
        <w:tc>
          <w:tcPr>
            <w:tcW w:w="1660" w:type="dxa"/>
            <w:vAlign w:val="bottom"/>
          </w:tcPr>
          <w:p>
            <w:pPr>
              <w:spacing w:after="0"/>
              <w:rPr>
                <w:sz w:val="24"/>
                <w:szCs w:val="24"/>
                <w:color w:val="auto"/>
              </w:rPr>
            </w:pPr>
          </w:p>
        </w:tc>
      </w:tr>
    </w:tbl>
    <w:p>
      <w:pPr>
        <w:sectPr>
          <w:pgSz w:w="11900" w:h="16838" w:orient="portrait"/>
          <w:cols w:equalWidth="0" w:num="1">
            <w:col w:w="11420"/>
          </w:cols>
          <w:pgMar w:left="240" w:top="126" w:right="239" w:bottom="1440" w:gutter="0" w:footer="0" w:header="0"/>
        </w:sectPr>
      </w:pPr>
    </w:p>
    <w:bookmarkStart w:id="53" w:name="page54"/>
    <w:bookmarkEnd w:id="53"/>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Non-financial Assets Measured at Fair Value on a Nonrecurring Basis</w:t>
      </w:r>
    </w:p>
    <w:p>
      <w:pPr>
        <w:spacing w:after="0" w:line="2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We also measure certain non-financial assets at fair value on a nonrecurring basis, primarily goodwill, investment in contract asset and long-lived tangible and intangible assets, in connection with periodic evaluations for potential impairment. We estimate the fair value of these assets using primarily unobservable inputs and, as such, these are considered Level 3 fair value measurements. There were no material impairment charges for these assets for fiscal year 2017.</w:t>
      </w:r>
    </w:p>
    <w:p>
      <w:pPr>
        <w:spacing w:after="0" w:line="10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 the third quarter of 2016, the long-term operating plan for Trunk Club was updated to reflect current expectations for future growth and profitability, which were lower than previous expectations. Due to lowered expectations, we tested Trunk Club goodwill for impairment one quarter prior to the annual evaluation. Step 1 test results indicated that the estimated fair value of the reporting unit was less than the carrying value.</w:t>
      </w:r>
    </w:p>
    <w:p>
      <w:pPr>
        <w:spacing w:after="0" w:line="11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In our Step 2 analysis, we used a combination of the expected present value of future cash flows (income approach) and comparable public companies (market approach) to determine the fair value of the reporting unit. These approaches use primarily unobservable inputs, including discount, sales growth and profit margin rates, which are considered Level 3 fair value measurements. The fair value analysis took into account recent and expected operating performance as well as the overall decline in the retail industry. Within our Retail Segment, we recognized a goodwill impairment charge of $197 in 2016, reducing Trunk Club goodwill to $64 as of January 28, 2017, from $261 as of January 30, 2016.</w:t>
      </w:r>
    </w:p>
    <w:p>
      <w:pPr>
        <w:spacing w:after="0" w:line="11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2015, we recorded asset impairment charges of $59, which are included in our Retail Business selling, general and administrative expenses. For additional information related to goodwill, intangible assets, long-lived assets and impairments, see Note 1: Nature of Operations and Summary of Significant Accounting Policies.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LEASES</w:t>
      </w:r>
    </w:p>
    <w:p>
      <w:pPr>
        <w:spacing w:after="0" w:line="27"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We lease the land or the land and buildings at many of our stores. Additionally, we lease office facilities, warehouses and equipment. Most of these leases are classified as operating leases and they expire at various dates through 2080. The majority of our fixed, non-cancellable lease terms are 15 to 30 years for Nordstrom full-line stores and 10 to 15 years for Nordstrom Rack stores. Many of our leases include options that allow us to extend the lease term beyond the initial commitment period, subject to terms agreed to at lease inception. Most of our leases also provide for payment of operating expenses, such as common area charges, real estate taxes and other executory costs, and some leases require additional payments based on sales, referred to as “percentage rent.”</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as of February 3, 2018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180" w:type="dxa"/>
            <w:vAlign w:val="bottom"/>
          </w:tcPr>
          <w:p>
            <w:pPr>
              <w:ind w:left="40"/>
              <w:spacing w:after="0"/>
              <w:rPr>
                <w:sz w:val="20"/>
                <w:szCs w:val="20"/>
                <w:color w:val="auto"/>
              </w:rPr>
            </w:pPr>
            <w:r>
              <w:rPr>
                <w:rFonts w:ascii="Arial" w:cs="Arial" w:eastAsia="Arial" w:hAnsi="Arial"/>
                <w:sz w:val="16"/>
                <w:szCs w:val="16"/>
                <w:b w:val="1"/>
                <w:bCs w:val="1"/>
                <w:color w:val="auto"/>
              </w:rPr>
              <w:t>Fiscal year</w:t>
            </w:r>
          </w:p>
        </w:tc>
        <w:tc>
          <w:tcPr>
            <w:tcW w:w="5240" w:type="dxa"/>
            <w:vAlign w:val="bottom"/>
          </w:tcPr>
          <w:p>
            <w:pPr>
              <w:jc w:val="right"/>
              <w:ind w:right="19"/>
              <w:spacing w:after="0"/>
              <w:rPr>
                <w:sz w:val="20"/>
                <w:szCs w:val="20"/>
                <w:color w:val="auto"/>
              </w:rPr>
            </w:pPr>
            <w:r>
              <w:rPr>
                <w:rFonts w:ascii="Arial" w:cs="Arial" w:eastAsia="Arial" w:hAnsi="Arial"/>
                <w:sz w:val="16"/>
                <w:szCs w:val="16"/>
                <w:b w:val="1"/>
                <w:bCs w:val="1"/>
                <w:color w:val="auto"/>
              </w:rPr>
              <w:t>Operating leases</w:t>
            </w:r>
          </w:p>
        </w:tc>
      </w:tr>
      <w:tr>
        <w:trPr>
          <w:trHeight w:val="33"/>
        </w:trPr>
        <w:tc>
          <w:tcPr>
            <w:tcW w:w="6180" w:type="dxa"/>
            <w:vAlign w:val="bottom"/>
            <w:tcBorders>
              <w:bottom w:val="single" w:sz="8" w:color="auto"/>
            </w:tcBorders>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2018</w:t>
            </w:r>
          </w:p>
        </w:tc>
        <w:tc>
          <w:tcPr>
            <w:tcW w:w="5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$309</w:t>
            </w:r>
          </w:p>
        </w:tc>
      </w:tr>
      <w:tr>
        <w:trPr>
          <w:trHeight w:val="237"/>
        </w:trPr>
        <w:tc>
          <w:tcPr>
            <w:tcW w:w="6180" w:type="dxa"/>
            <w:vAlign w:val="bottom"/>
          </w:tcPr>
          <w:p>
            <w:pPr>
              <w:ind w:left="40"/>
              <w:spacing w:after="0"/>
              <w:rPr>
                <w:sz w:val="20"/>
                <w:szCs w:val="20"/>
                <w:color w:val="auto"/>
              </w:rPr>
            </w:pPr>
            <w:r>
              <w:rPr>
                <w:rFonts w:ascii="Arial" w:cs="Arial" w:eastAsia="Arial" w:hAnsi="Arial"/>
                <w:sz w:val="16"/>
                <w:szCs w:val="16"/>
                <w:color w:val="auto"/>
              </w:rPr>
              <w:t>2019</w:t>
            </w:r>
          </w:p>
        </w:tc>
        <w:tc>
          <w:tcPr>
            <w:tcW w:w="5240" w:type="dxa"/>
            <w:vAlign w:val="bottom"/>
          </w:tcPr>
          <w:p>
            <w:pPr>
              <w:jc w:val="right"/>
              <w:ind w:right="19"/>
              <w:spacing w:after="0"/>
              <w:rPr>
                <w:sz w:val="20"/>
                <w:szCs w:val="20"/>
                <w:color w:val="auto"/>
              </w:rPr>
            </w:pPr>
            <w:r>
              <w:rPr>
                <w:rFonts w:ascii="Arial" w:cs="Arial" w:eastAsia="Arial" w:hAnsi="Arial"/>
                <w:sz w:val="16"/>
                <w:szCs w:val="16"/>
                <w:color w:val="auto"/>
              </w:rPr>
              <w:t>312</w:t>
            </w:r>
          </w:p>
        </w:tc>
      </w:tr>
      <w:tr>
        <w:trPr>
          <w:trHeight w:val="33"/>
        </w:trPr>
        <w:tc>
          <w:tcPr>
            <w:tcW w:w="6180" w:type="dxa"/>
            <w:vAlign w:val="bottom"/>
          </w:tcPr>
          <w:p>
            <w:pPr>
              <w:spacing w:after="0"/>
              <w:rPr>
                <w:sz w:val="2"/>
                <w:szCs w:val="2"/>
                <w:color w:val="auto"/>
              </w:rPr>
            </w:pPr>
          </w:p>
        </w:tc>
        <w:tc>
          <w:tcPr>
            <w:tcW w:w="524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5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293</w:t>
            </w:r>
          </w:p>
        </w:tc>
      </w:tr>
      <w:tr>
        <w:trPr>
          <w:trHeight w:val="237"/>
        </w:trPr>
        <w:tc>
          <w:tcPr>
            <w:tcW w:w="6180" w:type="dxa"/>
            <w:vAlign w:val="bottom"/>
          </w:tcPr>
          <w:p>
            <w:pPr>
              <w:ind w:left="40"/>
              <w:spacing w:after="0"/>
              <w:rPr>
                <w:sz w:val="20"/>
                <w:szCs w:val="20"/>
                <w:color w:val="auto"/>
              </w:rPr>
            </w:pPr>
            <w:r>
              <w:rPr>
                <w:rFonts w:ascii="Arial" w:cs="Arial" w:eastAsia="Arial" w:hAnsi="Arial"/>
                <w:sz w:val="16"/>
                <w:szCs w:val="16"/>
                <w:color w:val="auto"/>
              </w:rPr>
              <w:t>2021</w:t>
            </w:r>
          </w:p>
        </w:tc>
        <w:tc>
          <w:tcPr>
            <w:tcW w:w="5240" w:type="dxa"/>
            <w:vAlign w:val="bottom"/>
          </w:tcPr>
          <w:p>
            <w:pPr>
              <w:jc w:val="right"/>
              <w:ind w:right="19"/>
              <w:spacing w:after="0"/>
              <w:rPr>
                <w:sz w:val="20"/>
                <w:szCs w:val="20"/>
                <w:color w:val="auto"/>
              </w:rPr>
            </w:pPr>
            <w:r>
              <w:rPr>
                <w:rFonts w:ascii="Arial" w:cs="Arial" w:eastAsia="Arial" w:hAnsi="Arial"/>
                <w:sz w:val="16"/>
                <w:szCs w:val="16"/>
                <w:color w:val="auto"/>
              </w:rPr>
              <w:t>269</w:t>
            </w:r>
          </w:p>
        </w:tc>
      </w:tr>
      <w:tr>
        <w:trPr>
          <w:trHeight w:val="33"/>
        </w:trPr>
        <w:tc>
          <w:tcPr>
            <w:tcW w:w="6180" w:type="dxa"/>
            <w:vAlign w:val="bottom"/>
          </w:tcPr>
          <w:p>
            <w:pPr>
              <w:spacing w:after="0"/>
              <w:rPr>
                <w:sz w:val="2"/>
                <w:szCs w:val="2"/>
                <w:color w:val="auto"/>
              </w:rPr>
            </w:pPr>
          </w:p>
        </w:tc>
        <w:tc>
          <w:tcPr>
            <w:tcW w:w="524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5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247</w:t>
            </w:r>
          </w:p>
        </w:tc>
      </w:tr>
      <w:tr>
        <w:trPr>
          <w:trHeight w:val="237"/>
        </w:trPr>
        <w:tc>
          <w:tcPr>
            <w:tcW w:w="618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5240" w:type="dxa"/>
            <w:vAlign w:val="bottom"/>
          </w:tcPr>
          <w:p>
            <w:pPr>
              <w:jc w:val="right"/>
              <w:ind w:right="19"/>
              <w:spacing w:after="0"/>
              <w:rPr>
                <w:sz w:val="20"/>
                <w:szCs w:val="20"/>
                <w:color w:val="auto"/>
              </w:rPr>
            </w:pPr>
            <w:r>
              <w:rPr>
                <w:rFonts w:ascii="Arial" w:cs="Arial" w:eastAsia="Arial" w:hAnsi="Arial"/>
                <w:sz w:val="16"/>
                <w:szCs w:val="16"/>
                <w:color w:val="auto"/>
              </w:rPr>
              <w:t>1,310</w:t>
            </w:r>
          </w:p>
        </w:tc>
      </w:tr>
      <w:tr>
        <w:trPr>
          <w:trHeight w:val="33"/>
        </w:trPr>
        <w:tc>
          <w:tcPr>
            <w:tcW w:w="6180" w:type="dxa"/>
            <w:vAlign w:val="bottom"/>
            <w:tcBorders>
              <w:bottom w:val="single" w:sz="8" w:color="auto"/>
            </w:tcBorders>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minimum lease payments</w:t>
            </w:r>
          </w:p>
        </w:tc>
        <w:tc>
          <w:tcPr>
            <w:tcW w:w="5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$2,740</w:t>
            </w:r>
          </w:p>
        </w:tc>
      </w:tr>
      <w:tr>
        <w:trPr>
          <w:trHeight w:val="20"/>
        </w:trPr>
        <w:tc>
          <w:tcPr>
            <w:tcW w:w="6180" w:type="dxa"/>
            <w:vAlign w:val="bottom"/>
            <w:shd w:val="clear" w:color="auto" w:fill="000000"/>
          </w:tcPr>
          <w:p>
            <w:pPr>
              <w:spacing w:after="0" w:line="20" w:lineRule="exact"/>
              <w:rPr>
                <w:sz w:val="1"/>
                <w:szCs w:val="1"/>
                <w:color w:val="auto"/>
              </w:rPr>
            </w:pPr>
          </w:p>
        </w:tc>
        <w:tc>
          <w:tcPr>
            <w:tcW w:w="524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Rent expense for 2017, 2016 and 2015 was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60" w:type="dxa"/>
            <w:vAlign w:val="bottom"/>
          </w:tcPr>
          <w:p>
            <w:pPr>
              <w:ind w:left="40"/>
              <w:spacing w:after="0"/>
              <w:rPr>
                <w:sz w:val="20"/>
                <w:szCs w:val="20"/>
                <w:color w:val="auto"/>
              </w:rPr>
            </w:pPr>
            <w:r>
              <w:rPr>
                <w:rFonts w:ascii="Arial" w:cs="Arial" w:eastAsia="Arial" w:hAnsi="Arial"/>
                <w:sz w:val="16"/>
                <w:szCs w:val="16"/>
                <w:b w:val="1"/>
                <w:bCs w:val="1"/>
                <w:color w:val="auto"/>
              </w:rPr>
              <w:t>Fiscal year</w:t>
            </w:r>
          </w:p>
        </w:tc>
        <w:tc>
          <w:tcPr>
            <w:tcW w:w="3400" w:type="dxa"/>
            <w:vAlign w:val="bottom"/>
          </w:tcPr>
          <w:p>
            <w:pPr>
              <w:jc w:val="right"/>
              <w:ind w:right="739"/>
              <w:spacing w:after="0"/>
              <w:rPr>
                <w:sz w:val="20"/>
                <w:szCs w:val="20"/>
                <w:color w:val="auto"/>
              </w:rPr>
            </w:pPr>
            <w:r>
              <w:rPr>
                <w:rFonts w:ascii="Arial" w:cs="Arial" w:eastAsia="Arial" w:hAnsi="Arial"/>
                <w:sz w:val="16"/>
                <w:szCs w:val="16"/>
                <w:b w:val="1"/>
                <w:bCs w:val="1"/>
                <w:color w:val="auto"/>
              </w:rPr>
              <w:t>2017</w:t>
            </w:r>
          </w:p>
        </w:tc>
        <w:tc>
          <w:tcPr>
            <w:tcW w:w="1940" w:type="dxa"/>
            <w:vAlign w:val="bottom"/>
          </w:tcPr>
          <w:p>
            <w:pPr>
              <w:jc w:val="right"/>
              <w:ind w:right="759"/>
              <w:spacing w:after="0"/>
              <w:rPr>
                <w:sz w:val="20"/>
                <w:szCs w:val="20"/>
                <w:color w:val="auto"/>
              </w:rPr>
            </w:pPr>
            <w:r>
              <w:rPr>
                <w:rFonts w:ascii="Arial" w:cs="Arial" w:eastAsia="Arial" w:hAnsi="Arial"/>
                <w:sz w:val="16"/>
                <w:szCs w:val="16"/>
                <w:b w:val="1"/>
                <w:bCs w:val="1"/>
                <w:color w:val="auto"/>
              </w:rPr>
              <w:t>2016</w:t>
            </w:r>
          </w:p>
        </w:tc>
        <w:tc>
          <w:tcPr>
            <w:tcW w:w="1200" w:type="dxa"/>
            <w:vAlign w:val="bottom"/>
          </w:tcPr>
          <w:p>
            <w:pPr>
              <w:jc w:val="right"/>
              <w:ind w:right="39"/>
              <w:spacing w:after="0"/>
              <w:rPr>
                <w:sz w:val="20"/>
                <w:szCs w:val="20"/>
                <w:color w:val="auto"/>
              </w:rPr>
            </w:pPr>
            <w:r>
              <w:rPr>
                <w:rFonts w:ascii="Arial" w:cs="Arial" w:eastAsia="Arial" w:hAnsi="Arial"/>
                <w:sz w:val="16"/>
                <w:szCs w:val="16"/>
                <w:b w:val="1"/>
                <w:bCs w:val="1"/>
                <w:color w:val="auto"/>
              </w:rPr>
              <w:t>2015</w:t>
            </w:r>
          </w:p>
        </w:tc>
      </w:tr>
      <w:tr>
        <w:trPr>
          <w:trHeight w:val="33"/>
        </w:trPr>
        <w:tc>
          <w:tcPr>
            <w:tcW w:w="486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Minimum rent:</w:t>
            </w:r>
          </w:p>
        </w:tc>
        <w:tc>
          <w:tcPr>
            <w:tcW w:w="34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4860" w:type="dxa"/>
            <w:vAlign w:val="bottom"/>
          </w:tcPr>
          <w:p>
            <w:pPr>
              <w:ind w:left="280"/>
              <w:spacing w:after="0"/>
              <w:rPr>
                <w:sz w:val="20"/>
                <w:szCs w:val="20"/>
                <w:color w:val="auto"/>
              </w:rPr>
            </w:pPr>
            <w:r>
              <w:rPr>
                <w:rFonts w:ascii="Arial" w:cs="Arial" w:eastAsia="Arial" w:hAnsi="Arial"/>
                <w:sz w:val="16"/>
                <w:szCs w:val="16"/>
                <w:color w:val="auto"/>
              </w:rPr>
              <w:t>Store locations</w:t>
            </w:r>
          </w:p>
        </w:tc>
        <w:tc>
          <w:tcPr>
            <w:tcW w:w="3400" w:type="dxa"/>
            <w:vAlign w:val="bottom"/>
          </w:tcPr>
          <w:p>
            <w:pPr>
              <w:jc w:val="right"/>
              <w:ind w:right="739"/>
              <w:spacing w:after="0"/>
              <w:rPr>
                <w:sz w:val="20"/>
                <w:szCs w:val="20"/>
                <w:color w:val="auto"/>
              </w:rPr>
            </w:pPr>
            <w:r>
              <w:rPr>
                <w:rFonts w:ascii="Arial" w:cs="Arial" w:eastAsia="Arial" w:hAnsi="Arial"/>
                <w:sz w:val="16"/>
                <w:szCs w:val="16"/>
                <w:b w:val="1"/>
                <w:bCs w:val="1"/>
                <w:color w:val="auto"/>
              </w:rPr>
              <w:t>$274</w:t>
            </w:r>
          </w:p>
        </w:tc>
        <w:tc>
          <w:tcPr>
            <w:tcW w:w="1940" w:type="dxa"/>
            <w:vAlign w:val="bottom"/>
          </w:tcPr>
          <w:p>
            <w:pPr>
              <w:jc w:val="right"/>
              <w:ind w:right="759"/>
              <w:spacing w:after="0"/>
              <w:rPr>
                <w:sz w:val="20"/>
                <w:szCs w:val="20"/>
                <w:color w:val="auto"/>
              </w:rPr>
            </w:pPr>
            <w:r>
              <w:rPr>
                <w:rFonts w:ascii="Arial" w:cs="Arial" w:eastAsia="Arial" w:hAnsi="Arial"/>
                <w:sz w:val="16"/>
                <w:szCs w:val="16"/>
                <w:color w:val="auto"/>
              </w:rPr>
              <w:t>$230</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$204</w:t>
            </w:r>
          </w:p>
        </w:tc>
      </w:tr>
      <w:tr>
        <w:trPr>
          <w:trHeight w:val="33"/>
        </w:trPr>
        <w:tc>
          <w:tcPr>
            <w:tcW w:w="48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Offices, warehouses and equipment</w:t>
            </w:r>
          </w:p>
        </w:tc>
        <w:tc>
          <w:tcPr>
            <w:tcW w:w="340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44</w:t>
            </w:r>
          </w:p>
        </w:tc>
        <w:tc>
          <w:tcPr>
            <w:tcW w:w="1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rPr>
              <w:t>40</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w:t>
            </w:r>
          </w:p>
        </w:tc>
      </w:tr>
      <w:tr>
        <w:trPr>
          <w:trHeight w:val="237"/>
        </w:trPr>
        <w:tc>
          <w:tcPr>
            <w:tcW w:w="4860" w:type="dxa"/>
            <w:vAlign w:val="bottom"/>
          </w:tcPr>
          <w:p>
            <w:pPr>
              <w:ind w:left="40"/>
              <w:spacing w:after="0"/>
              <w:rPr>
                <w:sz w:val="20"/>
                <w:szCs w:val="20"/>
                <w:color w:val="auto"/>
              </w:rPr>
            </w:pPr>
            <w:r>
              <w:rPr>
                <w:rFonts w:ascii="Arial" w:cs="Arial" w:eastAsia="Arial" w:hAnsi="Arial"/>
                <w:sz w:val="16"/>
                <w:szCs w:val="16"/>
                <w:color w:val="auto"/>
              </w:rPr>
              <w:t>Percentage rent</w:t>
            </w:r>
          </w:p>
        </w:tc>
        <w:tc>
          <w:tcPr>
            <w:tcW w:w="3400" w:type="dxa"/>
            <w:vAlign w:val="bottom"/>
          </w:tcPr>
          <w:p>
            <w:pPr>
              <w:jc w:val="right"/>
              <w:ind w:right="739"/>
              <w:spacing w:after="0"/>
              <w:rPr>
                <w:sz w:val="20"/>
                <w:szCs w:val="20"/>
                <w:color w:val="auto"/>
              </w:rPr>
            </w:pPr>
            <w:r>
              <w:rPr>
                <w:rFonts w:ascii="Arial" w:cs="Arial" w:eastAsia="Arial" w:hAnsi="Arial"/>
                <w:sz w:val="16"/>
                <w:szCs w:val="16"/>
                <w:b w:val="1"/>
                <w:bCs w:val="1"/>
                <w:color w:val="auto"/>
              </w:rPr>
              <w:t>11</w:t>
            </w:r>
          </w:p>
        </w:tc>
        <w:tc>
          <w:tcPr>
            <w:tcW w:w="1940" w:type="dxa"/>
            <w:vAlign w:val="bottom"/>
          </w:tcPr>
          <w:p>
            <w:pPr>
              <w:jc w:val="right"/>
              <w:ind w:right="759"/>
              <w:spacing w:after="0"/>
              <w:rPr>
                <w:sz w:val="20"/>
                <w:szCs w:val="20"/>
                <w:color w:val="auto"/>
              </w:rPr>
            </w:pPr>
            <w:r>
              <w:rPr>
                <w:rFonts w:ascii="Arial" w:cs="Arial" w:eastAsia="Arial" w:hAnsi="Arial"/>
                <w:sz w:val="16"/>
                <w:szCs w:val="16"/>
                <w:color w:val="auto"/>
              </w:rPr>
              <w:t>12</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13</w:t>
            </w:r>
          </w:p>
        </w:tc>
      </w:tr>
      <w:tr>
        <w:trPr>
          <w:trHeight w:val="33"/>
        </w:trPr>
        <w:tc>
          <w:tcPr>
            <w:tcW w:w="48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5"/>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incentives</w:t>
            </w:r>
          </w:p>
        </w:tc>
        <w:tc>
          <w:tcPr>
            <w:tcW w:w="34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(79)</w:t>
            </w:r>
          </w:p>
        </w:tc>
        <w:tc>
          <w:tcPr>
            <w:tcW w:w="194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color w:val="auto"/>
              </w:rPr>
              <w:t>(80)</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w:t>
            </w:r>
          </w:p>
        </w:tc>
      </w:tr>
      <w:tr>
        <w:trPr>
          <w:trHeight w:val="231"/>
        </w:trPr>
        <w:tc>
          <w:tcPr>
            <w:tcW w:w="48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rent expense</w:t>
            </w:r>
          </w:p>
        </w:tc>
        <w:tc>
          <w:tcPr>
            <w:tcW w:w="3400" w:type="dxa"/>
            <w:vAlign w:val="bottom"/>
            <w:tcBorders>
              <w:top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$250</w:t>
            </w:r>
          </w:p>
        </w:tc>
        <w:tc>
          <w:tcPr>
            <w:tcW w:w="1940" w:type="dxa"/>
            <w:vAlign w:val="bottom"/>
            <w:tcBorders>
              <w:top w:val="single" w:sz="8" w:color="auto"/>
            </w:tcBorders>
          </w:tcPr>
          <w:p>
            <w:pPr>
              <w:jc w:val="right"/>
              <w:ind w:right="759"/>
              <w:spacing w:after="0"/>
              <w:rPr>
                <w:sz w:val="20"/>
                <w:szCs w:val="20"/>
                <w:color w:val="auto"/>
              </w:rPr>
            </w:pPr>
            <w:r>
              <w:rPr>
                <w:rFonts w:ascii="Arial" w:cs="Arial" w:eastAsia="Arial" w:hAnsi="Arial"/>
                <w:sz w:val="16"/>
                <w:szCs w:val="16"/>
                <w:color w:val="auto"/>
              </w:rPr>
              <w:t>$202</w:t>
            </w: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$176</w:t>
            </w:r>
          </w:p>
        </w:tc>
      </w:tr>
      <w:tr>
        <w:trPr>
          <w:trHeight w:val="33"/>
        </w:trPr>
        <w:tc>
          <w:tcPr>
            <w:tcW w:w="486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rent expense above does not include common area charges, real estate taxes and other executory costs, which were $121 in 2017, $112 in 2016 and $97 in 2015.</w:t>
      </w:r>
    </w:p>
    <w:p>
      <w:pPr>
        <w:spacing w:after="0" w:line="364"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53</w:t>
      </w:r>
    </w:p>
    <w:p>
      <w:pPr>
        <w:sectPr>
          <w:pgSz w:w="11900" w:h="16838" w:orient="portrait"/>
          <w:cols w:equalWidth="0" w:num="1">
            <w:col w:w="11420"/>
          </w:cols>
          <w:pgMar w:left="240" w:top="126" w:right="239" w:bottom="1440" w:gutter="0" w:footer="0" w:header="0"/>
        </w:sectPr>
      </w:pPr>
    </w:p>
    <w:bookmarkStart w:id="54" w:name="page55"/>
    <w:bookmarkEnd w:id="54"/>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COMMITMENTS AND CONTINGENCIES</w:t>
      </w:r>
    </w:p>
    <w:p>
      <w:pPr>
        <w:spacing w:after="0" w:line="27" w:lineRule="exact"/>
        <w:rPr>
          <w:sz w:val="20"/>
          <w:szCs w:val="20"/>
          <w:color w:val="auto"/>
        </w:rPr>
      </w:pPr>
    </w:p>
    <w:p>
      <w:pPr>
        <w:ind w:right="100"/>
        <w:spacing w:after="0" w:line="290" w:lineRule="auto"/>
        <w:rPr>
          <w:sz w:val="20"/>
          <w:szCs w:val="20"/>
          <w:color w:val="auto"/>
        </w:rPr>
      </w:pPr>
      <w:r>
        <w:rPr>
          <w:rFonts w:ascii="Arial" w:cs="Arial" w:eastAsia="Arial" w:hAnsi="Arial"/>
          <w:sz w:val="17"/>
          <w:szCs w:val="17"/>
          <w:color w:val="auto"/>
        </w:rPr>
        <w:t>Our estimated total purchase obligations, capital expenditure contractual commitments and inventory purchase orders were $1,462 as of February 3, 2018. In connection with the purchase of foreign merchandise, we have no outstanding trade letters of credit as of February 3, 2018.</w:t>
      </w:r>
    </w:p>
    <w:p>
      <w:pPr>
        <w:spacing w:after="0" w:line="108"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Plans for our Nordstrom NYC store, which we currently expect to open in 2019, ultimately include owning a condominium interest in a mixed-use tower and leasing certain nearby properties. As of February 3, 2018, we had approximately $289 of fee interest in land, which is expected to convert to the condominium interest once the store is constructed. We have committed to make future installment payments based on the developer meeting pre-established construction and development milestones. In the event that this project is not completed, the opening may be delayed and we may be subject to future losses or capital commitments in order to complete construction or to monetize our investment in the land.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SHAREHOLDERS’ EQUITY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activity related to our share repurchase programs in 2015, 2016 and 2017:</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120" w:type="dxa"/>
            <w:vAlign w:val="bottom"/>
          </w:tcPr>
          <w:p>
            <w:pPr>
              <w:jc w:val="right"/>
              <w:ind w:right="599"/>
              <w:spacing w:after="0"/>
              <w:rPr>
                <w:sz w:val="20"/>
                <w:szCs w:val="20"/>
                <w:color w:val="auto"/>
              </w:rPr>
            </w:pPr>
            <w:r>
              <w:rPr>
                <w:rFonts w:ascii="Arial" w:cs="Arial" w:eastAsia="Arial" w:hAnsi="Arial"/>
                <w:sz w:val="16"/>
                <w:szCs w:val="16"/>
                <w:b w:val="1"/>
                <w:bCs w:val="1"/>
                <w:color w:val="auto"/>
              </w:rPr>
              <w:t>Average price</w:t>
            </w:r>
          </w:p>
        </w:tc>
        <w:tc>
          <w:tcPr>
            <w:tcW w:w="1360" w:type="dxa"/>
            <w:vAlign w:val="bottom"/>
          </w:tcPr>
          <w:p>
            <w:pPr>
              <w:spacing w:after="0"/>
              <w:rPr>
                <w:sz w:val="17"/>
                <w:szCs w:val="17"/>
                <w:color w:val="auto"/>
              </w:rPr>
            </w:pPr>
          </w:p>
        </w:tc>
      </w:tr>
      <w:tr>
        <w:trPr>
          <w:trHeight w:val="210"/>
        </w:trPr>
        <w:tc>
          <w:tcPr>
            <w:tcW w:w="5880" w:type="dxa"/>
            <w:vAlign w:val="bottom"/>
          </w:tcPr>
          <w:p>
            <w:pPr>
              <w:spacing w:after="0"/>
              <w:rPr>
                <w:sz w:val="18"/>
                <w:szCs w:val="18"/>
                <w:color w:val="auto"/>
              </w:rPr>
            </w:pPr>
          </w:p>
        </w:tc>
        <w:tc>
          <w:tcPr>
            <w:tcW w:w="2040" w:type="dxa"/>
            <w:vAlign w:val="bottom"/>
          </w:tcPr>
          <w:p>
            <w:pPr>
              <w:jc w:val="right"/>
              <w:ind w:right="419"/>
              <w:spacing w:after="0"/>
              <w:rPr>
                <w:sz w:val="20"/>
                <w:szCs w:val="20"/>
                <w:color w:val="auto"/>
              </w:rPr>
            </w:pPr>
            <w:r>
              <w:rPr>
                <w:rFonts w:ascii="Arial" w:cs="Arial" w:eastAsia="Arial" w:hAnsi="Arial"/>
                <w:sz w:val="16"/>
                <w:szCs w:val="16"/>
                <w:b w:val="1"/>
                <w:bCs w:val="1"/>
                <w:color w:val="auto"/>
              </w:rPr>
              <w:t>Shares</w:t>
            </w:r>
          </w:p>
        </w:tc>
        <w:tc>
          <w:tcPr>
            <w:tcW w:w="2120" w:type="dxa"/>
            <w:vAlign w:val="bottom"/>
          </w:tcPr>
          <w:p>
            <w:pPr>
              <w:jc w:val="right"/>
              <w:ind w:right="599"/>
              <w:spacing w:after="0"/>
              <w:rPr>
                <w:sz w:val="20"/>
                <w:szCs w:val="20"/>
                <w:color w:val="auto"/>
              </w:rPr>
            </w:pPr>
            <w:r>
              <w:rPr>
                <w:rFonts w:ascii="Arial" w:cs="Arial" w:eastAsia="Arial" w:hAnsi="Arial"/>
                <w:sz w:val="16"/>
                <w:szCs w:val="16"/>
                <w:b w:val="1"/>
                <w:bCs w:val="1"/>
                <w:color w:val="auto"/>
              </w:rPr>
              <w:t>per share</w:t>
            </w:r>
          </w:p>
        </w:tc>
        <w:tc>
          <w:tcPr>
            <w:tcW w:w="1360" w:type="dxa"/>
            <w:vAlign w:val="bottom"/>
          </w:tcPr>
          <w:p>
            <w:pPr>
              <w:jc w:val="right"/>
              <w:ind w:right="39"/>
              <w:spacing w:after="0"/>
              <w:rPr>
                <w:sz w:val="20"/>
                <w:szCs w:val="20"/>
                <w:color w:val="auto"/>
              </w:rPr>
            </w:pPr>
            <w:r>
              <w:rPr>
                <w:rFonts w:ascii="Arial" w:cs="Arial" w:eastAsia="Arial" w:hAnsi="Arial"/>
                <w:sz w:val="16"/>
                <w:szCs w:val="16"/>
                <w:b w:val="1"/>
                <w:bCs w:val="1"/>
                <w:color w:val="auto"/>
              </w:rPr>
              <w:t>Amount</w:t>
            </w:r>
          </w:p>
        </w:tc>
      </w:tr>
      <w:tr>
        <w:trPr>
          <w:trHeight w:val="33"/>
        </w:trPr>
        <w:tc>
          <w:tcPr>
            <w:tcW w:w="58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Capacity at January 31, 2015</w:t>
            </w:r>
          </w:p>
        </w:tc>
        <w:tc>
          <w:tcPr>
            <w:tcW w:w="204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$1,075</w:t>
            </w:r>
          </w:p>
        </w:tc>
      </w:tr>
      <w:tr>
        <w:trPr>
          <w:trHeight w:val="237"/>
        </w:trPr>
        <w:tc>
          <w:tcPr>
            <w:tcW w:w="5880" w:type="dxa"/>
            <w:vAlign w:val="bottom"/>
          </w:tcPr>
          <w:p>
            <w:pPr>
              <w:ind w:left="40"/>
              <w:spacing w:after="0"/>
              <w:rPr>
                <w:sz w:val="20"/>
                <w:szCs w:val="20"/>
                <w:color w:val="auto"/>
              </w:rPr>
            </w:pPr>
            <w:r>
              <w:rPr>
                <w:rFonts w:ascii="Arial" w:cs="Arial" w:eastAsia="Arial" w:hAnsi="Arial"/>
                <w:sz w:val="16"/>
                <w:szCs w:val="16"/>
                <w:color w:val="auto"/>
              </w:rPr>
              <w:t>October 2015 authorization (ended March 1, 2017)</w:t>
            </w:r>
          </w:p>
        </w:tc>
        <w:tc>
          <w:tcPr>
            <w:tcW w:w="20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1,000</w:t>
            </w:r>
          </w:p>
        </w:tc>
      </w:tr>
      <w:tr>
        <w:trPr>
          <w:trHeight w:val="33"/>
        </w:trPr>
        <w:tc>
          <w:tcPr>
            <w:tcW w:w="58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Shares repurchased</w:t>
            </w:r>
          </w:p>
        </w:tc>
        <w:tc>
          <w:tcPr>
            <w:tcW w:w="204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19.1</w:t>
            </w:r>
          </w:p>
        </w:tc>
        <w:tc>
          <w:tcPr>
            <w:tcW w:w="212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6"/>
                <w:szCs w:val="16"/>
                <w:color w:val="auto"/>
              </w:rPr>
              <w:t>$63</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(1,191)</w:t>
            </w:r>
          </w:p>
        </w:tc>
      </w:tr>
      <w:tr>
        <w:trPr>
          <w:trHeight w:val="270"/>
        </w:trPr>
        <w:tc>
          <w:tcPr>
            <w:tcW w:w="58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Expiration of unused capacity in March 2015</w:t>
            </w:r>
            <w:r>
              <w:rPr>
                <w:rFonts w:ascii="Arial" w:cs="Arial" w:eastAsia="Arial" w:hAnsi="Arial"/>
                <w:sz w:val="21"/>
                <w:szCs w:val="21"/>
                <w:color w:val="auto"/>
                <w:vertAlign w:val="superscript"/>
              </w:rPr>
              <w:t>1</w:t>
            </w:r>
          </w:p>
        </w:tc>
        <w:tc>
          <w:tcPr>
            <w:tcW w:w="2040" w:type="dxa"/>
            <w:vAlign w:val="bottom"/>
            <w:tcBorders>
              <w:bottom w:val="single" w:sz="8" w:color="auto"/>
            </w:tcBorders>
          </w:tcPr>
          <w:p>
            <w:pPr>
              <w:spacing w:after="0"/>
              <w:rPr>
                <w:sz w:val="23"/>
                <w:szCs w:val="23"/>
                <w:color w:val="auto"/>
              </w:rPr>
            </w:pPr>
          </w:p>
        </w:tc>
        <w:tc>
          <w:tcPr>
            <w:tcW w:w="212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w:t>
            </w:r>
          </w:p>
        </w:tc>
      </w:tr>
      <w:tr>
        <w:trPr>
          <w:trHeight w:val="244"/>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Capacity at January 30, 2016</w:t>
            </w:r>
          </w:p>
        </w:tc>
        <w:tc>
          <w:tcPr>
            <w:tcW w:w="204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811</w:t>
            </w:r>
          </w:p>
        </w:tc>
      </w:tr>
      <w:tr>
        <w:trPr>
          <w:trHeight w:val="237"/>
        </w:trPr>
        <w:tc>
          <w:tcPr>
            <w:tcW w:w="5880" w:type="dxa"/>
            <w:vAlign w:val="bottom"/>
          </w:tcPr>
          <w:p>
            <w:pPr>
              <w:ind w:left="40"/>
              <w:spacing w:after="0"/>
              <w:rPr>
                <w:sz w:val="20"/>
                <w:szCs w:val="20"/>
                <w:color w:val="auto"/>
              </w:rPr>
            </w:pPr>
            <w:r>
              <w:rPr>
                <w:rFonts w:ascii="Arial" w:cs="Arial" w:eastAsia="Arial" w:hAnsi="Arial"/>
                <w:sz w:val="16"/>
                <w:szCs w:val="16"/>
                <w:color w:val="auto"/>
              </w:rPr>
              <w:t>Shares repurchased</w:t>
            </w:r>
          </w:p>
        </w:tc>
        <w:tc>
          <w:tcPr>
            <w:tcW w:w="2040" w:type="dxa"/>
            <w:vAlign w:val="bottom"/>
          </w:tcPr>
          <w:p>
            <w:pPr>
              <w:jc w:val="right"/>
              <w:ind w:right="419"/>
              <w:spacing w:after="0"/>
              <w:rPr>
                <w:sz w:val="20"/>
                <w:szCs w:val="20"/>
                <w:color w:val="auto"/>
              </w:rPr>
            </w:pPr>
            <w:r>
              <w:rPr>
                <w:rFonts w:ascii="Arial" w:cs="Arial" w:eastAsia="Arial" w:hAnsi="Arial"/>
                <w:sz w:val="16"/>
                <w:szCs w:val="16"/>
                <w:color w:val="auto"/>
              </w:rPr>
              <w:t>5.9</w:t>
            </w:r>
          </w:p>
        </w:tc>
        <w:tc>
          <w:tcPr>
            <w:tcW w:w="2120" w:type="dxa"/>
            <w:vAlign w:val="bottom"/>
          </w:tcPr>
          <w:p>
            <w:pPr>
              <w:jc w:val="right"/>
              <w:ind w:right="599"/>
              <w:spacing w:after="0"/>
              <w:rPr>
                <w:sz w:val="20"/>
                <w:szCs w:val="20"/>
                <w:color w:val="auto"/>
              </w:rPr>
            </w:pPr>
            <w:r>
              <w:rPr>
                <w:rFonts w:ascii="Arial" w:cs="Arial" w:eastAsia="Arial" w:hAnsi="Arial"/>
                <w:sz w:val="16"/>
                <w:szCs w:val="16"/>
                <w:color w:val="auto"/>
              </w:rPr>
              <w:t>$48</w:t>
            </w:r>
          </w:p>
        </w:tc>
        <w:tc>
          <w:tcPr>
            <w:tcW w:w="1360" w:type="dxa"/>
            <w:vAlign w:val="bottom"/>
          </w:tcPr>
          <w:p>
            <w:pPr>
              <w:jc w:val="right"/>
              <w:spacing w:after="0"/>
              <w:rPr>
                <w:sz w:val="20"/>
                <w:szCs w:val="20"/>
                <w:color w:val="auto"/>
              </w:rPr>
            </w:pPr>
            <w:r>
              <w:rPr>
                <w:rFonts w:ascii="Arial" w:cs="Arial" w:eastAsia="Arial" w:hAnsi="Arial"/>
                <w:sz w:val="16"/>
                <w:szCs w:val="16"/>
                <w:color w:val="auto"/>
              </w:rPr>
              <w:t>(282)</w:t>
            </w:r>
          </w:p>
        </w:tc>
      </w:tr>
      <w:tr>
        <w:trPr>
          <w:trHeight w:val="33"/>
        </w:trPr>
        <w:tc>
          <w:tcPr>
            <w:tcW w:w="58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Capacity at January 28, 2017</w:t>
            </w:r>
          </w:p>
        </w:tc>
        <w:tc>
          <w:tcPr>
            <w:tcW w:w="204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529</w:t>
            </w:r>
          </w:p>
        </w:tc>
      </w:tr>
      <w:tr>
        <w:trPr>
          <w:trHeight w:val="237"/>
        </w:trPr>
        <w:tc>
          <w:tcPr>
            <w:tcW w:w="5880" w:type="dxa"/>
            <w:vAlign w:val="bottom"/>
          </w:tcPr>
          <w:p>
            <w:pPr>
              <w:ind w:left="40"/>
              <w:spacing w:after="0"/>
              <w:rPr>
                <w:sz w:val="20"/>
                <w:szCs w:val="20"/>
                <w:color w:val="auto"/>
              </w:rPr>
            </w:pPr>
            <w:r>
              <w:rPr>
                <w:rFonts w:ascii="Arial" w:cs="Arial" w:eastAsia="Arial" w:hAnsi="Arial"/>
                <w:sz w:val="16"/>
                <w:szCs w:val="16"/>
                <w:color w:val="auto"/>
              </w:rPr>
              <w:t>February 2017 authorization (ending August 31, 2018)</w:t>
            </w:r>
          </w:p>
        </w:tc>
        <w:tc>
          <w:tcPr>
            <w:tcW w:w="20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500</w:t>
            </w:r>
          </w:p>
        </w:tc>
      </w:tr>
      <w:tr>
        <w:trPr>
          <w:trHeight w:val="33"/>
        </w:trPr>
        <w:tc>
          <w:tcPr>
            <w:tcW w:w="58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Shares repurchased</w:t>
            </w:r>
          </w:p>
        </w:tc>
        <w:tc>
          <w:tcPr>
            <w:tcW w:w="204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4.6</w:t>
            </w:r>
          </w:p>
        </w:tc>
        <w:tc>
          <w:tcPr>
            <w:tcW w:w="212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6"/>
                <w:szCs w:val="16"/>
                <w:color w:val="auto"/>
              </w:rPr>
              <w:t>$45</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(206)</w:t>
            </w:r>
          </w:p>
        </w:tc>
      </w:tr>
      <w:tr>
        <w:trPr>
          <w:trHeight w:val="237"/>
        </w:trPr>
        <w:tc>
          <w:tcPr>
            <w:tcW w:w="5880" w:type="dxa"/>
            <w:vAlign w:val="bottom"/>
          </w:tcPr>
          <w:p>
            <w:pPr>
              <w:ind w:left="40"/>
              <w:spacing w:after="0"/>
              <w:rPr>
                <w:sz w:val="20"/>
                <w:szCs w:val="20"/>
                <w:color w:val="auto"/>
              </w:rPr>
            </w:pPr>
            <w:r>
              <w:rPr>
                <w:rFonts w:ascii="Arial" w:cs="Arial" w:eastAsia="Arial" w:hAnsi="Arial"/>
                <w:sz w:val="16"/>
                <w:szCs w:val="16"/>
                <w:color w:val="auto"/>
              </w:rPr>
              <w:t>Expiration of unused October 2015 authorization capacity in March 2017</w:t>
            </w:r>
          </w:p>
        </w:tc>
        <w:tc>
          <w:tcPr>
            <w:tcW w:w="20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(409)</w:t>
            </w:r>
          </w:p>
        </w:tc>
      </w:tr>
      <w:tr>
        <w:trPr>
          <w:trHeight w:val="33"/>
        </w:trPr>
        <w:tc>
          <w:tcPr>
            <w:tcW w:w="58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1"/>
        </w:trPr>
        <w:tc>
          <w:tcPr>
            <w:tcW w:w="58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Capacity at February 3, 2018</w:t>
            </w:r>
          </w:p>
        </w:tc>
        <w:tc>
          <w:tcPr>
            <w:tcW w:w="2040" w:type="dxa"/>
            <w:vAlign w:val="bottom"/>
            <w:shd w:val="clear" w:color="auto" w:fill="CCEEFF"/>
          </w:tcPr>
          <w:p>
            <w:pPr>
              <w:spacing w:after="0"/>
              <w:rPr>
                <w:sz w:val="20"/>
                <w:szCs w:val="20"/>
                <w:color w:val="auto"/>
              </w:rPr>
            </w:pPr>
          </w:p>
        </w:tc>
        <w:tc>
          <w:tcPr>
            <w:tcW w:w="212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$414</w:t>
            </w:r>
          </w:p>
        </w:tc>
      </w:tr>
      <w:tr>
        <w:trPr>
          <w:trHeight w:val="33"/>
        </w:trPr>
        <w:tc>
          <w:tcPr>
            <w:tcW w:w="588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294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ind w:left="80" w:hanging="72"/>
        <w:spacing w:after="0"/>
        <w:tabs>
          <w:tab w:leader="none" w:pos="80" w:val="left"/>
        </w:tabs>
        <w:numPr>
          <w:ilvl w:val="0"/>
          <w:numId w:val="67"/>
        </w:numPr>
        <w:rPr>
          <w:rFonts w:ascii="Arial" w:cs="Arial" w:eastAsia="Arial" w:hAnsi="Arial"/>
          <w:sz w:val="9"/>
          <w:szCs w:val="9"/>
          <w:color w:val="auto"/>
        </w:rPr>
      </w:pPr>
      <w:r>
        <w:rPr>
          <w:rFonts w:ascii="Arial" w:cs="Arial" w:eastAsia="Arial" w:hAnsi="Arial"/>
          <w:sz w:val="14"/>
          <w:szCs w:val="14"/>
          <w:color w:val="auto"/>
        </w:rPr>
        <w:t>Expiration relates to the February 2013 program.</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The actual timing, price, manner and amounts of future share repurchases, if any, will be subject to market and economic conditions and applicable SEC rules.</w:t>
      </w:r>
    </w:p>
    <w:p>
      <w:pPr>
        <w:spacing w:after="0" w:line="194"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We paid dividends of $1.48 per share in 2017 and 2016 and $6.33 per share in 2015. Dividends paid in 2015 included a special cash dividend of $905, or $4.85 per share of outstanding common stock, in addition to our quarterly dividends totaling $1.48 per share. The special dividend was authorized by our Board of Directors on October 1, 2015, and was paid using proceeds from the sale of our credit card receivables (see Note 2: Credit Card Receivable Transaction).</w:t>
      </w:r>
    </w:p>
    <w:p>
      <w:pPr>
        <w:spacing w:after="0" w:line="133" w:lineRule="exact"/>
        <w:rPr>
          <w:sz w:val="20"/>
          <w:szCs w:val="20"/>
          <w:color w:val="auto"/>
        </w:rPr>
      </w:pPr>
    </w:p>
    <w:p>
      <w:pPr>
        <w:ind w:right="1760"/>
        <w:spacing w:after="0" w:line="352" w:lineRule="auto"/>
        <w:rPr>
          <w:sz w:val="20"/>
          <w:szCs w:val="20"/>
          <w:color w:val="auto"/>
        </w:rPr>
      </w:pPr>
      <w:r>
        <w:rPr>
          <w:rFonts w:ascii="Arial" w:cs="Arial" w:eastAsia="Arial" w:hAnsi="Arial"/>
          <w:sz w:val="18"/>
          <w:szCs w:val="18"/>
          <w:color w:val="auto"/>
        </w:rPr>
        <w:t xml:space="preserve">In February 2018, subsequent to year end, we declared a quarterly dividend of $0.37 per share, which will be paid on March 20, 2018. </w:t>
      </w:r>
      <w:r>
        <w:rPr>
          <w:rFonts w:ascii="Arial" w:cs="Arial" w:eastAsia="Arial" w:hAnsi="Arial"/>
          <w:sz w:val="18"/>
          <w:szCs w:val="18"/>
          <w:b w:val="1"/>
          <w:bCs w:val="1"/>
          <w:color w:val="auto"/>
        </w:rPr>
        <w:t>NOTE 12: STOCK-BASED COMPENSATION</w:t>
      </w:r>
    </w:p>
    <w:p>
      <w:pPr>
        <w:spacing w:after="0" w:line="1"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We currently grant stock-based awards under our 2010 Plan, 2002 Plan and Trunk Club VCP, and employees may purchase our stock at a discount under our employee stock purchase plan (“ESPP”).</w:t>
      </w:r>
    </w:p>
    <w:p>
      <w:pPr>
        <w:spacing w:after="0" w:line="13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In 2010, our shareholders approved the adoption of the 2010 Plan, which replaced the 2004 Equity Incentive Plan (“2004 Plan”). The 2010 Plan authorizes the grant of stock options, restricted stock, performance share units, stock appreciation rights and unrestricted shares of common stock to employees. On May 16, 2017, our shareholders approved an amendment to the 2010 Equity Incentive Plan. The amendment increases common stock available for issuance by 6.2. The aggregate number of shares to be issued under the 2010 Plan may not exceed 30.4 plus any shares currently outstanding under the 2004 Plan that are forfeited or expire during the term of the 2010 Plan. No future grants will be made under the 2004 Plan. As of February 3, 2018, we have 77.5 shares authorized, 52.8 shares issued and outstanding and 8.7 shares remaining available for future grants under the 2010 Plan.</w:t>
      </w:r>
    </w:p>
    <w:p>
      <w:pPr>
        <w:spacing w:after="0" w:line="11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2002 Plan authorizes the grant of stock awards to our nonemployee directors. These awards may be deferred or issued in the form of restricted or unrestricted stock, non-qualified stock options or stock appreciation rights. As of February 3, 2018, we had 0.9 shares authorized and 0.4 shares available for issuance under this plan. In 2017, total expense on deferred shares was less than $1.</w:t>
      </w:r>
    </w:p>
    <w:p>
      <w:pPr>
        <w:sectPr>
          <w:pgSz w:w="11900" w:h="16838" w:orient="portrait"/>
          <w:cols w:equalWidth="0" w:num="1">
            <w:col w:w="11420"/>
          </w:cols>
          <w:pgMar w:left="240" w:top="126" w:right="23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20"/>
          </w:cols>
          <w:pgMar w:left="240" w:top="126" w:right="239" w:bottom="1440" w:gutter="0" w:footer="0" w:header="0"/>
          <w:type w:val="continuous"/>
        </w:sectPr>
      </w:pPr>
    </w:p>
    <w:bookmarkStart w:id="55" w:name="page56"/>
    <w:bookmarkEnd w:id="55"/>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200" w:lineRule="exact"/>
        <w:rPr>
          <w:sz w:val="20"/>
          <w:szCs w:val="20"/>
          <w:color w:val="auto"/>
        </w:rPr>
      </w:pPr>
    </w:p>
    <w:p>
      <w:pPr>
        <w:spacing w:after="0" w:line="387"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The Trunk Club VCP is a performance-based plan that provides for three payout scenarios based on the results of Trunk Club’s business meeting minimum or exceeding maximum 2018 sales and earnings metrics. As of February 3, 2018, we granted 0.6 of the 1.0 units available for grant. There is no unrecognized stock-based compensation expense related to nonvested VCP units as no payout is expected. If at any time it becomes probable that another outcome will be achieved, compensation expense will be cumulatively adjusted based on the grant date fair value associated with that payout scenario.</w:t>
      </w:r>
    </w:p>
    <w:p>
      <w:pPr>
        <w:spacing w:after="0" w:line="10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Under the ESPP, employees may make payroll deductions of up to 10% of their base and bonus compensation for the purchase of Nordstrom common stock. At the end of each six-month offering period, participants apply their accumulated payroll deductions toward the purchase of shares of our common stock at 90% of the fair market value on the last day of the offer period. As of February 3, 2018, we had 12.6 shares authorized and 2.2 shares available for issuance under the ESPP. We issued 0.4 shares under the ESPP during 2017 and 2016. At the end of 2017 and 2016, we had current liabilities of $6 for future purchases of shares under the ESPP.</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stock-based compensation expense: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60" w:type="dxa"/>
            <w:vAlign w:val="bottom"/>
          </w:tcPr>
          <w:p>
            <w:pPr>
              <w:ind w:left="40"/>
              <w:spacing w:after="0"/>
              <w:rPr>
                <w:sz w:val="20"/>
                <w:szCs w:val="20"/>
                <w:color w:val="auto"/>
              </w:rPr>
            </w:pPr>
            <w:r>
              <w:rPr>
                <w:rFonts w:ascii="Arial" w:cs="Arial" w:eastAsia="Arial" w:hAnsi="Arial"/>
                <w:sz w:val="16"/>
                <w:szCs w:val="16"/>
                <w:b w:val="1"/>
                <w:bCs w:val="1"/>
                <w:color w:val="auto"/>
              </w:rPr>
              <w:t>Fiscal year</w:t>
            </w:r>
          </w:p>
        </w:tc>
        <w:tc>
          <w:tcPr>
            <w:tcW w:w="2400" w:type="dxa"/>
            <w:vAlign w:val="bottom"/>
          </w:tcPr>
          <w:p>
            <w:pPr>
              <w:jc w:val="right"/>
              <w:ind w:right="739"/>
              <w:spacing w:after="0"/>
              <w:rPr>
                <w:sz w:val="20"/>
                <w:szCs w:val="20"/>
                <w:color w:val="auto"/>
              </w:rPr>
            </w:pPr>
            <w:r>
              <w:rPr>
                <w:rFonts w:ascii="Arial" w:cs="Arial" w:eastAsia="Arial" w:hAnsi="Arial"/>
                <w:sz w:val="16"/>
                <w:szCs w:val="16"/>
                <w:b w:val="1"/>
                <w:bCs w:val="1"/>
                <w:color w:val="auto"/>
              </w:rPr>
              <w:t>2017</w:t>
            </w:r>
          </w:p>
        </w:tc>
        <w:tc>
          <w:tcPr>
            <w:tcW w:w="1940" w:type="dxa"/>
            <w:vAlign w:val="bottom"/>
          </w:tcPr>
          <w:p>
            <w:pPr>
              <w:jc w:val="right"/>
              <w:ind w:right="759"/>
              <w:spacing w:after="0"/>
              <w:rPr>
                <w:sz w:val="20"/>
                <w:szCs w:val="20"/>
                <w:color w:val="auto"/>
              </w:rPr>
            </w:pPr>
            <w:r>
              <w:rPr>
                <w:rFonts w:ascii="Arial" w:cs="Arial" w:eastAsia="Arial" w:hAnsi="Arial"/>
                <w:sz w:val="16"/>
                <w:szCs w:val="16"/>
                <w:b w:val="1"/>
                <w:bCs w:val="1"/>
                <w:color w:val="auto"/>
              </w:rPr>
              <w:t>2016</w:t>
            </w:r>
          </w:p>
        </w:tc>
        <w:tc>
          <w:tcPr>
            <w:tcW w:w="1200" w:type="dxa"/>
            <w:vAlign w:val="bottom"/>
          </w:tcPr>
          <w:p>
            <w:pPr>
              <w:jc w:val="right"/>
              <w:ind w:right="39"/>
              <w:spacing w:after="0"/>
              <w:rPr>
                <w:sz w:val="20"/>
                <w:szCs w:val="20"/>
                <w:color w:val="auto"/>
              </w:rPr>
            </w:pPr>
            <w:r>
              <w:rPr>
                <w:rFonts w:ascii="Arial" w:cs="Arial" w:eastAsia="Arial" w:hAnsi="Arial"/>
                <w:sz w:val="16"/>
                <w:szCs w:val="16"/>
                <w:b w:val="1"/>
                <w:bCs w:val="1"/>
                <w:color w:val="auto"/>
              </w:rPr>
              <w:t>2015</w:t>
            </w:r>
          </w:p>
        </w:tc>
      </w:tr>
      <w:tr>
        <w:trPr>
          <w:trHeight w:val="33"/>
        </w:trPr>
        <w:tc>
          <w:tcPr>
            <w:tcW w:w="586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 options</w:t>
            </w:r>
          </w:p>
        </w:tc>
        <w:tc>
          <w:tcPr>
            <w:tcW w:w="240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$18</w:t>
            </w:r>
          </w:p>
        </w:tc>
        <w:tc>
          <w:tcPr>
            <w:tcW w:w="1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rPr>
              <w:t>$36</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w:t>
            </w:r>
          </w:p>
        </w:tc>
      </w:tr>
      <w:tr>
        <w:trPr>
          <w:trHeight w:val="237"/>
        </w:trPr>
        <w:tc>
          <w:tcPr>
            <w:tcW w:w="5860" w:type="dxa"/>
            <w:vAlign w:val="bottom"/>
          </w:tcPr>
          <w:p>
            <w:pPr>
              <w:ind w:left="40"/>
              <w:spacing w:after="0"/>
              <w:rPr>
                <w:sz w:val="20"/>
                <w:szCs w:val="20"/>
                <w:color w:val="auto"/>
              </w:rPr>
            </w:pPr>
            <w:r>
              <w:rPr>
                <w:rFonts w:ascii="Arial" w:cs="Arial" w:eastAsia="Arial" w:hAnsi="Arial"/>
                <w:sz w:val="16"/>
                <w:szCs w:val="16"/>
                <w:color w:val="auto"/>
              </w:rPr>
              <w:t>Restricted stock units</w:t>
            </w:r>
          </w:p>
        </w:tc>
        <w:tc>
          <w:tcPr>
            <w:tcW w:w="2400" w:type="dxa"/>
            <w:vAlign w:val="bottom"/>
          </w:tcPr>
          <w:p>
            <w:pPr>
              <w:jc w:val="right"/>
              <w:ind w:right="739"/>
              <w:spacing w:after="0"/>
              <w:rPr>
                <w:sz w:val="20"/>
                <w:szCs w:val="20"/>
                <w:color w:val="auto"/>
              </w:rPr>
            </w:pPr>
            <w:r>
              <w:rPr>
                <w:rFonts w:ascii="Arial" w:cs="Arial" w:eastAsia="Arial" w:hAnsi="Arial"/>
                <w:sz w:val="16"/>
                <w:szCs w:val="16"/>
                <w:b w:val="1"/>
                <w:bCs w:val="1"/>
                <w:color w:val="auto"/>
              </w:rPr>
              <w:t>51</w:t>
            </w:r>
          </w:p>
        </w:tc>
        <w:tc>
          <w:tcPr>
            <w:tcW w:w="1940" w:type="dxa"/>
            <w:vAlign w:val="bottom"/>
          </w:tcPr>
          <w:p>
            <w:pPr>
              <w:jc w:val="right"/>
              <w:ind w:right="759"/>
              <w:spacing w:after="0"/>
              <w:rPr>
                <w:sz w:val="20"/>
                <w:szCs w:val="20"/>
                <w:color w:val="auto"/>
              </w:rPr>
            </w:pPr>
            <w:r>
              <w:rPr>
                <w:rFonts w:ascii="Arial" w:cs="Arial" w:eastAsia="Arial" w:hAnsi="Arial"/>
                <w:sz w:val="16"/>
                <w:szCs w:val="16"/>
                <w:color w:val="auto"/>
              </w:rPr>
              <w:t>34</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18</w:t>
            </w:r>
          </w:p>
        </w:tc>
      </w:tr>
      <w:tr>
        <w:trPr>
          <w:trHeight w:val="33"/>
        </w:trPr>
        <w:tc>
          <w:tcPr>
            <w:tcW w:w="58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Acquisition-related stock compensation</w:t>
            </w:r>
          </w:p>
        </w:tc>
        <w:tc>
          <w:tcPr>
            <w:tcW w:w="240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1</w:t>
            </w:r>
          </w:p>
        </w:tc>
        <w:tc>
          <w:tcPr>
            <w:tcW w:w="1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rPr>
              <w:t>15</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w:t>
            </w:r>
          </w:p>
        </w:tc>
      </w:tr>
      <w:tr>
        <w:trPr>
          <w:trHeight w:val="237"/>
        </w:trPr>
        <w:tc>
          <w:tcPr>
            <w:tcW w:w="5860" w:type="dxa"/>
            <w:vAlign w:val="bottom"/>
          </w:tcPr>
          <w:p>
            <w:pPr>
              <w:ind w:left="40"/>
              <w:spacing w:after="0"/>
              <w:rPr>
                <w:sz w:val="20"/>
                <w:szCs w:val="20"/>
                <w:color w:val="auto"/>
              </w:rPr>
            </w:pPr>
            <w:r>
              <w:rPr>
                <w:rFonts w:ascii="Arial" w:cs="Arial" w:eastAsia="Arial" w:hAnsi="Arial"/>
                <w:sz w:val="16"/>
                <w:szCs w:val="16"/>
                <w:color w:val="auto"/>
              </w:rPr>
              <w:t>Performance share units</w:t>
            </w:r>
          </w:p>
        </w:tc>
        <w:tc>
          <w:tcPr>
            <w:tcW w:w="2400" w:type="dxa"/>
            <w:vAlign w:val="bottom"/>
          </w:tcPr>
          <w:p>
            <w:pPr>
              <w:jc w:val="right"/>
              <w:ind w:right="739"/>
              <w:spacing w:after="0"/>
              <w:rPr>
                <w:sz w:val="20"/>
                <w:szCs w:val="20"/>
                <w:color w:val="auto"/>
              </w:rPr>
            </w:pPr>
            <w:r>
              <w:rPr>
                <w:rFonts w:ascii="Arial" w:cs="Arial" w:eastAsia="Arial" w:hAnsi="Arial"/>
                <w:sz w:val="16"/>
                <w:szCs w:val="16"/>
                <w:b w:val="1"/>
                <w:bCs w:val="1"/>
                <w:color w:val="auto"/>
              </w:rPr>
              <w:t>2</w:t>
            </w:r>
          </w:p>
        </w:tc>
        <w:tc>
          <w:tcPr>
            <w:tcW w:w="1940" w:type="dxa"/>
            <w:vAlign w:val="bottom"/>
          </w:tcPr>
          <w:p>
            <w:pPr>
              <w:jc w:val="right"/>
              <w:ind w:right="759"/>
              <w:spacing w:after="0"/>
              <w:rPr>
                <w:sz w:val="20"/>
                <w:szCs w:val="20"/>
                <w:color w:val="auto"/>
              </w:rPr>
            </w:pPr>
            <w:r>
              <w:rPr>
                <w:rFonts w:ascii="Arial" w:cs="Arial" w:eastAsia="Arial" w:hAnsi="Arial"/>
                <w:sz w:val="16"/>
                <w:szCs w:val="16"/>
                <w:color w:val="auto"/>
              </w:rPr>
              <w:t>1</w:t>
            </w:r>
          </w:p>
        </w:tc>
        <w:tc>
          <w:tcPr>
            <w:tcW w:w="12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33"/>
        </w:trPr>
        <w:tc>
          <w:tcPr>
            <w:tcW w:w="58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5"/>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240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5</w:t>
            </w:r>
          </w:p>
        </w:tc>
        <w:tc>
          <w:tcPr>
            <w:tcW w:w="1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rPr>
              <w:t>5</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r>
      <w:tr>
        <w:trPr>
          <w:trHeight w:val="231"/>
        </w:trPr>
        <w:tc>
          <w:tcPr>
            <w:tcW w:w="58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stock-based compensation expense, before income tax benefit</w:t>
            </w:r>
          </w:p>
        </w:tc>
        <w:tc>
          <w:tcPr>
            <w:tcW w:w="2400" w:type="dxa"/>
            <w:vAlign w:val="bottom"/>
            <w:tcBorders>
              <w:top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77</w:t>
            </w:r>
          </w:p>
        </w:tc>
        <w:tc>
          <w:tcPr>
            <w:tcW w:w="1940" w:type="dxa"/>
            <w:vAlign w:val="bottom"/>
            <w:tcBorders>
              <w:top w:val="single" w:sz="8" w:color="auto"/>
            </w:tcBorders>
          </w:tcPr>
          <w:p>
            <w:pPr>
              <w:jc w:val="right"/>
              <w:ind w:right="759"/>
              <w:spacing w:after="0"/>
              <w:rPr>
                <w:sz w:val="20"/>
                <w:szCs w:val="20"/>
                <w:color w:val="auto"/>
              </w:rPr>
            </w:pPr>
            <w:r>
              <w:rPr>
                <w:rFonts w:ascii="Arial" w:cs="Arial" w:eastAsia="Arial" w:hAnsi="Arial"/>
                <w:sz w:val="16"/>
                <w:szCs w:val="16"/>
                <w:color w:val="auto"/>
              </w:rPr>
              <w:t>91</w:t>
            </w: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70</w:t>
            </w:r>
          </w:p>
        </w:tc>
      </w:tr>
      <w:tr>
        <w:trPr>
          <w:trHeight w:val="33"/>
        </w:trPr>
        <w:tc>
          <w:tcPr>
            <w:tcW w:w="58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5"/>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benefit</w:t>
            </w:r>
          </w:p>
        </w:tc>
        <w:tc>
          <w:tcPr>
            <w:tcW w:w="24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(20)</w:t>
            </w:r>
          </w:p>
        </w:tc>
        <w:tc>
          <w:tcPr>
            <w:tcW w:w="194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color w:val="auto"/>
              </w:rPr>
              <w:t>(28)</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31"/>
        </w:trPr>
        <w:tc>
          <w:tcPr>
            <w:tcW w:w="58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stock-based compensation expense, net of income tax benefit</w:t>
            </w:r>
          </w:p>
        </w:tc>
        <w:tc>
          <w:tcPr>
            <w:tcW w:w="2400" w:type="dxa"/>
            <w:vAlign w:val="bottom"/>
            <w:tcBorders>
              <w:top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$57</w:t>
            </w:r>
          </w:p>
        </w:tc>
        <w:tc>
          <w:tcPr>
            <w:tcW w:w="1940" w:type="dxa"/>
            <w:vAlign w:val="bottom"/>
            <w:tcBorders>
              <w:top w:val="single" w:sz="8" w:color="auto"/>
            </w:tcBorders>
          </w:tcPr>
          <w:p>
            <w:pPr>
              <w:jc w:val="right"/>
              <w:ind w:right="759"/>
              <w:spacing w:after="0"/>
              <w:rPr>
                <w:sz w:val="20"/>
                <w:szCs w:val="20"/>
                <w:color w:val="auto"/>
              </w:rPr>
            </w:pPr>
            <w:r>
              <w:rPr>
                <w:rFonts w:ascii="Arial" w:cs="Arial" w:eastAsia="Arial" w:hAnsi="Arial"/>
                <w:sz w:val="16"/>
                <w:szCs w:val="16"/>
                <w:color w:val="auto"/>
              </w:rPr>
              <w:t>$63</w:t>
            </w: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$49</w:t>
            </w:r>
          </w:p>
        </w:tc>
      </w:tr>
      <w:tr>
        <w:trPr>
          <w:trHeight w:val="33"/>
        </w:trPr>
        <w:tc>
          <w:tcPr>
            <w:tcW w:w="586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stock-based compensation expense before income tax benefit was recorded in our Consolidated Statements of Earnings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80" w:type="dxa"/>
            <w:vAlign w:val="bottom"/>
          </w:tcPr>
          <w:p>
            <w:pPr>
              <w:ind w:left="40"/>
              <w:spacing w:after="0"/>
              <w:rPr>
                <w:sz w:val="20"/>
                <w:szCs w:val="20"/>
                <w:color w:val="auto"/>
              </w:rPr>
            </w:pPr>
            <w:r>
              <w:rPr>
                <w:rFonts w:ascii="Arial" w:cs="Arial" w:eastAsia="Arial" w:hAnsi="Arial"/>
                <w:sz w:val="16"/>
                <w:szCs w:val="16"/>
                <w:b w:val="1"/>
                <w:bCs w:val="1"/>
                <w:color w:val="auto"/>
              </w:rPr>
              <w:t>Fiscal year</w:t>
            </w:r>
          </w:p>
        </w:tc>
        <w:tc>
          <w:tcPr>
            <w:tcW w:w="2360" w:type="dxa"/>
            <w:vAlign w:val="bottom"/>
          </w:tcPr>
          <w:p>
            <w:pPr>
              <w:jc w:val="right"/>
              <w:ind w:right="719"/>
              <w:spacing w:after="0"/>
              <w:rPr>
                <w:sz w:val="20"/>
                <w:szCs w:val="20"/>
                <w:color w:val="auto"/>
              </w:rPr>
            </w:pPr>
            <w:r>
              <w:rPr>
                <w:rFonts w:ascii="Arial" w:cs="Arial" w:eastAsia="Arial" w:hAnsi="Arial"/>
                <w:sz w:val="16"/>
                <w:szCs w:val="16"/>
                <w:b w:val="1"/>
                <w:bCs w:val="1"/>
                <w:color w:val="auto"/>
              </w:rPr>
              <w:t>2017</w:t>
            </w:r>
          </w:p>
        </w:tc>
        <w:tc>
          <w:tcPr>
            <w:tcW w:w="1920" w:type="dxa"/>
            <w:vAlign w:val="bottom"/>
          </w:tcPr>
          <w:p>
            <w:pPr>
              <w:jc w:val="right"/>
              <w:ind w:right="719"/>
              <w:spacing w:after="0"/>
              <w:rPr>
                <w:sz w:val="20"/>
                <w:szCs w:val="20"/>
                <w:color w:val="auto"/>
              </w:rPr>
            </w:pPr>
            <w:r>
              <w:rPr>
                <w:rFonts w:ascii="Arial" w:cs="Arial" w:eastAsia="Arial" w:hAnsi="Arial"/>
                <w:sz w:val="16"/>
                <w:szCs w:val="16"/>
                <w:b w:val="1"/>
                <w:bCs w:val="1"/>
                <w:color w:val="auto"/>
              </w:rPr>
              <w:t>2016</w:t>
            </w:r>
          </w:p>
        </w:tc>
        <w:tc>
          <w:tcPr>
            <w:tcW w:w="1240" w:type="dxa"/>
            <w:vAlign w:val="bottom"/>
          </w:tcPr>
          <w:p>
            <w:pPr>
              <w:jc w:val="right"/>
              <w:ind w:right="39"/>
              <w:spacing w:after="0"/>
              <w:rPr>
                <w:sz w:val="20"/>
                <w:szCs w:val="20"/>
                <w:color w:val="auto"/>
              </w:rPr>
            </w:pPr>
            <w:r>
              <w:rPr>
                <w:rFonts w:ascii="Arial" w:cs="Arial" w:eastAsia="Arial" w:hAnsi="Arial"/>
                <w:sz w:val="16"/>
                <w:szCs w:val="16"/>
                <w:b w:val="1"/>
                <w:bCs w:val="1"/>
                <w:color w:val="auto"/>
              </w:rPr>
              <w:t>2015</w:t>
            </w:r>
          </w:p>
        </w:tc>
      </w:tr>
      <w:tr>
        <w:trPr>
          <w:trHeight w:val="33"/>
        </w:trPr>
        <w:tc>
          <w:tcPr>
            <w:tcW w:w="588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sales and related buying and occupancy costs</w:t>
            </w:r>
          </w:p>
        </w:tc>
        <w:tc>
          <w:tcPr>
            <w:tcW w:w="236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b w:val="1"/>
                <w:bCs w:val="1"/>
                <w:color w:val="auto"/>
              </w:rPr>
              <w:t>$25</w:t>
            </w:r>
          </w:p>
        </w:tc>
        <w:tc>
          <w:tcPr>
            <w:tcW w:w="192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color w:val="auto"/>
              </w:rPr>
              <w:t>$25</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w:t>
            </w:r>
          </w:p>
        </w:tc>
      </w:tr>
      <w:tr>
        <w:trPr>
          <w:trHeight w:val="237"/>
        </w:trPr>
        <w:tc>
          <w:tcPr>
            <w:tcW w:w="5880" w:type="dxa"/>
            <w:vAlign w:val="bottom"/>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2360" w:type="dxa"/>
            <w:vAlign w:val="bottom"/>
          </w:tcPr>
          <w:p>
            <w:pPr>
              <w:jc w:val="right"/>
              <w:ind w:right="719"/>
              <w:spacing w:after="0"/>
              <w:rPr>
                <w:sz w:val="20"/>
                <w:szCs w:val="20"/>
                <w:color w:val="auto"/>
              </w:rPr>
            </w:pPr>
            <w:r>
              <w:rPr>
                <w:rFonts w:ascii="Arial" w:cs="Arial" w:eastAsia="Arial" w:hAnsi="Arial"/>
                <w:sz w:val="16"/>
                <w:szCs w:val="16"/>
                <w:b w:val="1"/>
                <w:bCs w:val="1"/>
                <w:color w:val="auto"/>
              </w:rPr>
              <w:t>52</w:t>
            </w:r>
          </w:p>
        </w:tc>
        <w:tc>
          <w:tcPr>
            <w:tcW w:w="1920" w:type="dxa"/>
            <w:vAlign w:val="bottom"/>
          </w:tcPr>
          <w:p>
            <w:pPr>
              <w:jc w:val="right"/>
              <w:ind w:right="719"/>
              <w:spacing w:after="0"/>
              <w:rPr>
                <w:sz w:val="20"/>
                <w:szCs w:val="20"/>
                <w:color w:val="auto"/>
              </w:rPr>
            </w:pPr>
            <w:r>
              <w:rPr>
                <w:rFonts w:ascii="Arial" w:cs="Arial" w:eastAsia="Arial" w:hAnsi="Arial"/>
                <w:sz w:val="16"/>
                <w:szCs w:val="16"/>
                <w:color w:val="auto"/>
              </w:rPr>
              <w:t>66</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50</w:t>
            </w:r>
          </w:p>
        </w:tc>
      </w:tr>
      <w:tr>
        <w:trPr>
          <w:trHeight w:val="33"/>
        </w:trPr>
        <w:tc>
          <w:tcPr>
            <w:tcW w:w="588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stock-based compensation expense, before income tax benefit</w:t>
            </w:r>
          </w:p>
        </w:tc>
        <w:tc>
          <w:tcPr>
            <w:tcW w:w="236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b w:val="1"/>
                <w:bCs w:val="1"/>
                <w:color w:val="auto"/>
              </w:rPr>
              <w:t>$77</w:t>
            </w:r>
          </w:p>
        </w:tc>
        <w:tc>
          <w:tcPr>
            <w:tcW w:w="192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color w:val="auto"/>
              </w:rPr>
              <w:t>$91</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w:t>
            </w:r>
          </w:p>
        </w:tc>
      </w:tr>
      <w:tr>
        <w:trPr>
          <w:trHeight w:val="20"/>
        </w:trPr>
        <w:tc>
          <w:tcPr>
            <w:tcW w:w="5880" w:type="dxa"/>
            <w:vAlign w:val="bottom"/>
            <w:shd w:val="clear" w:color="auto" w:fill="000000"/>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color w:val="auto"/>
        </w:rPr>
        <w:t>The benefit of tax deductions in excess of the compensation cost recognized for stock-based awards is classified as operating cash inflows and is reflected as excess tax benefit from stock-based compensation in the Consolidated Statements of Cash Flows.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Dividend Adjustment</w:t>
      </w:r>
    </w:p>
    <w:p>
      <w:pPr>
        <w:spacing w:after="0" w:line="2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connection with the closing of our credit card receivable transaction on October 1, 2015, our Board of Directors authorized a special cash dividend of $4.85 per share (see Note 11: Shareholders’ Equity). As required by our equity incentive plan’s non-discretionary anti-dilutive provisions, an adjustment was made to outstanding awards to prevent dilution of their value resulting from the special cash dividend. These adjustments did not result in incremental stock-based compensation expense as the fair value measure of the awards were the same immediately before and after the adjustment. The adjustments to awards included increasing the number of outstanding restricted stock units, stock options and performance shares, as well as reducing the exercise prices of outstanding stock options.</w:t>
      </w:r>
    </w:p>
    <w:p>
      <w:pPr>
        <w:spacing w:after="0" w:line="38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55</w:t>
      </w:r>
    </w:p>
    <w:p>
      <w:pPr>
        <w:sectPr>
          <w:pgSz w:w="11900" w:h="16838" w:orient="portrait"/>
          <w:cols w:equalWidth="0" w:num="1">
            <w:col w:w="11420"/>
          </w:cols>
          <w:pgMar w:left="240" w:top="126" w:right="239" w:bottom="1440" w:gutter="0" w:footer="0" w:header="0"/>
        </w:sectPr>
      </w:pPr>
    </w:p>
    <w:bookmarkStart w:id="56" w:name="page57"/>
    <w:bookmarkEnd w:id="56"/>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7" w:lineRule="exact"/>
        <w:rPr>
          <w:sz w:val="20"/>
          <w:szCs w:val="20"/>
          <w:color w:val="auto"/>
        </w:rPr>
      </w:pPr>
    </w:p>
    <w:p>
      <w:pPr>
        <w:ind w:right="700"/>
        <w:spacing w:after="0" w:line="323" w:lineRule="auto"/>
        <w:rPr>
          <w:sz w:val="20"/>
          <w:szCs w:val="20"/>
          <w:color w:val="auto"/>
        </w:rPr>
      </w:pPr>
      <w:r>
        <w:rPr>
          <w:rFonts w:ascii="Arial" w:cs="Arial" w:eastAsia="Arial" w:hAnsi="Arial"/>
          <w:sz w:val="16"/>
          <w:szCs w:val="16"/>
          <w:color w:val="auto"/>
        </w:rPr>
        <w:t>Our Compensation Committee of our Board of Directors approves annual grants of nonqualified stock options to employees. We used the following assumptions to estimate the fair value for stock options at each grant date (excluding options granted in connection with the Trunk Club acquisition):</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00" w:type="dxa"/>
            <w:vAlign w:val="bottom"/>
          </w:tcPr>
          <w:p>
            <w:pPr>
              <w:ind w:left="40"/>
              <w:spacing w:after="0"/>
              <w:rPr>
                <w:sz w:val="20"/>
                <w:szCs w:val="20"/>
                <w:color w:val="auto"/>
              </w:rPr>
            </w:pPr>
            <w:r>
              <w:rPr>
                <w:rFonts w:ascii="Arial" w:cs="Arial" w:eastAsia="Arial" w:hAnsi="Arial"/>
                <w:sz w:val="16"/>
                <w:szCs w:val="16"/>
                <w:b w:val="1"/>
                <w:bCs w:val="1"/>
                <w:color w:val="auto"/>
              </w:rPr>
              <w:t>Fiscal Year</w:t>
            </w:r>
          </w:p>
        </w:tc>
        <w:tc>
          <w:tcPr>
            <w:tcW w:w="4240" w:type="dxa"/>
            <w:vAlign w:val="bottom"/>
          </w:tcPr>
          <w:p>
            <w:pPr>
              <w:jc w:val="right"/>
              <w:ind w:right="679"/>
              <w:spacing w:after="0"/>
              <w:rPr>
                <w:sz w:val="20"/>
                <w:szCs w:val="20"/>
                <w:color w:val="auto"/>
              </w:rPr>
            </w:pPr>
            <w:r>
              <w:rPr>
                <w:rFonts w:ascii="Arial" w:cs="Arial" w:eastAsia="Arial" w:hAnsi="Arial"/>
                <w:sz w:val="16"/>
                <w:szCs w:val="16"/>
                <w:b w:val="1"/>
                <w:bCs w:val="1"/>
                <w:color w:val="auto"/>
              </w:rPr>
              <w:t>2017</w:t>
            </w:r>
          </w:p>
        </w:tc>
        <w:tc>
          <w:tcPr>
            <w:tcW w:w="1840" w:type="dxa"/>
            <w:vAlign w:val="bottom"/>
          </w:tcPr>
          <w:p>
            <w:pPr>
              <w:jc w:val="right"/>
              <w:ind w:right="659"/>
              <w:spacing w:after="0"/>
              <w:rPr>
                <w:sz w:val="20"/>
                <w:szCs w:val="20"/>
                <w:color w:val="auto"/>
              </w:rPr>
            </w:pPr>
            <w:r>
              <w:rPr>
                <w:rFonts w:ascii="Arial" w:cs="Arial" w:eastAsia="Arial" w:hAnsi="Arial"/>
                <w:sz w:val="16"/>
                <w:szCs w:val="16"/>
                <w:b w:val="1"/>
                <w:bCs w:val="1"/>
                <w:color w:val="auto"/>
              </w:rPr>
              <w:t>2016</w:t>
            </w:r>
          </w:p>
        </w:tc>
        <w:tc>
          <w:tcPr>
            <w:tcW w:w="1240" w:type="dxa"/>
            <w:vAlign w:val="bottom"/>
          </w:tcPr>
          <w:p>
            <w:pPr>
              <w:jc w:val="right"/>
              <w:ind w:right="79"/>
              <w:spacing w:after="0"/>
              <w:rPr>
                <w:sz w:val="20"/>
                <w:szCs w:val="20"/>
                <w:color w:val="auto"/>
              </w:rPr>
            </w:pPr>
            <w:r>
              <w:rPr>
                <w:rFonts w:ascii="Arial" w:cs="Arial" w:eastAsia="Arial" w:hAnsi="Arial"/>
                <w:sz w:val="16"/>
                <w:szCs w:val="16"/>
                <w:b w:val="1"/>
                <w:bCs w:val="1"/>
                <w:color w:val="auto"/>
              </w:rPr>
              <w:t>2015</w:t>
            </w:r>
          </w:p>
        </w:tc>
      </w:tr>
      <w:tr>
        <w:trPr>
          <w:trHeight w:val="47"/>
        </w:trPr>
        <w:tc>
          <w:tcPr>
            <w:tcW w:w="4100" w:type="dxa"/>
            <w:vAlign w:val="bottom"/>
            <w:tcBorders>
              <w:bottom w:val="single" w:sz="8" w:color="auto"/>
            </w:tcBorders>
          </w:tcPr>
          <w:p>
            <w:pPr>
              <w:spacing w:after="0"/>
              <w:rPr>
                <w:sz w:val="4"/>
                <w:szCs w:val="4"/>
                <w:color w:val="auto"/>
              </w:rPr>
            </w:pPr>
          </w:p>
        </w:tc>
        <w:tc>
          <w:tcPr>
            <w:tcW w:w="424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r>
      <w:tr>
        <w:trPr>
          <w:trHeight w:val="217"/>
        </w:trPr>
        <w:tc>
          <w:tcPr>
            <w:tcW w:w="41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Assumptions</w:t>
            </w:r>
          </w:p>
        </w:tc>
        <w:tc>
          <w:tcPr>
            <w:tcW w:w="42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47"/>
        </w:trPr>
        <w:tc>
          <w:tcPr>
            <w:tcW w:w="4100" w:type="dxa"/>
            <w:vAlign w:val="bottom"/>
            <w:shd w:val="clear" w:color="auto" w:fill="CCEEFF"/>
          </w:tcPr>
          <w:p>
            <w:pPr>
              <w:spacing w:after="0"/>
              <w:rPr>
                <w:sz w:val="4"/>
                <w:szCs w:val="4"/>
                <w:color w:val="auto"/>
              </w:rPr>
            </w:pPr>
          </w:p>
        </w:tc>
        <w:tc>
          <w:tcPr>
            <w:tcW w:w="4240" w:type="dxa"/>
            <w:vAlign w:val="bottom"/>
            <w:shd w:val="clear" w:color="auto" w:fill="CCEEFF"/>
          </w:tcPr>
          <w:p>
            <w:pPr>
              <w:spacing w:after="0"/>
              <w:rPr>
                <w:sz w:val="4"/>
                <w:szCs w:val="4"/>
                <w:color w:val="auto"/>
              </w:rPr>
            </w:pPr>
          </w:p>
        </w:tc>
        <w:tc>
          <w:tcPr>
            <w:tcW w:w="1840" w:type="dxa"/>
            <w:vAlign w:val="bottom"/>
            <w:shd w:val="clear" w:color="auto" w:fill="CCEEFF"/>
          </w:tcPr>
          <w:p>
            <w:pPr>
              <w:spacing w:after="0"/>
              <w:rPr>
                <w:sz w:val="4"/>
                <w:szCs w:val="4"/>
                <w:color w:val="auto"/>
              </w:rPr>
            </w:pPr>
          </w:p>
        </w:tc>
        <w:tc>
          <w:tcPr>
            <w:tcW w:w="1240" w:type="dxa"/>
            <w:vAlign w:val="bottom"/>
            <w:shd w:val="clear" w:color="auto" w:fill="CCEEFF"/>
          </w:tcPr>
          <w:p>
            <w:pPr>
              <w:spacing w:after="0"/>
              <w:rPr>
                <w:sz w:val="4"/>
                <w:szCs w:val="4"/>
                <w:color w:val="auto"/>
              </w:rPr>
            </w:pPr>
          </w:p>
        </w:tc>
      </w:tr>
    </w:tbl>
    <w:p>
      <w:pPr>
        <w:spacing w:after="0" w:line="13" w:lineRule="exact"/>
        <w:rPr>
          <w:sz w:val="20"/>
          <w:szCs w:val="20"/>
          <w:color w:val="auto"/>
        </w:rPr>
      </w:pPr>
    </w:p>
    <w:p>
      <w:pPr>
        <w:sectPr>
          <w:pgSz w:w="11900" w:h="16838" w:orient="portrait"/>
          <w:cols w:equalWidth="0" w:num="1">
            <w:col w:w="11420"/>
          </w:cols>
          <w:pgMar w:left="240" w:top="126" w:right="239" w:bottom="1440" w:gutter="0" w:footer="0" w:header="0"/>
        </w:sectPr>
      </w:pPr>
    </w:p>
    <w:p>
      <w:pPr>
        <w:ind w:left="300" w:hanging="161"/>
        <w:spacing w:after="0" w:line="298" w:lineRule="auto"/>
        <w:rPr>
          <w:sz w:val="20"/>
          <w:szCs w:val="20"/>
          <w:color w:val="auto"/>
        </w:rPr>
      </w:pPr>
      <w:r>
        <w:rPr>
          <w:rFonts w:ascii="Arial" w:cs="Arial" w:eastAsia="Arial" w:hAnsi="Arial"/>
          <w:sz w:val="16"/>
          <w:szCs w:val="16"/>
          <w:b w:val="1"/>
          <w:bCs w:val="1"/>
          <w:color w:val="auto"/>
        </w:rPr>
        <w:t xml:space="preserve">Risk-free interest rate: </w:t>
      </w:r>
      <w:r>
        <w:rPr>
          <w:rFonts w:ascii="Arial" w:cs="Arial" w:eastAsia="Arial" w:hAnsi="Arial"/>
          <w:sz w:val="16"/>
          <w:szCs w:val="16"/>
          <w:color w:val="auto"/>
        </w:rPr>
        <w:t>Represents the yield on U.S. Treasury zero-coupon securities that</w:t>
      </w:r>
      <w:r>
        <w:rPr>
          <w:rFonts w:ascii="Arial" w:cs="Arial" w:eastAsia="Arial" w:hAnsi="Arial"/>
          <w:sz w:val="16"/>
          <w:szCs w:val="16"/>
          <w:b w:val="1"/>
          <w:bCs w:val="1"/>
          <w:color w:val="auto"/>
        </w:rPr>
        <w:t xml:space="preserve"> </w:t>
      </w:r>
      <w:r>
        <w:rPr>
          <w:rFonts w:ascii="Arial" w:cs="Arial" w:eastAsia="Arial" w:hAnsi="Arial"/>
          <w:sz w:val="16"/>
          <w:szCs w:val="16"/>
          <w:color w:val="auto"/>
        </w:rPr>
        <w:t>mature over the 10-year life of the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4203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420370"/>
                    </a:xfrm>
                    <a:prstGeom prst="rect">
                      <a:avLst/>
                    </a:prstGeom>
                    <a:noFill/>
                  </pic:spPr>
                </pic:pic>
              </a:graphicData>
            </a:graphic>
          </wp:anchor>
        </w:drawing>
      </w:r>
    </w:p>
    <w:p>
      <w:pPr>
        <w:jc w:val="both"/>
        <w:ind w:left="300" w:right="180" w:hanging="161"/>
        <w:spacing w:after="0" w:line="281" w:lineRule="auto"/>
        <w:rPr>
          <w:sz w:val="20"/>
          <w:szCs w:val="20"/>
          <w:color w:val="auto"/>
        </w:rPr>
      </w:pPr>
      <w:r>
        <w:rPr>
          <w:rFonts w:ascii="Arial" w:cs="Arial" w:eastAsia="Arial" w:hAnsi="Arial"/>
          <w:sz w:val="16"/>
          <w:szCs w:val="16"/>
          <w:b w:val="1"/>
          <w:bCs w:val="1"/>
          <w:color w:val="auto"/>
        </w:rPr>
        <w:t xml:space="preserve">Weighted-average volatility: </w:t>
      </w:r>
      <w:r>
        <w:rPr>
          <w:rFonts w:ascii="Arial" w:cs="Arial" w:eastAsia="Arial" w:hAnsi="Arial"/>
          <w:sz w:val="16"/>
          <w:szCs w:val="16"/>
          <w:color w:val="auto"/>
        </w:rPr>
        <w:t>Based on a combination of the historical volatility of our</w:t>
      </w:r>
      <w:r>
        <w:rPr>
          <w:rFonts w:ascii="Arial" w:cs="Arial" w:eastAsia="Arial" w:hAnsi="Arial"/>
          <w:sz w:val="16"/>
          <w:szCs w:val="16"/>
          <w:b w:val="1"/>
          <w:bCs w:val="1"/>
          <w:color w:val="auto"/>
        </w:rPr>
        <w:t xml:space="preserve"> </w:t>
      </w:r>
      <w:r>
        <w:rPr>
          <w:rFonts w:ascii="Arial" w:cs="Arial" w:eastAsia="Arial" w:hAnsi="Arial"/>
          <w:sz w:val="16"/>
          <w:szCs w:val="16"/>
          <w:color w:val="auto"/>
        </w:rPr>
        <w:t>common stock and the implied volatility of exchange-traded options for our common stock.</w:t>
      </w:r>
    </w:p>
    <w:p>
      <w:pPr>
        <w:spacing w:after="0" w:line="16" w:lineRule="exact"/>
        <w:rPr>
          <w:sz w:val="20"/>
          <w:szCs w:val="20"/>
          <w:color w:val="auto"/>
        </w:rPr>
      </w:pPr>
    </w:p>
    <w:p>
      <w:pPr>
        <w:ind w:left="300" w:right="140" w:hanging="161"/>
        <w:spacing w:after="0" w:line="298" w:lineRule="auto"/>
        <w:rPr>
          <w:sz w:val="20"/>
          <w:szCs w:val="20"/>
          <w:color w:val="auto"/>
        </w:rPr>
      </w:pPr>
      <w:r>
        <w:rPr>
          <w:rFonts w:ascii="Arial" w:cs="Arial" w:eastAsia="Arial" w:hAnsi="Arial"/>
          <w:sz w:val="16"/>
          <w:szCs w:val="16"/>
          <w:b w:val="1"/>
          <w:bCs w:val="1"/>
          <w:color w:val="auto"/>
        </w:rPr>
        <w:t xml:space="preserve">Weighted-average expected dividend yield: </w:t>
      </w:r>
      <w:r>
        <w:rPr>
          <w:rFonts w:ascii="Arial" w:cs="Arial" w:eastAsia="Arial" w:hAnsi="Arial"/>
          <w:sz w:val="16"/>
          <w:szCs w:val="16"/>
          <w:color w:val="auto"/>
        </w:rPr>
        <w:t>Our forecasted dividend yield for the next</w:t>
      </w:r>
      <w:r>
        <w:rPr>
          <w:rFonts w:ascii="Arial" w:cs="Arial" w:eastAsia="Arial" w:hAnsi="Arial"/>
          <w:sz w:val="16"/>
          <w:szCs w:val="16"/>
          <w:b w:val="1"/>
          <w:bCs w:val="1"/>
          <w:color w:val="auto"/>
        </w:rPr>
        <w:t xml:space="preserve"> </w:t>
      </w:r>
      <w:r>
        <w:rPr>
          <w:rFonts w:ascii="Arial" w:cs="Arial" w:eastAsia="Arial" w:hAnsi="Arial"/>
          <w:sz w:val="16"/>
          <w:szCs w:val="16"/>
          <w:color w:val="auto"/>
        </w:rPr>
        <w:t>10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677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677545"/>
                    </a:xfrm>
                    <a:prstGeom prst="rect">
                      <a:avLst/>
                    </a:prstGeom>
                    <a:noFill/>
                  </pic:spPr>
                </pic:pic>
              </a:graphicData>
            </a:graphic>
          </wp:anchor>
        </w:drawing>
      </w:r>
    </w:p>
    <w:p>
      <w:pPr>
        <w:ind w:left="300" w:right="20" w:hanging="161"/>
        <w:spacing w:after="0" w:line="295" w:lineRule="auto"/>
        <w:rPr>
          <w:sz w:val="20"/>
          <w:szCs w:val="20"/>
          <w:color w:val="auto"/>
        </w:rPr>
      </w:pPr>
      <w:r>
        <w:rPr>
          <w:rFonts w:ascii="Arial" w:cs="Arial" w:eastAsia="Arial" w:hAnsi="Arial"/>
          <w:sz w:val="15"/>
          <w:szCs w:val="15"/>
          <w:b w:val="1"/>
          <w:bCs w:val="1"/>
          <w:color w:val="auto"/>
        </w:rPr>
        <w:t xml:space="preserve">Expected life in years: </w:t>
      </w:r>
      <w:r>
        <w:rPr>
          <w:rFonts w:ascii="Arial" w:cs="Arial" w:eastAsia="Arial" w:hAnsi="Arial"/>
          <w:sz w:val="15"/>
          <w:szCs w:val="15"/>
          <w:color w:val="auto"/>
        </w:rPr>
        <w:t>Represents the estimated period of time until option exercise. The</w:t>
      </w:r>
      <w:r>
        <w:rPr>
          <w:rFonts w:ascii="Arial" w:cs="Arial" w:eastAsia="Arial" w:hAnsi="Arial"/>
          <w:sz w:val="15"/>
          <w:szCs w:val="15"/>
          <w:b w:val="1"/>
          <w:bCs w:val="1"/>
          <w:color w:val="auto"/>
        </w:rPr>
        <w:t xml:space="preserve"> </w:t>
      </w:r>
      <w:r>
        <w:rPr>
          <w:rFonts w:ascii="Arial" w:cs="Arial" w:eastAsia="Arial" w:hAnsi="Arial"/>
          <w:sz w:val="15"/>
          <w:szCs w:val="15"/>
          <w:color w:val="auto"/>
        </w:rPr>
        <w:t>expected term of options granted was derived from the output of the Binomial Lattice option valuation model and was based on our historical exercise behavior, taking into consideration the contractual term of the option and our employees’ expected exercise and post-vesting employment termination behavior.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2466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8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Grant Date Information</w:t>
      </w:r>
    </w:p>
    <w:p>
      <w:pPr>
        <w:spacing w:after="0" w:line="9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Weighted-average fair value per option</w:t>
      </w:r>
    </w:p>
    <w:p>
      <w:pPr>
        <w:spacing w:after="0" w:line="8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Exercise price per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line="1" w:lineRule="exact"/>
        <w:rPr>
          <w:sz w:val="1"/>
          <w:szCs w:val="1"/>
          <w:color w:val="auto"/>
        </w:rPr>
      </w:pPr>
    </w:p>
    <w:tbl>
      <w:tblPr>
        <w:tblLayout w:type="fixed"/>
        <w:tblInd w:w="380" w:type="dxa"/>
        <w:tblCellMar>
          <w:top w:w="0" w:type="dxa"/>
          <w:left w:w="0" w:type="dxa"/>
          <w:bottom w:w="0" w:type="dxa"/>
          <w:right w:w="0" w:type="dxa"/>
        </w:tblCellMar>
      </w:tblPr>
      <w:tr>
        <w:trPr>
          <w:trHeight w:val="210"/>
        </w:trPr>
        <w:tc>
          <w:tcPr>
            <w:tcW w:w="1480" w:type="dxa"/>
            <w:vAlign w:val="bottom"/>
          </w:tcPr>
          <w:p>
            <w:pPr>
              <w:jc w:val="right"/>
              <w:ind w:right="519"/>
              <w:spacing w:after="0"/>
              <w:rPr>
                <w:sz w:val="20"/>
                <w:szCs w:val="20"/>
                <w:color w:val="auto"/>
              </w:rPr>
            </w:pPr>
            <w:r>
              <w:rPr>
                <w:rFonts w:ascii="Arial" w:cs="Arial" w:eastAsia="Arial" w:hAnsi="Arial"/>
                <w:sz w:val="16"/>
                <w:szCs w:val="16"/>
                <w:b w:val="1"/>
                <w:bCs w:val="1"/>
                <w:color w:val="auto"/>
                <w:w w:val="94"/>
              </w:rPr>
              <w:t>1.0% – 2.5%</w:t>
            </w:r>
          </w:p>
        </w:tc>
        <w:tc>
          <w:tcPr>
            <w:tcW w:w="1820" w:type="dxa"/>
            <w:vAlign w:val="bottom"/>
          </w:tcPr>
          <w:p>
            <w:pPr>
              <w:jc w:val="right"/>
              <w:ind w:right="479"/>
              <w:spacing w:after="0"/>
              <w:rPr>
                <w:sz w:val="20"/>
                <w:szCs w:val="20"/>
                <w:color w:val="auto"/>
              </w:rPr>
            </w:pPr>
            <w:r>
              <w:rPr>
                <w:rFonts w:ascii="Arial" w:cs="Arial" w:eastAsia="Arial" w:hAnsi="Arial"/>
                <w:sz w:val="16"/>
                <w:szCs w:val="16"/>
                <w:color w:val="auto"/>
              </w:rPr>
              <w:t>0.7% – 1.9%</w:t>
            </w: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0.2% – 2.1%</w:t>
            </w:r>
          </w:p>
        </w:tc>
      </w:tr>
      <w:tr>
        <w:trPr>
          <w:trHeight w:val="567"/>
        </w:trPr>
        <w:tc>
          <w:tcPr>
            <w:tcW w:w="1480" w:type="dxa"/>
            <w:vAlign w:val="bottom"/>
          </w:tcPr>
          <w:p>
            <w:pPr>
              <w:jc w:val="right"/>
              <w:ind w:right="359"/>
              <w:spacing w:after="0"/>
              <w:rPr>
                <w:sz w:val="20"/>
                <w:szCs w:val="20"/>
                <w:color w:val="auto"/>
              </w:rPr>
            </w:pPr>
            <w:r>
              <w:rPr>
                <w:rFonts w:ascii="Arial" w:cs="Arial" w:eastAsia="Arial" w:hAnsi="Arial"/>
                <w:sz w:val="16"/>
                <w:szCs w:val="16"/>
                <w:b w:val="1"/>
                <w:bCs w:val="1"/>
                <w:color w:val="auto"/>
              </w:rPr>
              <w:t>40.1%</w:t>
            </w:r>
          </w:p>
        </w:tc>
        <w:tc>
          <w:tcPr>
            <w:tcW w:w="1820" w:type="dxa"/>
            <w:vAlign w:val="bottom"/>
          </w:tcPr>
          <w:p>
            <w:pPr>
              <w:jc w:val="right"/>
              <w:ind w:right="359"/>
              <w:spacing w:after="0"/>
              <w:rPr>
                <w:sz w:val="20"/>
                <w:szCs w:val="20"/>
                <w:color w:val="auto"/>
              </w:rPr>
            </w:pPr>
            <w:r>
              <w:rPr>
                <w:rFonts w:ascii="Arial" w:cs="Arial" w:eastAsia="Arial" w:hAnsi="Arial"/>
                <w:sz w:val="16"/>
                <w:szCs w:val="16"/>
                <w:color w:val="auto"/>
              </w:rPr>
              <w:t>36.8%</w:t>
            </w:r>
          </w:p>
        </w:tc>
        <w:tc>
          <w:tcPr>
            <w:tcW w:w="1400" w:type="dxa"/>
            <w:vAlign w:val="bottom"/>
          </w:tcPr>
          <w:p>
            <w:pPr>
              <w:jc w:val="right"/>
              <w:spacing w:after="0"/>
              <w:rPr>
                <w:sz w:val="20"/>
                <w:szCs w:val="20"/>
                <w:color w:val="auto"/>
              </w:rPr>
            </w:pPr>
            <w:r>
              <w:rPr>
                <w:rFonts w:ascii="Arial" w:cs="Arial" w:eastAsia="Arial" w:hAnsi="Arial"/>
                <w:sz w:val="16"/>
                <w:szCs w:val="16"/>
                <w:color w:val="auto"/>
              </w:rPr>
              <w:t>29.4%</w:t>
            </w:r>
          </w:p>
        </w:tc>
      </w:tr>
      <w:tr>
        <w:trPr>
          <w:trHeight w:val="554"/>
        </w:trPr>
        <w:tc>
          <w:tcPr>
            <w:tcW w:w="1480" w:type="dxa"/>
            <w:vAlign w:val="bottom"/>
          </w:tcPr>
          <w:p>
            <w:pPr>
              <w:jc w:val="right"/>
              <w:ind w:right="359"/>
              <w:spacing w:after="0"/>
              <w:rPr>
                <w:sz w:val="20"/>
                <w:szCs w:val="20"/>
                <w:color w:val="auto"/>
              </w:rPr>
            </w:pPr>
            <w:r>
              <w:rPr>
                <w:rFonts w:ascii="Arial" w:cs="Arial" w:eastAsia="Arial" w:hAnsi="Arial"/>
                <w:sz w:val="16"/>
                <w:szCs w:val="16"/>
                <w:b w:val="1"/>
                <w:bCs w:val="1"/>
                <w:color w:val="auto"/>
              </w:rPr>
              <w:t>2.4%</w:t>
            </w:r>
          </w:p>
        </w:tc>
        <w:tc>
          <w:tcPr>
            <w:tcW w:w="1820" w:type="dxa"/>
            <w:vAlign w:val="bottom"/>
          </w:tcPr>
          <w:p>
            <w:pPr>
              <w:jc w:val="right"/>
              <w:ind w:right="359"/>
              <w:spacing w:after="0"/>
              <w:rPr>
                <w:sz w:val="20"/>
                <w:szCs w:val="20"/>
                <w:color w:val="auto"/>
              </w:rPr>
            </w:pPr>
            <w:r>
              <w:rPr>
                <w:rFonts w:ascii="Arial" w:cs="Arial" w:eastAsia="Arial" w:hAnsi="Arial"/>
                <w:sz w:val="16"/>
                <w:szCs w:val="16"/>
                <w:color w:val="auto"/>
              </w:rPr>
              <w:t>2.2%</w:t>
            </w:r>
          </w:p>
        </w:tc>
        <w:tc>
          <w:tcPr>
            <w:tcW w:w="140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770"/>
        </w:trPr>
        <w:tc>
          <w:tcPr>
            <w:tcW w:w="1480" w:type="dxa"/>
            <w:vAlign w:val="bottom"/>
          </w:tcPr>
          <w:p>
            <w:pPr>
              <w:jc w:val="right"/>
              <w:ind w:right="519"/>
              <w:spacing w:after="0"/>
              <w:rPr>
                <w:sz w:val="20"/>
                <w:szCs w:val="20"/>
                <w:color w:val="auto"/>
              </w:rPr>
            </w:pPr>
            <w:r>
              <w:rPr>
                <w:rFonts w:ascii="Arial" w:cs="Arial" w:eastAsia="Arial" w:hAnsi="Arial"/>
                <w:sz w:val="16"/>
                <w:szCs w:val="16"/>
                <w:b w:val="1"/>
                <w:bCs w:val="1"/>
                <w:color w:val="auto"/>
              </w:rPr>
              <w:t>7.1</w:t>
            </w:r>
          </w:p>
        </w:tc>
        <w:tc>
          <w:tcPr>
            <w:tcW w:w="1820" w:type="dxa"/>
            <w:vAlign w:val="bottom"/>
          </w:tcPr>
          <w:p>
            <w:pPr>
              <w:jc w:val="right"/>
              <w:ind w:right="479"/>
              <w:spacing w:after="0"/>
              <w:rPr>
                <w:sz w:val="20"/>
                <w:szCs w:val="20"/>
                <w:color w:val="auto"/>
              </w:rPr>
            </w:pPr>
            <w:r>
              <w:rPr>
                <w:rFonts w:ascii="Arial" w:cs="Arial" w:eastAsia="Arial" w:hAnsi="Arial"/>
                <w:sz w:val="16"/>
                <w:szCs w:val="16"/>
                <w:color w:val="auto"/>
              </w:rPr>
              <w:t>6.9</w:t>
            </w: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6.7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600" w:type="dxa"/>
            <w:vAlign w:val="bottom"/>
          </w:tcPr>
          <w:p>
            <w:pPr>
              <w:jc w:val="right"/>
              <w:ind w:right="259"/>
              <w:spacing w:after="0"/>
              <w:rPr>
                <w:sz w:val="20"/>
                <w:szCs w:val="20"/>
                <w:color w:val="auto"/>
              </w:rPr>
            </w:pPr>
            <w:r>
              <w:rPr>
                <w:rFonts w:ascii="Arial" w:cs="Arial" w:eastAsia="Arial" w:hAnsi="Arial"/>
                <w:sz w:val="16"/>
                <w:szCs w:val="16"/>
                <w:b w:val="1"/>
                <w:bCs w:val="1"/>
                <w:color w:val="auto"/>
                <w:w w:val="91"/>
              </w:rPr>
              <w:t>February 28, 2017</w:t>
            </w:r>
          </w:p>
        </w:tc>
        <w:tc>
          <w:tcPr>
            <w:tcW w:w="1840" w:type="dxa"/>
            <w:vAlign w:val="bottom"/>
          </w:tcPr>
          <w:p>
            <w:pPr>
              <w:jc w:val="right"/>
              <w:ind w:right="239"/>
              <w:spacing w:after="0"/>
              <w:rPr>
                <w:sz w:val="20"/>
                <w:szCs w:val="20"/>
                <w:color w:val="auto"/>
              </w:rPr>
            </w:pPr>
            <w:r>
              <w:rPr>
                <w:rFonts w:ascii="Arial" w:cs="Arial" w:eastAsia="Arial" w:hAnsi="Arial"/>
                <w:sz w:val="16"/>
                <w:szCs w:val="16"/>
                <w:color w:val="auto"/>
              </w:rPr>
              <w:t>February 29, 2016</w:t>
            </w:r>
          </w:p>
        </w:tc>
        <w:tc>
          <w:tcPr>
            <w:tcW w:w="1500" w:type="dxa"/>
            <w:vAlign w:val="bottom"/>
          </w:tcPr>
          <w:p>
            <w:pPr>
              <w:jc w:val="right"/>
              <w:spacing w:after="0"/>
              <w:rPr>
                <w:sz w:val="20"/>
                <w:szCs w:val="20"/>
                <w:color w:val="auto"/>
              </w:rPr>
            </w:pPr>
            <w:r>
              <w:rPr>
                <w:rFonts w:ascii="Arial" w:cs="Arial" w:eastAsia="Arial" w:hAnsi="Arial"/>
                <w:sz w:val="16"/>
                <w:szCs w:val="16"/>
                <w:color w:val="auto"/>
              </w:rPr>
              <w:t>February 24, 2015</w:t>
            </w:r>
          </w:p>
        </w:tc>
      </w:tr>
      <w:tr>
        <w:trPr>
          <w:trHeight w:val="270"/>
        </w:trPr>
        <w:tc>
          <w:tcPr>
            <w:tcW w:w="1600" w:type="dxa"/>
            <w:vAlign w:val="bottom"/>
          </w:tcPr>
          <w:p>
            <w:pPr>
              <w:jc w:val="right"/>
              <w:ind w:right="259"/>
              <w:spacing w:after="0"/>
              <w:rPr>
                <w:sz w:val="20"/>
                <w:szCs w:val="20"/>
                <w:color w:val="auto"/>
              </w:rPr>
            </w:pPr>
            <w:r>
              <w:rPr>
                <w:rFonts w:ascii="Arial" w:cs="Arial" w:eastAsia="Arial" w:hAnsi="Arial"/>
                <w:sz w:val="16"/>
                <w:szCs w:val="16"/>
                <w:b w:val="1"/>
                <w:bCs w:val="1"/>
                <w:color w:val="auto"/>
              </w:rPr>
              <w:t>$16</w:t>
            </w:r>
          </w:p>
        </w:tc>
        <w:tc>
          <w:tcPr>
            <w:tcW w:w="1840" w:type="dxa"/>
            <w:vAlign w:val="bottom"/>
          </w:tcPr>
          <w:p>
            <w:pPr>
              <w:jc w:val="right"/>
              <w:ind w:right="239"/>
              <w:spacing w:after="0"/>
              <w:rPr>
                <w:sz w:val="20"/>
                <w:szCs w:val="20"/>
                <w:color w:val="auto"/>
              </w:rPr>
            </w:pPr>
            <w:r>
              <w:rPr>
                <w:rFonts w:ascii="Arial" w:cs="Arial" w:eastAsia="Arial" w:hAnsi="Arial"/>
                <w:sz w:val="16"/>
                <w:szCs w:val="16"/>
                <w:color w:val="auto"/>
              </w:rPr>
              <w:t>$16</w:t>
            </w:r>
          </w:p>
        </w:tc>
        <w:tc>
          <w:tcPr>
            <w:tcW w:w="150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70"/>
        </w:trPr>
        <w:tc>
          <w:tcPr>
            <w:tcW w:w="1600" w:type="dxa"/>
            <w:vAlign w:val="bottom"/>
          </w:tcPr>
          <w:p>
            <w:pPr>
              <w:jc w:val="right"/>
              <w:ind w:right="259"/>
              <w:spacing w:after="0"/>
              <w:rPr>
                <w:sz w:val="20"/>
                <w:szCs w:val="20"/>
                <w:color w:val="auto"/>
              </w:rPr>
            </w:pPr>
            <w:r>
              <w:rPr>
                <w:rFonts w:ascii="Arial" w:cs="Arial" w:eastAsia="Arial" w:hAnsi="Arial"/>
                <w:sz w:val="16"/>
                <w:szCs w:val="16"/>
                <w:b w:val="1"/>
                <w:bCs w:val="1"/>
                <w:color w:val="auto"/>
              </w:rPr>
              <w:t>$47</w:t>
            </w:r>
          </w:p>
        </w:tc>
        <w:tc>
          <w:tcPr>
            <w:tcW w:w="1840" w:type="dxa"/>
            <w:vAlign w:val="bottom"/>
          </w:tcPr>
          <w:p>
            <w:pPr>
              <w:jc w:val="right"/>
              <w:ind w:right="239"/>
              <w:spacing w:after="0"/>
              <w:rPr>
                <w:sz w:val="20"/>
                <w:szCs w:val="20"/>
                <w:color w:val="auto"/>
              </w:rPr>
            </w:pPr>
            <w:r>
              <w:rPr>
                <w:rFonts w:ascii="Arial" w:cs="Arial" w:eastAsia="Arial" w:hAnsi="Arial"/>
                <w:sz w:val="16"/>
                <w:szCs w:val="16"/>
                <w:color w:val="auto"/>
              </w:rPr>
              <w:t>$51</w:t>
            </w:r>
          </w:p>
        </w:tc>
        <w:tc>
          <w:tcPr>
            <w:tcW w:w="1500" w:type="dxa"/>
            <w:vAlign w:val="bottom"/>
          </w:tcPr>
          <w:p>
            <w:pPr>
              <w:jc w:val="right"/>
              <w:spacing w:after="0"/>
              <w:rPr>
                <w:sz w:val="20"/>
                <w:szCs w:val="20"/>
                <w:color w:val="auto"/>
              </w:rPr>
            </w:pPr>
            <w:r>
              <w:rPr>
                <w:rFonts w:ascii="Arial" w:cs="Arial" w:eastAsia="Arial" w:hAnsi="Arial"/>
                <w:sz w:val="16"/>
                <w:szCs w:val="16"/>
                <w:color w:val="auto"/>
              </w:rPr>
              <w:t>$81</w:t>
            </w:r>
          </w:p>
        </w:tc>
      </w:tr>
    </w:tbl>
    <w:p>
      <w:pPr>
        <w:spacing w:after="0" w:line="200" w:lineRule="exact"/>
        <w:rPr>
          <w:sz w:val="20"/>
          <w:szCs w:val="20"/>
          <w:color w:val="auto"/>
        </w:rPr>
      </w:pPr>
    </w:p>
    <w:p>
      <w:pPr>
        <w:sectPr>
          <w:pgSz w:w="11900" w:h="16838" w:orient="portrait"/>
          <w:cols w:equalWidth="0" w:num="2">
            <w:col w:w="6000" w:space="320"/>
            <w:col w:w="5100"/>
          </w:cols>
          <w:pgMar w:left="240" w:top="126" w:right="239" w:bottom="1440" w:gutter="0" w:footer="0" w:header="0"/>
          <w:type w:val="continuous"/>
        </w:sectPr>
      </w:pPr>
    </w:p>
    <w:p>
      <w:pPr>
        <w:spacing w:after="0" w:line="8"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Supplemental nonqualified stock options were also granted to certain company leaders on June 7, 2016, at an exercise price per option of $41. The assumptions used to estimate the fair value for the supplemental stock options were similar to the 2016 annual grant assumptions. The weighted-average fair value per option at the grant date was $13. In 2016, we also granted stock options to certain qualified employees outside of the annual and supplemental grant dates, which were insignificant in aggregate. The number of awards granted to an individual are determined based upon a percentage of the recipient’s base salary and the fair value of the stock options. Options typically vest over four years, and expire 10 years after the date of grant.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activity for 2017, which includes awards issued as part of the Trunk Club acquisition in 2014, is presented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20" w:type="dxa"/>
            <w:vAlign w:val="bottom"/>
          </w:tcPr>
          <w:p>
            <w:pPr>
              <w:ind w:left="40"/>
              <w:spacing w:after="0"/>
              <w:rPr>
                <w:sz w:val="20"/>
                <w:szCs w:val="20"/>
                <w:color w:val="auto"/>
              </w:rPr>
            </w:pPr>
            <w:r>
              <w:rPr>
                <w:rFonts w:ascii="Arial" w:cs="Arial" w:eastAsia="Arial" w:hAnsi="Arial"/>
                <w:sz w:val="16"/>
                <w:szCs w:val="16"/>
                <w:b w:val="1"/>
                <w:bCs w:val="1"/>
                <w:color w:val="auto"/>
              </w:rPr>
              <w:t>Fiscal year</w:t>
            </w:r>
          </w:p>
        </w:tc>
        <w:tc>
          <w:tcPr>
            <w:tcW w:w="2000" w:type="dxa"/>
            <w:vAlign w:val="bottom"/>
          </w:tcPr>
          <w:p>
            <w:pPr>
              <w:spacing w:after="0"/>
              <w:rPr>
                <w:sz w:val="18"/>
                <w:szCs w:val="18"/>
                <w:color w:val="auto"/>
              </w:rPr>
            </w:pPr>
          </w:p>
        </w:tc>
        <w:tc>
          <w:tcPr>
            <w:tcW w:w="1920" w:type="dxa"/>
            <w:vAlign w:val="bottom"/>
          </w:tcPr>
          <w:p>
            <w:pPr>
              <w:jc w:val="right"/>
              <w:ind w:right="99"/>
              <w:spacing w:after="0"/>
              <w:rPr>
                <w:sz w:val="20"/>
                <w:szCs w:val="20"/>
                <w:color w:val="auto"/>
              </w:rPr>
            </w:pPr>
            <w:r>
              <w:rPr>
                <w:rFonts w:ascii="Arial" w:cs="Arial" w:eastAsia="Arial" w:hAnsi="Arial"/>
                <w:sz w:val="16"/>
                <w:szCs w:val="16"/>
                <w:b w:val="1"/>
                <w:bCs w:val="1"/>
                <w:color w:val="auto"/>
              </w:rPr>
              <w:t>2017</w:t>
            </w:r>
          </w:p>
        </w:tc>
        <w:tc>
          <w:tcPr>
            <w:tcW w:w="20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33"/>
        </w:trPr>
        <w:tc>
          <w:tcPr>
            <w:tcW w:w="40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9"/>
        </w:trPr>
        <w:tc>
          <w:tcPr>
            <w:tcW w:w="40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20" w:type="dxa"/>
            <w:vAlign w:val="bottom"/>
          </w:tcPr>
          <w:p>
            <w:pPr>
              <w:jc w:val="right"/>
              <w:ind w:right="519"/>
              <w:spacing w:after="0"/>
              <w:rPr>
                <w:sz w:val="20"/>
                <w:szCs w:val="20"/>
                <w:color w:val="auto"/>
              </w:rPr>
            </w:pPr>
            <w:r>
              <w:rPr>
                <w:rFonts w:ascii="Arial" w:cs="Arial" w:eastAsia="Arial" w:hAnsi="Arial"/>
                <w:sz w:val="16"/>
                <w:szCs w:val="16"/>
                <w:b w:val="1"/>
                <w:bCs w:val="1"/>
                <w:color w:val="auto"/>
              </w:rPr>
              <w:t>Weighted-average</w:t>
            </w:r>
          </w:p>
        </w:tc>
        <w:tc>
          <w:tcPr>
            <w:tcW w:w="1440" w:type="dxa"/>
            <w:vAlign w:val="bottom"/>
          </w:tcPr>
          <w:p>
            <w:pPr>
              <w:spacing w:after="0"/>
              <w:rPr>
                <w:sz w:val="18"/>
                <w:szCs w:val="18"/>
                <w:color w:val="auto"/>
              </w:rPr>
            </w:pPr>
          </w:p>
        </w:tc>
      </w:tr>
      <w:tr>
        <w:trPr>
          <w:trHeight w:val="203"/>
        </w:trPr>
        <w:tc>
          <w:tcPr>
            <w:tcW w:w="40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920" w:type="dxa"/>
            <w:vAlign w:val="bottom"/>
          </w:tcPr>
          <w:p>
            <w:pPr>
              <w:jc w:val="right"/>
              <w:ind w:right="419"/>
              <w:spacing w:after="0"/>
              <w:rPr>
                <w:sz w:val="20"/>
                <w:szCs w:val="20"/>
                <w:color w:val="auto"/>
              </w:rPr>
            </w:pPr>
            <w:r>
              <w:rPr>
                <w:rFonts w:ascii="Arial" w:cs="Arial" w:eastAsia="Arial" w:hAnsi="Arial"/>
                <w:sz w:val="16"/>
                <w:szCs w:val="16"/>
                <w:b w:val="1"/>
                <w:bCs w:val="1"/>
                <w:color w:val="auto"/>
              </w:rPr>
              <w:t>Weighted-</w:t>
            </w:r>
          </w:p>
        </w:tc>
        <w:tc>
          <w:tcPr>
            <w:tcW w:w="2020" w:type="dxa"/>
            <w:vAlign w:val="bottom"/>
          </w:tcPr>
          <w:p>
            <w:pPr>
              <w:jc w:val="right"/>
              <w:ind w:right="559"/>
              <w:spacing w:after="0"/>
              <w:rPr>
                <w:sz w:val="20"/>
                <w:szCs w:val="20"/>
                <w:color w:val="auto"/>
              </w:rPr>
            </w:pPr>
            <w:r>
              <w:rPr>
                <w:rFonts w:ascii="Arial" w:cs="Arial" w:eastAsia="Arial" w:hAnsi="Arial"/>
                <w:sz w:val="16"/>
                <w:szCs w:val="16"/>
                <w:b w:val="1"/>
                <w:bCs w:val="1"/>
                <w:color w:val="auto"/>
              </w:rPr>
              <w:t>remaining</w:t>
            </w:r>
          </w:p>
        </w:tc>
        <w:tc>
          <w:tcPr>
            <w:tcW w:w="1440" w:type="dxa"/>
            <w:vAlign w:val="bottom"/>
          </w:tcPr>
          <w:p>
            <w:pPr>
              <w:jc w:val="right"/>
              <w:ind w:right="79"/>
              <w:spacing w:after="0"/>
              <w:rPr>
                <w:sz w:val="20"/>
                <w:szCs w:val="20"/>
                <w:color w:val="auto"/>
              </w:rPr>
            </w:pPr>
            <w:r>
              <w:rPr>
                <w:rFonts w:ascii="Arial" w:cs="Arial" w:eastAsia="Arial" w:hAnsi="Arial"/>
                <w:sz w:val="16"/>
                <w:szCs w:val="16"/>
                <w:b w:val="1"/>
                <w:bCs w:val="1"/>
                <w:color w:val="auto"/>
              </w:rPr>
              <w:t>Aggregate</w:t>
            </w:r>
          </w:p>
        </w:tc>
      </w:tr>
      <w:tr>
        <w:trPr>
          <w:trHeight w:val="203"/>
        </w:trPr>
        <w:tc>
          <w:tcPr>
            <w:tcW w:w="40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920" w:type="dxa"/>
            <w:vAlign w:val="bottom"/>
          </w:tcPr>
          <w:p>
            <w:pPr>
              <w:jc w:val="right"/>
              <w:ind w:right="419"/>
              <w:spacing w:after="0"/>
              <w:rPr>
                <w:sz w:val="20"/>
                <w:szCs w:val="20"/>
                <w:color w:val="auto"/>
              </w:rPr>
            </w:pPr>
            <w:r>
              <w:rPr>
                <w:rFonts w:ascii="Arial" w:cs="Arial" w:eastAsia="Arial" w:hAnsi="Arial"/>
                <w:sz w:val="16"/>
                <w:szCs w:val="16"/>
                <w:b w:val="1"/>
                <w:bCs w:val="1"/>
                <w:color w:val="auto"/>
              </w:rPr>
              <w:t>average</w:t>
            </w:r>
          </w:p>
        </w:tc>
        <w:tc>
          <w:tcPr>
            <w:tcW w:w="2020" w:type="dxa"/>
            <w:vAlign w:val="bottom"/>
          </w:tcPr>
          <w:p>
            <w:pPr>
              <w:jc w:val="right"/>
              <w:ind w:right="519"/>
              <w:spacing w:after="0"/>
              <w:rPr>
                <w:sz w:val="20"/>
                <w:szCs w:val="20"/>
                <w:color w:val="auto"/>
              </w:rPr>
            </w:pPr>
            <w:r>
              <w:rPr>
                <w:rFonts w:ascii="Arial" w:cs="Arial" w:eastAsia="Arial" w:hAnsi="Arial"/>
                <w:sz w:val="16"/>
                <w:szCs w:val="16"/>
                <w:b w:val="1"/>
                <w:bCs w:val="1"/>
                <w:color w:val="auto"/>
              </w:rPr>
              <w:t>contractual</w:t>
            </w:r>
          </w:p>
        </w:tc>
        <w:tc>
          <w:tcPr>
            <w:tcW w:w="1440" w:type="dxa"/>
            <w:vAlign w:val="bottom"/>
          </w:tcPr>
          <w:p>
            <w:pPr>
              <w:jc w:val="right"/>
              <w:ind w:right="79"/>
              <w:spacing w:after="0"/>
              <w:rPr>
                <w:sz w:val="20"/>
                <w:szCs w:val="20"/>
                <w:color w:val="auto"/>
              </w:rPr>
            </w:pPr>
            <w:r>
              <w:rPr>
                <w:rFonts w:ascii="Arial" w:cs="Arial" w:eastAsia="Arial" w:hAnsi="Arial"/>
                <w:sz w:val="16"/>
                <w:szCs w:val="16"/>
                <w:b w:val="1"/>
                <w:bCs w:val="1"/>
                <w:color w:val="auto"/>
              </w:rPr>
              <w:t>intrinsic</w:t>
            </w:r>
          </w:p>
        </w:tc>
      </w:tr>
      <w:tr>
        <w:trPr>
          <w:trHeight w:val="210"/>
        </w:trPr>
        <w:tc>
          <w:tcPr>
            <w:tcW w:w="4020" w:type="dxa"/>
            <w:vAlign w:val="bottom"/>
          </w:tcPr>
          <w:p>
            <w:pPr>
              <w:spacing w:after="0"/>
              <w:rPr>
                <w:sz w:val="18"/>
                <w:szCs w:val="18"/>
                <w:color w:val="auto"/>
              </w:rPr>
            </w:pPr>
          </w:p>
        </w:tc>
        <w:tc>
          <w:tcPr>
            <w:tcW w:w="2000" w:type="dxa"/>
            <w:vAlign w:val="bottom"/>
          </w:tcPr>
          <w:p>
            <w:pPr>
              <w:jc w:val="right"/>
              <w:ind w:right="439"/>
              <w:spacing w:after="0"/>
              <w:rPr>
                <w:sz w:val="20"/>
                <w:szCs w:val="20"/>
                <w:color w:val="auto"/>
              </w:rPr>
            </w:pPr>
            <w:r>
              <w:rPr>
                <w:rFonts w:ascii="Arial" w:cs="Arial" w:eastAsia="Arial" w:hAnsi="Arial"/>
                <w:sz w:val="16"/>
                <w:szCs w:val="16"/>
                <w:b w:val="1"/>
                <w:bCs w:val="1"/>
                <w:color w:val="auto"/>
              </w:rPr>
              <w:t>Shares</w:t>
            </w:r>
          </w:p>
        </w:tc>
        <w:tc>
          <w:tcPr>
            <w:tcW w:w="1920" w:type="dxa"/>
            <w:vAlign w:val="bottom"/>
          </w:tcPr>
          <w:p>
            <w:pPr>
              <w:jc w:val="right"/>
              <w:ind w:right="419"/>
              <w:spacing w:after="0"/>
              <w:rPr>
                <w:sz w:val="20"/>
                <w:szCs w:val="20"/>
                <w:color w:val="auto"/>
              </w:rPr>
            </w:pPr>
            <w:r>
              <w:rPr>
                <w:rFonts w:ascii="Arial" w:cs="Arial" w:eastAsia="Arial" w:hAnsi="Arial"/>
                <w:sz w:val="16"/>
                <w:szCs w:val="16"/>
                <w:b w:val="1"/>
                <w:bCs w:val="1"/>
                <w:color w:val="auto"/>
              </w:rPr>
              <w:t>exercise price</w:t>
            </w:r>
          </w:p>
        </w:tc>
        <w:tc>
          <w:tcPr>
            <w:tcW w:w="2020" w:type="dxa"/>
            <w:vAlign w:val="bottom"/>
          </w:tcPr>
          <w:p>
            <w:pPr>
              <w:jc w:val="right"/>
              <w:ind w:right="519"/>
              <w:spacing w:after="0"/>
              <w:rPr>
                <w:sz w:val="20"/>
                <w:szCs w:val="20"/>
                <w:color w:val="auto"/>
              </w:rPr>
            </w:pPr>
            <w:r>
              <w:rPr>
                <w:rFonts w:ascii="Arial" w:cs="Arial" w:eastAsia="Arial" w:hAnsi="Arial"/>
                <w:sz w:val="16"/>
                <w:szCs w:val="16"/>
                <w:b w:val="1"/>
                <w:bCs w:val="1"/>
                <w:color w:val="auto"/>
              </w:rPr>
              <w:t>life (years)</w:t>
            </w:r>
          </w:p>
        </w:tc>
        <w:tc>
          <w:tcPr>
            <w:tcW w:w="1440" w:type="dxa"/>
            <w:vAlign w:val="bottom"/>
          </w:tcPr>
          <w:p>
            <w:pPr>
              <w:jc w:val="right"/>
              <w:ind w:right="79"/>
              <w:spacing w:after="0"/>
              <w:rPr>
                <w:sz w:val="20"/>
                <w:szCs w:val="20"/>
                <w:color w:val="auto"/>
              </w:rPr>
            </w:pPr>
            <w:r>
              <w:rPr>
                <w:rFonts w:ascii="Arial" w:cs="Arial" w:eastAsia="Arial" w:hAnsi="Arial"/>
                <w:sz w:val="16"/>
                <w:szCs w:val="16"/>
                <w:b w:val="1"/>
                <w:bCs w:val="1"/>
                <w:color w:val="auto"/>
              </w:rPr>
              <w:t>value</w:t>
            </w:r>
          </w:p>
        </w:tc>
      </w:tr>
      <w:tr>
        <w:trPr>
          <w:trHeight w:val="33"/>
        </w:trPr>
        <w:tc>
          <w:tcPr>
            <w:tcW w:w="40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beginning of year</w:t>
            </w:r>
          </w:p>
        </w:tc>
        <w:tc>
          <w:tcPr>
            <w:tcW w:w="200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b w:val="1"/>
                <w:bCs w:val="1"/>
                <w:color w:val="auto"/>
              </w:rPr>
              <w:t>13.5</w:t>
            </w:r>
          </w:p>
        </w:tc>
        <w:tc>
          <w:tcPr>
            <w:tcW w:w="192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$48</w:t>
            </w:r>
          </w:p>
        </w:tc>
        <w:tc>
          <w:tcPr>
            <w:tcW w:w="20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37"/>
        </w:trPr>
        <w:tc>
          <w:tcPr>
            <w:tcW w:w="4020" w:type="dxa"/>
            <w:vAlign w:val="bottom"/>
          </w:tcPr>
          <w:p>
            <w:pPr>
              <w:ind w:left="40"/>
              <w:spacing w:after="0"/>
              <w:rPr>
                <w:sz w:val="20"/>
                <w:szCs w:val="20"/>
                <w:color w:val="auto"/>
              </w:rPr>
            </w:pPr>
            <w:r>
              <w:rPr>
                <w:rFonts w:ascii="Arial" w:cs="Arial" w:eastAsia="Arial" w:hAnsi="Arial"/>
                <w:sz w:val="16"/>
                <w:szCs w:val="16"/>
                <w:color w:val="auto"/>
              </w:rPr>
              <w:t>Granted</w:t>
            </w:r>
          </w:p>
        </w:tc>
        <w:tc>
          <w:tcPr>
            <w:tcW w:w="2000" w:type="dxa"/>
            <w:vAlign w:val="bottom"/>
          </w:tcPr>
          <w:p>
            <w:pPr>
              <w:jc w:val="right"/>
              <w:ind w:right="439"/>
              <w:spacing w:after="0"/>
              <w:rPr>
                <w:sz w:val="20"/>
                <w:szCs w:val="20"/>
                <w:color w:val="auto"/>
              </w:rPr>
            </w:pPr>
            <w:r>
              <w:rPr>
                <w:rFonts w:ascii="Arial" w:cs="Arial" w:eastAsia="Arial" w:hAnsi="Arial"/>
                <w:sz w:val="16"/>
                <w:szCs w:val="16"/>
                <w:b w:val="1"/>
                <w:bCs w:val="1"/>
                <w:color w:val="auto"/>
              </w:rPr>
              <w:t>0.3</w:t>
            </w:r>
          </w:p>
        </w:tc>
        <w:tc>
          <w:tcPr>
            <w:tcW w:w="1920" w:type="dxa"/>
            <w:vAlign w:val="bottom"/>
          </w:tcPr>
          <w:p>
            <w:pPr>
              <w:jc w:val="right"/>
              <w:ind w:right="419"/>
              <w:spacing w:after="0"/>
              <w:rPr>
                <w:sz w:val="20"/>
                <w:szCs w:val="20"/>
                <w:color w:val="auto"/>
              </w:rPr>
            </w:pPr>
            <w:r>
              <w:rPr>
                <w:rFonts w:ascii="Arial" w:cs="Arial" w:eastAsia="Arial" w:hAnsi="Arial"/>
                <w:sz w:val="16"/>
                <w:szCs w:val="16"/>
                <w:b w:val="1"/>
                <w:bCs w:val="1"/>
                <w:color w:val="auto"/>
              </w:rPr>
              <w:t>47</w:t>
            </w:r>
          </w:p>
        </w:tc>
        <w:tc>
          <w:tcPr>
            <w:tcW w:w="20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3"/>
        </w:trPr>
        <w:tc>
          <w:tcPr>
            <w:tcW w:w="40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Exercised</w:t>
            </w:r>
          </w:p>
        </w:tc>
        <w:tc>
          <w:tcPr>
            <w:tcW w:w="200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b w:val="1"/>
                <w:bCs w:val="1"/>
                <w:color w:val="auto"/>
              </w:rPr>
              <w:t>(0.7)</w:t>
            </w:r>
          </w:p>
        </w:tc>
        <w:tc>
          <w:tcPr>
            <w:tcW w:w="192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30</w:t>
            </w:r>
          </w:p>
        </w:tc>
        <w:tc>
          <w:tcPr>
            <w:tcW w:w="20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37"/>
        </w:trPr>
        <w:tc>
          <w:tcPr>
            <w:tcW w:w="4020" w:type="dxa"/>
            <w:vAlign w:val="bottom"/>
          </w:tcPr>
          <w:p>
            <w:pPr>
              <w:ind w:left="40"/>
              <w:spacing w:after="0"/>
              <w:rPr>
                <w:sz w:val="20"/>
                <w:szCs w:val="20"/>
                <w:color w:val="auto"/>
              </w:rPr>
            </w:pPr>
            <w:r>
              <w:rPr>
                <w:rFonts w:ascii="Arial" w:cs="Arial" w:eastAsia="Arial" w:hAnsi="Arial"/>
                <w:sz w:val="16"/>
                <w:szCs w:val="16"/>
                <w:color w:val="auto"/>
              </w:rPr>
              <w:t>Forfeited or cancelled</w:t>
            </w:r>
          </w:p>
        </w:tc>
        <w:tc>
          <w:tcPr>
            <w:tcW w:w="2000" w:type="dxa"/>
            <w:vAlign w:val="bottom"/>
          </w:tcPr>
          <w:p>
            <w:pPr>
              <w:jc w:val="right"/>
              <w:ind w:right="399"/>
              <w:spacing w:after="0"/>
              <w:rPr>
                <w:sz w:val="20"/>
                <w:szCs w:val="20"/>
                <w:color w:val="auto"/>
              </w:rPr>
            </w:pPr>
            <w:r>
              <w:rPr>
                <w:rFonts w:ascii="Arial" w:cs="Arial" w:eastAsia="Arial" w:hAnsi="Arial"/>
                <w:sz w:val="16"/>
                <w:szCs w:val="16"/>
                <w:b w:val="1"/>
                <w:bCs w:val="1"/>
                <w:color w:val="auto"/>
              </w:rPr>
              <w:t>(0.8)</w:t>
            </w:r>
          </w:p>
        </w:tc>
        <w:tc>
          <w:tcPr>
            <w:tcW w:w="1920" w:type="dxa"/>
            <w:vAlign w:val="bottom"/>
          </w:tcPr>
          <w:p>
            <w:pPr>
              <w:jc w:val="right"/>
              <w:ind w:right="419"/>
              <w:spacing w:after="0"/>
              <w:rPr>
                <w:sz w:val="20"/>
                <w:szCs w:val="20"/>
                <w:color w:val="auto"/>
              </w:rPr>
            </w:pPr>
            <w:r>
              <w:rPr>
                <w:rFonts w:ascii="Arial" w:cs="Arial" w:eastAsia="Arial" w:hAnsi="Arial"/>
                <w:sz w:val="16"/>
                <w:szCs w:val="16"/>
                <w:b w:val="1"/>
                <w:bCs w:val="1"/>
                <w:color w:val="auto"/>
              </w:rPr>
              <w:t>54</w:t>
            </w:r>
          </w:p>
        </w:tc>
        <w:tc>
          <w:tcPr>
            <w:tcW w:w="20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3"/>
        </w:trPr>
        <w:tc>
          <w:tcPr>
            <w:tcW w:w="40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9"/>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Outstanding, end of year</w:t>
            </w:r>
          </w:p>
        </w:tc>
        <w:tc>
          <w:tcPr>
            <w:tcW w:w="200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b w:val="1"/>
                <w:bCs w:val="1"/>
                <w:color w:val="auto"/>
              </w:rPr>
              <w:t>12.3</w:t>
            </w:r>
          </w:p>
        </w:tc>
        <w:tc>
          <w:tcPr>
            <w:tcW w:w="192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$49</w:t>
            </w:r>
          </w:p>
        </w:tc>
        <w:tc>
          <w:tcPr>
            <w:tcW w:w="202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6"/>
                <w:szCs w:val="16"/>
                <w:b w:val="1"/>
                <w:bCs w:val="1"/>
                <w:color w:val="auto"/>
              </w:rPr>
              <w:t>5</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$52</w:t>
            </w:r>
          </w:p>
        </w:tc>
      </w:tr>
      <w:tr>
        <w:trPr>
          <w:trHeight w:val="231"/>
        </w:trPr>
        <w:tc>
          <w:tcPr>
            <w:tcW w:w="40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Exercisable, end of year</w:t>
            </w:r>
          </w:p>
        </w:tc>
        <w:tc>
          <w:tcPr>
            <w:tcW w:w="2000" w:type="dxa"/>
            <w:vAlign w:val="bottom"/>
            <w:tcBorders>
              <w:top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9.1</w:t>
            </w:r>
          </w:p>
        </w:tc>
        <w:tc>
          <w:tcPr>
            <w:tcW w:w="192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$47</w:t>
            </w:r>
          </w:p>
        </w:tc>
        <w:tc>
          <w:tcPr>
            <w:tcW w:w="2020" w:type="dxa"/>
            <w:vAlign w:val="bottom"/>
            <w:tcBorders>
              <w:top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4</w:t>
            </w:r>
          </w:p>
        </w:tc>
        <w:tc>
          <w:tcPr>
            <w:tcW w:w="14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$49</w:t>
            </w:r>
          </w:p>
        </w:tc>
      </w:tr>
      <w:tr>
        <w:trPr>
          <w:trHeight w:val="33"/>
        </w:trPr>
        <w:tc>
          <w:tcPr>
            <w:tcW w:w="40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9"/>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Vested or expected to vest, end of year</w:t>
            </w:r>
          </w:p>
        </w:tc>
        <w:tc>
          <w:tcPr>
            <w:tcW w:w="200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b w:val="1"/>
                <w:bCs w:val="1"/>
                <w:color w:val="auto"/>
              </w:rPr>
              <w:t>11.8</w:t>
            </w:r>
          </w:p>
        </w:tc>
        <w:tc>
          <w:tcPr>
            <w:tcW w:w="192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$49</w:t>
            </w:r>
          </w:p>
        </w:tc>
        <w:tc>
          <w:tcPr>
            <w:tcW w:w="202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6"/>
                <w:szCs w:val="16"/>
                <w:b w:val="1"/>
                <w:bCs w:val="1"/>
                <w:color w:val="auto"/>
              </w:rPr>
              <w:t>5</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$52</w:t>
            </w:r>
          </w:p>
        </w:tc>
      </w:tr>
      <w:tr>
        <w:trPr>
          <w:trHeight w:val="291"/>
        </w:trPr>
        <w:tc>
          <w:tcPr>
            <w:tcW w:w="4020" w:type="dxa"/>
            <w:vAlign w:val="bottom"/>
            <w:tcBorders>
              <w:top w:val="single" w:sz="8" w:color="auto"/>
            </w:tcBorders>
          </w:tcPr>
          <w:p>
            <w:pPr>
              <w:spacing w:after="0"/>
              <w:rPr>
                <w:sz w:val="24"/>
                <w:szCs w:val="24"/>
                <w:color w:val="auto"/>
              </w:rPr>
            </w:pPr>
          </w:p>
        </w:tc>
        <w:tc>
          <w:tcPr>
            <w:tcW w:w="2000" w:type="dxa"/>
            <w:vAlign w:val="bottom"/>
            <w:tcBorders>
              <w:top w:val="single" w:sz="8" w:color="auto"/>
            </w:tcBorders>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202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r>
      <w:tr>
        <w:trPr>
          <w:trHeight w:val="275"/>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Fiscal year</w:t>
            </w:r>
          </w:p>
        </w:tc>
        <w:tc>
          <w:tcPr>
            <w:tcW w:w="200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2017</w:t>
            </w:r>
          </w:p>
        </w:tc>
        <w:tc>
          <w:tcPr>
            <w:tcW w:w="202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6"/>
                <w:szCs w:val="16"/>
                <w:b w:val="1"/>
                <w:bCs w:val="1"/>
                <w:color w:val="auto"/>
              </w:rPr>
              <w:t>2016</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2015</w:t>
            </w:r>
          </w:p>
        </w:tc>
      </w:tr>
      <w:tr>
        <w:trPr>
          <w:trHeight w:val="231"/>
        </w:trPr>
        <w:tc>
          <w:tcPr>
            <w:tcW w:w="40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Aggregate intrinsic value of options exercised</w:t>
            </w:r>
          </w:p>
        </w:tc>
        <w:tc>
          <w:tcPr>
            <w:tcW w:w="200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$13</w:t>
            </w:r>
          </w:p>
        </w:tc>
        <w:tc>
          <w:tcPr>
            <w:tcW w:w="2020" w:type="dxa"/>
            <w:vAlign w:val="bottom"/>
            <w:tcBorders>
              <w:top w:val="single" w:sz="8" w:color="auto"/>
            </w:tcBorders>
          </w:tcPr>
          <w:p>
            <w:pPr>
              <w:jc w:val="right"/>
              <w:ind w:right="519"/>
              <w:spacing w:after="0"/>
              <w:rPr>
                <w:sz w:val="20"/>
                <w:szCs w:val="20"/>
                <w:color w:val="auto"/>
              </w:rPr>
            </w:pPr>
            <w:r>
              <w:rPr>
                <w:rFonts w:ascii="Arial" w:cs="Arial" w:eastAsia="Arial" w:hAnsi="Arial"/>
                <w:sz w:val="16"/>
                <w:szCs w:val="16"/>
                <w:color w:val="auto"/>
              </w:rPr>
              <w:t>$30</w:t>
            </w:r>
          </w:p>
        </w:tc>
        <w:tc>
          <w:tcPr>
            <w:tcW w:w="14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$62</w:t>
            </w:r>
          </w:p>
        </w:tc>
      </w:tr>
      <w:tr>
        <w:trPr>
          <w:trHeight w:val="33"/>
        </w:trPr>
        <w:tc>
          <w:tcPr>
            <w:tcW w:w="40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Fair value of stock options vested</w:t>
            </w:r>
          </w:p>
        </w:tc>
        <w:tc>
          <w:tcPr>
            <w:tcW w:w="20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$34</w:t>
            </w:r>
          </w:p>
        </w:tc>
        <w:tc>
          <w:tcPr>
            <w:tcW w:w="202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6"/>
                <w:szCs w:val="16"/>
                <w:color w:val="auto"/>
              </w:rPr>
              <w:t>$40</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w:t>
            </w:r>
          </w:p>
        </w:tc>
      </w:tr>
      <w:tr>
        <w:trPr>
          <w:trHeight w:val="20"/>
        </w:trPr>
        <w:tc>
          <w:tcPr>
            <w:tcW w:w="4020" w:type="dxa"/>
            <w:vAlign w:val="bottom"/>
            <w:shd w:val="clear" w:color="auto" w:fill="000000"/>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As of February 3, 2018, the total unrecognized stock-based compensation expense related to nonvested stock options was $22, which is expected to be recognized over a weighted-average period of 21 months.</w:t>
      </w:r>
    </w:p>
    <w:p>
      <w:pPr>
        <w:sectPr>
          <w:pgSz w:w="11900" w:h="16838" w:orient="portrait"/>
          <w:cols w:equalWidth="0" w:num="1">
            <w:col w:w="11420"/>
          </w:cols>
          <w:pgMar w:left="240" w:top="126" w:right="239" w:bottom="1440" w:gutter="0" w:footer="0" w:header="0"/>
          <w:type w:val="continuous"/>
        </w:sect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20"/>
          </w:cols>
          <w:pgMar w:left="240" w:top="126" w:right="239" w:bottom="1440" w:gutter="0" w:footer="0" w:header="0"/>
          <w:type w:val="continuous"/>
        </w:sectPr>
      </w:pPr>
    </w:p>
    <w:bookmarkStart w:id="57" w:name="page58"/>
    <w:bookmarkEnd w:id="57"/>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27"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Our Compensation Committee of our Board of Directors approves grants of restricted stock units to employees. The number of units granted to an individual are determined based upon a percentage of the recipient’s base salary and the fair value of the restricted stock. Restricted stock units typically vest over four years.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restricted stock unit activity for 2017 is presented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80" w:type="dxa"/>
            <w:vAlign w:val="bottom"/>
          </w:tcPr>
          <w:p>
            <w:pPr>
              <w:ind w:left="40"/>
              <w:spacing w:after="0"/>
              <w:rPr>
                <w:sz w:val="20"/>
                <w:szCs w:val="20"/>
                <w:color w:val="auto"/>
              </w:rPr>
            </w:pPr>
            <w:r>
              <w:rPr>
                <w:rFonts w:ascii="Arial" w:cs="Arial" w:eastAsia="Arial" w:hAnsi="Arial"/>
                <w:sz w:val="16"/>
                <w:szCs w:val="16"/>
                <w:b w:val="1"/>
                <w:bCs w:val="1"/>
                <w:color w:val="auto"/>
              </w:rPr>
              <w:t>Fiscal year</w:t>
            </w:r>
          </w:p>
        </w:tc>
        <w:tc>
          <w:tcPr>
            <w:tcW w:w="5940" w:type="dxa"/>
            <w:vAlign w:val="bottom"/>
            <w:gridSpan w:val="2"/>
          </w:tcPr>
          <w:p>
            <w:pPr>
              <w:jc w:val="right"/>
              <w:ind w:right="1619"/>
              <w:spacing w:after="0"/>
              <w:rPr>
                <w:sz w:val="20"/>
                <w:szCs w:val="20"/>
                <w:color w:val="auto"/>
              </w:rPr>
            </w:pPr>
            <w:r>
              <w:rPr>
                <w:rFonts w:ascii="Arial" w:cs="Arial" w:eastAsia="Arial" w:hAnsi="Arial"/>
                <w:sz w:val="16"/>
                <w:szCs w:val="16"/>
                <w:b w:val="1"/>
                <w:bCs w:val="1"/>
                <w:color w:val="auto"/>
              </w:rPr>
              <w:t>2017</w:t>
            </w:r>
          </w:p>
        </w:tc>
      </w:tr>
      <w:tr>
        <w:trPr>
          <w:trHeight w:val="33"/>
        </w:trPr>
        <w:tc>
          <w:tcPr>
            <w:tcW w:w="548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09"/>
        </w:trPr>
        <w:tc>
          <w:tcPr>
            <w:tcW w:w="548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880" w:type="dxa"/>
            <w:vAlign w:val="bottom"/>
          </w:tcPr>
          <w:p>
            <w:pPr>
              <w:jc w:val="right"/>
              <w:ind w:right="19"/>
              <w:spacing w:after="0"/>
              <w:rPr>
                <w:sz w:val="20"/>
                <w:szCs w:val="20"/>
                <w:color w:val="auto"/>
              </w:rPr>
            </w:pPr>
            <w:r>
              <w:rPr>
                <w:rFonts w:ascii="Arial" w:cs="Arial" w:eastAsia="Arial" w:hAnsi="Arial"/>
                <w:sz w:val="16"/>
                <w:szCs w:val="16"/>
                <w:b w:val="1"/>
                <w:bCs w:val="1"/>
                <w:color w:val="auto"/>
                <w:w w:val="96"/>
              </w:rPr>
              <w:t>Weighted-average grant</w:t>
            </w:r>
          </w:p>
        </w:tc>
      </w:tr>
      <w:tr>
        <w:trPr>
          <w:trHeight w:val="210"/>
        </w:trPr>
        <w:tc>
          <w:tcPr>
            <w:tcW w:w="5480" w:type="dxa"/>
            <w:vAlign w:val="bottom"/>
          </w:tcPr>
          <w:p>
            <w:pPr>
              <w:spacing w:after="0"/>
              <w:rPr>
                <w:sz w:val="18"/>
                <w:szCs w:val="18"/>
                <w:color w:val="auto"/>
              </w:rPr>
            </w:pPr>
          </w:p>
        </w:tc>
        <w:tc>
          <w:tcPr>
            <w:tcW w:w="4060" w:type="dxa"/>
            <w:vAlign w:val="bottom"/>
          </w:tcPr>
          <w:p>
            <w:pPr>
              <w:jc w:val="right"/>
              <w:ind w:right="79"/>
              <w:spacing w:after="0"/>
              <w:rPr>
                <w:sz w:val="20"/>
                <w:szCs w:val="20"/>
                <w:color w:val="auto"/>
              </w:rPr>
            </w:pPr>
            <w:r>
              <w:rPr>
                <w:rFonts w:ascii="Arial" w:cs="Arial" w:eastAsia="Arial" w:hAnsi="Arial"/>
                <w:sz w:val="16"/>
                <w:szCs w:val="16"/>
                <w:b w:val="1"/>
                <w:bCs w:val="1"/>
                <w:color w:val="auto"/>
              </w:rPr>
              <w:t>Shares</w:t>
            </w:r>
          </w:p>
        </w:tc>
        <w:tc>
          <w:tcPr>
            <w:tcW w:w="1880" w:type="dxa"/>
            <w:vAlign w:val="bottom"/>
          </w:tcPr>
          <w:p>
            <w:pPr>
              <w:jc w:val="right"/>
              <w:ind w:right="19"/>
              <w:spacing w:after="0"/>
              <w:rPr>
                <w:sz w:val="20"/>
                <w:szCs w:val="20"/>
                <w:color w:val="auto"/>
              </w:rPr>
            </w:pPr>
            <w:r>
              <w:rPr>
                <w:rFonts w:ascii="Arial" w:cs="Arial" w:eastAsia="Arial" w:hAnsi="Arial"/>
                <w:sz w:val="16"/>
                <w:szCs w:val="16"/>
                <w:b w:val="1"/>
                <w:bCs w:val="1"/>
                <w:color w:val="auto"/>
              </w:rPr>
              <w:t>date fair value per unit</w:t>
            </w:r>
          </w:p>
        </w:tc>
      </w:tr>
      <w:tr>
        <w:trPr>
          <w:trHeight w:val="33"/>
        </w:trPr>
        <w:tc>
          <w:tcPr>
            <w:tcW w:w="548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44"/>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beginning of year</w:t>
            </w:r>
          </w:p>
        </w:tc>
        <w:tc>
          <w:tcPr>
            <w:tcW w:w="4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2.3</w:t>
            </w:r>
          </w:p>
        </w:tc>
        <w:tc>
          <w:tcPr>
            <w:tcW w:w="1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$49</w:t>
            </w:r>
          </w:p>
        </w:tc>
      </w:tr>
      <w:tr>
        <w:trPr>
          <w:trHeight w:val="237"/>
        </w:trPr>
        <w:tc>
          <w:tcPr>
            <w:tcW w:w="5480" w:type="dxa"/>
            <w:vAlign w:val="bottom"/>
          </w:tcPr>
          <w:p>
            <w:pPr>
              <w:ind w:left="40"/>
              <w:spacing w:after="0"/>
              <w:rPr>
                <w:sz w:val="20"/>
                <w:szCs w:val="20"/>
                <w:color w:val="auto"/>
              </w:rPr>
            </w:pPr>
            <w:r>
              <w:rPr>
                <w:rFonts w:ascii="Arial" w:cs="Arial" w:eastAsia="Arial" w:hAnsi="Arial"/>
                <w:sz w:val="16"/>
                <w:szCs w:val="16"/>
                <w:color w:val="auto"/>
              </w:rPr>
              <w:t>Granted</w:t>
            </w:r>
          </w:p>
        </w:tc>
        <w:tc>
          <w:tcPr>
            <w:tcW w:w="4060" w:type="dxa"/>
            <w:vAlign w:val="bottom"/>
          </w:tcPr>
          <w:p>
            <w:pPr>
              <w:jc w:val="right"/>
              <w:ind w:right="79"/>
              <w:spacing w:after="0"/>
              <w:rPr>
                <w:sz w:val="20"/>
                <w:szCs w:val="20"/>
                <w:color w:val="auto"/>
              </w:rPr>
            </w:pPr>
            <w:r>
              <w:rPr>
                <w:rFonts w:ascii="Arial" w:cs="Arial" w:eastAsia="Arial" w:hAnsi="Arial"/>
                <w:sz w:val="16"/>
                <w:szCs w:val="16"/>
                <w:b w:val="1"/>
                <w:bCs w:val="1"/>
                <w:color w:val="auto"/>
              </w:rPr>
              <w:t>1.9</w:t>
            </w:r>
          </w:p>
        </w:tc>
        <w:tc>
          <w:tcPr>
            <w:tcW w:w="1880" w:type="dxa"/>
            <w:vAlign w:val="bottom"/>
          </w:tcPr>
          <w:p>
            <w:pPr>
              <w:jc w:val="right"/>
              <w:ind w:right="19"/>
              <w:spacing w:after="0"/>
              <w:rPr>
                <w:sz w:val="20"/>
                <w:szCs w:val="20"/>
                <w:color w:val="auto"/>
              </w:rPr>
            </w:pPr>
            <w:r>
              <w:rPr>
                <w:rFonts w:ascii="Arial" w:cs="Arial" w:eastAsia="Arial" w:hAnsi="Arial"/>
                <w:sz w:val="16"/>
                <w:szCs w:val="16"/>
                <w:b w:val="1"/>
                <w:bCs w:val="1"/>
                <w:color w:val="auto"/>
              </w:rPr>
              <w:t>42</w:t>
            </w:r>
          </w:p>
        </w:tc>
      </w:tr>
      <w:tr>
        <w:trPr>
          <w:trHeight w:val="33"/>
        </w:trPr>
        <w:tc>
          <w:tcPr>
            <w:tcW w:w="548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Vested</w:t>
            </w:r>
          </w:p>
        </w:tc>
        <w:tc>
          <w:tcPr>
            <w:tcW w:w="4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(0.5)</w:t>
            </w:r>
          </w:p>
        </w:tc>
        <w:tc>
          <w:tcPr>
            <w:tcW w:w="1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56</w:t>
            </w:r>
          </w:p>
        </w:tc>
      </w:tr>
      <w:tr>
        <w:trPr>
          <w:trHeight w:val="237"/>
        </w:trPr>
        <w:tc>
          <w:tcPr>
            <w:tcW w:w="5480" w:type="dxa"/>
            <w:vAlign w:val="bottom"/>
          </w:tcPr>
          <w:p>
            <w:pPr>
              <w:ind w:left="40"/>
              <w:spacing w:after="0"/>
              <w:rPr>
                <w:sz w:val="20"/>
                <w:szCs w:val="20"/>
                <w:color w:val="auto"/>
              </w:rPr>
            </w:pPr>
            <w:r>
              <w:rPr>
                <w:rFonts w:ascii="Arial" w:cs="Arial" w:eastAsia="Arial" w:hAnsi="Arial"/>
                <w:sz w:val="16"/>
                <w:szCs w:val="16"/>
                <w:color w:val="auto"/>
              </w:rPr>
              <w:t>Forfeited or cancelled</w:t>
            </w:r>
          </w:p>
        </w:tc>
        <w:tc>
          <w:tcPr>
            <w:tcW w:w="4060" w:type="dxa"/>
            <w:vAlign w:val="bottom"/>
          </w:tcPr>
          <w:p>
            <w:pPr>
              <w:jc w:val="right"/>
              <w:ind w:right="19"/>
              <w:spacing w:after="0"/>
              <w:rPr>
                <w:sz w:val="20"/>
                <w:szCs w:val="20"/>
                <w:color w:val="auto"/>
              </w:rPr>
            </w:pPr>
            <w:r>
              <w:rPr>
                <w:rFonts w:ascii="Arial" w:cs="Arial" w:eastAsia="Arial" w:hAnsi="Arial"/>
                <w:sz w:val="16"/>
                <w:szCs w:val="16"/>
                <w:b w:val="1"/>
                <w:bCs w:val="1"/>
                <w:color w:val="auto"/>
              </w:rPr>
              <w:t>(0.4)</w:t>
            </w:r>
          </w:p>
        </w:tc>
        <w:tc>
          <w:tcPr>
            <w:tcW w:w="1880" w:type="dxa"/>
            <w:vAlign w:val="bottom"/>
          </w:tcPr>
          <w:p>
            <w:pPr>
              <w:jc w:val="right"/>
              <w:ind w:right="19"/>
              <w:spacing w:after="0"/>
              <w:rPr>
                <w:sz w:val="20"/>
                <w:szCs w:val="20"/>
                <w:color w:val="auto"/>
              </w:rPr>
            </w:pPr>
            <w:r>
              <w:rPr>
                <w:rFonts w:ascii="Arial" w:cs="Arial" w:eastAsia="Arial" w:hAnsi="Arial"/>
                <w:sz w:val="16"/>
                <w:szCs w:val="16"/>
                <w:b w:val="1"/>
                <w:bCs w:val="1"/>
                <w:color w:val="auto"/>
              </w:rPr>
              <w:t>63</w:t>
            </w:r>
          </w:p>
        </w:tc>
      </w:tr>
      <w:tr>
        <w:trPr>
          <w:trHeight w:val="33"/>
        </w:trPr>
        <w:tc>
          <w:tcPr>
            <w:tcW w:w="548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44"/>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Outstanding, end of year</w:t>
            </w:r>
          </w:p>
        </w:tc>
        <w:tc>
          <w:tcPr>
            <w:tcW w:w="4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3.3</w:t>
            </w:r>
          </w:p>
        </w:tc>
        <w:tc>
          <w:tcPr>
            <w:tcW w:w="1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$45</w:t>
            </w:r>
          </w:p>
        </w:tc>
      </w:tr>
      <w:tr>
        <w:trPr>
          <w:trHeight w:val="20"/>
        </w:trPr>
        <w:tc>
          <w:tcPr>
            <w:tcW w:w="5480" w:type="dxa"/>
            <w:vAlign w:val="bottom"/>
            <w:shd w:val="clear" w:color="auto" w:fill="000000"/>
          </w:tcPr>
          <w:p>
            <w:pPr>
              <w:spacing w:after="0" w:line="20" w:lineRule="exact"/>
              <w:rPr>
                <w:sz w:val="1"/>
                <w:szCs w:val="1"/>
                <w:color w:val="auto"/>
              </w:rPr>
            </w:pPr>
          </w:p>
        </w:tc>
        <w:tc>
          <w:tcPr>
            <w:tcW w:w="406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aggregate fair value of restricted stock units vested during 2017, 2016 and 2015 was $26, $17 and $11. As of February 3, 2018, the total unrecognized stock-based compensation expense related to nonvested restricted stock units was $83, which is expected to be recognized over a weighted-average period of 28 months.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Share Units</w:t>
      </w:r>
    </w:p>
    <w:p>
      <w:pPr>
        <w:spacing w:after="0" w:line="27"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We grant performance share units to executive officers as one of the ways to align compensation with shareholder interests. Performance share units are earned after a three-year performance cycle only when our total shareholder return (reflecting daily stock price appreciation and compounded reinvestment of dividends) outperforms companies in a defined peer group determined by the Compensation Committee of our Board of Directors. The percentage of units that are earned depends on our relative position at the end of the performance cycle and can range from 0% to 175% of the number of units granted.</w:t>
      </w:r>
    </w:p>
    <w:p>
      <w:pPr>
        <w:spacing w:after="0" w:line="10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Beginning in 2016, performance share units are payable only in Company stock and are classified as equity awards. We record compensation cost based upon the value of the underlying stock at the date of grant. The provisions of the performance share units are considered a market condition, and therefore the effect of that market condition is reflected in the grant date fair value of the award. We used a Monte-Carlo simulation to account for the market condition in the fair value of the award. Compensation cost is recognized regardless of whether the market condition is actually satisfied; however, the compensation cost is reversed if an employee terminates prior to satisfying the requisite service period. Dividends are not paid during the performance period.</w:t>
      </w:r>
    </w:p>
    <w:p>
      <w:pPr>
        <w:spacing w:after="0" w:line="104"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Our 2015 performance share units are liability-based awards due to our ability to settle them in cash or stock as elected by the employee. As liability-based awards, they are remeasured, with a corresponding adjustment to earnings, at each fiscal quarter-end during the performance cycle. The performance share unit liability is remeasured using the estimated percentage of units earned multiplied by the closing market price of our common stock on the current period-end date and is pro-rated based on the amount of time that has passed in the vesting period. The price used to determine the amount of cash or stock settled for the performance share units upon vesting is the closing market price of our common stock on the last day of the performance cycle.</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performance share unit activity, which assumes performance share units vest at 100% of the number of units granted: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Fiscal year</w:t>
            </w:r>
          </w:p>
        </w:tc>
        <w:tc>
          <w:tcPr>
            <w:tcW w:w="4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2017</w:t>
            </w:r>
          </w:p>
        </w:tc>
      </w:tr>
      <w:tr>
        <w:trPr>
          <w:trHeight w:val="217"/>
        </w:trPr>
        <w:tc>
          <w:tcPr>
            <w:tcW w:w="66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Outstanding units, beginning of year</w:t>
            </w:r>
          </w:p>
        </w:tc>
        <w:tc>
          <w:tcPr>
            <w:tcW w:w="47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0.2</w:t>
            </w:r>
          </w:p>
        </w:tc>
      </w:tr>
      <w:tr>
        <w:trPr>
          <w:trHeight w:val="33"/>
        </w:trPr>
        <w:tc>
          <w:tcPr>
            <w:tcW w:w="6680" w:type="dxa"/>
            <w:vAlign w:val="bottom"/>
          </w:tcPr>
          <w:p>
            <w:pPr>
              <w:spacing w:after="0"/>
              <w:rPr>
                <w:sz w:val="2"/>
                <w:szCs w:val="2"/>
                <w:color w:val="auto"/>
              </w:rPr>
            </w:pPr>
          </w:p>
        </w:tc>
        <w:tc>
          <w:tcPr>
            <w:tcW w:w="4720" w:type="dxa"/>
            <w:vAlign w:val="bottom"/>
          </w:tcPr>
          <w:p>
            <w:pPr>
              <w:spacing w:after="0"/>
              <w:rPr>
                <w:sz w:val="2"/>
                <w:szCs w:val="2"/>
                <w:color w:val="auto"/>
              </w:rPr>
            </w:pPr>
          </w:p>
        </w:tc>
      </w:tr>
      <w:tr>
        <w:trPr>
          <w:trHeight w:val="237"/>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Granted</w:t>
            </w:r>
          </w:p>
        </w:tc>
        <w:tc>
          <w:tcPr>
            <w:tcW w:w="4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0.1</w:t>
            </w:r>
          </w:p>
        </w:tc>
      </w:tr>
      <w:tr>
        <w:trPr>
          <w:trHeight w:val="224"/>
        </w:trPr>
        <w:tc>
          <w:tcPr>
            <w:tcW w:w="6680" w:type="dxa"/>
            <w:vAlign w:val="bottom"/>
          </w:tcPr>
          <w:p>
            <w:pPr>
              <w:ind w:left="40"/>
              <w:spacing w:after="0"/>
              <w:rPr>
                <w:sz w:val="20"/>
                <w:szCs w:val="20"/>
                <w:color w:val="auto"/>
              </w:rPr>
            </w:pPr>
            <w:r>
              <w:rPr>
                <w:rFonts w:ascii="Arial" w:cs="Arial" w:eastAsia="Arial" w:hAnsi="Arial"/>
                <w:sz w:val="16"/>
                <w:szCs w:val="16"/>
                <w:color w:val="auto"/>
              </w:rPr>
              <w:t>Vested</w:t>
            </w:r>
          </w:p>
        </w:tc>
        <w:tc>
          <w:tcPr>
            <w:tcW w:w="472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r>
      <w:tr>
        <w:trPr>
          <w:trHeight w:val="33"/>
        </w:trPr>
        <w:tc>
          <w:tcPr>
            <w:tcW w:w="6680" w:type="dxa"/>
            <w:vAlign w:val="bottom"/>
          </w:tcPr>
          <w:p>
            <w:pPr>
              <w:spacing w:after="0"/>
              <w:rPr>
                <w:sz w:val="2"/>
                <w:szCs w:val="2"/>
                <w:color w:val="auto"/>
              </w:rPr>
            </w:pPr>
          </w:p>
        </w:tc>
        <w:tc>
          <w:tcPr>
            <w:tcW w:w="4720" w:type="dxa"/>
            <w:vAlign w:val="bottom"/>
          </w:tcPr>
          <w:p>
            <w:pPr>
              <w:spacing w:after="0"/>
              <w:rPr>
                <w:sz w:val="2"/>
                <w:szCs w:val="2"/>
                <w:color w:val="auto"/>
              </w:rPr>
            </w:pPr>
          </w:p>
        </w:tc>
      </w:tr>
      <w:tr>
        <w:trPr>
          <w:trHeight w:val="262"/>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Forfeited or cancelled</w:t>
            </w:r>
          </w:p>
        </w:tc>
        <w:tc>
          <w:tcPr>
            <w:tcW w:w="4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(0.1)</w:t>
            </w:r>
          </w:p>
        </w:tc>
      </w:tr>
      <w:tr>
        <w:trPr>
          <w:trHeight w:val="217"/>
        </w:trPr>
        <w:tc>
          <w:tcPr>
            <w:tcW w:w="66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Outstanding units, end of year</w:t>
            </w:r>
          </w:p>
        </w:tc>
        <w:tc>
          <w:tcPr>
            <w:tcW w:w="47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0.2</w:t>
            </w:r>
          </w:p>
        </w:tc>
      </w:tr>
      <w:tr>
        <w:trPr>
          <w:trHeight w:val="33"/>
        </w:trPr>
        <w:tc>
          <w:tcPr>
            <w:tcW w:w="6680" w:type="dxa"/>
            <w:vAlign w:val="bottom"/>
            <w:tcBorders>
              <w:bottom w:val="single" w:sz="8" w:color="auto"/>
            </w:tcBorders>
          </w:tcPr>
          <w:p>
            <w:pPr>
              <w:spacing w:after="0"/>
              <w:rPr>
                <w:sz w:val="2"/>
                <w:szCs w:val="2"/>
                <w:color w:val="auto"/>
              </w:rPr>
            </w:pPr>
          </w:p>
        </w:tc>
        <w:tc>
          <w:tcPr>
            <w:tcW w:w="472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No performance share units were earned nor vested in 2017. In both 2016 and 2015, performance share units earned and vested at 75%, there was a stock and cash settlement of $3 and performance share units earned were less than 0.1.</w:t>
      </w:r>
    </w:p>
    <w:p>
      <w:pPr>
        <w:spacing w:after="0" w:line="364"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57</w:t>
      </w:r>
    </w:p>
    <w:p>
      <w:pPr>
        <w:sectPr>
          <w:pgSz w:w="11900" w:h="16838" w:orient="portrait"/>
          <w:cols w:equalWidth="0" w:num="1">
            <w:col w:w="11420"/>
          </w:cols>
          <w:pgMar w:left="240" w:top="126" w:right="239" w:bottom="1440" w:gutter="0" w:footer="0" w:header="0"/>
        </w:sectPr>
      </w:pPr>
    </w:p>
    <w:bookmarkStart w:id="58" w:name="page59"/>
    <w:bookmarkEnd w:id="58"/>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200" w:lineRule="exact"/>
        <w:rPr>
          <w:sz w:val="20"/>
          <w:szCs w:val="20"/>
          <w:color w:val="auto"/>
        </w:rPr>
      </w:pPr>
    </w:p>
    <w:p>
      <w:pPr>
        <w:spacing w:after="0" w:line="3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 of February 3, 2018, there were no liabilities recorded for performance share units and there was $4 in remaining unrecognized stock-based compensation expense for unvested performance share units.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INCOME TAXES</w:t>
      </w:r>
    </w:p>
    <w:p>
      <w:pPr>
        <w:spacing w:after="0" w:line="2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December 2017, the Tax Act was signed into law. Among numerous other provisions, the Tax Act significantly revises the U.S. federal corporate income tax by reducing the statutory rate from 35% to 21%, imposing a mandatory one-time transition tax on accumulated unrepatriated earnings of foreign subsidiaries and enhancing and extending the option to claim accelerated depreciation on qualified property. The Tax Act also revises tax laws that will affect 2018, including, but not limited to, eliminating certain deductions for executive compensation and limiting the deduction for interest. We have reasonably estimated the effects of the Tax Act and recorded provisional amounts in our Consolidated Financial Statements as of February 3, 2018. Net earnings included $42 related to the Tax Act, which includes a provisional one-time, non-cash charge of $51 related to the revaluation of our net deferred tax assets for the change in statutory tax rate and for the impacts associated with the future limitations on executive compensation, partially offset by cash tax savings from a lower federal tax rate. As we complete our analysis of the Tax Act and interpret any additional guidance issued by the U.S. Treasury Department, the IRS and other standard-setting bodies, we may make adjustments to the provisional amounts, which may materially impact our provision for income taxes in the period in which the adjustments are recorded.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U.S. and foreign components of earnings before income taxes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00" w:type="dxa"/>
            <w:vAlign w:val="bottom"/>
          </w:tcPr>
          <w:p>
            <w:pPr>
              <w:ind w:left="40"/>
              <w:spacing w:after="0"/>
              <w:rPr>
                <w:sz w:val="20"/>
                <w:szCs w:val="20"/>
                <w:color w:val="auto"/>
              </w:rPr>
            </w:pPr>
            <w:r>
              <w:rPr>
                <w:rFonts w:ascii="Arial" w:cs="Arial" w:eastAsia="Arial" w:hAnsi="Arial"/>
                <w:sz w:val="16"/>
                <w:szCs w:val="16"/>
                <w:b w:val="1"/>
                <w:bCs w:val="1"/>
                <w:color w:val="auto"/>
              </w:rPr>
              <w:t>Fiscal year</w:t>
            </w:r>
          </w:p>
        </w:tc>
        <w:tc>
          <w:tcPr>
            <w:tcW w:w="3660" w:type="dxa"/>
            <w:vAlign w:val="bottom"/>
          </w:tcPr>
          <w:p>
            <w:pPr>
              <w:jc w:val="right"/>
              <w:ind w:right="739"/>
              <w:spacing w:after="0"/>
              <w:rPr>
                <w:sz w:val="20"/>
                <w:szCs w:val="20"/>
                <w:color w:val="auto"/>
              </w:rPr>
            </w:pPr>
            <w:r>
              <w:rPr>
                <w:rFonts w:ascii="Arial" w:cs="Arial" w:eastAsia="Arial" w:hAnsi="Arial"/>
                <w:sz w:val="16"/>
                <w:szCs w:val="16"/>
                <w:b w:val="1"/>
                <w:bCs w:val="1"/>
                <w:color w:val="auto"/>
              </w:rPr>
              <w:t>2017</w:t>
            </w:r>
          </w:p>
        </w:tc>
        <w:tc>
          <w:tcPr>
            <w:tcW w:w="1940" w:type="dxa"/>
            <w:vAlign w:val="bottom"/>
          </w:tcPr>
          <w:p>
            <w:pPr>
              <w:jc w:val="right"/>
              <w:ind w:right="759"/>
              <w:spacing w:after="0"/>
              <w:rPr>
                <w:sz w:val="20"/>
                <w:szCs w:val="20"/>
                <w:color w:val="auto"/>
              </w:rPr>
            </w:pPr>
            <w:r>
              <w:rPr>
                <w:rFonts w:ascii="Arial" w:cs="Arial" w:eastAsia="Arial" w:hAnsi="Arial"/>
                <w:sz w:val="16"/>
                <w:szCs w:val="16"/>
                <w:b w:val="1"/>
                <w:bCs w:val="1"/>
                <w:color w:val="auto"/>
              </w:rPr>
              <w:t>2016</w:t>
            </w:r>
          </w:p>
        </w:tc>
        <w:tc>
          <w:tcPr>
            <w:tcW w:w="1200" w:type="dxa"/>
            <w:vAlign w:val="bottom"/>
          </w:tcPr>
          <w:p>
            <w:pPr>
              <w:jc w:val="right"/>
              <w:ind w:right="39"/>
              <w:spacing w:after="0"/>
              <w:rPr>
                <w:sz w:val="20"/>
                <w:szCs w:val="20"/>
                <w:color w:val="auto"/>
              </w:rPr>
            </w:pPr>
            <w:r>
              <w:rPr>
                <w:rFonts w:ascii="Arial" w:cs="Arial" w:eastAsia="Arial" w:hAnsi="Arial"/>
                <w:sz w:val="16"/>
                <w:szCs w:val="16"/>
                <w:b w:val="1"/>
                <w:bCs w:val="1"/>
                <w:color w:val="auto"/>
              </w:rPr>
              <w:t>2015</w:t>
            </w:r>
          </w:p>
        </w:tc>
      </w:tr>
      <w:tr>
        <w:trPr>
          <w:trHeight w:val="33"/>
        </w:trPr>
        <w:tc>
          <w:tcPr>
            <w:tcW w:w="460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U.S.</w:t>
            </w:r>
          </w:p>
        </w:tc>
        <w:tc>
          <w:tcPr>
            <w:tcW w:w="366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$803</w:t>
            </w:r>
          </w:p>
        </w:tc>
        <w:tc>
          <w:tcPr>
            <w:tcW w:w="1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rPr>
              <w:t>$687</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$996</w:t>
            </w:r>
          </w:p>
        </w:tc>
      </w:tr>
      <w:tr>
        <w:trPr>
          <w:trHeight w:val="237"/>
        </w:trPr>
        <w:tc>
          <w:tcPr>
            <w:tcW w:w="4600" w:type="dxa"/>
            <w:vAlign w:val="bottom"/>
          </w:tcPr>
          <w:p>
            <w:pPr>
              <w:ind w:left="40"/>
              <w:spacing w:after="0"/>
              <w:rPr>
                <w:sz w:val="20"/>
                <w:szCs w:val="20"/>
                <w:color w:val="auto"/>
              </w:rPr>
            </w:pPr>
            <w:r>
              <w:rPr>
                <w:rFonts w:ascii="Arial" w:cs="Arial" w:eastAsia="Arial" w:hAnsi="Arial"/>
                <w:sz w:val="16"/>
                <w:szCs w:val="16"/>
                <w:color w:val="auto"/>
              </w:rPr>
              <w:t>Foreign</w:t>
            </w:r>
          </w:p>
        </w:tc>
        <w:tc>
          <w:tcPr>
            <w:tcW w:w="3660" w:type="dxa"/>
            <w:vAlign w:val="bottom"/>
          </w:tcPr>
          <w:p>
            <w:pPr>
              <w:jc w:val="right"/>
              <w:ind w:right="699"/>
              <w:spacing w:after="0"/>
              <w:rPr>
                <w:sz w:val="20"/>
                <w:szCs w:val="20"/>
                <w:color w:val="auto"/>
              </w:rPr>
            </w:pPr>
            <w:r>
              <w:rPr>
                <w:rFonts w:ascii="Arial" w:cs="Arial" w:eastAsia="Arial" w:hAnsi="Arial"/>
                <w:sz w:val="16"/>
                <w:szCs w:val="16"/>
                <w:b w:val="1"/>
                <w:bCs w:val="1"/>
                <w:color w:val="auto"/>
              </w:rPr>
              <w:t>(13)</w:t>
            </w:r>
          </w:p>
        </w:tc>
        <w:tc>
          <w:tcPr>
            <w:tcW w:w="1940" w:type="dxa"/>
            <w:vAlign w:val="bottom"/>
          </w:tcPr>
          <w:p>
            <w:pPr>
              <w:jc w:val="right"/>
              <w:ind w:right="699"/>
              <w:spacing w:after="0"/>
              <w:rPr>
                <w:sz w:val="20"/>
                <w:szCs w:val="20"/>
                <w:color w:val="auto"/>
              </w:rPr>
            </w:pPr>
            <w:r>
              <w:rPr>
                <w:rFonts w:ascii="Arial" w:cs="Arial" w:eastAsia="Arial" w:hAnsi="Arial"/>
                <w:sz w:val="16"/>
                <w:szCs w:val="16"/>
                <w:color w:val="auto"/>
              </w:rPr>
              <w:t>(3)</w:t>
            </w:r>
          </w:p>
        </w:tc>
        <w:tc>
          <w:tcPr>
            <w:tcW w:w="120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33"/>
        </w:trPr>
        <w:tc>
          <w:tcPr>
            <w:tcW w:w="460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Earnings before income taxes</w:t>
            </w:r>
          </w:p>
        </w:tc>
        <w:tc>
          <w:tcPr>
            <w:tcW w:w="366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$790</w:t>
            </w:r>
          </w:p>
        </w:tc>
        <w:tc>
          <w:tcPr>
            <w:tcW w:w="1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rPr>
              <w:t>$684</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$976</w:t>
            </w:r>
          </w:p>
        </w:tc>
      </w:tr>
      <w:tr>
        <w:trPr>
          <w:trHeight w:val="20"/>
        </w:trPr>
        <w:tc>
          <w:tcPr>
            <w:tcW w:w="4600" w:type="dxa"/>
            <w:vAlign w:val="bottom"/>
            <w:shd w:val="clear" w:color="auto" w:fill="000000"/>
          </w:tcPr>
          <w:p>
            <w:pPr>
              <w:spacing w:after="0" w:line="20" w:lineRule="exact"/>
              <w:rPr>
                <w:sz w:val="1"/>
                <w:szCs w:val="1"/>
                <w:color w:val="auto"/>
              </w:rPr>
            </w:pPr>
          </w:p>
        </w:tc>
        <w:tc>
          <w:tcPr>
            <w:tcW w:w="3660" w:type="dxa"/>
            <w:vAlign w:val="bottom"/>
            <w:shd w:val="clear" w:color="auto" w:fill="000000"/>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consists of the following: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80" w:type="dxa"/>
            <w:vAlign w:val="bottom"/>
          </w:tcPr>
          <w:p>
            <w:pPr>
              <w:ind w:left="40"/>
              <w:spacing w:after="0"/>
              <w:rPr>
                <w:sz w:val="20"/>
                <w:szCs w:val="20"/>
                <w:color w:val="auto"/>
              </w:rPr>
            </w:pPr>
            <w:r>
              <w:rPr>
                <w:rFonts w:ascii="Arial" w:cs="Arial" w:eastAsia="Arial" w:hAnsi="Arial"/>
                <w:sz w:val="16"/>
                <w:szCs w:val="16"/>
                <w:b w:val="1"/>
                <w:bCs w:val="1"/>
                <w:color w:val="auto"/>
              </w:rPr>
              <w:t>Fiscal year</w:t>
            </w:r>
          </w:p>
        </w:tc>
        <w:tc>
          <w:tcPr>
            <w:tcW w:w="3260" w:type="dxa"/>
            <w:vAlign w:val="bottom"/>
          </w:tcPr>
          <w:p>
            <w:pPr>
              <w:jc w:val="right"/>
              <w:ind w:right="719"/>
              <w:spacing w:after="0"/>
              <w:rPr>
                <w:sz w:val="20"/>
                <w:szCs w:val="20"/>
                <w:color w:val="auto"/>
              </w:rPr>
            </w:pPr>
            <w:r>
              <w:rPr>
                <w:rFonts w:ascii="Arial" w:cs="Arial" w:eastAsia="Arial" w:hAnsi="Arial"/>
                <w:sz w:val="16"/>
                <w:szCs w:val="16"/>
                <w:b w:val="1"/>
                <w:bCs w:val="1"/>
                <w:color w:val="auto"/>
              </w:rPr>
              <w:t>2017</w:t>
            </w:r>
          </w:p>
        </w:tc>
        <w:tc>
          <w:tcPr>
            <w:tcW w:w="1960" w:type="dxa"/>
            <w:vAlign w:val="bottom"/>
          </w:tcPr>
          <w:p>
            <w:pPr>
              <w:jc w:val="right"/>
              <w:ind w:right="759"/>
              <w:spacing w:after="0"/>
              <w:rPr>
                <w:sz w:val="20"/>
                <w:szCs w:val="20"/>
                <w:color w:val="auto"/>
              </w:rPr>
            </w:pPr>
            <w:r>
              <w:rPr>
                <w:rFonts w:ascii="Arial" w:cs="Arial" w:eastAsia="Arial" w:hAnsi="Arial"/>
                <w:sz w:val="16"/>
                <w:szCs w:val="16"/>
                <w:b w:val="1"/>
                <w:bCs w:val="1"/>
                <w:color w:val="auto"/>
              </w:rPr>
              <w:t>2016</w:t>
            </w:r>
          </w:p>
        </w:tc>
        <w:tc>
          <w:tcPr>
            <w:tcW w:w="1200" w:type="dxa"/>
            <w:vAlign w:val="bottom"/>
          </w:tcPr>
          <w:p>
            <w:pPr>
              <w:jc w:val="right"/>
              <w:ind w:right="39"/>
              <w:spacing w:after="0"/>
              <w:rPr>
                <w:sz w:val="20"/>
                <w:szCs w:val="20"/>
                <w:color w:val="auto"/>
              </w:rPr>
            </w:pPr>
            <w:r>
              <w:rPr>
                <w:rFonts w:ascii="Arial" w:cs="Arial" w:eastAsia="Arial" w:hAnsi="Arial"/>
                <w:sz w:val="16"/>
                <w:szCs w:val="16"/>
                <w:b w:val="1"/>
                <w:bCs w:val="1"/>
                <w:color w:val="auto"/>
              </w:rPr>
              <w:t>2015</w:t>
            </w:r>
          </w:p>
        </w:tc>
      </w:tr>
      <w:tr>
        <w:trPr>
          <w:trHeight w:val="33"/>
        </w:trPr>
        <w:tc>
          <w:tcPr>
            <w:tcW w:w="498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income taxes:</w:t>
            </w:r>
          </w:p>
        </w:tc>
        <w:tc>
          <w:tcPr>
            <w:tcW w:w="326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4980" w:type="dxa"/>
            <w:vAlign w:val="bottom"/>
          </w:tcPr>
          <w:p>
            <w:pPr>
              <w:ind w:left="280"/>
              <w:spacing w:after="0"/>
              <w:rPr>
                <w:sz w:val="20"/>
                <w:szCs w:val="20"/>
                <w:color w:val="auto"/>
              </w:rPr>
            </w:pPr>
            <w:r>
              <w:rPr>
                <w:rFonts w:ascii="Arial" w:cs="Arial" w:eastAsia="Arial" w:hAnsi="Arial"/>
                <w:sz w:val="16"/>
                <w:szCs w:val="16"/>
                <w:color w:val="auto"/>
              </w:rPr>
              <w:t>Federal</w:t>
            </w:r>
          </w:p>
        </w:tc>
        <w:tc>
          <w:tcPr>
            <w:tcW w:w="3260" w:type="dxa"/>
            <w:vAlign w:val="bottom"/>
          </w:tcPr>
          <w:p>
            <w:pPr>
              <w:jc w:val="right"/>
              <w:ind w:right="719"/>
              <w:spacing w:after="0"/>
              <w:rPr>
                <w:sz w:val="20"/>
                <w:szCs w:val="20"/>
                <w:color w:val="auto"/>
              </w:rPr>
            </w:pPr>
            <w:r>
              <w:rPr>
                <w:rFonts w:ascii="Arial" w:cs="Arial" w:eastAsia="Arial" w:hAnsi="Arial"/>
                <w:sz w:val="16"/>
                <w:szCs w:val="16"/>
                <w:b w:val="1"/>
                <w:bCs w:val="1"/>
                <w:color w:val="auto"/>
              </w:rPr>
              <w:t>$291</w:t>
            </w:r>
          </w:p>
        </w:tc>
        <w:tc>
          <w:tcPr>
            <w:tcW w:w="1960" w:type="dxa"/>
            <w:vAlign w:val="bottom"/>
          </w:tcPr>
          <w:p>
            <w:pPr>
              <w:jc w:val="right"/>
              <w:ind w:right="759"/>
              <w:spacing w:after="0"/>
              <w:rPr>
                <w:sz w:val="20"/>
                <w:szCs w:val="20"/>
                <w:color w:val="auto"/>
              </w:rPr>
            </w:pPr>
            <w:r>
              <w:rPr>
                <w:rFonts w:ascii="Arial" w:cs="Arial" w:eastAsia="Arial" w:hAnsi="Arial"/>
                <w:sz w:val="16"/>
                <w:szCs w:val="16"/>
                <w:color w:val="auto"/>
              </w:rPr>
              <w:t>$290</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$202</w:t>
            </w:r>
          </w:p>
        </w:tc>
      </w:tr>
      <w:tr>
        <w:trPr>
          <w:trHeight w:val="33"/>
        </w:trPr>
        <w:tc>
          <w:tcPr>
            <w:tcW w:w="49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State and local</w:t>
            </w:r>
          </w:p>
        </w:tc>
        <w:tc>
          <w:tcPr>
            <w:tcW w:w="326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b w:val="1"/>
                <w:bCs w:val="1"/>
                <w:color w:val="auto"/>
              </w:rPr>
              <w:t>51</w:t>
            </w:r>
          </w:p>
        </w:tc>
        <w:tc>
          <w:tcPr>
            <w:tcW w:w="196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rPr>
              <w:t>54</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w:t>
            </w:r>
          </w:p>
        </w:tc>
      </w:tr>
      <w:tr>
        <w:trPr>
          <w:trHeight w:val="237"/>
        </w:trPr>
        <w:tc>
          <w:tcPr>
            <w:tcW w:w="4980" w:type="dxa"/>
            <w:vAlign w:val="bottom"/>
          </w:tcPr>
          <w:p>
            <w:pPr>
              <w:ind w:left="280"/>
              <w:spacing w:after="0"/>
              <w:rPr>
                <w:sz w:val="20"/>
                <w:szCs w:val="20"/>
                <w:color w:val="auto"/>
              </w:rPr>
            </w:pPr>
            <w:r>
              <w:rPr>
                <w:rFonts w:ascii="Arial" w:cs="Arial" w:eastAsia="Arial" w:hAnsi="Arial"/>
                <w:sz w:val="16"/>
                <w:szCs w:val="16"/>
                <w:color w:val="auto"/>
              </w:rPr>
              <w:t>Foreign</w:t>
            </w:r>
          </w:p>
        </w:tc>
        <w:tc>
          <w:tcPr>
            <w:tcW w:w="3260" w:type="dxa"/>
            <w:vAlign w:val="bottom"/>
          </w:tcPr>
          <w:p>
            <w:pPr>
              <w:jc w:val="right"/>
              <w:ind w:right="719"/>
              <w:spacing w:after="0"/>
              <w:rPr>
                <w:sz w:val="20"/>
                <w:szCs w:val="20"/>
                <w:color w:val="auto"/>
              </w:rPr>
            </w:pPr>
            <w:r>
              <w:rPr>
                <w:rFonts w:ascii="Arial" w:cs="Arial" w:eastAsia="Arial" w:hAnsi="Arial"/>
                <w:sz w:val="16"/>
                <w:szCs w:val="16"/>
                <w:b w:val="1"/>
                <w:bCs w:val="1"/>
                <w:color w:val="auto"/>
              </w:rPr>
              <w:t>—</w:t>
            </w:r>
          </w:p>
        </w:tc>
        <w:tc>
          <w:tcPr>
            <w:tcW w:w="1960" w:type="dxa"/>
            <w:vAlign w:val="bottom"/>
          </w:tcPr>
          <w:p>
            <w:pPr>
              <w:jc w:val="right"/>
              <w:ind w:right="759"/>
              <w:spacing w:after="0"/>
              <w:rPr>
                <w:sz w:val="20"/>
                <w:szCs w:val="20"/>
                <w:color w:val="auto"/>
              </w:rPr>
            </w:pPr>
            <w:r>
              <w:rPr>
                <w:rFonts w:ascii="Arial" w:cs="Arial" w:eastAsia="Arial" w:hAnsi="Arial"/>
                <w:sz w:val="16"/>
                <w:szCs w:val="16"/>
                <w:color w:val="auto"/>
              </w:rPr>
              <w:t>1</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498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current income tax expense</w:t>
            </w:r>
          </w:p>
        </w:tc>
        <w:tc>
          <w:tcPr>
            <w:tcW w:w="326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b w:val="1"/>
                <w:bCs w:val="1"/>
                <w:color w:val="auto"/>
              </w:rPr>
              <w:t>342</w:t>
            </w:r>
          </w:p>
        </w:tc>
        <w:tc>
          <w:tcPr>
            <w:tcW w:w="196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rPr>
              <w:t>345</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234</w:t>
            </w:r>
          </w:p>
        </w:tc>
      </w:tr>
      <w:tr>
        <w:trPr>
          <w:trHeight w:val="231"/>
        </w:trPr>
        <w:tc>
          <w:tcPr>
            <w:tcW w:w="49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Deferred income taxes:</w:t>
            </w:r>
          </w:p>
        </w:tc>
        <w:tc>
          <w:tcPr>
            <w:tcW w:w="3260" w:type="dxa"/>
            <w:vAlign w:val="bottom"/>
            <w:tcBorders>
              <w:top w:val="single" w:sz="8" w:color="auto"/>
            </w:tcBorders>
          </w:tcPr>
          <w:p>
            <w:pPr>
              <w:spacing w:after="0"/>
              <w:rPr>
                <w:sz w:val="20"/>
                <w:szCs w:val="20"/>
                <w:color w:val="auto"/>
              </w:rPr>
            </w:pPr>
          </w:p>
        </w:tc>
        <w:tc>
          <w:tcPr>
            <w:tcW w:w="19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r>
      <w:tr>
        <w:trPr>
          <w:trHeight w:val="33"/>
        </w:trPr>
        <w:tc>
          <w:tcPr>
            <w:tcW w:w="49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Federal</w:t>
            </w:r>
          </w:p>
        </w:tc>
        <w:tc>
          <w:tcPr>
            <w:tcW w:w="326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b w:val="1"/>
                <w:bCs w:val="1"/>
                <w:color w:val="auto"/>
              </w:rPr>
              <w:t>10</w:t>
            </w:r>
          </w:p>
        </w:tc>
        <w:tc>
          <w:tcPr>
            <w:tcW w:w="196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color w:val="auto"/>
              </w:rPr>
              <w:t>(17)</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123</w:t>
            </w:r>
          </w:p>
        </w:tc>
      </w:tr>
      <w:tr>
        <w:trPr>
          <w:trHeight w:val="237"/>
        </w:trPr>
        <w:tc>
          <w:tcPr>
            <w:tcW w:w="4980" w:type="dxa"/>
            <w:vAlign w:val="bottom"/>
          </w:tcPr>
          <w:p>
            <w:pPr>
              <w:ind w:left="280"/>
              <w:spacing w:after="0"/>
              <w:rPr>
                <w:sz w:val="20"/>
                <w:szCs w:val="20"/>
                <w:color w:val="auto"/>
              </w:rPr>
            </w:pPr>
            <w:r>
              <w:rPr>
                <w:rFonts w:ascii="Arial" w:cs="Arial" w:eastAsia="Arial" w:hAnsi="Arial"/>
                <w:sz w:val="16"/>
                <w:szCs w:val="16"/>
                <w:color w:val="auto"/>
              </w:rPr>
              <w:t>State and local</w:t>
            </w:r>
          </w:p>
        </w:tc>
        <w:tc>
          <w:tcPr>
            <w:tcW w:w="3260" w:type="dxa"/>
            <w:vAlign w:val="bottom"/>
          </w:tcPr>
          <w:p>
            <w:pPr>
              <w:jc w:val="right"/>
              <w:ind w:right="719"/>
              <w:spacing w:after="0"/>
              <w:rPr>
                <w:sz w:val="20"/>
                <w:szCs w:val="20"/>
                <w:color w:val="auto"/>
              </w:rPr>
            </w:pPr>
            <w:r>
              <w:rPr>
                <w:rFonts w:ascii="Arial" w:cs="Arial" w:eastAsia="Arial" w:hAnsi="Arial"/>
                <w:sz w:val="16"/>
                <w:szCs w:val="16"/>
                <w:b w:val="1"/>
                <w:bCs w:val="1"/>
                <w:color w:val="auto"/>
              </w:rPr>
              <w:t>1</w:t>
            </w:r>
          </w:p>
        </w:tc>
        <w:tc>
          <w:tcPr>
            <w:tcW w:w="1960" w:type="dxa"/>
            <w:vAlign w:val="bottom"/>
          </w:tcPr>
          <w:p>
            <w:pPr>
              <w:jc w:val="right"/>
              <w:ind w:right="699"/>
              <w:spacing w:after="0"/>
              <w:rPr>
                <w:sz w:val="20"/>
                <w:szCs w:val="20"/>
                <w:color w:val="auto"/>
              </w:rPr>
            </w:pPr>
            <w:r>
              <w:rPr>
                <w:rFonts w:ascii="Arial" w:cs="Arial" w:eastAsia="Arial" w:hAnsi="Arial"/>
                <w:sz w:val="16"/>
                <w:szCs w:val="16"/>
                <w:color w:val="auto"/>
              </w:rPr>
              <w:t>(5)</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23</w:t>
            </w:r>
          </w:p>
        </w:tc>
      </w:tr>
      <w:tr>
        <w:trPr>
          <w:trHeight w:val="33"/>
        </w:trPr>
        <w:tc>
          <w:tcPr>
            <w:tcW w:w="49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5"/>
        </w:trPr>
        <w:tc>
          <w:tcPr>
            <w:tcW w:w="4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Foreign</w:t>
            </w:r>
          </w:p>
        </w:tc>
        <w:tc>
          <w:tcPr>
            <w:tcW w:w="326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b w:val="1"/>
                <w:bCs w:val="1"/>
                <w:color w:val="auto"/>
              </w:rPr>
              <w:t>—</w:t>
            </w:r>
          </w:p>
        </w:tc>
        <w:tc>
          <w:tcPr>
            <w:tcW w:w="196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rPr>
              <w:t>7</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31"/>
        </w:trPr>
        <w:tc>
          <w:tcPr>
            <w:tcW w:w="49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deferred income tax (benefit) expense</w:t>
            </w:r>
          </w:p>
        </w:tc>
        <w:tc>
          <w:tcPr>
            <w:tcW w:w="3260" w:type="dxa"/>
            <w:vAlign w:val="bottom"/>
            <w:tcBorders>
              <w:top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11</w:t>
            </w:r>
          </w:p>
        </w:tc>
        <w:tc>
          <w:tcPr>
            <w:tcW w:w="1960" w:type="dxa"/>
            <w:vAlign w:val="bottom"/>
            <w:tcBorders>
              <w:top w:val="single" w:sz="8" w:color="auto"/>
            </w:tcBorders>
          </w:tcPr>
          <w:p>
            <w:pPr>
              <w:jc w:val="right"/>
              <w:ind w:right="699"/>
              <w:spacing w:after="0"/>
              <w:rPr>
                <w:sz w:val="20"/>
                <w:szCs w:val="20"/>
                <w:color w:val="auto"/>
              </w:rPr>
            </w:pPr>
            <w:r>
              <w:rPr>
                <w:rFonts w:ascii="Arial" w:cs="Arial" w:eastAsia="Arial" w:hAnsi="Arial"/>
                <w:sz w:val="16"/>
                <w:szCs w:val="16"/>
                <w:color w:val="auto"/>
              </w:rPr>
              <w:t>(15)</w:t>
            </w: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142</w:t>
            </w:r>
          </w:p>
        </w:tc>
      </w:tr>
      <w:tr>
        <w:trPr>
          <w:trHeight w:val="33"/>
        </w:trPr>
        <w:tc>
          <w:tcPr>
            <w:tcW w:w="498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income tax expense</w:t>
            </w:r>
          </w:p>
        </w:tc>
        <w:tc>
          <w:tcPr>
            <w:tcW w:w="326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b w:val="1"/>
                <w:bCs w:val="1"/>
                <w:color w:val="auto"/>
              </w:rPr>
              <w:t>$353</w:t>
            </w:r>
          </w:p>
        </w:tc>
        <w:tc>
          <w:tcPr>
            <w:tcW w:w="196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rPr>
              <w:t>$330</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$376</w:t>
            </w:r>
          </w:p>
        </w:tc>
      </w:tr>
      <w:tr>
        <w:trPr>
          <w:trHeight w:val="20"/>
        </w:trPr>
        <w:tc>
          <w:tcPr>
            <w:tcW w:w="4980" w:type="dxa"/>
            <w:vAlign w:val="bottom"/>
            <w:shd w:val="clear" w:color="auto" w:fill="000000"/>
          </w:tcPr>
          <w:p>
            <w:pPr>
              <w:spacing w:after="0" w:line="20" w:lineRule="exact"/>
              <w:rPr>
                <w:sz w:val="1"/>
                <w:szCs w:val="1"/>
                <w:color w:val="auto"/>
              </w:rPr>
            </w:pPr>
          </w:p>
        </w:tc>
        <w:tc>
          <w:tcPr>
            <w:tcW w:w="3260" w:type="dxa"/>
            <w:vAlign w:val="bottom"/>
            <w:shd w:val="clear" w:color="auto" w:fill="000000"/>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statutory federal income tax rate to the effective tax rate on earnings before income taxes is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80" w:type="dxa"/>
            <w:vAlign w:val="bottom"/>
          </w:tcPr>
          <w:p>
            <w:pPr>
              <w:ind w:left="40"/>
              <w:spacing w:after="0"/>
              <w:rPr>
                <w:sz w:val="20"/>
                <w:szCs w:val="20"/>
                <w:color w:val="auto"/>
              </w:rPr>
            </w:pPr>
            <w:r>
              <w:rPr>
                <w:rFonts w:ascii="Arial" w:cs="Arial" w:eastAsia="Arial" w:hAnsi="Arial"/>
                <w:sz w:val="16"/>
                <w:szCs w:val="16"/>
                <w:b w:val="1"/>
                <w:bCs w:val="1"/>
                <w:color w:val="auto"/>
              </w:rPr>
              <w:t>Fiscal year</w:t>
            </w:r>
          </w:p>
        </w:tc>
        <w:tc>
          <w:tcPr>
            <w:tcW w:w="2860" w:type="dxa"/>
            <w:vAlign w:val="bottom"/>
          </w:tcPr>
          <w:p>
            <w:pPr>
              <w:jc w:val="right"/>
              <w:ind w:right="879"/>
              <w:spacing w:after="0"/>
              <w:rPr>
                <w:sz w:val="20"/>
                <w:szCs w:val="20"/>
                <w:color w:val="auto"/>
              </w:rPr>
            </w:pPr>
            <w:r>
              <w:rPr>
                <w:rFonts w:ascii="Arial" w:cs="Arial" w:eastAsia="Arial" w:hAnsi="Arial"/>
                <w:sz w:val="16"/>
                <w:szCs w:val="16"/>
                <w:b w:val="1"/>
                <w:bCs w:val="1"/>
                <w:color w:val="auto"/>
              </w:rPr>
              <w:t>2017</w:t>
            </w:r>
          </w:p>
        </w:tc>
        <w:tc>
          <w:tcPr>
            <w:tcW w:w="1980" w:type="dxa"/>
            <w:vAlign w:val="bottom"/>
          </w:tcPr>
          <w:p>
            <w:pPr>
              <w:jc w:val="right"/>
              <w:ind w:right="839"/>
              <w:spacing w:after="0"/>
              <w:rPr>
                <w:sz w:val="20"/>
                <w:szCs w:val="20"/>
                <w:color w:val="auto"/>
              </w:rPr>
            </w:pPr>
            <w:r>
              <w:rPr>
                <w:rFonts w:ascii="Arial" w:cs="Arial" w:eastAsia="Arial" w:hAnsi="Arial"/>
                <w:sz w:val="16"/>
                <w:szCs w:val="16"/>
                <w:b w:val="1"/>
                <w:bCs w:val="1"/>
                <w:color w:val="auto"/>
              </w:rPr>
              <w:t>2016</w:t>
            </w:r>
          </w:p>
        </w:tc>
        <w:tc>
          <w:tcPr>
            <w:tcW w:w="1280" w:type="dxa"/>
            <w:vAlign w:val="bottom"/>
          </w:tcPr>
          <w:p>
            <w:pPr>
              <w:jc w:val="right"/>
              <w:ind w:right="139"/>
              <w:spacing w:after="0"/>
              <w:rPr>
                <w:sz w:val="20"/>
                <w:szCs w:val="20"/>
                <w:color w:val="auto"/>
              </w:rPr>
            </w:pPr>
            <w:r>
              <w:rPr>
                <w:rFonts w:ascii="Arial" w:cs="Arial" w:eastAsia="Arial" w:hAnsi="Arial"/>
                <w:sz w:val="16"/>
                <w:szCs w:val="16"/>
                <w:b w:val="1"/>
                <w:bCs w:val="1"/>
                <w:color w:val="auto"/>
              </w:rPr>
              <w:t>2015</w:t>
            </w:r>
          </w:p>
        </w:tc>
      </w:tr>
      <w:tr>
        <w:trPr>
          <w:trHeight w:val="33"/>
        </w:trPr>
        <w:tc>
          <w:tcPr>
            <w:tcW w:w="528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5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Statutory rate</w:t>
            </w:r>
            <w:r>
              <w:rPr>
                <w:rFonts w:ascii="Arial" w:cs="Arial" w:eastAsia="Arial" w:hAnsi="Arial"/>
                <w:sz w:val="21"/>
                <w:szCs w:val="21"/>
                <w:color w:val="auto"/>
                <w:vertAlign w:val="superscript"/>
              </w:rPr>
              <w:t>1</w:t>
            </w:r>
          </w:p>
        </w:tc>
        <w:tc>
          <w:tcPr>
            <w:tcW w:w="2860" w:type="dxa"/>
            <w:vAlign w:val="bottom"/>
            <w:shd w:val="clear" w:color="auto" w:fill="CCEEFF"/>
          </w:tcPr>
          <w:p>
            <w:pPr>
              <w:jc w:val="right"/>
              <w:ind w:right="719"/>
              <w:spacing w:after="0"/>
              <w:rPr>
                <w:sz w:val="20"/>
                <w:szCs w:val="20"/>
                <w:color w:val="auto"/>
              </w:rPr>
            </w:pPr>
            <w:r>
              <w:rPr>
                <w:rFonts w:ascii="Arial" w:cs="Arial" w:eastAsia="Arial" w:hAnsi="Arial"/>
                <w:sz w:val="16"/>
                <w:szCs w:val="16"/>
                <w:b w:val="1"/>
                <w:bCs w:val="1"/>
                <w:color w:val="auto"/>
              </w:rPr>
              <w:t>33.7%</w:t>
            </w:r>
          </w:p>
        </w:tc>
        <w:tc>
          <w:tcPr>
            <w:tcW w:w="198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rPr>
              <w:t>35.0%</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w:t>
            </w:r>
          </w:p>
        </w:tc>
      </w:tr>
      <w:tr>
        <w:trPr>
          <w:trHeight w:val="237"/>
        </w:trPr>
        <w:tc>
          <w:tcPr>
            <w:tcW w:w="5280" w:type="dxa"/>
            <w:vAlign w:val="bottom"/>
          </w:tcPr>
          <w:p>
            <w:pPr>
              <w:ind w:left="40"/>
              <w:spacing w:after="0"/>
              <w:rPr>
                <w:sz w:val="20"/>
                <w:szCs w:val="20"/>
                <w:color w:val="auto"/>
              </w:rPr>
            </w:pPr>
            <w:r>
              <w:rPr>
                <w:rFonts w:ascii="Arial" w:cs="Arial" w:eastAsia="Arial" w:hAnsi="Arial"/>
                <w:sz w:val="16"/>
                <w:szCs w:val="16"/>
                <w:color w:val="auto"/>
              </w:rPr>
              <w:t>Tax Act impact</w:t>
            </w:r>
          </w:p>
        </w:tc>
        <w:tc>
          <w:tcPr>
            <w:tcW w:w="2860" w:type="dxa"/>
            <w:vAlign w:val="bottom"/>
          </w:tcPr>
          <w:p>
            <w:pPr>
              <w:jc w:val="right"/>
              <w:ind w:right="719"/>
              <w:spacing w:after="0"/>
              <w:rPr>
                <w:sz w:val="20"/>
                <w:szCs w:val="20"/>
                <w:color w:val="auto"/>
              </w:rPr>
            </w:pPr>
            <w:r>
              <w:rPr>
                <w:rFonts w:ascii="Arial" w:cs="Arial" w:eastAsia="Arial" w:hAnsi="Arial"/>
                <w:sz w:val="16"/>
                <w:szCs w:val="16"/>
                <w:b w:val="1"/>
                <w:bCs w:val="1"/>
                <w:color w:val="auto"/>
              </w:rPr>
              <w:t>6.1%</w:t>
            </w:r>
          </w:p>
        </w:tc>
        <w:tc>
          <w:tcPr>
            <w:tcW w:w="1980" w:type="dxa"/>
            <w:vAlign w:val="bottom"/>
          </w:tcPr>
          <w:p>
            <w:pPr>
              <w:jc w:val="right"/>
              <w:ind w:right="83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33"/>
        </w:trPr>
        <w:tc>
          <w:tcPr>
            <w:tcW w:w="52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 impairment</w:t>
            </w:r>
          </w:p>
        </w:tc>
        <w:tc>
          <w:tcPr>
            <w:tcW w:w="28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b w:val="1"/>
                <w:bCs w:val="1"/>
                <w:color w:val="auto"/>
              </w:rPr>
              <w:t>—</w:t>
            </w:r>
          </w:p>
        </w:tc>
        <w:tc>
          <w:tcPr>
            <w:tcW w:w="198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color w:val="auto"/>
              </w:rPr>
              <w:t>10.1%</w:t>
            </w:r>
          </w:p>
        </w:tc>
        <w:tc>
          <w:tcPr>
            <w:tcW w:w="12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r>
      <w:tr>
        <w:trPr>
          <w:trHeight w:val="237"/>
        </w:trPr>
        <w:tc>
          <w:tcPr>
            <w:tcW w:w="5280" w:type="dxa"/>
            <w:vAlign w:val="bottom"/>
          </w:tcPr>
          <w:p>
            <w:pPr>
              <w:ind w:left="40"/>
              <w:spacing w:after="0"/>
              <w:rPr>
                <w:sz w:val="20"/>
                <w:szCs w:val="20"/>
                <w:color w:val="auto"/>
              </w:rPr>
            </w:pPr>
            <w:r>
              <w:rPr>
                <w:rFonts w:ascii="Arial" w:cs="Arial" w:eastAsia="Arial" w:hAnsi="Arial"/>
                <w:sz w:val="16"/>
                <w:szCs w:val="16"/>
                <w:color w:val="auto"/>
              </w:rPr>
              <w:t>State and local income taxes, net of federal income taxes</w:t>
            </w:r>
          </w:p>
        </w:tc>
        <w:tc>
          <w:tcPr>
            <w:tcW w:w="2860" w:type="dxa"/>
            <w:vAlign w:val="bottom"/>
          </w:tcPr>
          <w:p>
            <w:pPr>
              <w:jc w:val="right"/>
              <w:ind w:right="719"/>
              <w:spacing w:after="0"/>
              <w:rPr>
                <w:sz w:val="20"/>
                <w:szCs w:val="20"/>
                <w:color w:val="auto"/>
              </w:rPr>
            </w:pPr>
            <w:r>
              <w:rPr>
                <w:rFonts w:ascii="Arial" w:cs="Arial" w:eastAsia="Arial" w:hAnsi="Arial"/>
                <w:sz w:val="16"/>
                <w:szCs w:val="16"/>
                <w:b w:val="1"/>
                <w:bCs w:val="1"/>
                <w:color w:val="auto"/>
              </w:rPr>
              <w:t>4.5%</w:t>
            </w:r>
          </w:p>
        </w:tc>
        <w:tc>
          <w:tcPr>
            <w:tcW w:w="1980" w:type="dxa"/>
            <w:vAlign w:val="bottom"/>
          </w:tcPr>
          <w:p>
            <w:pPr>
              <w:jc w:val="right"/>
              <w:ind w:right="719"/>
              <w:spacing w:after="0"/>
              <w:rPr>
                <w:sz w:val="20"/>
                <w:szCs w:val="20"/>
                <w:color w:val="auto"/>
              </w:rPr>
            </w:pPr>
            <w:r>
              <w:rPr>
                <w:rFonts w:ascii="Arial" w:cs="Arial" w:eastAsia="Arial" w:hAnsi="Arial"/>
                <w:sz w:val="16"/>
                <w:szCs w:val="16"/>
                <w:color w:val="auto"/>
              </w:rPr>
              <w:t>5.1%</w:t>
            </w:r>
          </w:p>
        </w:tc>
        <w:tc>
          <w:tcPr>
            <w:tcW w:w="128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33"/>
        </w:trPr>
        <w:tc>
          <w:tcPr>
            <w:tcW w:w="52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Non-deductible acquisition-related items</w:t>
            </w:r>
          </w:p>
        </w:tc>
        <w:tc>
          <w:tcPr>
            <w:tcW w:w="286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b w:val="1"/>
                <w:bCs w:val="1"/>
                <w:color w:val="auto"/>
              </w:rPr>
              <w:t>0.3%</w:t>
            </w:r>
          </w:p>
        </w:tc>
        <w:tc>
          <w:tcPr>
            <w:tcW w:w="198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color w:val="auto"/>
              </w:rPr>
              <w:t>0.6%</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r>
      <w:tr>
        <w:trPr>
          <w:trHeight w:val="237"/>
        </w:trPr>
        <w:tc>
          <w:tcPr>
            <w:tcW w:w="5280" w:type="dxa"/>
            <w:vAlign w:val="bottom"/>
          </w:tcPr>
          <w:p>
            <w:pPr>
              <w:ind w:left="40"/>
              <w:spacing w:after="0"/>
              <w:rPr>
                <w:sz w:val="20"/>
                <w:szCs w:val="20"/>
                <w:color w:val="auto"/>
              </w:rPr>
            </w:pPr>
            <w:r>
              <w:rPr>
                <w:rFonts w:ascii="Arial" w:cs="Arial" w:eastAsia="Arial" w:hAnsi="Arial"/>
                <w:sz w:val="16"/>
                <w:szCs w:val="16"/>
                <w:color w:val="auto"/>
              </w:rPr>
              <w:t>Federal credits</w:t>
            </w:r>
          </w:p>
        </w:tc>
        <w:tc>
          <w:tcPr>
            <w:tcW w:w="2860" w:type="dxa"/>
            <w:vAlign w:val="bottom"/>
          </w:tcPr>
          <w:p>
            <w:pPr>
              <w:jc w:val="right"/>
              <w:ind w:right="659"/>
              <w:spacing w:after="0"/>
              <w:rPr>
                <w:sz w:val="20"/>
                <w:szCs w:val="20"/>
                <w:color w:val="auto"/>
              </w:rPr>
            </w:pPr>
            <w:r>
              <w:rPr>
                <w:rFonts w:ascii="Arial" w:cs="Arial" w:eastAsia="Arial" w:hAnsi="Arial"/>
                <w:sz w:val="16"/>
                <w:szCs w:val="16"/>
                <w:b w:val="1"/>
                <w:bCs w:val="1"/>
                <w:color w:val="auto"/>
              </w:rPr>
              <w:t>(0.7%)</w:t>
            </w:r>
          </w:p>
        </w:tc>
        <w:tc>
          <w:tcPr>
            <w:tcW w:w="1980" w:type="dxa"/>
            <w:vAlign w:val="bottom"/>
          </w:tcPr>
          <w:p>
            <w:pPr>
              <w:jc w:val="right"/>
              <w:ind w:right="659"/>
              <w:spacing w:after="0"/>
              <w:rPr>
                <w:sz w:val="20"/>
                <w:szCs w:val="20"/>
                <w:color w:val="auto"/>
              </w:rPr>
            </w:pPr>
            <w:r>
              <w:rPr>
                <w:rFonts w:ascii="Arial" w:cs="Arial" w:eastAsia="Arial" w:hAnsi="Arial"/>
                <w:sz w:val="16"/>
                <w:szCs w:val="16"/>
                <w:color w:val="auto"/>
              </w:rPr>
              <w:t>(0.6%)</w:t>
            </w:r>
          </w:p>
        </w:tc>
        <w:tc>
          <w:tcPr>
            <w:tcW w:w="1280" w:type="dxa"/>
            <w:vAlign w:val="bottom"/>
          </w:tcPr>
          <w:p>
            <w:pPr>
              <w:jc w:val="right"/>
              <w:spacing w:after="0"/>
              <w:rPr>
                <w:sz w:val="20"/>
                <w:szCs w:val="20"/>
                <w:color w:val="auto"/>
              </w:rPr>
            </w:pPr>
            <w:r>
              <w:rPr>
                <w:rFonts w:ascii="Arial" w:cs="Arial" w:eastAsia="Arial" w:hAnsi="Arial"/>
                <w:sz w:val="16"/>
                <w:szCs w:val="16"/>
                <w:color w:val="auto"/>
              </w:rPr>
              <w:t>(0.6%)</w:t>
            </w:r>
          </w:p>
        </w:tc>
      </w:tr>
      <w:tr>
        <w:trPr>
          <w:trHeight w:val="33"/>
        </w:trPr>
        <w:tc>
          <w:tcPr>
            <w:tcW w:w="52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286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b w:val="1"/>
                <w:bCs w:val="1"/>
                <w:color w:val="auto"/>
              </w:rPr>
              <w:t>0.8%</w:t>
            </w:r>
          </w:p>
        </w:tc>
        <w:tc>
          <w:tcPr>
            <w:tcW w:w="198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color w:val="auto"/>
              </w:rPr>
              <w:t>(2.0%)</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31"/>
        </w:trPr>
        <w:tc>
          <w:tcPr>
            <w:tcW w:w="52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Effective tax rate</w:t>
            </w:r>
          </w:p>
        </w:tc>
        <w:tc>
          <w:tcPr>
            <w:tcW w:w="2860" w:type="dxa"/>
            <w:vAlign w:val="bottom"/>
            <w:tcBorders>
              <w:top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44.7%</w:t>
            </w:r>
          </w:p>
        </w:tc>
        <w:tc>
          <w:tcPr>
            <w:tcW w:w="1980" w:type="dxa"/>
            <w:vAlign w:val="bottom"/>
            <w:tcBorders>
              <w:top w:val="single" w:sz="8" w:color="auto"/>
            </w:tcBorders>
          </w:tcPr>
          <w:p>
            <w:pPr>
              <w:jc w:val="right"/>
              <w:ind w:right="719"/>
              <w:spacing w:after="0"/>
              <w:rPr>
                <w:sz w:val="20"/>
                <w:szCs w:val="20"/>
                <w:color w:val="auto"/>
              </w:rPr>
            </w:pPr>
            <w:r>
              <w:rPr>
                <w:rFonts w:ascii="Arial" w:cs="Arial" w:eastAsia="Arial" w:hAnsi="Arial"/>
                <w:sz w:val="16"/>
                <w:szCs w:val="16"/>
                <w:color w:val="auto"/>
              </w:rPr>
              <w:t>48.2%</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38.6%</w:t>
            </w:r>
          </w:p>
        </w:tc>
      </w:tr>
    </w:tbl>
    <w:p>
      <w:pPr>
        <w:spacing w:after="0" w:line="28" w:lineRule="exact"/>
        <w:rPr>
          <w:sz w:val="20"/>
          <w:szCs w:val="20"/>
          <w:color w:val="auto"/>
        </w:rPr>
      </w:pPr>
    </w:p>
    <w:p>
      <w:pPr>
        <w:ind w:left="80" w:hanging="72"/>
        <w:spacing w:after="0"/>
        <w:tabs>
          <w:tab w:leader="none" w:pos="80" w:val="left"/>
        </w:tabs>
        <w:numPr>
          <w:ilvl w:val="0"/>
          <w:numId w:val="68"/>
        </w:numPr>
        <w:rPr>
          <w:rFonts w:ascii="Arial" w:cs="Arial" w:eastAsia="Arial" w:hAnsi="Arial"/>
          <w:sz w:val="9"/>
          <w:szCs w:val="9"/>
          <w:color w:val="auto"/>
        </w:rPr>
      </w:pPr>
      <w:r>
        <w:rPr>
          <w:rFonts w:ascii="Arial" w:cs="Arial" w:eastAsia="Arial" w:hAnsi="Arial"/>
          <w:sz w:val="14"/>
          <w:szCs w:val="14"/>
          <w:color w:val="auto"/>
        </w:rPr>
        <w:t>The statutory rate in 2017 is reduced due to tax reform.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2294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00"/>
          </w:cols>
          <w:pgMar w:left="240" w:top="126" w:right="259" w:bottom="1440" w:gutter="0" w:footer="0" w:header="0"/>
        </w:sect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00"/>
          </w:cols>
          <w:pgMar w:left="240" w:top="126" w:right="259" w:bottom="1440" w:gutter="0" w:footer="0" w:header="0"/>
          <w:type w:val="continuous"/>
        </w:sectPr>
      </w:pPr>
    </w:p>
    <w:bookmarkStart w:id="59" w:name="page60"/>
    <w:bookmarkEnd w:id="59"/>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deferred tax assets and liabilities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100" w:type="dxa"/>
            <w:vAlign w:val="bottom"/>
          </w:tcPr>
          <w:p>
            <w:pPr>
              <w:spacing w:after="0"/>
              <w:rPr>
                <w:sz w:val="18"/>
                <w:szCs w:val="18"/>
                <w:color w:val="auto"/>
              </w:rPr>
            </w:pPr>
          </w:p>
        </w:tc>
        <w:tc>
          <w:tcPr>
            <w:tcW w:w="3500" w:type="dxa"/>
            <w:vAlign w:val="bottom"/>
          </w:tcPr>
          <w:p>
            <w:pPr>
              <w:jc w:val="right"/>
              <w:ind w:right="359"/>
              <w:spacing w:after="0"/>
              <w:rPr>
                <w:sz w:val="20"/>
                <w:szCs w:val="20"/>
                <w:color w:val="auto"/>
              </w:rPr>
            </w:pPr>
            <w:r>
              <w:rPr>
                <w:rFonts w:ascii="Arial" w:cs="Arial" w:eastAsia="Arial" w:hAnsi="Arial"/>
                <w:sz w:val="16"/>
                <w:szCs w:val="16"/>
                <w:b w:val="1"/>
                <w:bCs w:val="1"/>
                <w:color w:val="auto"/>
              </w:rPr>
              <w:t>February 3, 2018</w:t>
            </w:r>
          </w:p>
        </w:tc>
        <w:tc>
          <w:tcPr>
            <w:tcW w:w="1800" w:type="dxa"/>
            <w:vAlign w:val="bottom"/>
          </w:tcPr>
          <w:p>
            <w:pPr>
              <w:jc w:val="right"/>
              <w:ind w:right="139"/>
              <w:spacing w:after="0"/>
              <w:rPr>
                <w:sz w:val="20"/>
                <w:szCs w:val="20"/>
                <w:color w:val="auto"/>
              </w:rPr>
            </w:pPr>
            <w:r>
              <w:rPr>
                <w:rFonts w:ascii="Arial" w:cs="Arial" w:eastAsia="Arial" w:hAnsi="Arial"/>
                <w:sz w:val="16"/>
                <w:szCs w:val="16"/>
                <w:b w:val="1"/>
                <w:bCs w:val="1"/>
                <w:color w:val="auto"/>
              </w:rPr>
              <w:t>January 28, 2017</w:t>
            </w:r>
          </w:p>
        </w:tc>
      </w:tr>
      <w:tr>
        <w:trPr>
          <w:trHeight w:val="33"/>
        </w:trPr>
        <w:tc>
          <w:tcPr>
            <w:tcW w:w="610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Compensation and benefits accruals</w:t>
            </w:r>
          </w:p>
        </w:tc>
        <w:tc>
          <w:tcPr>
            <w:tcW w:w="350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$148</w:t>
            </w:r>
          </w:p>
        </w:tc>
        <w:tc>
          <w:tcPr>
            <w:tcW w:w="18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$209</w:t>
            </w:r>
          </w:p>
        </w:tc>
      </w:tr>
      <w:tr>
        <w:trPr>
          <w:trHeight w:val="237"/>
        </w:trPr>
        <w:tc>
          <w:tcPr>
            <w:tcW w:w="6100" w:type="dxa"/>
            <w:vAlign w:val="bottom"/>
          </w:tcPr>
          <w:p>
            <w:pPr>
              <w:ind w:left="40"/>
              <w:spacing w:after="0"/>
              <w:rPr>
                <w:sz w:val="20"/>
                <w:szCs w:val="20"/>
                <w:color w:val="auto"/>
              </w:rPr>
            </w:pPr>
            <w:r>
              <w:rPr>
                <w:rFonts w:ascii="Arial" w:cs="Arial" w:eastAsia="Arial" w:hAnsi="Arial"/>
                <w:sz w:val="16"/>
                <w:szCs w:val="16"/>
                <w:color w:val="auto"/>
              </w:rPr>
              <w:t>Allowance for sales returns</w:t>
            </w:r>
          </w:p>
        </w:tc>
        <w:tc>
          <w:tcPr>
            <w:tcW w:w="3500" w:type="dxa"/>
            <w:vAlign w:val="bottom"/>
          </w:tcPr>
          <w:p>
            <w:pPr>
              <w:jc w:val="right"/>
              <w:ind w:right="359"/>
              <w:spacing w:after="0"/>
              <w:rPr>
                <w:sz w:val="20"/>
                <w:szCs w:val="20"/>
                <w:color w:val="auto"/>
              </w:rPr>
            </w:pPr>
            <w:r>
              <w:rPr>
                <w:rFonts w:ascii="Arial" w:cs="Arial" w:eastAsia="Arial" w:hAnsi="Arial"/>
                <w:sz w:val="16"/>
                <w:szCs w:val="16"/>
                <w:b w:val="1"/>
                <w:bCs w:val="1"/>
                <w:color w:val="auto"/>
              </w:rPr>
              <w:t>50</w:t>
            </w:r>
          </w:p>
        </w:tc>
        <w:tc>
          <w:tcPr>
            <w:tcW w:w="1800" w:type="dxa"/>
            <w:vAlign w:val="bottom"/>
          </w:tcPr>
          <w:p>
            <w:pPr>
              <w:jc w:val="right"/>
              <w:ind w:right="139"/>
              <w:spacing w:after="0"/>
              <w:rPr>
                <w:sz w:val="20"/>
                <w:szCs w:val="20"/>
                <w:color w:val="auto"/>
              </w:rPr>
            </w:pPr>
            <w:r>
              <w:rPr>
                <w:rFonts w:ascii="Arial" w:cs="Arial" w:eastAsia="Arial" w:hAnsi="Arial"/>
                <w:sz w:val="16"/>
                <w:szCs w:val="16"/>
                <w:color w:val="auto"/>
              </w:rPr>
              <w:t>76</w:t>
            </w:r>
          </w:p>
        </w:tc>
      </w:tr>
      <w:tr>
        <w:trPr>
          <w:trHeight w:val="33"/>
        </w:trPr>
        <w:tc>
          <w:tcPr>
            <w:tcW w:w="610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Credit card receivable transaction</w:t>
            </w:r>
          </w:p>
        </w:tc>
        <w:tc>
          <w:tcPr>
            <w:tcW w:w="350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8</w:t>
            </w:r>
          </w:p>
        </w:tc>
        <w:tc>
          <w:tcPr>
            <w:tcW w:w="18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13</w:t>
            </w:r>
          </w:p>
        </w:tc>
      </w:tr>
      <w:tr>
        <w:trPr>
          <w:trHeight w:val="237"/>
        </w:trPr>
        <w:tc>
          <w:tcPr>
            <w:tcW w:w="6100" w:type="dxa"/>
            <w:vAlign w:val="bottom"/>
          </w:tcPr>
          <w:p>
            <w:pPr>
              <w:ind w:left="40"/>
              <w:spacing w:after="0"/>
              <w:rPr>
                <w:sz w:val="20"/>
                <w:szCs w:val="20"/>
                <w:color w:val="auto"/>
              </w:rPr>
            </w:pPr>
            <w:r>
              <w:rPr>
                <w:rFonts w:ascii="Arial" w:cs="Arial" w:eastAsia="Arial" w:hAnsi="Arial"/>
                <w:sz w:val="16"/>
                <w:szCs w:val="16"/>
                <w:color w:val="auto"/>
              </w:rPr>
              <w:t>Accrued expenses</w:t>
            </w:r>
          </w:p>
        </w:tc>
        <w:tc>
          <w:tcPr>
            <w:tcW w:w="3500" w:type="dxa"/>
            <w:vAlign w:val="bottom"/>
          </w:tcPr>
          <w:p>
            <w:pPr>
              <w:jc w:val="right"/>
              <w:ind w:right="359"/>
              <w:spacing w:after="0"/>
              <w:rPr>
                <w:sz w:val="20"/>
                <w:szCs w:val="20"/>
                <w:color w:val="auto"/>
              </w:rPr>
            </w:pPr>
            <w:r>
              <w:rPr>
                <w:rFonts w:ascii="Arial" w:cs="Arial" w:eastAsia="Arial" w:hAnsi="Arial"/>
                <w:sz w:val="16"/>
                <w:szCs w:val="16"/>
                <w:b w:val="1"/>
                <w:bCs w:val="1"/>
                <w:color w:val="auto"/>
              </w:rPr>
              <w:t>27</w:t>
            </w:r>
          </w:p>
        </w:tc>
        <w:tc>
          <w:tcPr>
            <w:tcW w:w="1800" w:type="dxa"/>
            <w:vAlign w:val="bottom"/>
          </w:tcPr>
          <w:p>
            <w:pPr>
              <w:jc w:val="right"/>
              <w:ind w:right="139"/>
              <w:spacing w:after="0"/>
              <w:rPr>
                <w:sz w:val="20"/>
                <w:szCs w:val="20"/>
                <w:color w:val="auto"/>
              </w:rPr>
            </w:pPr>
            <w:r>
              <w:rPr>
                <w:rFonts w:ascii="Arial" w:cs="Arial" w:eastAsia="Arial" w:hAnsi="Arial"/>
                <w:sz w:val="16"/>
                <w:szCs w:val="16"/>
                <w:color w:val="auto"/>
              </w:rPr>
              <w:t>39</w:t>
            </w:r>
          </w:p>
        </w:tc>
      </w:tr>
      <w:tr>
        <w:trPr>
          <w:trHeight w:val="33"/>
        </w:trPr>
        <w:tc>
          <w:tcPr>
            <w:tcW w:w="610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Merchandise inventories</w:t>
            </w:r>
          </w:p>
        </w:tc>
        <w:tc>
          <w:tcPr>
            <w:tcW w:w="350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12</w:t>
            </w:r>
          </w:p>
        </w:tc>
        <w:tc>
          <w:tcPr>
            <w:tcW w:w="18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43</w:t>
            </w:r>
          </w:p>
        </w:tc>
      </w:tr>
      <w:tr>
        <w:trPr>
          <w:trHeight w:val="237"/>
        </w:trPr>
        <w:tc>
          <w:tcPr>
            <w:tcW w:w="6100" w:type="dxa"/>
            <w:vAlign w:val="bottom"/>
          </w:tcPr>
          <w:p>
            <w:pPr>
              <w:ind w:left="40"/>
              <w:spacing w:after="0"/>
              <w:rPr>
                <w:sz w:val="20"/>
                <w:szCs w:val="20"/>
                <w:color w:val="auto"/>
              </w:rPr>
            </w:pPr>
            <w:r>
              <w:rPr>
                <w:rFonts w:ascii="Arial" w:cs="Arial" w:eastAsia="Arial" w:hAnsi="Arial"/>
                <w:sz w:val="16"/>
                <w:szCs w:val="16"/>
                <w:color w:val="auto"/>
              </w:rPr>
              <w:t>Gift cards</w:t>
            </w:r>
          </w:p>
        </w:tc>
        <w:tc>
          <w:tcPr>
            <w:tcW w:w="3500" w:type="dxa"/>
            <w:vAlign w:val="bottom"/>
          </w:tcPr>
          <w:p>
            <w:pPr>
              <w:jc w:val="right"/>
              <w:ind w:right="359"/>
              <w:spacing w:after="0"/>
              <w:rPr>
                <w:sz w:val="20"/>
                <w:szCs w:val="20"/>
                <w:color w:val="auto"/>
              </w:rPr>
            </w:pPr>
            <w:r>
              <w:rPr>
                <w:rFonts w:ascii="Arial" w:cs="Arial" w:eastAsia="Arial" w:hAnsi="Arial"/>
                <w:sz w:val="16"/>
                <w:szCs w:val="16"/>
                <w:b w:val="1"/>
                <w:bCs w:val="1"/>
                <w:color w:val="auto"/>
              </w:rPr>
              <w:t>27</w:t>
            </w:r>
          </w:p>
        </w:tc>
        <w:tc>
          <w:tcPr>
            <w:tcW w:w="1800" w:type="dxa"/>
            <w:vAlign w:val="bottom"/>
          </w:tcPr>
          <w:p>
            <w:pPr>
              <w:jc w:val="right"/>
              <w:ind w:right="139"/>
              <w:spacing w:after="0"/>
              <w:rPr>
                <w:sz w:val="20"/>
                <w:szCs w:val="20"/>
                <w:color w:val="auto"/>
              </w:rPr>
            </w:pPr>
            <w:r>
              <w:rPr>
                <w:rFonts w:ascii="Arial" w:cs="Arial" w:eastAsia="Arial" w:hAnsi="Arial"/>
                <w:sz w:val="16"/>
                <w:szCs w:val="16"/>
                <w:color w:val="auto"/>
              </w:rPr>
              <w:t>33</w:t>
            </w:r>
          </w:p>
        </w:tc>
      </w:tr>
      <w:tr>
        <w:trPr>
          <w:trHeight w:val="33"/>
        </w:trPr>
        <w:tc>
          <w:tcPr>
            <w:tcW w:w="610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Federal benefit of state taxes</w:t>
            </w:r>
          </w:p>
        </w:tc>
        <w:tc>
          <w:tcPr>
            <w:tcW w:w="350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16</w:t>
            </w:r>
          </w:p>
        </w:tc>
        <w:tc>
          <w:tcPr>
            <w:tcW w:w="18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18</w:t>
            </w:r>
          </w:p>
        </w:tc>
      </w:tr>
      <w:tr>
        <w:trPr>
          <w:trHeight w:val="237"/>
        </w:trPr>
        <w:tc>
          <w:tcPr>
            <w:tcW w:w="6100" w:type="dxa"/>
            <w:vAlign w:val="bottom"/>
          </w:tcPr>
          <w:p>
            <w:pPr>
              <w:ind w:left="40"/>
              <w:spacing w:after="0"/>
              <w:rPr>
                <w:sz w:val="20"/>
                <w:szCs w:val="20"/>
                <w:color w:val="auto"/>
              </w:rPr>
            </w:pPr>
            <w:r>
              <w:rPr>
                <w:rFonts w:ascii="Arial" w:cs="Arial" w:eastAsia="Arial" w:hAnsi="Arial"/>
                <w:sz w:val="16"/>
                <w:szCs w:val="16"/>
                <w:color w:val="auto"/>
              </w:rPr>
              <w:t>Net operating losses</w:t>
            </w:r>
          </w:p>
        </w:tc>
        <w:tc>
          <w:tcPr>
            <w:tcW w:w="3500" w:type="dxa"/>
            <w:vAlign w:val="bottom"/>
          </w:tcPr>
          <w:p>
            <w:pPr>
              <w:jc w:val="right"/>
              <w:ind w:right="359"/>
              <w:spacing w:after="0"/>
              <w:rPr>
                <w:sz w:val="20"/>
                <w:szCs w:val="20"/>
                <w:color w:val="auto"/>
              </w:rPr>
            </w:pPr>
            <w:r>
              <w:rPr>
                <w:rFonts w:ascii="Arial" w:cs="Arial" w:eastAsia="Arial" w:hAnsi="Arial"/>
                <w:sz w:val="16"/>
                <w:szCs w:val="16"/>
                <w:b w:val="1"/>
                <w:bCs w:val="1"/>
                <w:color w:val="auto"/>
              </w:rPr>
              <w:t>22</w:t>
            </w:r>
          </w:p>
        </w:tc>
        <w:tc>
          <w:tcPr>
            <w:tcW w:w="1800" w:type="dxa"/>
            <w:vAlign w:val="bottom"/>
          </w:tcPr>
          <w:p>
            <w:pPr>
              <w:jc w:val="right"/>
              <w:ind w:right="139"/>
              <w:spacing w:after="0"/>
              <w:rPr>
                <w:sz w:val="20"/>
                <w:szCs w:val="20"/>
                <w:color w:val="auto"/>
              </w:rPr>
            </w:pPr>
            <w:r>
              <w:rPr>
                <w:rFonts w:ascii="Arial" w:cs="Arial" w:eastAsia="Arial" w:hAnsi="Arial"/>
                <w:sz w:val="16"/>
                <w:szCs w:val="16"/>
                <w:color w:val="auto"/>
              </w:rPr>
              <w:t>12</w:t>
            </w:r>
          </w:p>
        </w:tc>
      </w:tr>
      <w:tr>
        <w:trPr>
          <w:trHeight w:val="33"/>
        </w:trPr>
        <w:tc>
          <w:tcPr>
            <w:tcW w:w="610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Gain on sale of interest rate swap</w:t>
            </w:r>
          </w:p>
        </w:tc>
        <w:tc>
          <w:tcPr>
            <w:tcW w:w="3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(1)</w:t>
            </w:r>
          </w:p>
        </w:tc>
        <w:tc>
          <w:tcPr>
            <w:tcW w:w="18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w:t>
            </w:r>
          </w:p>
        </w:tc>
      </w:tr>
      <w:tr>
        <w:trPr>
          <w:trHeight w:val="237"/>
        </w:trPr>
        <w:tc>
          <w:tcPr>
            <w:tcW w:w="6100" w:type="dxa"/>
            <w:vAlign w:val="bottom"/>
          </w:tcPr>
          <w:p>
            <w:pPr>
              <w:ind w:left="40"/>
              <w:spacing w:after="0"/>
              <w:rPr>
                <w:sz w:val="20"/>
                <w:szCs w:val="20"/>
                <w:color w:val="auto"/>
              </w:rPr>
            </w:pPr>
            <w:r>
              <w:rPr>
                <w:rFonts w:ascii="Arial" w:cs="Arial" w:eastAsia="Arial" w:hAnsi="Arial"/>
                <w:sz w:val="16"/>
                <w:szCs w:val="16"/>
                <w:color w:val="auto"/>
              </w:rPr>
              <w:t>Other</w:t>
            </w:r>
          </w:p>
        </w:tc>
        <w:tc>
          <w:tcPr>
            <w:tcW w:w="3500" w:type="dxa"/>
            <w:vAlign w:val="bottom"/>
          </w:tcPr>
          <w:p>
            <w:pPr>
              <w:jc w:val="right"/>
              <w:ind w:right="359"/>
              <w:spacing w:after="0"/>
              <w:rPr>
                <w:sz w:val="20"/>
                <w:szCs w:val="20"/>
                <w:color w:val="auto"/>
              </w:rPr>
            </w:pPr>
            <w:r>
              <w:rPr>
                <w:rFonts w:ascii="Arial" w:cs="Arial" w:eastAsia="Arial" w:hAnsi="Arial"/>
                <w:sz w:val="16"/>
                <w:szCs w:val="16"/>
                <w:b w:val="1"/>
                <w:bCs w:val="1"/>
                <w:color w:val="auto"/>
              </w:rPr>
              <w:t>3</w:t>
            </w:r>
          </w:p>
        </w:tc>
        <w:tc>
          <w:tcPr>
            <w:tcW w:w="1800" w:type="dxa"/>
            <w:vAlign w:val="bottom"/>
          </w:tcPr>
          <w:p>
            <w:pPr>
              <w:jc w:val="right"/>
              <w:ind w:right="139"/>
              <w:spacing w:after="0"/>
              <w:rPr>
                <w:sz w:val="20"/>
                <w:szCs w:val="20"/>
                <w:color w:val="auto"/>
              </w:rPr>
            </w:pPr>
            <w:r>
              <w:rPr>
                <w:rFonts w:ascii="Arial" w:cs="Arial" w:eastAsia="Arial" w:hAnsi="Arial"/>
                <w:sz w:val="16"/>
                <w:szCs w:val="16"/>
                <w:color w:val="auto"/>
              </w:rPr>
              <w:t>18</w:t>
            </w:r>
          </w:p>
        </w:tc>
      </w:tr>
      <w:tr>
        <w:trPr>
          <w:trHeight w:val="33"/>
        </w:trPr>
        <w:tc>
          <w:tcPr>
            <w:tcW w:w="610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deferred tax assets</w:t>
            </w:r>
          </w:p>
        </w:tc>
        <w:tc>
          <w:tcPr>
            <w:tcW w:w="350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312</w:t>
            </w:r>
          </w:p>
        </w:tc>
        <w:tc>
          <w:tcPr>
            <w:tcW w:w="18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465</w:t>
            </w:r>
          </w:p>
        </w:tc>
      </w:tr>
      <w:tr>
        <w:trPr>
          <w:trHeight w:val="237"/>
        </w:trPr>
        <w:tc>
          <w:tcPr>
            <w:tcW w:w="6100" w:type="dxa"/>
            <w:vAlign w:val="bottom"/>
          </w:tcPr>
          <w:p>
            <w:pPr>
              <w:ind w:left="40"/>
              <w:spacing w:after="0"/>
              <w:rPr>
                <w:sz w:val="20"/>
                <w:szCs w:val="20"/>
                <w:color w:val="auto"/>
              </w:rPr>
            </w:pPr>
            <w:r>
              <w:rPr>
                <w:rFonts w:ascii="Arial" w:cs="Arial" w:eastAsia="Arial" w:hAnsi="Arial"/>
                <w:sz w:val="16"/>
                <w:szCs w:val="16"/>
                <w:color w:val="auto"/>
              </w:rPr>
              <w:t>Valuation allowance</w:t>
            </w:r>
          </w:p>
        </w:tc>
        <w:tc>
          <w:tcPr>
            <w:tcW w:w="3500" w:type="dxa"/>
            <w:vAlign w:val="bottom"/>
          </w:tcPr>
          <w:p>
            <w:pPr>
              <w:jc w:val="right"/>
              <w:ind w:right="299"/>
              <w:spacing w:after="0"/>
              <w:rPr>
                <w:sz w:val="20"/>
                <w:szCs w:val="20"/>
                <w:color w:val="auto"/>
              </w:rPr>
            </w:pPr>
            <w:r>
              <w:rPr>
                <w:rFonts w:ascii="Arial" w:cs="Arial" w:eastAsia="Arial" w:hAnsi="Arial"/>
                <w:sz w:val="16"/>
                <w:szCs w:val="16"/>
                <w:b w:val="1"/>
                <w:bCs w:val="1"/>
                <w:color w:val="auto"/>
              </w:rPr>
              <w:t>(51)</w:t>
            </w:r>
          </w:p>
        </w:tc>
        <w:tc>
          <w:tcPr>
            <w:tcW w:w="1800" w:type="dxa"/>
            <w:vAlign w:val="bottom"/>
          </w:tcPr>
          <w:p>
            <w:pPr>
              <w:jc w:val="right"/>
              <w:ind w:right="79"/>
              <w:spacing w:after="0"/>
              <w:rPr>
                <w:sz w:val="20"/>
                <w:szCs w:val="20"/>
                <w:color w:val="auto"/>
              </w:rPr>
            </w:pPr>
            <w:r>
              <w:rPr>
                <w:rFonts w:ascii="Arial" w:cs="Arial" w:eastAsia="Arial" w:hAnsi="Arial"/>
                <w:sz w:val="16"/>
                <w:szCs w:val="16"/>
                <w:color w:val="auto"/>
              </w:rPr>
              <w:t>(37)</w:t>
            </w:r>
          </w:p>
        </w:tc>
      </w:tr>
      <w:tr>
        <w:trPr>
          <w:trHeight w:val="33"/>
        </w:trPr>
        <w:tc>
          <w:tcPr>
            <w:tcW w:w="610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69"/>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net deferred tax assets</w:t>
            </w:r>
          </w:p>
        </w:tc>
        <w:tc>
          <w:tcPr>
            <w:tcW w:w="350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261</w:t>
            </w:r>
          </w:p>
        </w:tc>
        <w:tc>
          <w:tcPr>
            <w:tcW w:w="18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428</w:t>
            </w:r>
          </w:p>
        </w:tc>
      </w:tr>
      <w:tr>
        <w:trPr>
          <w:trHeight w:val="231"/>
        </w:trPr>
        <w:tc>
          <w:tcPr>
            <w:tcW w:w="61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Land, property and equipment basis and depreciation differences</w:t>
            </w:r>
          </w:p>
        </w:tc>
        <w:tc>
          <w:tcPr>
            <w:tcW w:w="350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(109)</w:t>
            </w:r>
          </w:p>
        </w:tc>
        <w:tc>
          <w:tcPr>
            <w:tcW w:w="18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(258)</w:t>
            </w:r>
          </w:p>
        </w:tc>
      </w:tr>
      <w:tr>
        <w:trPr>
          <w:trHeight w:val="33"/>
        </w:trPr>
        <w:tc>
          <w:tcPr>
            <w:tcW w:w="610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5"/>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exchange premium</w:t>
            </w:r>
          </w:p>
        </w:tc>
        <w:tc>
          <w:tcPr>
            <w:tcW w:w="3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(14)</w:t>
            </w:r>
          </w:p>
        </w:tc>
        <w:tc>
          <w:tcPr>
            <w:tcW w:w="18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(23)</w:t>
            </w:r>
          </w:p>
        </w:tc>
      </w:tr>
      <w:tr>
        <w:trPr>
          <w:trHeight w:val="231"/>
        </w:trPr>
        <w:tc>
          <w:tcPr>
            <w:tcW w:w="61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deferred tax liabilities</w:t>
            </w:r>
          </w:p>
        </w:tc>
        <w:tc>
          <w:tcPr>
            <w:tcW w:w="350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(123)</w:t>
            </w:r>
          </w:p>
        </w:tc>
        <w:tc>
          <w:tcPr>
            <w:tcW w:w="18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(281)</w:t>
            </w:r>
          </w:p>
        </w:tc>
      </w:tr>
      <w:tr>
        <w:trPr>
          <w:trHeight w:val="33"/>
        </w:trPr>
        <w:tc>
          <w:tcPr>
            <w:tcW w:w="610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deferred tax assets</w:t>
            </w:r>
          </w:p>
        </w:tc>
        <w:tc>
          <w:tcPr>
            <w:tcW w:w="350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$138</w:t>
            </w:r>
          </w:p>
        </w:tc>
        <w:tc>
          <w:tcPr>
            <w:tcW w:w="18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$147</w:t>
            </w:r>
          </w:p>
        </w:tc>
      </w:tr>
      <w:tr>
        <w:trPr>
          <w:trHeight w:val="20"/>
        </w:trPr>
        <w:tc>
          <w:tcPr>
            <w:tcW w:w="6100" w:type="dxa"/>
            <w:vAlign w:val="bottom"/>
            <w:shd w:val="clear" w:color="auto" w:fill="000000"/>
          </w:tcPr>
          <w:p>
            <w:pPr>
              <w:spacing w:after="0" w:line="20" w:lineRule="exact"/>
              <w:rPr>
                <w:sz w:val="1"/>
                <w:szCs w:val="1"/>
                <w:color w:val="auto"/>
              </w:rPr>
            </w:pPr>
          </w:p>
        </w:tc>
        <w:tc>
          <w:tcPr>
            <w:tcW w:w="350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As of February 3, 2018, our state and foreign net operating loss carryforwards for income tax purposes were approximately $11 and $64. As of January 28, 2017, our state and foreign net operating loss carryforwards for income tax purposes were approximately $11 and $37. The net operating loss carryforwards are subject to certain statutory limitations of the Internal Revenue Code, applicable state laws and applicable foreign laws. If not utilized, a portion of our state and foreign net operating loss carryforwards will begin to expire in 2031 and 2033. Management believes it is more likely than not that certain state and foreign net operating loss carryforwards and deferred tax assets of foreign subsidiaries will not be realized in the foreseeable future. As such, a valuation allowance of $51 and $37 have been recorded as of February 3, 2018 and January 28, 2017.</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 of unrecognized tax benefits is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20" w:type="dxa"/>
            <w:vAlign w:val="bottom"/>
          </w:tcPr>
          <w:p>
            <w:pPr>
              <w:ind w:left="40"/>
              <w:spacing w:after="0"/>
              <w:rPr>
                <w:sz w:val="20"/>
                <w:szCs w:val="20"/>
                <w:color w:val="auto"/>
              </w:rPr>
            </w:pPr>
            <w:r>
              <w:rPr>
                <w:rFonts w:ascii="Arial" w:cs="Arial" w:eastAsia="Arial" w:hAnsi="Arial"/>
                <w:sz w:val="16"/>
                <w:szCs w:val="16"/>
                <w:b w:val="1"/>
                <w:bCs w:val="1"/>
                <w:color w:val="auto"/>
              </w:rPr>
              <w:t>Fiscal year</w:t>
            </w:r>
          </w:p>
        </w:tc>
        <w:tc>
          <w:tcPr>
            <w:tcW w:w="3140" w:type="dxa"/>
            <w:vAlign w:val="bottom"/>
          </w:tcPr>
          <w:p>
            <w:pPr>
              <w:jc w:val="right"/>
              <w:ind w:right="739"/>
              <w:spacing w:after="0"/>
              <w:rPr>
                <w:sz w:val="20"/>
                <w:szCs w:val="20"/>
                <w:color w:val="auto"/>
              </w:rPr>
            </w:pPr>
            <w:r>
              <w:rPr>
                <w:rFonts w:ascii="Arial" w:cs="Arial" w:eastAsia="Arial" w:hAnsi="Arial"/>
                <w:sz w:val="16"/>
                <w:szCs w:val="16"/>
                <w:b w:val="1"/>
                <w:bCs w:val="1"/>
                <w:color w:val="auto"/>
              </w:rPr>
              <w:t>2017</w:t>
            </w:r>
          </w:p>
        </w:tc>
        <w:tc>
          <w:tcPr>
            <w:tcW w:w="1940" w:type="dxa"/>
            <w:vAlign w:val="bottom"/>
          </w:tcPr>
          <w:p>
            <w:pPr>
              <w:jc w:val="right"/>
              <w:ind w:right="759"/>
              <w:spacing w:after="0"/>
              <w:rPr>
                <w:sz w:val="20"/>
                <w:szCs w:val="20"/>
                <w:color w:val="auto"/>
              </w:rPr>
            </w:pPr>
            <w:r>
              <w:rPr>
                <w:rFonts w:ascii="Arial" w:cs="Arial" w:eastAsia="Arial" w:hAnsi="Arial"/>
                <w:sz w:val="16"/>
                <w:szCs w:val="16"/>
                <w:b w:val="1"/>
                <w:bCs w:val="1"/>
                <w:color w:val="auto"/>
              </w:rPr>
              <w:t>2016</w:t>
            </w:r>
          </w:p>
        </w:tc>
        <w:tc>
          <w:tcPr>
            <w:tcW w:w="1200" w:type="dxa"/>
            <w:vAlign w:val="bottom"/>
          </w:tcPr>
          <w:p>
            <w:pPr>
              <w:jc w:val="right"/>
              <w:ind w:right="39"/>
              <w:spacing w:after="0"/>
              <w:rPr>
                <w:sz w:val="20"/>
                <w:szCs w:val="20"/>
                <w:color w:val="auto"/>
              </w:rPr>
            </w:pPr>
            <w:r>
              <w:rPr>
                <w:rFonts w:ascii="Arial" w:cs="Arial" w:eastAsia="Arial" w:hAnsi="Arial"/>
                <w:sz w:val="16"/>
                <w:szCs w:val="16"/>
                <w:b w:val="1"/>
                <w:bCs w:val="1"/>
                <w:color w:val="auto"/>
              </w:rPr>
              <w:t>2015</w:t>
            </w:r>
          </w:p>
        </w:tc>
      </w:tr>
      <w:tr>
        <w:trPr>
          <w:trHeight w:val="33"/>
        </w:trPr>
        <w:tc>
          <w:tcPr>
            <w:tcW w:w="512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Unrecognized tax benefit at beginning of year</w:t>
            </w:r>
          </w:p>
        </w:tc>
        <w:tc>
          <w:tcPr>
            <w:tcW w:w="31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$32</w:t>
            </w:r>
          </w:p>
        </w:tc>
        <w:tc>
          <w:tcPr>
            <w:tcW w:w="1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rPr>
              <w:t>$19</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r>
      <w:tr>
        <w:trPr>
          <w:trHeight w:val="237"/>
        </w:trPr>
        <w:tc>
          <w:tcPr>
            <w:tcW w:w="5120" w:type="dxa"/>
            <w:vAlign w:val="bottom"/>
          </w:tcPr>
          <w:p>
            <w:pPr>
              <w:ind w:left="40"/>
              <w:spacing w:after="0"/>
              <w:rPr>
                <w:sz w:val="20"/>
                <w:szCs w:val="20"/>
                <w:color w:val="auto"/>
              </w:rPr>
            </w:pPr>
            <w:r>
              <w:rPr>
                <w:rFonts w:ascii="Arial" w:cs="Arial" w:eastAsia="Arial" w:hAnsi="Arial"/>
                <w:sz w:val="16"/>
                <w:szCs w:val="16"/>
                <w:color w:val="auto"/>
              </w:rPr>
              <w:t>Gross increase to tax positions in prior periods</w:t>
            </w:r>
          </w:p>
        </w:tc>
        <w:tc>
          <w:tcPr>
            <w:tcW w:w="3140" w:type="dxa"/>
            <w:vAlign w:val="bottom"/>
          </w:tcPr>
          <w:p>
            <w:pPr>
              <w:jc w:val="right"/>
              <w:ind w:right="739"/>
              <w:spacing w:after="0"/>
              <w:rPr>
                <w:sz w:val="20"/>
                <w:szCs w:val="20"/>
                <w:color w:val="auto"/>
              </w:rPr>
            </w:pPr>
            <w:r>
              <w:rPr>
                <w:rFonts w:ascii="Arial" w:cs="Arial" w:eastAsia="Arial" w:hAnsi="Arial"/>
                <w:sz w:val="16"/>
                <w:szCs w:val="16"/>
                <w:b w:val="1"/>
                <w:bCs w:val="1"/>
                <w:color w:val="auto"/>
              </w:rPr>
              <w:t>2</w:t>
            </w:r>
          </w:p>
        </w:tc>
        <w:tc>
          <w:tcPr>
            <w:tcW w:w="1940" w:type="dxa"/>
            <w:vAlign w:val="bottom"/>
          </w:tcPr>
          <w:p>
            <w:pPr>
              <w:jc w:val="right"/>
              <w:ind w:right="759"/>
              <w:spacing w:after="0"/>
              <w:rPr>
                <w:sz w:val="20"/>
                <w:szCs w:val="20"/>
                <w:color w:val="auto"/>
              </w:rPr>
            </w:pPr>
            <w:r>
              <w:rPr>
                <w:rFonts w:ascii="Arial" w:cs="Arial" w:eastAsia="Arial" w:hAnsi="Arial"/>
                <w:sz w:val="16"/>
                <w:szCs w:val="16"/>
                <w:color w:val="auto"/>
              </w:rPr>
              <w:t>16</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6</w:t>
            </w:r>
          </w:p>
        </w:tc>
      </w:tr>
      <w:tr>
        <w:trPr>
          <w:trHeight w:val="33"/>
        </w:trPr>
        <w:tc>
          <w:tcPr>
            <w:tcW w:w="512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decrease to tax positions in prior periods</w:t>
            </w:r>
          </w:p>
        </w:tc>
        <w:tc>
          <w:tcPr>
            <w:tcW w:w="314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(7)</w:t>
            </w:r>
          </w:p>
        </w:tc>
        <w:tc>
          <w:tcPr>
            <w:tcW w:w="1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37"/>
        </w:trPr>
        <w:tc>
          <w:tcPr>
            <w:tcW w:w="5120" w:type="dxa"/>
            <w:vAlign w:val="bottom"/>
          </w:tcPr>
          <w:p>
            <w:pPr>
              <w:ind w:left="40"/>
              <w:spacing w:after="0"/>
              <w:rPr>
                <w:sz w:val="20"/>
                <w:szCs w:val="20"/>
                <w:color w:val="auto"/>
              </w:rPr>
            </w:pPr>
            <w:r>
              <w:rPr>
                <w:rFonts w:ascii="Arial" w:cs="Arial" w:eastAsia="Arial" w:hAnsi="Arial"/>
                <w:sz w:val="16"/>
                <w:szCs w:val="16"/>
                <w:color w:val="auto"/>
              </w:rPr>
              <w:t>Gross increase to tax positions in current period</w:t>
            </w:r>
          </w:p>
        </w:tc>
        <w:tc>
          <w:tcPr>
            <w:tcW w:w="3140" w:type="dxa"/>
            <w:vAlign w:val="bottom"/>
          </w:tcPr>
          <w:p>
            <w:pPr>
              <w:jc w:val="right"/>
              <w:ind w:right="739"/>
              <w:spacing w:after="0"/>
              <w:rPr>
                <w:sz w:val="20"/>
                <w:szCs w:val="20"/>
                <w:color w:val="auto"/>
              </w:rPr>
            </w:pPr>
            <w:r>
              <w:rPr>
                <w:rFonts w:ascii="Arial" w:cs="Arial" w:eastAsia="Arial" w:hAnsi="Arial"/>
                <w:sz w:val="16"/>
                <w:szCs w:val="16"/>
                <w:b w:val="1"/>
                <w:bCs w:val="1"/>
                <w:color w:val="auto"/>
              </w:rPr>
              <w:t>5</w:t>
            </w:r>
          </w:p>
        </w:tc>
        <w:tc>
          <w:tcPr>
            <w:tcW w:w="1940" w:type="dxa"/>
            <w:vAlign w:val="bottom"/>
          </w:tcPr>
          <w:p>
            <w:pPr>
              <w:jc w:val="right"/>
              <w:ind w:right="759"/>
              <w:spacing w:after="0"/>
              <w:rPr>
                <w:sz w:val="20"/>
                <w:szCs w:val="20"/>
                <w:color w:val="auto"/>
              </w:rPr>
            </w:pPr>
            <w:r>
              <w:rPr>
                <w:rFonts w:ascii="Arial" w:cs="Arial" w:eastAsia="Arial" w:hAnsi="Arial"/>
                <w:sz w:val="16"/>
                <w:szCs w:val="16"/>
                <w:color w:val="auto"/>
              </w:rPr>
              <w:t>2</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w:t>
            </w:r>
          </w:p>
        </w:tc>
      </w:tr>
      <w:tr>
        <w:trPr>
          <w:trHeight w:val="33"/>
        </w:trPr>
        <w:tc>
          <w:tcPr>
            <w:tcW w:w="512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5"/>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Lapses in statute</w:t>
            </w:r>
          </w:p>
        </w:tc>
        <w:tc>
          <w:tcPr>
            <w:tcW w:w="314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(1)</w:t>
            </w:r>
          </w:p>
        </w:tc>
        <w:tc>
          <w:tcPr>
            <w:tcW w:w="194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color w:val="auto"/>
              </w:rPr>
              <w:t>(5)</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31"/>
        </w:trPr>
        <w:tc>
          <w:tcPr>
            <w:tcW w:w="51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Unrecognized tax benefit at end of year</w:t>
            </w:r>
          </w:p>
        </w:tc>
        <w:tc>
          <w:tcPr>
            <w:tcW w:w="3140" w:type="dxa"/>
            <w:vAlign w:val="bottom"/>
            <w:tcBorders>
              <w:top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$31</w:t>
            </w:r>
          </w:p>
        </w:tc>
        <w:tc>
          <w:tcPr>
            <w:tcW w:w="1940" w:type="dxa"/>
            <w:vAlign w:val="bottom"/>
            <w:tcBorders>
              <w:top w:val="single" w:sz="8" w:color="auto"/>
            </w:tcBorders>
          </w:tcPr>
          <w:p>
            <w:pPr>
              <w:jc w:val="right"/>
              <w:ind w:right="759"/>
              <w:spacing w:after="0"/>
              <w:rPr>
                <w:sz w:val="20"/>
                <w:szCs w:val="20"/>
                <w:color w:val="auto"/>
              </w:rPr>
            </w:pPr>
            <w:r>
              <w:rPr>
                <w:rFonts w:ascii="Arial" w:cs="Arial" w:eastAsia="Arial" w:hAnsi="Arial"/>
                <w:sz w:val="16"/>
                <w:szCs w:val="16"/>
                <w:color w:val="auto"/>
              </w:rPr>
              <w:t>$32</w:t>
            </w: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w:t>
            </w:r>
          </w:p>
        </w:tc>
      </w:tr>
      <w:tr>
        <w:trPr>
          <w:trHeight w:val="33"/>
        </w:trPr>
        <w:tc>
          <w:tcPr>
            <w:tcW w:w="512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At the end of 2017 and 2016, $18 and $19 of the ending gross unrecognized tax benefit related to items which, if recognized, would affect the effective tax rate.</w:t>
      </w:r>
    </w:p>
    <w:p>
      <w:pPr>
        <w:spacing w:after="0" w:line="11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income tax expense included an increase to expense of $1 in 2017 for tax-related interest and penalties. There were no significant changes to expense in 2016 and 2015. At the end of 2017 and 2016, our liability for interest and penalties was $3 and $2.</w:t>
      </w:r>
    </w:p>
    <w:p>
      <w:pPr>
        <w:spacing w:after="0" w:line="116"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We file income tax returns in the U.S. and a limited number of foreign jurisdictions. With few exceptions, we are no longer subject to federal, state and local, or non-U.S. income tax examinations for years before 2013. Unrecognized tax benefits related to federal, state and local tax positions may decrease by $6 by February 2, 2019, due to the completion of examinations and the expiration of various statutes of limitations.</w:t>
      </w:r>
    </w:p>
    <w:p>
      <w:pPr>
        <w:sectPr>
          <w:pgSz w:w="11900" w:h="16838" w:orient="portrait"/>
          <w:cols w:equalWidth="0" w:num="1">
            <w:col w:w="11420"/>
          </w:cols>
          <w:pgMar w:left="240" w:top="126" w:right="239" w:bottom="1440" w:gutter="0" w:footer="0" w:header="0"/>
        </w:sectPr>
      </w:pPr>
    </w:p>
    <w:p>
      <w:pPr>
        <w:spacing w:after="0" w:line="375" w:lineRule="exact"/>
        <w:rPr>
          <w:sz w:val="20"/>
          <w:szCs w:val="20"/>
          <w:color w:val="auto"/>
        </w:rPr>
      </w:pPr>
    </w:p>
    <w:p>
      <w:pPr>
        <w:ind w:left="9580"/>
        <w:spacing w:after="0"/>
        <w:rPr>
          <w:sz w:val="20"/>
          <w:szCs w:val="20"/>
          <w:color w:val="auto"/>
        </w:rPr>
      </w:pPr>
      <w:r>
        <w:rPr>
          <w:rFonts w:ascii="Arial" w:cs="Arial" w:eastAsia="Arial" w:hAnsi="Arial"/>
          <w:sz w:val="11"/>
          <w:szCs w:val="11"/>
          <w:color w:val="auto"/>
        </w:rPr>
        <w:t xml:space="preserve">Nordstrom, Inc. and subsidiaries </w:t>
      </w:r>
      <w:r>
        <w:rPr>
          <w:rFonts w:ascii="Arial" w:cs="Arial" w:eastAsia="Arial" w:hAnsi="Arial"/>
          <w:sz w:val="14"/>
          <w:szCs w:val="14"/>
          <w:color w:val="auto"/>
        </w:rPr>
        <w:t>59</w:t>
      </w:r>
    </w:p>
    <w:p>
      <w:pPr>
        <w:sectPr>
          <w:pgSz w:w="11900" w:h="16838" w:orient="portrait"/>
          <w:cols w:equalWidth="0" w:num="1">
            <w:col w:w="11420"/>
          </w:cols>
          <w:pgMar w:left="240" w:top="126" w:right="239" w:bottom="1440" w:gutter="0" w:footer="0" w:header="0"/>
          <w:type w:val="continuous"/>
        </w:sectPr>
      </w:pPr>
    </w:p>
    <w:bookmarkStart w:id="60" w:name="page61"/>
    <w:bookmarkEnd w:id="60"/>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EARNINGS PER SHARE</w:t>
      </w:r>
    </w:p>
    <w:p>
      <w:pPr>
        <w:spacing w:after="0" w:line="27"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Earnings per basic share is computed using the weighted-average number of common shares outstanding during the year. Earnings per diluted share uses the weighted-average number of common shares outstanding during the year plus dilutive common stock equivalents, primarily stock options and restricted stock. Dilutive common stock is calculated using the treasury stock method and includes unvested RSUs and outstanding options that would reduce the amount of earnings for which each share is entitled. Anti-dilutive shares (including stock options and other shares) are excluded from the calculation of diluted shares and earnings per diluted share because their impact could increase earnings per diluted share. The computation of earnings per share is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00" w:type="dxa"/>
            <w:vAlign w:val="bottom"/>
          </w:tcPr>
          <w:p>
            <w:pPr>
              <w:ind w:left="40"/>
              <w:spacing w:after="0"/>
              <w:rPr>
                <w:sz w:val="20"/>
                <w:szCs w:val="20"/>
                <w:color w:val="auto"/>
              </w:rPr>
            </w:pPr>
            <w:r>
              <w:rPr>
                <w:rFonts w:ascii="Arial" w:cs="Arial" w:eastAsia="Arial" w:hAnsi="Arial"/>
                <w:sz w:val="16"/>
                <w:szCs w:val="16"/>
                <w:b w:val="1"/>
                <w:bCs w:val="1"/>
                <w:color w:val="auto"/>
              </w:rPr>
              <w:t>Fiscal year</w:t>
            </w:r>
          </w:p>
        </w:tc>
        <w:tc>
          <w:tcPr>
            <w:tcW w:w="3220" w:type="dxa"/>
            <w:vAlign w:val="bottom"/>
          </w:tcPr>
          <w:p>
            <w:pPr>
              <w:jc w:val="right"/>
              <w:ind w:right="699"/>
              <w:spacing w:after="0"/>
              <w:rPr>
                <w:sz w:val="20"/>
                <w:szCs w:val="20"/>
                <w:color w:val="auto"/>
              </w:rPr>
            </w:pPr>
            <w:r>
              <w:rPr>
                <w:rFonts w:ascii="Arial" w:cs="Arial" w:eastAsia="Arial" w:hAnsi="Arial"/>
                <w:sz w:val="16"/>
                <w:szCs w:val="16"/>
                <w:b w:val="1"/>
                <w:bCs w:val="1"/>
                <w:color w:val="auto"/>
              </w:rPr>
              <w:t>2017</w:t>
            </w:r>
          </w:p>
        </w:tc>
        <w:tc>
          <w:tcPr>
            <w:tcW w:w="1920" w:type="dxa"/>
            <w:vAlign w:val="bottom"/>
          </w:tcPr>
          <w:p>
            <w:pPr>
              <w:jc w:val="right"/>
              <w:ind w:right="699"/>
              <w:spacing w:after="0"/>
              <w:rPr>
                <w:sz w:val="20"/>
                <w:szCs w:val="20"/>
                <w:color w:val="auto"/>
              </w:rPr>
            </w:pPr>
            <w:r>
              <w:rPr>
                <w:rFonts w:ascii="Arial" w:cs="Arial" w:eastAsia="Arial" w:hAnsi="Arial"/>
                <w:sz w:val="16"/>
                <w:szCs w:val="16"/>
                <w:b w:val="1"/>
                <w:bCs w:val="1"/>
                <w:color w:val="auto"/>
              </w:rPr>
              <w:t>2016</w:t>
            </w:r>
          </w:p>
        </w:tc>
        <w:tc>
          <w:tcPr>
            <w:tcW w:w="1260" w:type="dxa"/>
            <w:vAlign w:val="bottom"/>
          </w:tcPr>
          <w:p>
            <w:pPr>
              <w:jc w:val="right"/>
              <w:ind w:right="39"/>
              <w:spacing w:after="0"/>
              <w:rPr>
                <w:sz w:val="20"/>
                <w:szCs w:val="20"/>
                <w:color w:val="auto"/>
              </w:rPr>
            </w:pPr>
            <w:r>
              <w:rPr>
                <w:rFonts w:ascii="Arial" w:cs="Arial" w:eastAsia="Arial" w:hAnsi="Arial"/>
                <w:sz w:val="16"/>
                <w:szCs w:val="16"/>
                <w:b w:val="1"/>
                <w:bCs w:val="1"/>
                <w:color w:val="auto"/>
              </w:rPr>
              <w:t>2015</w:t>
            </w:r>
          </w:p>
        </w:tc>
      </w:tr>
      <w:tr>
        <w:trPr>
          <w:trHeight w:val="33"/>
        </w:trPr>
        <w:tc>
          <w:tcPr>
            <w:tcW w:w="500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w:t>
            </w:r>
          </w:p>
        </w:tc>
        <w:tc>
          <w:tcPr>
            <w:tcW w:w="322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$437</w:t>
            </w:r>
          </w:p>
        </w:tc>
        <w:tc>
          <w:tcPr>
            <w:tcW w:w="192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color w:val="auto"/>
              </w:rPr>
              <w:t>$354</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$600</w:t>
            </w:r>
          </w:p>
        </w:tc>
      </w:tr>
      <w:tr>
        <w:trPr>
          <w:trHeight w:val="291"/>
        </w:trPr>
        <w:tc>
          <w:tcPr>
            <w:tcW w:w="5000" w:type="dxa"/>
            <w:vAlign w:val="bottom"/>
            <w:tcBorders>
              <w:top w:val="single" w:sz="8" w:color="auto"/>
            </w:tcBorders>
          </w:tcPr>
          <w:p>
            <w:pPr>
              <w:spacing w:after="0"/>
              <w:rPr>
                <w:sz w:val="24"/>
                <w:szCs w:val="24"/>
                <w:color w:val="auto"/>
              </w:rPr>
            </w:pPr>
          </w:p>
        </w:tc>
        <w:tc>
          <w:tcPr>
            <w:tcW w:w="3220" w:type="dxa"/>
            <w:vAlign w:val="bottom"/>
            <w:tcBorders>
              <w:top w:val="single" w:sz="8" w:color="auto"/>
            </w:tcBorders>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shares</w:t>
            </w:r>
          </w:p>
        </w:tc>
        <w:tc>
          <w:tcPr>
            <w:tcW w:w="322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166.8</w:t>
            </w:r>
          </w:p>
        </w:tc>
        <w:tc>
          <w:tcPr>
            <w:tcW w:w="192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color w:val="auto"/>
              </w:rPr>
              <w:t>173.2</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186.3</w:t>
            </w:r>
          </w:p>
        </w:tc>
      </w:tr>
      <w:tr>
        <w:trPr>
          <w:trHeight w:val="237"/>
        </w:trPr>
        <w:tc>
          <w:tcPr>
            <w:tcW w:w="5000" w:type="dxa"/>
            <w:vAlign w:val="bottom"/>
          </w:tcPr>
          <w:p>
            <w:pPr>
              <w:ind w:left="40"/>
              <w:spacing w:after="0"/>
              <w:rPr>
                <w:sz w:val="20"/>
                <w:szCs w:val="20"/>
                <w:color w:val="auto"/>
              </w:rPr>
            </w:pPr>
            <w:r>
              <w:rPr>
                <w:rFonts w:ascii="Arial" w:cs="Arial" w:eastAsia="Arial" w:hAnsi="Arial"/>
                <w:sz w:val="16"/>
                <w:szCs w:val="16"/>
                <w:color w:val="auto"/>
              </w:rPr>
              <w:t>Dilutive effect of common stock equivalents</w:t>
            </w:r>
          </w:p>
        </w:tc>
        <w:tc>
          <w:tcPr>
            <w:tcW w:w="3220" w:type="dxa"/>
            <w:vAlign w:val="bottom"/>
          </w:tcPr>
          <w:p>
            <w:pPr>
              <w:jc w:val="right"/>
              <w:ind w:right="699"/>
              <w:spacing w:after="0"/>
              <w:rPr>
                <w:sz w:val="20"/>
                <w:szCs w:val="20"/>
                <w:color w:val="auto"/>
              </w:rPr>
            </w:pPr>
            <w:r>
              <w:rPr>
                <w:rFonts w:ascii="Arial" w:cs="Arial" w:eastAsia="Arial" w:hAnsi="Arial"/>
                <w:sz w:val="16"/>
                <w:szCs w:val="16"/>
                <w:b w:val="1"/>
                <w:bCs w:val="1"/>
                <w:color w:val="auto"/>
              </w:rPr>
              <w:t>2.1</w:t>
            </w:r>
          </w:p>
        </w:tc>
        <w:tc>
          <w:tcPr>
            <w:tcW w:w="1920" w:type="dxa"/>
            <w:vAlign w:val="bottom"/>
          </w:tcPr>
          <w:p>
            <w:pPr>
              <w:jc w:val="right"/>
              <w:ind w:right="699"/>
              <w:spacing w:after="0"/>
              <w:rPr>
                <w:sz w:val="20"/>
                <w:szCs w:val="20"/>
                <w:color w:val="auto"/>
              </w:rPr>
            </w:pPr>
            <w:r>
              <w:rPr>
                <w:rFonts w:ascii="Arial" w:cs="Arial" w:eastAsia="Arial" w:hAnsi="Arial"/>
                <w:sz w:val="16"/>
                <w:szCs w:val="16"/>
                <w:color w:val="auto"/>
              </w:rPr>
              <w:t>2.4</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3.8</w:t>
            </w:r>
          </w:p>
        </w:tc>
      </w:tr>
      <w:tr>
        <w:trPr>
          <w:trHeight w:val="33"/>
        </w:trPr>
        <w:tc>
          <w:tcPr>
            <w:tcW w:w="500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shares</w:t>
            </w:r>
          </w:p>
        </w:tc>
        <w:tc>
          <w:tcPr>
            <w:tcW w:w="322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168.9</w:t>
            </w:r>
          </w:p>
        </w:tc>
        <w:tc>
          <w:tcPr>
            <w:tcW w:w="192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color w:val="auto"/>
              </w:rPr>
              <w:t>175.6</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190.1</w:t>
            </w:r>
          </w:p>
        </w:tc>
      </w:tr>
      <w:tr>
        <w:trPr>
          <w:trHeight w:val="291"/>
        </w:trPr>
        <w:tc>
          <w:tcPr>
            <w:tcW w:w="5000" w:type="dxa"/>
            <w:vAlign w:val="bottom"/>
            <w:tcBorders>
              <w:top w:val="single" w:sz="8" w:color="auto"/>
            </w:tcBorders>
          </w:tcPr>
          <w:p>
            <w:pPr>
              <w:spacing w:after="0"/>
              <w:rPr>
                <w:sz w:val="24"/>
                <w:szCs w:val="24"/>
                <w:color w:val="auto"/>
              </w:rPr>
            </w:pPr>
          </w:p>
        </w:tc>
        <w:tc>
          <w:tcPr>
            <w:tcW w:w="3220" w:type="dxa"/>
            <w:vAlign w:val="bottom"/>
            <w:tcBorders>
              <w:top w:val="single" w:sz="8" w:color="auto"/>
            </w:tcBorders>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Earnings per basic share</w:t>
            </w:r>
          </w:p>
        </w:tc>
        <w:tc>
          <w:tcPr>
            <w:tcW w:w="322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$2.62</w:t>
            </w:r>
          </w:p>
        </w:tc>
        <w:tc>
          <w:tcPr>
            <w:tcW w:w="192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color w:val="auto"/>
              </w:rPr>
              <w:t>$2.05</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$3.22</w:t>
            </w:r>
          </w:p>
        </w:tc>
      </w:tr>
      <w:tr>
        <w:trPr>
          <w:trHeight w:val="237"/>
        </w:trPr>
        <w:tc>
          <w:tcPr>
            <w:tcW w:w="5000" w:type="dxa"/>
            <w:vAlign w:val="bottom"/>
          </w:tcPr>
          <w:p>
            <w:pPr>
              <w:ind w:left="40"/>
              <w:spacing w:after="0"/>
              <w:rPr>
                <w:sz w:val="20"/>
                <w:szCs w:val="20"/>
                <w:color w:val="auto"/>
              </w:rPr>
            </w:pPr>
            <w:r>
              <w:rPr>
                <w:rFonts w:ascii="Arial" w:cs="Arial" w:eastAsia="Arial" w:hAnsi="Arial"/>
                <w:sz w:val="16"/>
                <w:szCs w:val="16"/>
                <w:b w:val="1"/>
                <w:bCs w:val="1"/>
                <w:color w:val="auto"/>
              </w:rPr>
              <w:t>Earnings per diluted share</w:t>
            </w:r>
          </w:p>
        </w:tc>
        <w:tc>
          <w:tcPr>
            <w:tcW w:w="3220" w:type="dxa"/>
            <w:vAlign w:val="bottom"/>
          </w:tcPr>
          <w:p>
            <w:pPr>
              <w:jc w:val="right"/>
              <w:ind w:right="699"/>
              <w:spacing w:after="0"/>
              <w:rPr>
                <w:sz w:val="20"/>
                <w:szCs w:val="20"/>
                <w:color w:val="auto"/>
              </w:rPr>
            </w:pPr>
            <w:r>
              <w:rPr>
                <w:rFonts w:ascii="Arial" w:cs="Arial" w:eastAsia="Arial" w:hAnsi="Arial"/>
                <w:sz w:val="16"/>
                <w:szCs w:val="16"/>
                <w:b w:val="1"/>
                <w:bCs w:val="1"/>
                <w:color w:val="auto"/>
              </w:rPr>
              <w:t>$2.59</w:t>
            </w:r>
          </w:p>
        </w:tc>
        <w:tc>
          <w:tcPr>
            <w:tcW w:w="1920" w:type="dxa"/>
            <w:vAlign w:val="bottom"/>
          </w:tcPr>
          <w:p>
            <w:pPr>
              <w:jc w:val="right"/>
              <w:ind w:right="699"/>
              <w:spacing w:after="0"/>
              <w:rPr>
                <w:sz w:val="20"/>
                <w:szCs w:val="20"/>
                <w:color w:val="auto"/>
              </w:rPr>
            </w:pPr>
            <w:r>
              <w:rPr>
                <w:rFonts w:ascii="Arial" w:cs="Arial" w:eastAsia="Arial" w:hAnsi="Arial"/>
                <w:sz w:val="16"/>
                <w:szCs w:val="16"/>
                <w:color w:val="auto"/>
              </w:rPr>
              <w:t>$2.02</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$3.15</w:t>
            </w:r>
          </w:p>
        </w:tc>
      </w:tr>
      <w:tr>
        <w:trPr>
          <w:trHeight w:val="33"/>
        </w:trPr>
        <w:tc>
          <w:tcPr>
            <w:tcW w:w="50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97"/>
        </w:trPr>
        <w:tc>
          <w:tcPr>
            <w:tcW w:w="5000" w:type="dxa"/>
            <w:vAlign w:val="bottom"/>
            <w:shd w:val="clear" w:color="auto" w:fill="CCEEFF"/>
          </w:tcPr>
          <w:p>
            <w:pPr>
              <w:spacing w:after="0"/>
              <w:rPr>
                <w:sz w:val="24"/>
                <w:szCs w:val="24"/>
                <w:color w:val="auto"/>
              </w:rPr>
            </w:pPr>
          </w:p>
        </w:tc>
        <w:tc>
          <w:tcPr>
            <w:tcW w:w="3220" w:type="dxa"/>
            <w:vAlign w:val="bottom"/>
            <w:shd w:val="clear" w:color="auto" w:fill="CCEEFF"/>
          </w:tcPr>
          <w:p>
            <w:pPr>
              <w:spacing w:after="0"/>
              <w:rPr>
                <w:sz w:val="24"/>
                <w:szCs w:val="24"/>
                <w:color w:val="auto"/>
              </w:rPr>
            </w:pPr>
          </w:p>
        </w:tc>
        <w:tc>
          <w:tcPr>
            <w:tcW w:w="19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37"/>
        </w:trPr>
        <w:tc>
          <w:tcPr>
            <w:tcW w:w="5000" w:type="dxa"/>
            <w:vAlign w:val="bottom"/>
          </w:tcPr>
          <w:p>
            <w:pPr>
              <w:ind w:left="40"/>
              <w:spacing w:after="0"/>
              <w:rPr>
                <w:sz w:val="20"/>
                <w:szCs w:val="20"/>
                <w:color w:val="auto"/>
              </w:rPr>
            </w:pPr>
            <w:r>
              <w:rPr>
                <w:rFonts w:ascii="Arial" w:cs="Arial" w:eastAsia="Arial" w:hAnsi="Arial"/>
                <w:sz w:val="16"/>
                <w:szCs w:val="16"/>
                <w:color w:val="auto"/>
              </w:rPr>
              <w:t>Anti-dilutive common stock equivalents</w:t>
            </w:r>
          </w:p>
        </w:tc>
        <w:tc>
          <w:tcPr>
            <w:tcW w:w="3220" w:type="dxa"/>
            <w:vAlign w:val="bottom"/>
          </w:tcPr>
          <w:p>
            <w:pPr>
              <w:jc w:val="right"/>
              <w:ind w:right="699"/>
              <w:spacing w:after="0"/>
              <w:rPr>
                <w:sz w:val="20"/>
                <w:szCs w:val="20"/>
                <w:color w:val="auto"/>
              </w:rPr>
            </w:pPr>
            <w:r>
              <w:rPr>
                <w:rFonts w:ascii="Arial" w:cs="Arial" w:eastAsia="Arial" w:hAnsi="Arial"/>
                <w:sz w:val="16"/>
                <w:szCs w:val="16"/>
                <w:b w:val="1"/>
                <w:bCs w:val="1"/>
                <w:color w:val="auto"/>
              </w:rPr>
              <w:t>10.5</w:t>
            </w:r>
          </w:p>
        </w:tc>
        <w:tc>
          <w:tcPr>
            <w:tcW w:w="1920" w:type="dxa"/>
            <w:vAlign w:val="bottom"/>
          </w:tcPr>
          <w:p>
            <w:pPr>
              <w:jc w:val="right"/>
              <w:ind w:right="699"/>
              <w:spacing w:after="0"/>
              <w:rPr>
                <w:sz w:val="20"/>
                <w:szCs w:val="20"/>
                <w:color w:val="auto"/>
              </w:rPr>
            </w:pPr>
            <w:r>
              <w:rPr>
                <w:rFonts w:ascii="Arial" w:cs="Arial" w:eastAsia="Arial" w:hAnsi="Arial"/>
                <w:sz w:val="16"/>
                <w:szCs w:val="16"/>
                <w:color w:val="auto"/>
              </w:rPr>
              <w:t>8.0</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2.3</w:t>
            </w:r>
          </w:p>
        </w:tc>
      </w:tr>
      <w:tr>
        <w:trPr>
          <w:trHeight w:val="33"/>
        </w:trPr>
        <w:tc>
          <w:tcPr>
            <w:tcW w:w="500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Net earnings in 2016 included the Trunk Club goodwill impairment charge of $197, which had an impact of $1.14 per basic share and $1.12 per diluted share.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SEGMENT REPORTING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We have two reportable segments, which include </w:t>
      </w:r>
      <w:r>
        <w:rPr>
          <w:rFonts w:ascii="Arial" w:cs="Arial" w:eastAsia="Arial" w:hAnsi="Arial"/>
          <w:sz w:val="18"/>
          <w:szCs w:val="18"/>
          <w:b w:val="1"/>
          <w:bCs w:val="1"/>
          <w:color w:val="auto"/>
        </w:rPr>
        <w:t>Retail</w:t>
      </w:r>
      <w:r>
        <w:rPr>
          <w:rFonts w:ascii="Arial" w:cs="Arial" w:eastAsia="Arial" w:hAnsi="Arial"/>
          <w:sz w:val="18"/>
          <w:szCs w:val="18"/>
          <w:color w:val="auto"/>
        </w:rPr>
        <w:t xml:space="preserve"> and </w:t>
      </w:r>
      <w:r>
        <w:rPr>
          <w:rFonts w:ascii="Arial" w:cs="Arial" w:eastAsia="Arial" w:hAnsi="Arial"/>
          <w:sz w:val="18"/>
          <w:szCs w:val="18"/>
          <w:b w:val="1"/>
          <w:bCs w:val="1"/>
          <w:color w:val="auto"/>
        </w:rPr>
        <w:t>Credit</w:t>
      </w:r>
      <w:r>
        <w:rPr>
          <w:rFonts w:ascii="Arial" w:cs="Arial" w:eastAsia="Arial" w:hAnsi="Arial"/>
          <w:sz w:val="18"/>
          <w:szCs w:val="18"/>
          <w:color w:val="auto"/>
        </w:rPr>
        <w:t>.</w:t>
      </w:r>
    </w:p>
    <w:p>
      <w:pPr>
        <w:spacing w:after="0" w:line="153"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 xml:space="preserve">Our </w:t>
      </w:r>
      <w:r>
        <w:rPr>
          <w:rFonts w:ascii="Arial" w:cs="Arial" w:eastAsia="Arial" w:hAnsi="Arial"/>
          <w:sz w:val="16"/>
          <w:szCs w:val="16"/>
          <w:b w:val="1"/>
          <w:bCs w:val="1"/>
          <w:color w:val="auto"/>
        </w:rPr>
        <w:t>Retail</w:t>
      </w:r>
      <w:r>
        <w:rPr>
          <w:rFonts w:ascii="Arial" w:cs="Arial" w:eastAsia="Arial" w:hAnsi="Arial"/>
          <w:sz w:val="16"/>
          <w:szCs w:val="16"/>
          <w:color w:val="auto"/>
        </w:rPr>
        <w:t xml:space="preserve"> segment includes our Full-price operating segment, which is comprised of our Nordstrom U.S. full-line stores and Nordstrom.com. Both of these divisions earn revenue by offering customers a wide range of apparel, shoes, cosmetics and accessories for women, men, young adults and children. Through our multi-channel initiatives, we have integrated the operations, merchandising and technology of our Nordstrom full-line and online stores, consistent with our customers’ expectations of a seamless shopping experience regardless of channel. Internal reporting to our principal executive officer, who is also our chief operating decision maker, is consistent with these multi-channel initiatives. Our Nordstrom Rack, Nordstromrack.com/HauteLook, Nordstrom Canada, Trunk Club and Jeffrey operating segments have similar economic and qualitative characteristics, including nature of products, method of distribution and type of customer, or the segment results are not significant to the operating results of Full-price. Therefore, the results of these operating segments have been aggregated with our Full-price operating segment into the Retail reportable segment.</w:t>
      </w:r>
    </w:p>
    <w:p>
      <w:pPr>
        <w:spacing w:after="0" w:line="106"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 xml:space="preserve">Through our </w:t>
      </w:r>
      <w:r>
        <w:rPr>
          <w:rFonts w:ascii="Arial" w:cs="Arial" w:eastAsia="Arial" w:hAnsi="Arial"/>
          <w:sz w:val="18"/>
          <w:szCs w:val="18"/>
          <w:b w:val="1"/>
          <w:bCs w:val="1"/>
          <w:color w:val="auto"/>
        </w:rPr>
        <w:t>Credit</w:t>
      </w:r>
      <w:r>
        <w:rPr>
          <w:rFonts w:ascii="Arial" w:cs="Arial" w:eastAsia="Arial" w:hAnsi="Arial"/>
          <w:sz w:val="18"/>
          <w:szCs w:val="18"/>
          <w:color w:val="auto"/>
        </w:rPr>
        <w:t xml:space="preserve"> segment, our customers can access a variety of payment products and services, including a selection of Nordstrom-branded Visa® credit cards in the U.S. and Canada, as well as a Nordstrom-branded private label credit card and a debit card for Nordstrom purchases. When customers use a Nordstrom-branded credit or debit card, they also participate in our loyalty program that provides benefits based on their level of spending. Although the primary purposes of our Credit segment are to foster greater customer loyalty and drive more sales, we also receive credit card revenue through our program agreement with TD (see Note 2: Credit Card Receivable Transaction).</w:t>
      </w:r>
    </w:p>
    <w:p>
      <w:pPr>
        <w:spacing w:after="0" w:line="130" w:lineRule="exact"/>
        <w:rPr>
          <w:sz w:val="20"/>
          <w:szCs w:val="20"/>
          <w:color w:val="auto"/>
        </w:rPr>
      </w:pPr>
    </w:p>
    <w:p>
      <w:pPr>
        <w:ind w:right="20"/>
        <w:spacing w:after="0" w:line="314" w:lineRule="auto"/>
        <w:rPr>
          <w:sz w:val="20"/>
          <w:szCs w:val="20"/>
          <w:color w:val="auto"/>
        </w:rPr>
      </w:pPr>
      <w:r>
        <w:rPr>
          <w:rFonts w:ascii="Arial" w:cs="Arial" w:eastAsia="Arial" w:hAnsi="Arial"/>
          <w:sz w:val="16"/>
          <w:szCs w:val="16"/>
          <w:color w:val="auto"/>
        </w:rPr>
        <w:t xml:space="preserve">Amounts in the </w:t>
      </w:r>
      <w:r>
        <w:rPr>
          <w:rFonts w:ascii="Arial" w:cs="Arial" w:eastAsia="Arial" w:hAnsi="Arial"/>
          <w:sz w:val="16"/>
          <w:szCs w:val="16"/>
          <w:b w:val="1"/>
          <w:bCs w:val="1"/>
          <w:color w:val="auto"/>
        </w:rPr>
        <w:t>Corporate/Other</w:t>
      </w:r>
      <w:r>
        <w:rPr>
          <w:rFonts w:ascii="Arial" w:cs="Arial" w:eastAsia="Arial" w:hAnsi="Arial"/>
          <w:sz w:val="16"/>
          <w:szCs w:val="16"/>
          <w:color w:val="auto"/>
        </w:rPr>
        <w:t xml:space="preserve"> column include unallocated corporate expenses and assets (including unallocated assets in corporate headquarters, consisting primarily of cash, land, buildings and equipment and deferred tax assets), sales return reserves, inter-segment eliminations and other adjustments to segment results necessary for the presentation of consolidated financial results in accordance with generally accepted accounting principles.</w:t>
      </w:r>
    </w:p>
    <w:p>
      <w:pPr>
        <w:spacing w:after="0" w:line="9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Retail Business represents a subtotal of the Retail segment and Corporate/Other, and is consistent with our presentation in Item 7: Management’s Discussion and Analysis of Financial Condition and Results of Operations. Retail Business is not a reportable segment.</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420"/>
          </w:cols>
          <w:pgMar w:left="240" w:top="126" w:right="239" w:bottom="1440" w:gutter="0" w:footer="0" w:header="0"/>
        </w:sectPr>
      </w:pPr>
    </w:p>
    <w:bookmarkStart w:id="61" w:name="page62"/>
    <w:bookmarkEnd w:id="61"/>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200" w:lineRule="exact"/>
        <w:rPr>
          <w:sz w:val="20"/>
          <w:szCs w:val="20"/>
          <w:color w:val="auto"/>
        </w:rPr>
      </w:pPr>
    </w:p>
    <w:p>
      <w:pPr>
        <w:spacing w:after="0" w:line="38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continually monitor and review our segment reporting structure in accordance with authoritative guidance to determine whether any changes have occurred that would impact our reportable segments. As a result of the evolution of our operations, our reportable segments have become progressively more integrated such that we will change our reportable segments to one reportable segment to align with how management will view the results of our operations in the first quarter of 2018.</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Policy</w:t>
      </w:r>
    </w:p>
    <w:p>
      <w:pPr>
        <w:spacing w:after="0" w:line="27"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In general, we use the same measurements to compute earnings before income taxes for reportable segments as we do for the consolidated Company. However, redemptions of our Nordstrom Notes are included in net sales for our Retail segment. The sales amount in our Corporate/Other column includes an entry to eliminate these transactions from our consolidated net sales. The related Nordstrom Notes expenses are included in our Retail segment at face value. Our Corporate/Other column includes an adjustment to reduce the Nordstrom Notes expense from face value to their estimated cost. In addition, our sales return reserve and other corporate adjustments are recorded in the Corporate/Other column. Other than as described above, the accounting policies of the operating segments are the same as those described in Note 1: Nature of Operations and Summary of Significant Accounting Policies.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for our reportable segments: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00" w:type="dxa"/>
            <w:vAlign w:val="bottom"/>
          </w:tcPr>
          <w:p>
            <w:pPr>
              <w:spacing w:after="0"/>
              <w:rPr>
                <w:sz w:val="18"/>
                <w:szCs w:val="18"/>
                <w:color w:val="auto"/>
              </w:rPr>
            </w:pPr>
          </w:p>
        </w:tc>
        <w:tc>
          <w:tcPr>
            <w:tcW w:w="1440" w:type="dxa"/>
            <w:vAlign w:val="bottom"/>
          </w:tcPr>
          <w:p>
            <w:pPr>
              <w:jc w:val="right"/>
              <w:ind w:right="139"/>
              <w:spacing w:after="0"/>
              <w:rPr>
                <w:sz w:val="20"/>
                <w:szCs w:val="20"/>
                <w:color w:val="auto"/>
              </w:rPr>
            </w:pPr>
            <w:r>
              <w:rPr>
                <w:rFonts w:ascii="Arial" w:cs="Arial" w:eastAsia="Arial" w:hAnsi="Arial"/>
                <w:sz w:val="16"/>
                <w:szCs w:val="16"/>
                <w:b w:val="1"/>
                <w:bCs w:val="1"/>
                <w:color w:val="auto"/>
              </w:rPr>
              <w:t>Retail</w:t>
            </w:r>
          </w:p>
        </w:tc>
        <w:tc>
          <w:tcPr>
            <w:tcW w:w="1600" w:type="dxa"/>
            <w:vAlign w:val="bottom"/>
          </w:tcPr>
          <w:p>
            <w:pPr>
              <w:jc w:val="right"/>
              <w:ind w:right="179"/>
              <w:spacing w:after="0"/>
              <w:rPr>
                <w:sz w:val="20"/>
                <w:szCs w:val="20"/>
                <w:color w:val="auto"/>
              </w:rPr>
            </w:pPr>
            <w:r>
              <w:rPr>
                <w:rFonts w:ascii="Arial" w:cs="Arial" w:eastAsia="Arial" w:hAnsi="Arial"/>
                <w:sz w:val="16"/>
                <w:szCs w:val="16"/>
                <w:b w:val="1"/>
                <w:bCs w:val="1"/>
                <w:color w:val="auto"/>
              </w:rPr>
              <w:t>Corporate/Other</w:t>
            </w:r>
          </w:p>
        </w:tc>
        <w:tc>
          <w:tcPr>
            <w:tcW w:w="1800" w:type="dxa"/>
            <w:vAlign w:val="bottom"/>
          </w:tcPr>
          <w:p>
            <w:pPr>
              <w:jc w:val="right"/>
              <w:ind w:right="479"/>
              <w:spacing w:after="0"/>
              <w:rPr>
                <w:sz w:val="20"/>
                <w:szCs w:val="20"/>
                <w:color w:val="auto"/>
              </w:rPr>
            </w:pPr>
            <w:r>
              <w:rPr>
                <w:rFonts w:ascii="Arial" w:cs="Arial" w:eastAsia="Arial" w:hAnsi="Arial"/>
                <w:sz w:val="16"/>
                <w:szCs w:val="16"/>
                <w:b w:val="1"/>
                <w:bCs w:val="1"/>
                <w:color w:val="auto"/>
              </w:rPr>
              <w:t>Retail Business</w:t>
            </w:r>
          </w:p>
        </w:tc>
        <w:tc>
          <w:tcPr>
            <w:tcW w:w="1560" w:type="dxa"/>
            <w:vAlign w:val="bottom"/>
          </w:tcPr>
          <w:p>
            <w:pPr>
              <w:jc w:val="right"/>
              <w:ind w:right="519"/>
              <w:spacing w:after="0"/>
              <w:rPr>
                <w:sz w:val="20"/>
                <w:szCs w:val="20"/>
                <w:color w:val="auto"/>
              </w:rPr>
            </w:pPr>
            <w:r>
              <w:rPr>
                <w:rFonts w:ascii="Arial" w:cs="Arial" w:eastAsia="Arial" w:hAnsi="Arial"/>
                <w:sz w:val="16"/>
                <w:szCs w:val="16"/>
                <w:b w:val="1"/>
                <w:bCs w:val="1"/>
                <w:color w:val="auto"/>
              </w:rPr>
              <w:t>Credit</w:t>
            </w: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Total</w:t>
            </w:r>
          </w:p>
        </w:tc>
      </w:tr>
      <w:tr>
        <w:trPr>
          <w:trHeight w:val="33"/>
        </w:trPr>
        <w:tc>
          <w:tcPr>
            <w:tcW w:w="39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Fiscal year 2017</w:t>
            </w:r>
          </w:p>
        </w:tc>
        <w:tc>
          <w:tcPr>
            <w:tcW w:w="14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6"/>
                <w:szCs w:val="16"/>
                <w:color w:val="auto"/>
              </w:rPr>
              <w:t>Net sales</w:t>
            </w:r>
          </w:p>
        </w:tc>
        <w:tc>
          <w:tcPr>
            <w:tcW w:w="1440" w:type="dxa"/>
            <w:vAlign w:val="bottom"/>
          </w:tcPr>
          <w:p>
            <w:pPr>
              <w:jc w:val="right"/>
              <w:ind w:right="99"/>
              <w:spacing w:after="0"/>
              <w:rPr>
                <w:sz w:val="20"/>
                <w:szCs w:val="20"/>
                <w:color w:val="auto"/>
              </w:rPr>
            </w:pPr>
            <w:r>
              <w:rPr>
                <w:rFonts w:ascii="Arial" w:cs="Arial" w:eastAsia="Arial" w:hAnsi="Arial"/>
                <w:sz w:val="16"/>
                <w:szCs w:val="16"/>
                <w:b w:val="1"/>
                <w:bCs w:val="1"/>
                <w:color w:val="auto"/>
              </w:rPr>
              <w:t>$15,408</w:t>
            </w:r>
          </w:p>
        </w:tc>
        <w:tc>
          <w:tcPr>
            <w:tcW w:w="1600" w:type="dxa"/>
            <w:vAlign w:val="bottom"/>
          </w:tcPr>
          <w:p>
            <w:pPr>
              <w:jc w:val="right"/>
              <w:ind w:right="119"/>
              <w:spacing w:after="0"/>
              <w:rPr>
                <w:sz w:val="20"/>
                <w:szCs w:val="20"/>
                <w:color w:val="auto"/>
              </w:rPr>
            </w:pPr>
            <w:r>
              <w:rPr>
                <w:rFonts w:ascii="Arial" w:cs="Arial" w:eastAsia="Arial" w:hAnsi="Arial"/>
                <w:sz w:val="16"/>
                <w:szCs w:val="16"/>
                <w:b w:val="1"/>
                <w:bCs w:val="1"/>
                <w:color w:val="auto"/>
              </w:rPr>
              <w:t>($271)</w:t>
            </w:r>
          </w:p>
        </w:tc>
        <w:tc>
          <w:tcPr>
            <w:tcW w:w="1800" w:type="dxa"/>
            <w:vAlign w:val="bottom"/>
          </w:tcPr>
          <w:p>
            <w:pPr>
              <w:jc w:val="right"/>
              <w:ind w:right="479"/>
              <w:spacing w:after="0"/>
              <w:rPr>
                <w:sz w:val="20"/>
                <w:szCs w:val="20"/>
                <w:color w:val="auto"/>
              </w:rPr>
            </w:pPr>
            <w:r>
              <w:rPr>
                <w:rFonts w:ascii="Arial" w:cs="Arial" w:eastAsia="Arial" w:hAnsi="Arial"/>
                <w:sz w:val="16"/>
                <w:szCs w:val="16"/>
                <w:b w:val="1"/>
                <w:bCs w:val="1"/>
                <w:color w:val="auto"/>
              </w:rPr>
              <w:t>$15,137</w:t>
            </w:r>
          </w:p>
        </w:tc>
        <w:tc>
          <w:tcPr>
            <w:tcW w:w="1560" w:type="dxa"/>
            <w:vAlign w:val="bottom"/>
          </w:tcPr>
          <w:p>
            <w:pPr>
              <w:jc w:val="right"/>
              <w:ind w:right="479"/>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$15,137</w:t>
            </w:r>
          </w:p>
        </w:tc>
      </w:tr>
      <w:tr>
        <w:trPr>
          <w:trHeight w:val="33"/>
        </w:trPr>
        <w:tc>
          <w:tcPr>
            <w:tcW w:w="39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Credit card revenues, net</w:t>
            </w:r>
          </w:p>
        </w:tc>
        <w:tc>
          <w:tcPr>
            <w:tcW w:w="14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16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w:t>
            </w:r>
          </w:p>
        </w:tc>
        <w:tc>
          <w:tcPr>
            <w:tcW w:w="180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b w:val="1"/>
                <w:bCs w:val="1"/>
                <w:color w:val="auto"/>
              </w:rPr>
              <w:t>—</w:t>
            </w:r>
          </w:p>
        </w:tc>
        <w:tc>
          <w:tcPr>
            <w:tcW w:w="156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b w:val="1"/>
                <w:bCs w:val="1"/>
                <w:color w:val="auto"/>
              </w:rPr>
              <w:t>341</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341</w:t>
            </w:r>
          </w:p>
        </w:tc>
      </w:tr>
      <w:tr>
        <w:trPr>
          <w:trHeight w:val="237"/>
        </w:trPr>
        <w:tc>
          <w:tcPr>
            <w:tcW w:w="3900" w:type="dxa"/>
            <w:vAlign w:val="bottom"/>
          </w:tcPr>
          <w:p>
            <w:pPr>
              <w:ind w:left="40"/>
              <w:spacing w:after="0"/>
              <w:rPr>
                <w:sz w:val="20"/>
                <w:szCs w:val="20"/>
                <w:color w:val="auto"/>
              </w:rPr>
            </w:pPr>
            <w:r>
              <w:rPr>
                <w:rFonts w:ascii="Arial" w:cs="Arial" w:eastAsia="Arial" w:hAnsi="Arial"/>
                <w:sz w:val="16"/>
                <w:szCs w:val="16"/>
                <w:color w:val="auto"/>
              </w:rPr>
              <w:t>Earnings (loss) before interest and income taxes</w:t>
            </w:r>
          </w:p>
        </w:tc>
        <w:tc>
          <w:tcPr>
            <w:tcW w:w="1440" w:type="dxa"/>
            <w:vAlign w:val="bottom"/>
          </w:tcPr>
          <w:p>
            <w:pPr>
              <w:jc w:val="right"/>
              <w:ind w:right="99"/>
              <w:spacing w:after="0"/>
              <w:rPr>
                <w:sz w:val="20"/>
                <w:szCs w:val="20"/>
                <w:color w:val="auto"/>
              </w:rPr>
            </w:pPr>
            <w:r>
              <w:rPr>
                <w:rFonts w:ascii="Arial" w:cs="Arial" w:eastAsia="Arial" w:hAnsi="Arial"/>
                <w:sz w:val="16"/>
                <w:szCs w:val="16"/>
                <w:b w:val="1"/>
                <w:bCs w:val="1"/>
                <w:color w:val="auto"/>
              </w:rPr>
              <w:t>1,206</w:t>
            </w:r>
          </w:p>
        </w:tc>
        <w:tc>
          <w:tcPr>
            <w:tcW w:w="1600" w:type="dxa"/>
            <w:vAlign w:val="bottom"/>
          </w:tcPr>
          <w:p>
            <w:pPr>
              <w:jc w:val="right"/>
              <w:ind w:right="119"/>
              <w:spacing w:after="0"/>
              <w:rPr>
                <w:sz w:val="20"/>
                <w:szCs w:val="20"/>
                <w:color w:val="auto"/>
              </w:rPr>
            </w:pPr>
            <w:r>
              <w:rPr>
                <w:rFonts w:ascii="Arial" w:cs="Arial" w:eastAsia="Arial" w:hAnsi="Arial"/>
                <w:sz w:val="16"/>
                <w:szCs w:val="16"/>
                <w:b w:val="1"/>
                <w:bCs w:val="1"/>
                <w:color w:val="auto"/>
              </w:rPr>
              <w:t>(454)</w:t>
            </w:r>
          </w:p>
        </w:tc>
        <w:tc>
          <w:tcPr>
            <w:tcW w:w="1800" w:type="dxa"/>
            <w:vAlign w:val="bottom"/>
          </w:tcPr>
          <w:p>
            <w:pPr>
              <w:jc w:val="right"/>
              <w:ind w:right="479"/>
              <w:spacing w:after="0"/>
              <w:rPr>
                <w:sz w:val="20"/>
                <w:szCs w:val="20"/>
                <w:color w:val="auto"/>
              </w:rPr>
            </w:pPr>
            <w:r>
              <w:rPr>
                <w:rFonts w:ascii="Arial" w:cs="Arial" w:eastAsia="Arial" w:hAnsi="Arial"/>
                <w:sz w:val="16"/>
                <w:szCs w:val="16"/>
                <w:b w:val="1"/>
                <w:bCs w:val="1"/>
                <w:color w:val="auto"/>
              </w:rPr>
              <w:t>752</w:t>
            </w:r>
          </w:p>
        </w:tc>
        <w:tc>
          <w:tcPr>
            <w:tcW w:w="1560" w:type="dxa"/>
            <w:vAlign w:val="bottom"/>
          </w:tcPr>
          <w:p>
            <w:pPr>
              <w:jc w:val="right"/>
              <w:ind w:right="479"/>
              <w:spacing w:after="0"/>
              <w:rPr>
                <w:sz w:val="20"/>
                <w:szCs w:val="20"/>
                <w:color w:val="auto"/>
              </w:rPr>
            </w:pPr>
            <w:r>
              <w:rPr>
                <w:rFonts w:ascii="Arial" w:cs="Arial" w:eastAsia="Arial" w:hAnsi="Arial"/>
                <w:sz w:val="16"/>
                <w:szCs w:val="16"/>
                <w:b w:val="1"/>
                <w:bCs w:val="1"/>
                <w:color w:val="auto"/>
              </w:rPr>
              <w:t>174</w:t>
            </w: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926</w:t>
            </w:r>
          </w:p>
        </w:tc>
      </w:tr>
      <w:tr>
        <w:trPr>
          <w:trHeight w:val="33"/>
        </w:trPr>
        <w:tc>
          <w:tcPr>
            <w:tcW w:w="39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 net</w:t>
            </w:r>
          </w:p>
        </w:tc>
        <w:tc>
          <w:tcPr>
            <w:tcW w:w="14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16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(136)</w:t>
            </w:r>
          </w:p>
        </w:tc>
        <w:tc>
          <w:tcPr>
            <w:tcW w:w="18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(136)</w:t>
            </w:r>
          </w:p>
        </w:tc>
        <w:tc>
          <w:tcPr>
            <w:tcW w:w="156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(136)</w:t>
            </w:r>
          </w:p>
        </w:tc>
      </w:tr>
      <w:tr>
        <w:trPr>
          <w:trHeight w:val="237"/>
        </w:trPr>
        <w:tc>
          <w:tcPr>
            <w:tcW w:w="3900" w:type="dxa"/>
            <w:vAlign w:val="bottom"/>
          </w:tcPr>
          <w:p>
            <w:pPr>
              <w:ind w:left="40"/>
              <w:spacing w:after="0"/>
              <w:rPr>
                <w:sz w:val="20"/>
                <w:szCs w:val="20"/>
                <w:color w:val="auto"/>
              </w:rPr>
            </w:pPr>
            <w:r>
              <w:rPr>
                <w:rFonts w:ascii="Arial" w:cs="Arial" w:eastAsia="Arial" w:hAnsi="Arial"/>
                <w:sz w:val="16"/>
                <w:szCs w:val="16"/>
                <w:color w:val="auto"/>
              </w:rPr>
              <w:t>Earnings (loss) before income taxes</w:t>
            </w:r>
          </w:p>
        </w:tc>
        <w:tc>
          <w:tcPr>
            <w:tcW w:w="1440" w:type="dxa"/>
            <w:vAlign w:val="bottom"/>
          </w:tcPr>
          <w:p>
            <w:pPr>
              <w:jc w:val="right"/>
              <w:ind w:right="99"/>
              <w:spacing w:after="0"/>
              <w:rPr>
                <w:sz w:val="20"/>
                <w:szCs w:val="20"/>
                <w:color w:val="auto"/>
              </w:rPr>
            </w:pPr>
            <w:r>
              <w:rPr>
                <w:rFonts w:ascii="Arial" w:cs="Arial" w:eastAsia="Arial" w:hAnsi="Arial"/>
                <w:sz w:val="16"/>
                <w:szCs w:val="16"/>
                <w:b w:val="1"/>
                <w:bCs w:val="1"/>
                <w:color w:val="auto"/>
              </w:rPr>
              <w:t>1,206</w:t>
            </w:r>
          </w:p>
        </w:tc>
        <w:tc>
          <w:tcPr>
            <w:tcW w:w="1600" w:type="dxa"/>
            <w:vAlign w:val="bottom"/>
          </w:tcPr>
          <w:p>
            <w:pPr>
              <w:jc w:val="right"/>
              <w:ind w:right="119"/>
              <w:spacing w:after="0"/>
              <w:rPr>
                <w:sz w:val="20"/>
                <w:szCs w:val="20"/>
                <w:color w:val="auto"/>
              </w:rPr>
            </w:pPr>
            <w:r>
              <w:rPr>
                <w:rFonts w:ascii="Arial" w:cs="Arial" w:eastAsia="Arial" w:hAnsi="Arial"/>
                <w:sz w:val="16"/>
                <w:szCs w:val="16"/>
                <w:b w:val="1"/>
                <w:bCs w:val="1"/>
                <w:color w:val="auto"/>
              </w:rPr>
              <w:t>(590)</w:t>
            </w:r>
          </w:p>
        </w:tc>
        <w:tc>
          <w:tcPr>
            <w:tcW w:w="1800" w:type="dxa"/>
            <w:vAlign w:val="bottom"/>
          </w:tcPr>
          <w:p>
            <w:pPr>
              <w:jc w:val="right"/>
              <w:ind w:right="479"/>
              <w:spacing w:after="0"/>
              <w:rPr>
                <w:sz w:val="20"/>
                <w:szCs w:val="20"/>
                <w:color w:val="auto"/>
              </w:rPr>
            </w:pPr>
            <w:r>
              <w:rPr>
                <w:rFonts w:ascii="Arial" w:cs="Arial" w:eastAsia="Arial" w:hAnsi="Arial"/>
                <w:sz w:val="16"/>
                <w:szCs w:val="16"/>
                <w:b w:val="1"/>
                <w:bCs w:val="1"/>
                <w:color w:val="auto"/>
              </w:rPr>
              <w:t>616</w:t>
            </w:r>
          </w:p>
        </w:tc>
        <w:tc>
          <w:tcPr>
            <w:tcW w:w="1560" w:type="dxa"/>
            <w:vAlign w:val="bottom"/>
          </w:tcPr>
          <w:p>
            <w:pPr>
              <w:jc w:val="right"/>
              <w:ind w:right="479"/>
              <w:spacing w:after="0"/>
              <w:rPr>
                <w:sz w:val="20"/>
                <w:szCs w:val="20"/>
                <w:color w:val="auto"/>
              </w:rPr>
            </w:pPr>
            <w:r>
              <w:rPr>
                <w:rFonts w:ascii="Arial" w:cs="Arial" w:eastAsia="Arial" w:hAnsi="Arial"/>
                <w:sz w:val="16"/>
                <w:szCs w:val="16"/>
                <w:b w:val="1"/>
                <w:bCs w:val="1"/>
                <w:color w:val="auto"/>
              </w:rPr>
              <w:t>174</w:t>
            </w: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790</w:t>
            </w:r>
          </w:p>
        </w:tc>
      </w:tr>
      <w:tr>
        <w:trPr>
          <w:trHeight w:val="33"/>
        </w:trPr>
        <w:tc>
          <w:tcPr>
            <w:tcW w:w="39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 expenditures</w:t>
            </w:r>
          </w:p>
        </w:tc>
        <w:tc>
          <w:tcPr>
            <w:tcW w:w="14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516</w:t>
            </w:r>
          </w:p>
        </w:tc>
        <w:tc>
          <w:tcPr>
            <w:tcW w:w="16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214</w:t>
            </w:r>
          </w:p>
        </w:tc>
        <w:tc>
          <w:tcPr>
            <w:tcW w:w="180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b w:val="1"/>
                <w:bCs w:val="1"/>
                <w:color w:val="auto"/>
              </w:rPr>
              <w:t>730</w:t>
            </w:r>
          </w:p>
        </w:tc>
        <w:tc>
          <w:tcPr>
            <w:tcW w:w="156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b w:val="1"/>
                <w:bCs w:val="1"/>
                <w:color w:val="auto"/>
              </w:rPr>
              <w:t>1</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731</w:t>
            </w:r>
          </w:p>
        </w:tc>
      </w:tr>
      <w:tr>
        <w:trPr>
          <w:trHeight w:val="237"/>
        </w:trPr>
        <w:tc>
          <w:tcPr>
            <w:tcW w:w="3900" w:type="dxa"/>
            <w:vAlign w:val="bottom"/>
          </w:tcPr>
          <w:p>
            <w:pPr>
              <w:ind w:left="40"/>
              <w:spacing w:after="0"/>
              <w:rPr>
                <w:sz w:val="20"/>
                <w:szCs w:val="20"/>
                <w:color w:val="auto"/>
              </w:rPr>
            </w:pPr>
            <w:r>
              <w:rPr>
                <w:rFonts w:ascii="Arial" w:cs="Arial" w:eastAsia="Arial" w:hAnsi="Arial"/>
                <w:sz w:val="16"/>
                <w:szCs w:val="16"/>
                <w:color w:val="auto"/>
              </w:rPr>
              <w:t>Depreciation and amortization</w:t>
            </w:r>
          </w:p>
        </w:tc>
        <w:tc>
          <w:tcPr>
            <w:tcW w:w="1440" w:type="dxa"/>
            <w:vAlign w:val="bottom"/>
          </w:tcPr>
          <w:p>
            <w:pPr>
              <w:jc w:val="right"/>
              <w:ind w:right="99"/>
              <w:spacing w:after="0"/>
              <w:rPr>
                <w:sz w:val="20"/>
                <w:szCs w:val="20"/>
                <w:color w:val="auto"/>
              </w:rPr>
            </w:pPr>
            <w:r>
              <w:rPr>
                <w:rFonts w:ascii="Arial" w:cs="Arial" w:eastAsia="Arial" w:hAnsi="Arial"/>
                <w:sz w:val="16"/>
                <w:szCs w:val="16"/>
                <w:b w:val="1"/>
                <w:bCs w:val="1"/>
                <w:color w:val="auto"/>
              </w:rPr>
              <w:t>445</w:t>
            </w:r>
          </w:p>
        </w:tc>
        <w:tc>
          <w:tcPr>
            <w:tcW w:w="1600" w:type="dxa"/>
            <w:vAlign w:val="bottom"/>
          </w:tcPr>
          <w:p>
            <w:pPr>
              <w:jc w:val="right"/>
              <w:ind w:right="179"/>
              <w:spacing w:after="0"/>
              <w:rPr>
                <w:sz w:val="20"/>
                <w:szCs w:val="20"/>
                <w:color w:val="auto"/>
              </w:rPr>
            </w:pPr>
            <w:r>
              <w:rPr>
                <w:rFonts w:ascii="Arial" w:cs="Arial" w:eastAsia="Arial" w:hAnsi="Arial"/>
                <w:sz w:val="16"/>
                <w:szCs w:val="16"/>
                <w:b w:val="1"/>
                <w:bCs w:val="1"/>
                <w:color w:val="auto"/>
              </w:rPr>
              <w:t>213</w:t>
            </w:r>
          </w:p>
        </w:tc>
        <w:tc>
          <w:tcPr>
            <w:tcW w:w="1800" w:type="dxa"/>
            <w:vAlign w:val="bottom"/>
          </w:tcPr>
          <w:p>
            <w:pPr>
              <w:jc w:val="right"/>
              <w:ind w:right="479"/>
              <w:spacing w:after="0"/>
              <w:rPr>
                <w:sz w:val="20"/>
                <w:szCs w:val="20"/>
                <w:color w:val="auto"/>
              </w:rPr>
            </w:pPr>
            <w:r>
              <w:rPr>
                <w:rFonts w:ascii="Arial" w:cs="Arial" w:eastAsia="Arial" w:hAnsi="Arial"/>
                <w:sz w:val="16"/>
                <w:szCs w:val="16"/>
                <w:b w:val="1"/>
                <w:bCs w:val="1"/>
                <w:color w:val="auto"/>
              </w:rPr>
              <w:t>658</w:t>
            </w:r>
          </w:p>
        </w:tc>
        <w:tc>
          <w:tcPr>
            <w:tcW w:w="1560" w:type="dxa"/>
            <w:vAlign w:val="bottom"/>
          </w:tcPr>
          <w:p>
            <w:pPr>
              <w:jc w:val="right"/>
              <w:ind w:right="479"/>
              <w:spacing w:after="0"/>
              <w:rPr>
                <w:sz w:val="20"/>
                <w:szCs w:val="20"/>
                <w:color w:val="auto"/>
              </w:rPr>
            </w:pPr>
            <w:r>
              <w:rPr>
                <w:rFonts w:ascii="Arial" w:cs="Arial" w:eastAsia="Arial" w:hAnsi="Arial"/>
                <w:sz w:val="16"/>
                <w:szCs w:val="16"/>
                <w:b w:val="1"/>
                <w:bCs w:val="1"/>
                <w:color w:val="auto"/>
              </w:rPr>
              <w:t>8</w:t>
            </w: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666</w:t>
            </w:r>
          </w:p>
        </w:tc>
      </w:tr>
      <w:tr>
        <w:trPr>
          <w:trHeight w:val="33"/>
        </w:trPr>
        <w:tc>
          <w:tcPr>
            <w:tcW w:w="39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14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5,237</w:t>
            </w:r>
          </w:p>
        </w:tc>
        <w:tc>
          <w:tcPr>
            <w:tcW w:w="16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2,638</w:t>
            </w:r>
          </w:p>
        </w:tc>
        <w:tc>
          <w:tcPr>
            <w:tcW w:w="180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b w:val="1"/>
                <w:bCs w:val="1"/>
                <w:color w:val="auto"/>
              </w:rPr>
              <w:t>7,875</w:t>
            </w:r>
          </w:p>
        </w:tc>
        <w:tc>
          <w:tcPr>
            <w:tcW w:w="156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b w:val="1"/>
                <w:bCs w:val="1"/>
                <w:color w:val="auto"/>
              </w:rPr>
              <w:t>240</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8,115</w:t>
            </w:r>
          </w:p>
        </w:tc>
      </w:tr>
      <w:tr>
        <w:trPr>
          <w:trHeight w:val="297"/>
        </w:trPr>
        <w:tc>
          <w:tcPr>
            <w:tcW w:w="39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Fiscal year 2016</w:t>
            </w:r>
          </w:p>
        </w:tc>
        <w:tc>
          <w:tcPr>
            <w:tcW w:w="14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6"/>
                <w:szCs w:val="16"/>
                <w:color w:val="auto"/>
              </w:rPr>
              <w:t>Net sales</w:t>
            </w:r>
          </w:p>
        </w:tc>
        <w:tc>
          <w:tcPr>
            <w:tcW w:w="1440" w:type="dxa"/>
            <w:vAlign w:val="bottom"/>
          </w:tcPr>
          <w:p>
            <w:pPr>
              <w:jc w:val="right"/>
              <w:ind w:right="99"/>
              <w:spacing w:after="0"/>
              <w:rPr>
                <w:sz w:val="20"/>
                <w:szCs w:val="20"/>
                <w:color w:val="auto"/>
              </w:rPr>
            </w:pPr>
            <w:r>
              <w:rPr>
                <w:rFonts w:ascii="Arial" w:cs="Arial" w:eastAsia="Arial" w:hAnsi="Arial"/>
                <w:sz w:val="16"/>
                <w:szCs w:val="16"/>
                <w:color w:val="auto"/>
              </w:rPr>
              <w:t>$14,768</w:t>
            </w:r>
          </w:p>
        </w:tc>
        <w:tc>
          <w:tcPr>
            <w:tcW w:w="1600" w:type="dxa"/>
            <w:vAlign w:val="bottom"/>
          </w:tcPr>
          <w:p>
            <w:pPr>
              <w:jc w:val="right"/>
              <w:ind w:right="119"/>
              <w:spacing w:after="0"/>
              <w:rPr>
                <w:sz w:val="20"/>
                <w:szCs w:val="20"/>
                <w:color w:val="auto"/>
              </w:rPr>
            </w:pPr>
            <w:r>
              <w:rPr>
                <w:rFonts w:ascii="Arial" w:cs="Arial" w:eastAsia="Arial" w:hAnsi="Arial"/>
                <w:sz w:val="16"/>
                <w:szCs w:val="16"/>
                <w:color w:val="auto"/>
              </w:rPr>
              <w:t>($270)</w:t>
            </w:r>
          </w:p>
        </w:tc>
        <w:tc>
          <w:tcPr>
            <w:tcW w:w="1800" w:type="dxa"/>
            <w:vAlign w:val="bottom"/>
          </w:tcPr>
          <w:p>
            <w:pPr>
              <w:jc w:val="right"/>
              <w:ind w:right="479"/>
              <w:spacing w:after="0"/>
              <w:rPr>
                <w:sz w:val="20"/>
                <w:szCs w:val="20"/>
                <w:color w:val="auto"/>
              </w:rPr>
            </w:pPr>
            <w:r>
              <w:rPr>
                <w:rFonts w:ascii="Arial" w:cs="Arial" w:eastAsia="Arial" w:hAnsi="Arial"/>
                <w:sz w:val="16"/>
                <w:szCs w:val="16"/>
                <w:color w:val="auto"/>
              </w:rPr>
              <w:t>$14,498</w:t>
            </w:r>
          </w:p>
        </w:tc>
        <w:tc>
          <w:tcPr>
            <w:tcW w:w="156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$14,498</w:t>
            </w:r>
          </w:p>
        </w:tc>
      </w:tr>
      <w:tr>
        <w:trPr>
          <w:trHeight w:val="33"/>
        </w:trPr>
        <w:tc>
          <w:tcPr>
            <w:tcW w:w="39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Credit card revenues, net</w:t>
            </w:r>
          </w:p>
        </w:tc>
        <w:tc>
          <w:tcPr>
            <w:tcW w:w="14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259</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259</w:t>
            </w:r>
          </w:p>
        </w:tc>
      </w:tr>
      <w:tr>
        <w:trPr>
          <w:trHeight w:val="237"/>
        </w:trPr>
        <w:tc>
          <w:tcPr>
            <w:tcW w:w="3900" w:type="dxa"/>
            <w:vAlign w:val="bottom"/>
          </w:tcPr>
          <w:p>
            <w:pPr>
              <w:ind w:left="40"/>
              <w:spacing w:after="0"/>
              <w:rPr>
                <w:sz w:val="20"/>
                <w:szCs w:val="20"/>
                <w:color w:val="auto"/>
              </w:rPr>
            </w:pPr>
            <w:r>
              <w:rPr>
                <w:rFonts w:ascii="Arial" w:cs="Arial" w:eastAsia="Arial" w:hAnsi="Arial"/>
                <w:sz w:val="16"/>
                <w:szCs w:val="16"/>
                <w:color w:val="auto"/>
              </w:rPr>
              <w:t>Earnings (loss) before interest and income taxes</w:t>
            </w:r>
          </w:p>
        </w:tc>
        <w:tc>
          <w:tcPr>
            <w:tcW w:w="1440" w:type="dxa"/>
            <w:vAlign w:val="bottom"/>
          </w:tcPr>
          <w:p>
            <w:pPr>
              <w:jc w:val="right"/>
              <w:ind w:right="99"/>
              <w:spacing w:after="0"/>
              <w:rPr>
                <w:sz w:val="20"/>
                <w:szCs w:val="20"/>
                <w:color w:val="auto"/>
              </w:rPr>
            </w:pPr>
            <w:r>
              <w:rPr>
                <w:rFonts w:ascii="Arial" w:cs="Arial" w:eastAsia="Arial" w:hAnsi="Arial"/>
                <w:sz w:val="16"/>
                <w:szCs w:val="16"/>
                <w:color w:val="auto"/>
              </w:rPr>
              <w:t>1,006</w:t>
            </w:r>
          </w:p>
        </w:tc>
        <w:tc>
          <w:tcPr>
            <w:tcW w:w="1600" w:type="dxa"/>
            <w:vAlign w:val="bottom"/>
          </w:tcPr>
          <w:p>
            <w:pPr>
              <w:jc w:val="right"/>
              <w:ind w:right="119"/>
              <w:spacing w:after="0"/>
              <w:rPr>
                <w:sz w:val="20"/>
                <w:szCs w:val="20"/>
                <w:color w:val="auto"/>
              </w:rPr>
            </w:pPr>
            <w:r>
              <w:rPr>
                <w:rFonts w:ascii="Arial" w:cs="Arial" w:eastAsia="Arial" w:hAnsi="Arial"/>
                <w:sz w:val="16"/>
                <w:szCs w:val="16"/>
                <w:color w:val="auto"/>
              </w:rPr>
              <w:t>(298)</w:t>
            </w:r>
          </w:p>
        </w:tc>
        <w:tc>
          <w:tcPr>
            <w:tcW w:w="1800" w:type="dxa"/>
            <w:vAlign w:val="bottom"/>
          </w:tcPr>
          <w:p>
            <w:pPr>
              <w:jc w:val="right"/>
              <w:ind w:right="479"/>
              <w:spacing w:after="0"/>
              <w:rPr>
                <w:sz w:val="20"/>
                <w:szCs w:val="20"/>
                <w:color w:val="auto"/>
              </w:rPr>
            </w:pPr>
            <w:r>
              <w:rPr>
                <w:rFonts w:ascii="Arial" w:cs="Arial" w:eastAsia="Arial" w:hAnsi="Arial"/>
                <w:sz w:val="16"/>
                <w:szCs w:val="16"/>
                <w:color w:val="auto"/>
              </w:rPr>
              <w:t>708</w:t>
            </w:r>
          </w:p>
        </w:tc>
        <w:tc>
          <w:tcPr>
            <w:tcW w:w="1560" w:type="dxa"/>
            <w:vAlign w:val="bottom"/>
          </w:tcPr>
          <w:p>
            <w:pPr>
              <w:jc w:val="right"/>
              <w:ind w:right="479"/>
              <w:spacing w:after="0"/>
              <w:rPr>
                <w:sz w:val="20"/>
                <w:szCs w:val="20"/>
                <w:color w:val="auto"/>
              </w:rPr>
            </w:pPr>
            <w:r>
              <w:rPr>
                <w:rFonts w:ascii="Arial" w:cs="Arial" w:eastAsia="Arial" w:hAnsi="Arial"/>
                <w:sz w:val="16"/>
                <w:szCs w:val="16"/>
                <w:color w:val="auto"/>
              </w:rPr>
              <w:t>97</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805</w:t>
            </w:r>
          </w:p>
        </w:tc>
      </w:tr>
      <w:tr>
        <w:trPr>
          <w:trHeight w:val="33"/>
        </w:trPr>
        <w:tc>
          <w:tcPr>
            <w:tcW w:w="39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 net</w:t>
            </w:r>
          </w:p>
        </w:tc>
        <w:tc>
          <w:tcPr>
            <w:tcW w:w="14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(121)</w:t>
            </w:r>
          </w:p>
        </w:tc>
        <w:tc>
          <w:tcPr>
            <w:tcW w:w="18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(121)</w:t>
            </w:r>
          </w:p>
        </w:tc>
        <w:tc>
          <w:tcPr>
            <w:tcW w:w="156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w:t>
            </w:r>
          </w:p>
        </w:tc>
      </w:tr>
      <w:tr>
        <w:trPr>
          <w:trHeight w:val="237"/>
        </w:trPr>
        <w:tc>
          <w:tcPr>
            <w:tcW w:w="3900" w:type="dxa"/>
            <w:vAlign w:val="bottom"/>
          </w:tcPr>
          <w:p>
            <w:pPr>
              <w:ind w:left="40"/>
              <w:spacing w:after="0"/>
              <w:rPr>
                <w:sz w:val="20"/>
                <w:szCs w:val="20"/>
                <w:color w:val="auto"/>
              </w:rPr>
            </w:pPr>
            <w:r>
              <w:rPr>
                <w:rFonts w:ascii="Arial" w:cs="Arial" w:eastAsia="Arial" w:hAnsi="Arial"/>
                <w:sz w:val="16"/>
                <w:szCs w:val="16"/>
                <w:color w:val="auto"/>
              </w:rPr>
              <w:t>Earnings (loss) before income taxes</w:t>
            </w:r>
          </w:p>
        </w:tc>
        <w:tc>
          <w:tcPr>
            <w:tcW w:w="1440" w:type="dxa"/>
            <w:vAlign w:val="bottom"/>
          </w:tcPr>
          <w:p>
            <w:pPr>
              <w:jc w:val="right"/>
              <w:ind w:right="99"/>
              <w:spacing w:after="0"/>
              <w:rPr>
                <w:sz w:val="20"/>
                <w:szCs w:val="20"/>
                <w:color w:val="auto"/>
              </w:rPr>
            </w:pPr>
            <w:r>
              <w:rPr>
                <w:rFonts w:ascii="Arial" w:cs="Arial" w:eastAsia="Arial" w:hAnsi="Arial"/>
                <w:sz w:val="16"/>
                <w:szCs w:val="16"/>
                <w:color w:val="auto"/>
              </w:rPr>
              <w:t>1,006</w:t>
            </w:r>
          </w:p>
        </w:tc>
        <w:tc>
          <w:tcPr>
            <w:tcW w:w="1600" w:type="dxa"/>
            <w:vAlign w:val="bottom"/>
          </w:tcPr>
          <w:p>
            <w:pPr>
              <w:jc w:val="right"/>
              <w:ind w:right="119"/>
              <w:spacing w:after="0"/>
              <w:rPr>
                <w:sz w:val="20"/>
                <w:szCs w:val="20"/>
                <w:color w:val="auto"/>
              </w:rPr>
            </w:pPr>
            <w:r>
              <w:rPr>
                <w:rFonts w:ascii="Arial" w:cs="Arial" w:eastAsia="Arial" w:hAnsi="Arial"/>
                <w:sz w:val="16"/>
                <w:szCs w:val="16"/>
                <w:color w:val="auto"/>
              </w:rPr>
              <w:t>(419)</w:t>
            </w:r>
          </w:p>
        </w:tc>
        <w:tc>
          <w:tcPr>
            <w:tcW w:w="1800" w:type="dxa"/>
            <w:vAlign w:val="bottom"/>
          </w:tcPr>
          <w:p>
            <w:pPr>
              <w:jc w:val="right"/>
              <w:ind w:right="479"/>
              <w:spacing w:after="0"/>
              <w:rPr>
                <w:sz w:val="20"/>
                <w:szCs w:val="20"/>
                <w:color w:val="auto"/>
              </w:rPr>
            </w:pPr>
            <w:r>
              <w:rPr>
                <w:rFonts w:ascii="Arial" w:cs="Arial" w:eastAsia="Arial" w:hAnsi="Arial"/>
                <w:sz w:val="16"/>
                <w:szCs w:val="16"/>
                <w:color w:val="auto"/>
              </w:rPr>
              <w:t>587</w:t>
            </w:r>
          </w:p>
        </w:tc>
        <w:tc>
          <w:tcPr>
            <w:tcW w:w="1560" w:type="dxa"/>
            <w:vAlign w:val="bottom"/>
          </w:tcPr>
          <w:p>
            <w:pPr>
              <w:jc w:val="right"/>
              <w:ind w:right="479"/>
              <w:spacing w:after="0"/>
              <w:rPr>
                <w:sz w:val="20"/>
                <w:szCs w:val="20"/>
                <w:color w:val="auto"/>
              </w:rPr>
            </w:pPr>
            <w:r>
              <w:rPr>
                <w:rFonts w:ascii="Arial" w:cs="Arial" w:eastAsia="Arial" w:hAnsi="Arial"/>
                <w:sz w:val="16"/>
                <w:szCs w:val="16"/>
                <w:color w:val="auto"/>
              </w:rPr>
              <w:t>97</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684</w:t>
            </w:r>
          </w:p>
        </w:tc>
      </w:tr>
      <w:tr>
        <w:trPr>
          <w:trHeight w:val="33"/>
        </w:trPr>
        <w:tc>
          <w:tcPr>
            <w:tcW w:w="39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 expenditures</w:t>
            </w:r>
          </w:p>
        </w:tc>
        <w:tc>
          <w:tcPr>
            <w:tcW w:w="14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593</w:t>
            </w:r>
          </w:p>
        </w:tc>
        <w:tc>
          <w:tcPr>
            <w:tcW w:w="16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249</w:t>
            </w:r>
          </w:p>
        </w:tc>
        <w:tc>
          <w:tcPr>
            <w:tcW w:w="180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842</w:t>
            </w:r>
          </w:p>
        </w:tc>
        <w:tc>
          <w:tcPr>
            <w:tcW w:w="156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4</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846</w:t>
            </w:r>
          </w:p>
        </w:tc>
      </w:tr>
      <w:tr>
        <w:trPr>
          <w:trHeight w:val="237"/>
        </w:trPr>
        <w:tc>
          <w:tcPr>
            <w:tcW w:w="3900" w:type="dxa"/>
            <w:vAlign w:val="bottom"/>
          </w:tcPr>
          <w:p>
            <w:pPr>
              <w:ind w:left="40"/>
              <w:spacing w:after="0"/>
              <w:rPr>
                <w:sz w:val="20"/>
                <w:szCs w:val="20"/>
                <w:color w:val="auto"/>
              </w:rPr>
            </w:pPr>
            <w:r>
              <w:rPr>
                <w:rFonts w:ascii="Arial" w:cs="Arial" w:eastAsia="Arial" w:hAnsi="Arial"/>
                <w:sz w:val="16"/>
                <w:szCs w:val="16"/>
                <w:color w:val="auto"/>
              </w:rPr>
              <w:t>Depreciation and amortization</w:t>
            </w:r>
          </w:p>
        </w:tc>
        <w:tc>
          <w:tcPr>
            <w:tcW w:w="1440" w:type="dxa"/>
            <w:vAlign w:val="bottom"/>
          </w:tcPr>
          <w:p>
            <w:pPr>
              <w:jc w:val="right"/>
              <w:ind w:right="99"/>
              <w:spacing w:after="0"/>
              <w:rPr>
                <w:sz w:val="20"/>
                <w:szCs w:val="20"/>
                <w:color w:val="auto"/>
              </w:rPr>
            </w:pPr>
            <w:r>
              <w:rPr>
                <w:rFonts w:ascii="Arial" w:cs="Arial" w:eastAsia="Arial" w:hAnsi="Arial"/>
                <w:sz w:val="16"/>
                <w:szCs w:val="16"/>
                <w:color w:val="auto"/>
              </w:rPr>
              <w:t>456</w:t>
            </w:r>
          </w:p>
        </w:tc>
        <w:tc>
          <w:tcPr>
            <w:tcW w:w="1600" w:type="dxa"/>
            <w:vAlign w:val="bottom"/>
          </w:tcPr>
          <w:p>
            <w:pPr>
              <w:jc w:val="right"/>
              <w:ind w:right="179"/>
              <w:spacing w:after="0"/>
              <w:rPr>
                <w:sz w:val="20"/>
                <w:szCs w:val="20"/>
                <w:color w:val="auto"/>
              </w:rPr>
            </w:pPr>
            <w:r>
              <w:rPr>
                <w:rFonts w:ascii="Arial" w:cs="Arial" w:eastAsia="Arial" w:hAnsi="Arial"/>
                <w:sz w:val="16"/>
                <w:szCs w:val="16"/>
                <w:color w:val="auto"/>
              </w:rPr>
              <w:t>182</w:t>
            </w:r>
          </w:p>
        </w:tc>
        <w:tc>
          <w:tcPr>
            <w:tcW w:w="1800" w:type="dxa"/>
            <w:vAlign w:val="bottom"/>
          </w:tcPr>
          <w:p>
            <w:pPr>
              <w:jc w:val="right"/>
              <w:ind w:right="479"/>
              <w:spacing w:after="0"/>
              <w:rPr>
                <w:sz w:val="20"/>
                <w:szCs w:val="20"/>
                <w:color w:val="auto"/>
              </w:rPr>
            </w:pPr>
            <w:r>
              <w:rPr>
                <w:rFonts w:ascii="Arial" w:cs="Arial" w:eastAsia="Arial" w:hAnsi="Arial"/>
                <w:sz w:val="16"/>
                <w:szCs w:val="16"/>
                <w:color w:val="auto"/>
              </w:rPr>
              <w:t>638</w:t>
            </w:r>
          </w:p>
        </w:tc>
        <w:tc>
          <w:tcPr>
            <w:tcW w:w="1560" w:type="dxa"/>
            <w:vAlign w:val="bottom"/>
          </w:tcPr>
          <w:p>
            <w:pPr>
              <w:jc w:val="right"/>
              <w:ind w:right="479"/>
              <w:spacing w:after="0"/>
              <w:rPr>
                <w:sz w:val="20"/>
                <w:szCs w:val="20"/>
                <w:color w:val="auto"/>
              </w:rPr>
            </w:pPr>
            <w:r>
              <w:rPr>
                <w:rFonts w:ascii="Arial" w:cs="Arial" w:eastAsia="Arial" w:hAnsi="Arial"/>
                <w:sz w:val="16"/>
                <w:szCs w:val="16"/>
                <w:color w:val="auto"/>
              </w:rPr>
              <w:t>7</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645</w:t>
            </w:r>
          </w:p>
        </w:tc>
      </w:tr>
      <w:tr>
        <w:trPr>
          <w:trHeight w:val="33"/>
        </w:trPr>
        <w:tc>
          <w:tcPr>
            <w:tcW w:w="39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14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5,291</w:t>
            </w:r>
          </w:p>
        </w:tc>
        <w:tc>
          <w:tcPr>
            <w:tcW w:w="16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2,088</w:t>
            </w:r>
          </w:p>
        </w:tc>
        <w:tc>
          <w:tcPr>
            <w:tcW w:w="180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7,379</w:t>
            </w:r>
          </w:p>
        </w:tc>
        <w:tc>
          <w:tcPr>
            <w:tcW w:w="156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479</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7,858</w:t>
            </w:r>
          </w:p>
        </w:tc>
      </w:tr>
      <w:tr>
        <w:trPr>
          <w:trHeight w:val="297"/>
        </w:trPr>
        <w:tc>
          <w:tcPr>
            <w:tcW w:w="39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Fiscal year 2015</w:t>
            </w:r>
          </w:p>
        </w:tc>
        <w:tc>
          <w:tcPr>
            <w:tcW w:w="14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6"/>
                <w:szCs w:val="16"/>
                <w:color w:val="auto"/>
              </w:rPr>
              <w:t>Net sales</w:t>
            </w:r>
          </w:p>
        </w:tc>
        <w:tc>
          <w:tcPr>
            <w:tcW w:w="1440" w:type="dxa"/>
            <w:vAlign w:val="bottom"/>
          </w:tcPr>
          <w:p>
            <w:pPr>
              <w:jc w:val="right"/>
              <w:ind w:right="99"/>
              <w:spacing w:after="0"/>
              <w:rPr>
                <w:sz w:val="20"/>
                <w:szCs w:val="20"/>
                <w:color w:val="auto"/>
              </w:rPr>
            </w:pPr>
            <w:r>
              <w:rPr>
                <w:rFonts w:ascii="Arial" w:cs="Arial" w:eastAsia="Arial" w:hAnsi="Arial"/>
                <w:sz w:val="16"/>
                <w:szCs w:val="16"/>
                <w:color w:val="auto"/>
              </w:rPr>
              <w:t>$14,376</w:t>
            </w:r>
          </w:p>
        </w:tc>
        <w:tc>
          <w:tcPr>
            <w:tcW w:w="1600" w:type="dxa"/>
            <w:vAlign w:val="bottom"/>
          </w:tcPr>
          <w:p>
            <w:pPr>
              <w:jc w:val="right"/>
              <w:ind w:right="119"/>
              <w:spacing w:after="0"/>
              <w:rPr>
                <w:sz w:val="20"/>
                <w:szCs w:val="20"/>
                <w:color w:val="auto"/>
              </w:rPr>
            </w:pPr>
            <w:r>
              <w:rPr>
                <w:rFonts w:ascii="Arial" w:cs="Arial" w:eastAsia="Arial" w:hAnsi="Arial"/>
                <w:sz w:val="16"/>
                <w:szCs w:val="16"/>
                <w:color w:val="auto"/>
              </w:rPr>
              <w:t>($281)</w:t>
            </w:r>
          </w:p>
        </w:tc>
        <w:tc>
          <w:tcPr>
            <w:tcW w:w="1800" w:type="dxa"/>
            <w:vAlign w:val="bottom"/>
          </w:tcPr>
          <w:p>
            <w:pPr>
              <w:jc w:val="right"/>
              <w:ind w:right="479"/>
              <w:spacing w:after="0"/>
              <w:rPr>
                <w:sz w:val="20"/>
                <w:szCs w:val="20"/>
                <w:color w:val="auto"/>
              </w:rPr>
            </w:pPr>
            <w:r>
              <w:rPr>
                <w:rFonts w:ascii="Arial" w:cs="Arial" w:eastAsia="Arial" w:hAnsi="Arial"/>
                <w:sz w:val="16"/>
                <w:szCs w:val="16"/>
                <w:color w:val="auto"/>
              </w:rPr>
              <w:t>$14,095</w:t>
            </w:r>
          </w:p>
        </w:tc>
        <w:tc>
          <w:tcPr>
            <w:tcW w:w="156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$14,095</w:t>
            </w:r>
          </w:p>
        </w:tc>
      </w:tr>
      <w:tr>
        <w:trPr>
          <w:trHeight w:val="33"/>
        </w:trPr>
        <w:tc>
          <w:tcPr>
            <w:tcW w:w="39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Credit card revenues, net</w:t>
            </w:r>
          </w:p>
        </w:tc>
        <w:tc>
          <w:tcPr>
            <w:tcW w:w="14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342</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342</w:t>
            </w:r>
          </w:p>
        </w:tc>
      </w:tr>
      <w:tr>
        <w:trPr>
          <w:trHeight w:val="237"/>
        </w:trPr>
        <w:tc>
          <w:tcPr>
            <w:tcW w:w="3900" w:type="dxa"/>
            <w:vAlign w:val="bottom"/>
          </w:tcPr>
          <w:p>
            <w:pPr>
              <w:ind w:left="40"/>
              <w:spacing w:after="0"/>
              <w:rPr>
                <w:sz w:val="20"/>
                <w:szCs w:val="20"/>
                <w:color w:val="auto"/>
              </w:rPr>
            </w:pPr>
            <w:r>
              <w:rPr>
                <w:rFonts w:ascii="Arial" w:cs="Arial" w:eastAsia="Arial" w:hAnsi="Arial"/>
                <w:sz w:val="16"/>
                <w:szCs w:val="16"/>
                <w:color w:val="auto"/>
              </w:rPr>
              <w:t>Earnings (loss) before interest and income taxes</w:t>
            </w:r>
          </w:p>
        </w:tc>
        <w:tc>
          <w:tcPr>
            <w:tcW w:w="1440" w:type="dxa"/>
            <w:vAlign w:val="bottom"/>
          </w:tcPr>
          <w:p>
            <w:pPr>
              <w:jc w:val="right"/>
              <w:ind w:right="99"/>
              <w:spacing w:after="0"/>
              <w:rPr>
                <w:sz w:val="20"/>
                <w:szCs w:val="20"/>
                <w:color w:val="auto"/>
              </w:rPr>
            </w:pPr>
            <w:r>
              <w:rPr>
                <w:rFonts w:ascii="Arial" w:cs="Arial" w:eastAsia="Arial" w:hAnsi="Arial"/>
                <w:sz w:val="16"/>
                <w:szCs w:val="16"/>
                <w:color w:val="auto"/>
              </w:rPr>
              <w:t>1,220</w:t>
            </w:r>
          </w:p>
        </w:tc>
        <w:tc>
          <w:tcPr>
            <w:tcW w:w="1600" w:type="dxa"/>
            <w:vAlign w:val="bottom"/>
          </w:tcPr>
          <w:p>
            <w:pPr>
              <w:jc w:val="right"/>
              <w:ind w:right="119"/>
              <w:spacing w:after="0"/>
              <w:rPr>
                <w:sz w:val="20"/>
                <w:szCs w:val="20"/>
                <w:color w:val="auto"/>
              </w:rPr>
            </w:pPr>
            <w:r>
              <w:rPr>
                <w:rFonts w:ascii="Arial" w:cs="Arial" w:eastAsia="Arial" w:hAnsi="Arial"/>
                <w:sz w:val="16"/>
                <w:szCs w:val="16"/>
                <w:color w:val="auto"/>
              </w:rPr>
              <w:t>(302)</w:t>
            </w:r>
          </w:p>
        </w:tc>
        <w:tc>
          <w:tcPr>
            <w:tcW w:w="1800" w:type="dxa"/>
            <w:vAlign w:val="bottom"/>
          </w:tcPr>
          <w:p>
            <w:pPr>
              <w:jc w:val="right"/>
              <w:ind w:right="479"/>
              <w:spacing w:after="0"/>
              <w:rPr>
                <w:sz w:val="20"/>
                <w:szCs w:val="20"/>
                <w:color w:val="auto"/>
              </w:rPr>
            </w:pPr>
            <w:r>
              <w:rPr>
                <w:rFonts w:ascii="Arial" w:cs="Arial" w:eastAsia="Arial" w:hAnsi="Arial"/>
                <w:sz w:val="16"/>
                <w:szCs w:val="16"/>
                <w:color w:val="auto"/>
              </w:rPr>
              <w:t>918</w:t>
            </w:r>
          </w:p>
        </w:tc>
        <w:tc>
          <w:tcPr>
            <w:tcW w:w="1560" w:type="dxa"/>
            <w:vAlign w:val="bottom"/>
          </w:tcPr>
          <w:p>
            <w:pPr>
              <w:jc w:val="right"/>
              <w:ind w:right="479"/>
              <w:spacing w:after="0"/>
              <w:rPr>
                <w:sz w:val="20"/>
                <w:szCs w:val="20"/>
                <w:color w:val="auto"/>
              </w:rPr>
            </w:pPr>
            <w:r>
              <w:rPr>
                <w:rFonts w:ascii="Arial" w:cs="Arial" w:eastAsia="Arial" w:hAnsi="Arial"/>
                <w:sz w:val="16"/>
                <w:szCs w:val="16"/>
                <w:color w:val="auto"/>
              </w:rPr>
              <w:t>183</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1,101</w:t>
            </w:r>
          </w:p>
        </w:tc>
      </w:tr>
      <w:tr>
        <w:trPr>
          <w:trHeight w:val="33"/>
        </w:trPr>
        <w:tc>
          <w:tcPr>
            <w:tcW w:w="39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 net</w:t>
            </w:r>
          </w:p>
        </w:tc>
        <w:tc>
          <w:tcPr>
            <w:tcW w:w="14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(112)</w:t>
            </w:r>
          </w:p>
        </w:tc>
        <w:tc>
          <w:tcPr>
            <w:tcW w:w="18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(112)</w:t>
            </w:r>
          </w:p>
        </w:tc>
        <w:tc>
          <w:tcPr>
            <w:tcW w:w="156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(13)</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w:t>
            </w:r>
          </w:p>
        </w:tc>
      </w:tr>
      <w:tr>
        <w:trPr>
          <w:trHeight w:val="237"/>
        </w:trPr>
        <w:tc>
          <w:tcPr>
            <w:tcW w:w="3900" w:type="dxa"/>
            <w:vAlign w:val="bottom"/>
          </w:tcPr>
          <w:p>
            <w:pPr>
              <w:ind w:left="40"/>
              <w:spacing w:after="0"/>
              <w:rPr>
                <w:sz w:val="20"/>
                <w:szCs w:val="20"/>
                <w:color w:val="auto"/>
              </w:rPr>
            </w:pPr>
            <w:r>
              <w:rPr>
                <w:rFonts w:ascii="Arial" w:cs="Arial" w:eastAsia="Arial" w:hAnsi="Arial"/>
                <w:sz w:val="16"/>
                <w:szCs w:val="16"/>
                <w:color w:val="auto"/>
              </w:rPr>
              <w:t>Earnings (loss) before income taxes</w:t>
            </w:r>
          </w:p>
        </w:tc>
        <w:tc>
          <w:tcPr>
            <w:tcW w:w="1440" w:type="dxa"/>
            <w:vAlign w:val="bottom"/>
          </w:tcPr>
          <w:p>
            <w:pPr>
              <w:jc w:val="right"/>
              <w:ind w:right="99"/>
              <w:spacing w:after="0"/>
              <w:rPr>
                <w:sz w:val="20"/>
                <w:szCs w:val="20"/>
                <w:color w:val="auto"/>
              </w:rPr>
            </w:pPr>
            <w:r>
              <w:rPr>
                <w:rFonts w:ascii="Arial" w:cs="Arial" w:eastAsia="Arial" w:hAnsi="Arial"/>
                <w:sz w:val="16"/>
                <w:szCs w:val="16"/>
                <w:color w:val="auto"/>
              </w:rPr>
              <w:t>1,220</w:t>
            </w:r>
          </w:p>
        </w:tc>
        <w:tc>
          <w:tcPr>
            <w:tcW w:w="1600" w:type="dxa"/>
            <w:vAlign w:val="bottom"/>
          </w:tcPr>
          <w:p>
            <w:pPr>
              <w:jc w:val="right"/>
              <w:ind w:right="119"/>
              <w:spacing w:after="0"/>
              <w:rPr>
                <w:sz w:val="20"/>
                <w:szCs w:val="20"/>
                <w:color w:val="auto"/>
              </w:rPr>
            </w:pPr>
            <w:r>
              <w:rPr>
                <w:rFonts w:ascii="Arial" w:cs="Arial" w:eastAsia="Arial" w:hAnsi="Arial"/>
                <w:sz w:val="16"/>
                <w:szCs w:val="16"/>
                <w:color w:val="auto"/>
              </w:rPr>
              <w:t>(414)</w:t>
            </w:r>
          </w:p>
        </w:tc>
        <w:tc>
          <w:tcPr>
            <w:tcW w:w="1800" w:type="dxa"/>
            <w:vAlign w:val="bottom"/>
          </w:tcPr>
          <w:p>
            <w:pPr>
              <w:jc w:val="right"/>
              <w:ind w:right="479"/>
              <w:spacing w:after="0"/>
              <w:rPr>
                <w:sz w:val="20"/>
                <w:szCs w:val="20"/>
                <w:color w:val="auto"/>
              </w:rPr>
            </w:pPr>
            <w:r>
              <w:rPr>
                <w:rFonts w:ascii="Arial" w:cs="Arial" w:eastAsia="Arial" w:hAnsi="Arial"/>
                <w:sz w:val="16"/>
                <w:szCs w:val="16"/>
                <w:color w:val="auto"/>
              </w:rPr>
              <w:t>806</w:t>
            </w:r>
          </w:p>
        </w:tc>
        <w:tc>
          <w:tcPr>
            <w:tcW w:w="1560" w:type="dxa"/>
            <w:vAlign w:val="bottom"/>
          </w:tcPr>
          <w:p>
            <w:pPr>
              <w:jc w:val="right"/>
              <w:ind w:right="479"/>
              <w:spacing w:after="0"/>
              <w:rPr>
                <w:sz w:val="20"/>
                <w:szCs w:val="20"/>
                <w:color w:val="auto"/>
              </w:rPr>
            </w:pPr>
            <w:r>
              <w:rPr>
                <w:rFonts w:ascii="Arial" w:cs="Arial" w:eastAsia="Arial" w:hAnsi="Arial"/>
                <w:sz w:val="16"/>
                <w:szCs w:val="16"/>
                <w:color w:val="auto"/>
              </w:rPr>
              <w:t>170</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976</w:t>
            </w:r>
          </w:p>
        </w:tc>
      </w:tr>
      <w:tr>
        <w:trPr>
          <w:trHeight w:val="33"/>
        </w:trPr>
        <w:tc>
          <w:tcPr>
            <w:tcW w:w="39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 expenditures</w:t>
            </w:r>
          </w:p>
        </w:tc>
        <w:tc>
          <w:tcPr>
            <w:tcW w:w="14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837</w:t>
            </w:r>
          </w:p>
        </w:tc>
        <w:tc>
          <w:tcPr>
            <w:tcW w:w="16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241</w:t>
            </w:r>
          </w:p>
        </w:tc>
        <w:tc>
          <w:tcPr>
            <w:tcW w:w="180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1,078</w:t>
            </w:r>
          </w:p>
        </w:tc>
        <w:tc>
          <w:tcPr>
            <w:tcW w:w="156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4</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1,082</w:t>
            </w:r>
          </w:p>
        </w:tc>
      </w:tr>
      <w:tr>
        <w:trPr>
          <w:trHeight w:val="237"/>
        </w:trPr>
        <w:tc>
          <w:tcPr>
            <w:tcW w:w="3900" w:type="dxa"/>
            <w:vAlign w:val="bottom"/>
          </w:tcPr>
          <w:p>
            <w:pPr>
              <w:ind w:left="40"/>
              <w:spacing w:after="0"/>
              <w:rPr>
                <w:sz w:val="20"/>
                <w:szCs w:val="20"/>
                <w:color w:val="auto"/>
              </w:rPr>
            </w:pPr>
            <w:r>
              <w:rPr>
                <w:rFonts w:ascii="Arial" w:cs="Arial" w:eastAsia="Arial" w:hAnsi="Arial"/>
                <w:sz w:val="16"/>
                <w:szCs w:val="16"/>
                <w:color w:val="auto"/>
              </w:rPr>
              <w:t>Depreciation and amortization</w:t>
            </w:r>
          </w:p>
        </w:tc>
        <w:tc>
          <w:tcPr>
            <w:tcW w:w="1440" w:type="dxa"/>
            <w:vAlign w:val="bottom"/>
          </w:tcPr>
          <w:p>
            <w:pPr>
              <w:jc w:val="right"/>
              <w:ind w:right="99"/>
              <w:spacing w:after="0"/>
              <w:rPr>
                <w:sz w:val="20"/>
                <w:szCs w:val="20"/>
                <w:color w:val="auto"/>
              </w:rPr>
            </w:pPr>
            <w:r>
              <w:rPr>
                <w:rFonts w:ascii="Arial" w:cs="Arial" w:eastAsia="Arial" w:hAnsi="Arial"/>
                <w:sz w:val="16"/>
                <w:szCs w:val="16"/>
                <w:color w:val="auto"/>
              </w:rPr>
              <w:t>428</w:t>
            </w:r>
          </w:p>
        </w:tc>
        <w:tc>
          <w:tcPr>
            <w:tcW w:w="1600" w:type="dxa"/>
            <w:vAlign w:val="bottom"/>
          </w:tcPr>
          <w:p>
            <w:pPr>
              <w:jc w:val="right"/>
              <w:ind w:right="179"/>
              <w:spacing w:after="0"/>
              <w:rPr>
                <w:sz w:val="20"/>
                <w:szCs w:val="20"/>
                <w:color w:val="auto"/>
              </w:rPr>
            </w:pPr>
            <w:r>
              <w:rPr>
                <w:rFonts w:ascii="Arial" w:cs="Arial" w:eastAsia="Arial" w:hAnsi="Arial"/>
                <w:sz w:val="16"/>
                <w:szCs w:val="16"/>
                <w:color w:val="auto"/>
              </w:rPr>
              <w:t>143</w:t>
            </w:r>
          </w:p>
        </w:tc>
        <w:tc>
          <w:tcPr>
            <w:tcW w:w="1800" w:type="dxa"/>
            <w:vAlign w:val="bottom"/>
          </w:tcPr>
          <w:p>
            <w:pPr>
              <w:jc w:val="right"/>
              <w:ind w:right="479"/>
              <w:spacing w:after="0"/>
              <w:rPr>
                <w:sz w:val="20"/>
                <w:szCs w:val="20"/>
                <w:color w:val="auto"/>
              </w:rPr>
            </w:pPr>
            <w:r>
              <w:rPr>
                <w:rFonts w:ascii="Arial" w:cs="Arial" w:eastAsia="Arial" w:hAnsi="Arial"/>
                <w:sz w:val="16"/>
                <w:szCs w:val="16"/>
                <w:color w:val="auto"/>
              </w:rPr>
              <w:t>571</w:t>
            </w:r>
          </w:p>
        </w:tc>
        <w:tc>
          <w:tcPr>
            <w:tcW w:w="1560" w:type="dxa"/>
            <w:vAlign w:val="bottom"/>
          </w:tcPr>
          <w:p>
            <w:pPr>
              <w:jc w:val="right"/>
              <w:ind w:right="479"/>
              <w:spacing w:after="0"/>
              <w:rPr>
                <w:sz w:val="20"/>
                <w:szCs w:val="20"/>
                <w:color w:val="auto"/>
              </w:rPr>
            </w:pPr>
            <w:r>
              <w:rPr>
                <w:rFonts w:ascii="Arial" w:cs="Arial" w:eastAsia="Arial" w:hAnsi="Arial"/>
                <w:sz w:val="16"/>
                <w:szCs w:val="16"/>
                <w:color w:val="auto"/>
              </w:rPr>
              <w:t>5</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576</w:t>
            </w:r>
          </w:p>
        </w:tc>
      </w:tr>
      <w:tr>
        <w:trPr>
          <w:trHeight w:val="33"/>
        </w:trPr>
        <w:tc>
          <w:tcPr>
            <w:tcW w:w="39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14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5,460</w:t>
            </w:r>
          </w:p>
        </w:tc>
        <w:tc>
          <w:tcPr>
            <w:tcW w:w="16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1,720</w:t>
            </w:r>
          </w:p>
        </w:tc>
        <w:tc>
          <w:tcPr>
            <w:tcW w:w="180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7,180</w:t>
            </w:r>
          </w:p>
        </w:tc>
        <w:tc>
          <w:tcPr>
            <w:tcW w:w="156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518</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7,698</w:t>
            </w:r>
          </w:p>
        </w:tc>
      </w:tr>
      <w:tr>
        <w:trPr>
          <w:trHeight w:val="20"/>
        </w:trPr>
        <w:tc>
          <w:tcPr>
            <w:tcW w:w="39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6" w:right="239" w:bottom="1440" w:gutter="0" w:footer="0" w:header="0"/>
        </w:sectPr>
      </w:pPr>
    </w:p>
    <w:p>
      <w:pPr>
        <w:spacing w:after="0" w:line="195" w:lineRule="exact"/>
        <w:rPr>
          <w:sz w:val="20"/>
          <w:szCs w:val="20"/>
          <w:color w:val="auto"/>
        </w:rPr>
      </w:pPr>
    </w:p>
    <w:p>
      <w:pPr>
        <w:ind w:left="9580"/>
        <w:spacing w:after="0"/>
        <w:rPr>
          <w:sz w:val="20"/>
          <w:szCs w:val="20"/>
          <w:color w:val="auto"/>
        </w:rPr>
      </w:pPr>
      <w:r>
        <w:rPr>
          <w:rFonts w:ascii="Arial" w:cs="Arial" w:eastAsia="Arial" w:hAnsi="Arial"/>
          <w:sz w:val="11"/>
          <w:szCs w:val="11"/>
          <w:color w:val="auto"/>
        </w:rPr>
        <w:t xml:space="preserve">Nordstrom, Inc. and subsidiaries </w:t>
      </w:r>
      <w:r>
        <w:rPr>
          <w:rFonts w:ascii="Arial" w:cs="Arial" w:eastAsia="Arial" w:hAnsi="Arial"/>
          <w:sz w:val="14"/>
          <w:szCs w:val="14"/>
          <w:color w:val="auto"/>
        </w:rPr>
        <w:t>61</w:t>
      </w:r>
    </w:p>
    <w:p>
      <w:pPr>
        <w:sectPr>
          <w:pgSz w:w="11900" w:h="16838" w:orient="portrait"/>
          <w:cols w:equalWidth="0" w:num="1">
            <w:col w:w="11420"/>
          </w:cols>
          <w:pgMar w:left="240" w:top="126" w:right="239" w:bottom="1440" w:gutter="0" w:footer="0" w:header="0"/>
          <w:type w:val="continuous"/>
        </w:sectPr>
      </w:pPr>
    </w:p>
    <w:bookmarkStart w:id="62" w:name="page63"/>
    <w:bookmarkEnd w:id="62"/>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net sales within our reportable segments: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60" w:type="dxa"/>
            <w:vAlign w:val="bottom"/>
          </w:tcPr>
          <w:p>
            <w:pPr>
              <w:ind w:left="40"/>
              <w:spacing w:after="0"/>
              <w:rPr>
                <w:sz w:val="20"/>
                <w:szCs w:val="20"/>
                <w:color w:val="auto"/>
              </w:rPr>
            </w:pPr>
            <w:r>
              <w:rPr>
                <w:rFonts w:ascii="Arial" w:cs="Arial" w:eastAsia="Arial" w:hAnsi="Arial"/>
                <w:sz w:val="16"/>
                <w:szCs w:val="16"/>
                <w:b w:val="1"/>
                <w:bCs w:val="1"/>
                <w:color w:val="auto"/>
              </w:rPr>
              <w:t>Fiscal year</w:t>
            </w:r>
          </w:p>
        </w:tc>
        <w:tc>
          <w:tcPr>
            <w:tcW w:w="3600" w:type="dxa"/>
            <w:vAlign w:val="bottom"/>
          </w:tcPr>
          <w:p>
            <w:pPr>
              <w:jc w:val="right"/>
              <w:ind w:right="639"/>
              <w:spacing w:after="0"/>
              <w:rPr>
                <w:sz w:val="20"/>
                <w:szCs w:val="20"/>
                <w:color w:val="auto"/>
              </w:rPr>
            </w:pPr>
            <w:r>
              <w:rPr>
                <w:rFonts w:ascii="Arial" w:cs="Arial" w:eastAsia="Arial" w:hAnsi="Arial"/>
                <w:sz w:val="16"/>
                <w:szCs w:val="16"/>
                <w:b w:val="1"/>
                <w:bCs w:val="1"/>
                <w:color w:val="auto"/>
              </w:rPr>
              <w:t>2017</w:t>
            </w:r>
          </w:p>
        </w:tc>
        <w:tc>
          <w:tcPr>
            <w:tcW w:w="1920" w:type="dxa"/>
            <w:vAlign w:val="bottom"/>
          </w:tcPr>
          <w:p>
            <w:pPr>
              <w:jc w:val="right"/>
              <w:ind w:right="639"/>
              <w:spacing w:after="0"/>
              <w:rPr>
                <w:sz w:val="20"/>
                <w:szCs w:val="20"/>
                <w:color w:val="auto"/>
              </w:rPr>
            </w:pPr>
            <w:r>
              <w:rPr>
                <w:rFonts w:ascii="Arial" w:cs="Arial" w:eastAsia="Arial" w:hAnsi="Arial"/>
                <w:sz w:val="16"/>
                <w:szCs w:val="16"/>
                <w:b w:val="1"/>
                <w:bCs w:val="1"/>
                <w:color w:val="auto"/>
              </w:rPr>
              <w:t>2016</w:t>
            </w:r>
          </w:p>
        </w:tc>
        <w:tc>
          <w:tcPr>
            <w:tcW w:w="1320" w:type="dxa"/>
            <w:vAlign w:val="bottom"/>
          </w:tcPr>
          <w:p>
            <w:pPr>
              <w:jc w:val="right"/>
              <w:ind w:right="39"/>
              <w:spacing w:after="0"/>
              <w:rPr>
                <w:sz w:val="20"/>
                <w:szCs w:val="20"/>
                <w:color w:val="auto"/>
              </w:rPr>
            </w:pPr>
            <w:r>
              <w:rPr>
                <w:rFonts w:ascii="Arial" w:cs="Arial" w:eastAsia="Arial" w:hAnsi="Arial"/>
                <w:sz w:val="16"/>
                <w:szCs w:val="16"/>
                <w:b w:val="1"/>
                <w:bCs w:val="1"/>
                <w:color w:val="auto"/>
              </w:rPr>
              <w:t>2015</w:t>
            </w:r>
          </w:p>
        </w:tc>
      </w:tr>
      <w:tr>
        <w:trPr>
          <w:trHeight w:val="33"/>
        </w:trPr>
        <w:tc>
          <w:tcPr>
            <w:tcW w:w="456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4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Nordstrom full-line stores - U.S.</w:t>
            </w:r>
            <w:r>
              <w:rPr>
                <w:rFonts w:ascii="Arial" w:cs="Arial" w:eastAsia="Arial" w:hAnsi="Arial"/>
                <w:sz w:val="21"/>
                <w:szCs w:val="21"/>
                <w:color w:val="auto"/>
                <w:vertAlign w:val="superscript"/>
              </w:rPr>
              <w:t>1</w:t>
            </w:r>
          </w:p>
        </w:tc>
        <w:tc>
          <w:tcPr>
            <w:tcW w:w="3600" w:type="dxa"/>
            <w:vAlign w:val="bottom"/>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$6,951</w:t>
            </w:r>
          </w:p>
        </w:tc>
        <w:tc>
          <w:tcPr>
            <w:tcW w:w="192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$7,186</w:t>
            </w: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$7,633</w:t>
            </w:r>
          </w:p>
        </w:tc>
      </w:tr>
      <w:tr>
        <w:trPr>
          <w:trHeight w:val="237"/>
        </w:trPr>
        <w:tc>
          <w:tcPr>
            <w:tcW w:w="4560" w:type="dxa"/>
            <w:vAlign w:val="bottom"/>
          </w:tcPr>
          <w:p>
            <w:pPr>
              <w:ind w:left="40"/>
              <w:spacing w:after="0"/>
              <w:rPr>
                <w:sz w:val="20"/>
                <w:szCs w:val="20"/>
                <w:color w:val="auto"/>
              </w:rPr>
            </w:pPr>
            <w:r>
              <w:rPr>
                <w:rFonts w:ascii="Arial" w:cs="Arial" w:eastAsia="Arial" w:hAnsi="Arial"/>
                <w:sz w:val="16"/>
                <w:szCs w:val="16"/>
                <w:color w:val="auto"/>
              </w:rPr>
              <w:t>Nordstrom.com</w:t>
            </w:r>
          </w:p>
        </w:tc>
        <w:tc>
          <w:tcPr>
            <w:tcW w:w="3600" w:type="dxa"/>
            <w:vAlign w:val="bottom"/>
          </w:tcPr>
          <w:p>
            <w:pPr>
              <w:jc w:val="right"/>
              <w:ind w:right="639"/>
              <w:spacing w:after="0"/>
              <w:rPr>
                <w:sz w:val="20"/>
                <w:szCs w:val="20"/>
                <w:color w:val="auto"/>
              </w:rPr>
            </w:pPr>
            <w:r>
              <w:rPr>
                <w:rFonts w:ascii="Arial" w:cs="Arial" w:eastAsia="Arial" w:hAnsi="Arial"/>
                <w:sz w:val="16"/>
                <w:szCs w:val="16"/>
                <w:b w:val="1"/>
                <w:bCs w:val="1"/>
                <w:color w:val="auto"/>
              </w:rPr>
              <w:t>2,887</w:t>
            </w:r>
          </w:p>
        </w:tc>
        <w:tc>
          <w:tcPr>
            <w:tcW w:w="1920" w:type="dxa"/>
            <w:vAlign w:val="bottom"/>
          </w:tcPr>
          <w:p>
            <w:pPr>
              <w:jc w:val="right"/>
              <w:ind w:right="639"/>
              <w:spacing w:after="0"/>
              <w:rPr>
                <w:sz w:val="20"/>
                <w:szCs w:val="20"/>
                <w:color w:val="auto"/>
              </w:rPr>
            </w:pPr>
            <w:r>
              <w:rPr>
                <w:rFonts w:ascii="Arial" w:cs="Arial" w:eastAsia="Arial" w:hAnsi="Arial"/>
                <w:sz w:val="16"/>
                <w:szCs w:val="16"/>
                <w:color w:val="auto"/>
              </w:rPr>
              <w:t>2,519</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2,300</w:t>
            </w:r>
          </w:p>
        </w:tc>
      </w:tr>
      <w:tr>
        <w:trPr>
          <w:trHeight w:val="33"/>
        </w:trPr>
        <w:tc>
          <w:tcPr>
            <w:tcW w:w="456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Full-price</w:t>
            </w:r>
          </w:p>
        </w:tc>
        <w:tc>
          <w:tcPr>
            <w:tcW w:w="360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9,838</w:t>
            </w:r>
          </w:p>
        </w:tc>
        <w:tc>
          <w:tcPr>
            <w:tcW w:w="192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color w:val="auto"/>
              </w:rPr>
              <w:t>9,705</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9,933</w:t>
            </w:r>
          </w:p>
        </w:tc>
      </w:tr>
      <w:tr>
        <w:trPr>
          <w:trHeight w:val="297"/>
        </w:trPr>
        <w:tc>
          <w:tcPr>
            <w:tcW w:w="456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Nordstrom Rack</w:t>
            </w:r>
          </w:p>
        </w:tc>
        <w:tc>
          <w:tcPr>
            <w:tcW w:w="360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4,059</w:t>
            </w:r>
          </w:p>
        </w:tc>
        <w:tc>
          <w:tcPr>
            <w:tcW w:w="192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color w:val="auto"/>
              </w:rPr>
              <w:t>3,809</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3,533</w:t>
            </w:r>
          </w:p>
        </w:tc>
      </w:tr>
      <w:tr>
        <w:trPr>
          <w:trHeight w:val="237"/>
        </w:trPr>
        <w:tc>
          <w:tcPr>
            <w:tcW w:w="4560" w:type="dxa"/>
            <w:vAlign w:val="bottom"/>
          </w:tcPr>
          <w:p>
            <w:pPr>
              <w:ind w:left="40"/>
              <w:spacing w:after="0"/>
              <w:rPr>
                <w:sz w:val="20"/>
                <w:szCs w:val="20"/>
                <w:color w:val="auto"/>
              </w:rPr>
            </w:pPr>
            <w:r>
              <w:rPr>
                <w:rFonts w:ascii="Arial" w:cs="Arial" w:eastAsia="Arial" w:hAnsi="Arial"/>
                <w:sz w:val="16"/>
                <w:szCs w:val="16"/>
                <w:color w:val="auto"/>
              </w:rPr>
              <w:t>Nordstromrack.com/HauteLook</w:t>
            </w:r>
          </w:p>
        </w:tc>
        <w:tc>
          <w:tcPr>
            <w:tcW w:w="3600" w:type="dxa"/>
            <w:vAlign w:val="bottom"/>
          </w:tcPr>
          <w:p>
            <w:pPr>
              <w:jc w:val="right"/>
              <w:ind w:right="639"/>
              <w:spacing w:after="0"/>
              <w:rPr>
                <w:sz w:val="20"/>
                <w:szCs w:val="20"/>
                <w:color w:val="auto"/>
              </w:rPr>
            </w:pPr>
            <w:r>
              <w:rPr>
                <w:rFonts w:ascii="Arial" w:cs="Arial" w:eastAsia="Arial" w:hAnsi="Arial"/>
                <w:sz w:val="16"/>
                <w:szCs w:val="16"/>
                <w:b w:val="1"/>
                <w:bCs w:val="1"/>
                <w:color w:val="auto"/>
              </w:rPr>
              <w:t>897</w:t>
            </w:r>
          </w:p>
        </w:tc>
        <w:tc>
          <w:tcPr>
            <w:tcW w:w="1920" w:type="dxa"/>
            <w:vAlign w:val="bottom"/>
          </w:tcPr>
          <w:p>
            <w:pPr>
              <w:jc w:val="right"/>
              <w:ind w:right="639"/>
              <w:spacing w:after="0"/>
              <w:rPr>
                <w:sz w:val="20"/>
                <w:szCs w:val="20"/>
                <w:color w:val="auto"/>
              </w:rPr>
            </w:pPr>
            <w:r>
              <w:rPr>
                <w:rFonts w:ascii="Arial" w:cs="Arial" w:eastAsia="Arial" w:hAnsi="Arial"/>
                <w:sz w:val="16"/>
                <w:szCs w:val="16"/>
                <w:color w:val="auto"/>
              </w:rPr>
              <w:t>700</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532</w:t>
            </w:r>
          </w:p>
        </w:tc>
      </w:tr>
      <w:tr>
        <w:trPr>
          <w:trHeight w:val="33"/>
        </w:trPr>
        <w:tc>
          <w:tcPr>
            <w:tcW w:w="456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Off-price</w:t>
            </w:r>
          </w:p>
        </w:tc>
        <w:tc>
          <w:tcPr>
            <w:tcW w:w="360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4,956</w:t>
            </w:r>
          </w:p>
        </w:tc>
        <w:tc>
          <w:tcPr>
            <w:tcW w:w="192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color w:val="auto"/>
              </w:rPr>
              <w:t>4,509</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4,065</w:t>
            </w:r>
          </w:p>
        </w:tc>
      </w:tr>
      <w:tr>
        <w:trPr>
          <w:trHeight w:val="297"/>
        </w:trPr>
        <w:tc>
          <w:tcPr>
            <w:tcW w:w="456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70"/>
        </w:trPr>
        <w:tc>
          <w:tcPr>
            <w:tcW w:w="45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Other retail</w:t>
            </w:r>
            <w:r>
              <w:rPr>
                <w:rFonts w:ascii="Arial" w:cs="Arial" w:eastAsia="Arial" w:hAnsi="Arial"/>
                <w:sz w:val="21"/>
                <w:szCs w:val="21"/>
                <w:color w:val="auto"/>
                <w:vertAlign w:val="superscript"/>
              </w:rPr>
              <w:t>2</w:t>
            </w:r>
          </w:p>
        </w:tc>
        <w:tc>
          <w:tcPr>
            <w:tcW w:w="360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614</w:t>
            </w:r>
          </w:p>
        </w:tc>
        <w:tc>
          <w:tcPr>
            <w:tcW w:w="192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color w:val="auto"/>
              </w:rPr>
              <w:t>554</w:t>
            </w:r>
          </w:p>
        </w:tc>
        <w:tc>
          <w:tcPr>
            <w:tcW w:w="1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378</w:t>
            </w:r>
          </w:p>
        </w:tc>
      </w:tr>
      <w:tr>
        <w:trPr>
          <w:trHeight w:val="231"/>
        </w:trPr>
        <w:tc>
          <w:tcPr>
            <w:tcW w:w="4560" w:type="dxa"/>
            <w:vAlign w:val="bottom"/>
          </w:tcPr>
          <w:p>
            <w:pPr>
              <w:ind w:left="40"/>
              <w:spacing w:after="0"/>
              <w:rPr>
                <w:sz w:val="20"/>
                <w:szCs w:val="20"/>
                <w:color w:val="auto"/>
              </w:rPr>
            </w:pPr>
            <w:r>
              <w:rPr>
                <w:rFonts w:ascii="Arial" w:cs="Arial" w:eastAsia="Arial" w:hAnsi="Arial"/>
                <w:sz w:val="16"/>
                <w:szCs w:val="16"/>
                <w:color w:val="auto"/>
              </w:rPr>
              <w:t>Retail segment</w:t>
            </w:r>
          </w:p>
        </w:tc>
        <w:tc>
          <w:tcPr>
            <w:tcW w:w="3600" w:type="dxa"/>
            <w:vAlign w:val="bottom"/>
          </w:tcPr>
          <w:p>
            <w:pPr>
              <w:jc w:val="right"/>
              <w:ind w:right="639"/>
              <w:spacing w:after="0"/>
              <w:rPr>
                <w:sz w:val="20"/>
                <w:szCs w:val="20"/>
                <w:color w:val="auto"/>
              </w:rPr>
            </w:pPr>
            <w:r>
              <w:rPr>
                <w:rFonts w:ascii="Arial" w:cs="Arial" w:eastAsia="Arial" w:hAnsi="Arial"/>
                <w:sz w:val="16"/>
                <w:szCs w:val="16"/>
                <w:b w:val="1"/>
                <w:bCs w:val="1"/>
                <w:color w:val="auto"/>
              </w:rPr>
              <w:t>15,408</w:t>
            </w:r>
          </w:p>
        </w:tc>
        <w:tc>
          <w:tcPr>
            <w:tcW w:w="1920" w:type="dxa"/>
            <w:vAlign w:val="bottom"/>
          </w:tcPr>
          <w:p>
            <w:pPr>
              <w:jc w:val="right"/>
              <w:ind w:right="639"/>
              <w:spacing w:after="0"/>
              <w:rPr>
                <w:sz w:val="20"/>
                <w:szCs w:val="20"/>
                <w:color w:val="auto"/>
              </w:rPr>
            </w:pPr>
            <w:r>
              <w:rPr>
                <w:rFonts w:ascii="Arial" w:cs="Arial" w:eastAsia="Arial" w:hAnsi="Arial"/>
                <w:sz w:val="16"/>
                <w:szCs w:val="16"/>
                <w:color w:val="auto"/>
              </w:rPr>
              <w:t>14,768</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14,376</w:t>
            </w:r>
          </w:p>
        </w:tc>
      </w:tr>
      <w:tr>
        <w:trPr>
          <w:trHeight w:val="33"/>
        </w:trPr>
        <w:tc>
          <w:tcPr>
            <w:tcW w:w="456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5"/>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Corporate/Other</w:t>
            </w:r>
          </w:p>
        </w:tc>
        <w:tc>
          <w:tcPr>
            <w:tcW w:w="360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6"/>
                <w:szCs w:val="16"/>
                <w:b w:val="1"/>
                <w:bCs w:val="1"/>
                <w:color w:val="auto"/>
              </w:rPr>
              <w:t>(271)</w:t>
            </w:r>
          </w:p>
        </w:tc>
        <w:tc>
          <w:tcPr>
            <w:tcW w:w="1920" w:type="dxa"/>
            <w:vAlign w:val="bottom"/>
            <w:tcBorders>
              <w:bottom w:val="single" w:sz="8" w:color="CCEEFF"/>
            </w:tcBorders>
            <w:shd w:val="clear" w:color="auto" w:fill="CCEEFF"/>
          </w:tcPr>
          <w:p>
            <w:pPr>
              <w:jc w:val="right"/>
              <w:ind w:right="579"/>
              <w:spacing w:after="0"/>
              <w:rPr>
                <w:sz w:val="20"/>
                <w:szCs w:val="20"/>
                <w:color w:val="auto"/>
              </w:rPr>
            </w:pPr>
            <w:r>
              <w:rPr>
                <w:rFonts w:ascii="Arial" w:cs="Arial" w:eastAsia="Arial" w:hAnsi="Arial"/>
                <w:sz w:val="16"/>
                <w:szCs w:val="16"/>
                <w:color w:val="auto"/>
              </w:rPr>
              <w:t>(270)</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(281)</w:t>
            </w:r>
          </w:p>
        </w:tc>
      </w:tr>
      <w:tr>
        <w:trPr>
          <w:trHeight w:val="231"/>
        </w:trPr>
        <w:tc>
          <w:tcPr>
            <w:tcW w:w="45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net sales</w:t>
            </w:r>
          </w:p>
        </w:tc>
        <w:tc>
          <w:tcPr>
            <w:tcW w:w="3600" w:type="dxa"/>
            <w:vAlign w:val="bottom"/>
            <w:tcBorders>
              <w:top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$15,137</w:t>
            </w:r>
          </w:p>
        </w:tc>
        <w:tc>
          <w:tcPr>
            <w:tcW w:w="1920" w:type="dxa"/>
            <w:vAlign w:val="bottom"/>
            <w:tcBorders>
              <w:top w:val="single" w:sz="8" w:color="auto"/>
            </w:tcBorders>
          </w:tcPr>
          <w:p>
            <w:pPr>
              <w:jc w:val="right"/>
              <w:ind w:right="639"/>
              <w:spacing w:after="0"/>
              <w:rPr>
                <w:sz w:val="20"/>
                <w:szCs w:val="20"/>
                <w:color w:val="auto"/>
              </w:rPr>
            </w:pPr>
            <w:r>
              <w:rPr>
                <w:rFonts w:ascii="Arial" w:cs="Arial" w:eastAsia="Arial" w:hAnsi="Arial"/>
                <w:sz w:val="16"/>
                <w:szCs w:val="16"/>
                <w:color w:val="auto"/>
              </w:rPr>
              <w:t>$14,498</w:t>
            </w: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$14,095</w:t>
            </w:r>
          </w:p>
        </w:tc>
      </w:tr>
    </w:tbl>
    <w:p>
      <w:pPr>
        <w:spacing w:after="0" w:line="28" w:lineRule="exact"/>
        <w:rPr>
          <w:sz w:val="20"/>
          <w:szCs w:val="20"/>
          <w:color w:val="auto"/>
        </w:rPr>
      </w:pPr>
    </w:p>
    <w:p>
      <w:pPr>
        <w:ind w:left="80" w:hanging="72"/>
        <w:spacing w:after="0"/>
        <w:tabs>
          <w:tab w:leader="none" w:pos="80" w:val="left"/>
        </w:tabs>
        <w:numPr>
          <w:ilvl w:val="0"/>
          <w:numId w:val="69"/>
        </w:numPr>
        <w:rPr>
          <w:rFonts w:ascii="Arial" w:cs="Arial" w:eastAsia="Arial" w:hAnsi="Arial"/>
          <w:sz w:val="9"/>
          <w:szCs w:val="9"/>
          <w:color w:val="auto"/>
        </w:rPr>
      </w:pPr>
      <w:r>
        <w:rPr>
          <w:rFonts w:ascii="Arial" w:cs="Arial" w:eastAsia="Arial" w:hAnsi="Arial"/>
          <w:sz w:val="14"/>
          <w:szCs w:val="14"/>
          <w:color w:val="auto"/>
        </w:rPr>
        <w:t>Nordstrom full-line stores - U.S. includes Nordstrom Local.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2294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ind w:left="80" w:hanging="72"/>
        <w:spacing w:after="0"/>
        <w:tabs>
          <w:tab w:leader="none" w:pos="80" w:val="left"/>
        </w:tabs>
        <w:numPr>
          <w:ilvl w:val="0"/>
          <w:numId w:val="70"/>
        </w:numPr>
        <w:rPr>
          <w:rFonts w:ascii="Arial" w:cs="Arial" w:eastAsia="Arial" w:hAnsi="Arial"/>
          <w:sz w:val="9"/>
          <w:szCs w:val="9"/>
          <w:color w:val="auto"/>
        </w:rPr>
      </w:pPr>
      <w:r>
        <w:rPr>
          <w:rFonts w:ascii="Arial" w:cs="Arial" w:eastAsia="Arial" w:hAnsi="Arial"/>
          <w:sz w:val="14"/>
          <w:szCs w:val="14"/>
          <w:color w:val="auto"/>
        </w:rPr>
        <w:t>Other retail includes Nordstrom Canada full-line stores, Trunk Club and Jeffrey boutiques.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percent of net sales by merchandise category: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20" w:type="dxa"/>
            <w:vAlign w:val="bottom"/>
          </w:tcPr>
          <w:p>
            <w:pPr>
              <w:ind w:left="40"/>
              <w:spacing w:after="0"/>
              <w:rPr>
                <w:sz w:val="20"/>
                <w:szCs w:val="20"/>
                <w:color w:val="auto"/>
              </w:rPr>
            </w:pPr>
            <w:r>
              <w:rPr>
                <w:rFonts w:ascii="Arial" w:cs="Arial" w:eastAsia="Arial" w:hAnsi="Arial"/>
                <w:sz w:val="16"/>
                <w:szCs w:val="16"/>
                <w:b w:val="1"/>
                <w:bCs w:val="1"/>
                <w:color w:val="auto"/>
              </w:rPr>
              <w:t>Fiscal year</w:t>
            </w:r>
          </w:p>
        </w:tc>
        <w:tc>
          <w:tcPr>
            <w:tcW w:w="4000" w:type="dxa"/>
            <w:vAlign w:val="bottom"/>
          </w:tcPr>
          <w:p>
            <w:pPr>
              <w:jc w:val="right"/>
              <w:ind w:right="819"/>
              <w:spacing w:after="0"/>
              <w:rPr>
                <w:sz w:val="20"/>
                <w:szCs w:val="20"/>
                <w:color w:val="auto"/>
              </w:rPr>
            </w:pPr>
            <w:r>
              <w:rPr>
                <w:rFonts w:ascii="Arial" w:cs="Arial" w:eastAsia="Arial" w:hAnsi="Arial"/>
                <w:sz w:val="16"/>
                <w:szCs w:val="16"/>
                <w:b w:val="1"/>
                <w:bCs w:val="1"/>
                <w:color w:val="auto"/>
              </w:rPr>
              <w:t>2017</w:t>
            </w:r>
          </w:p>
        </w:tc>
        <w:tc>
          <w:tcPr>
            <w:tcW w:w="1960" w:type="dxa"/>
            <w:vAlign w:val="bottom"/>
          </w:tcPr>
          <w:p>
            <w:pPr>
              <w:jc w:val="right"/>
              <w:ind w:right="799"/>
              <w:spacing w:after="0"/>
              <w:rPr>
                <w:sz w:val="20"/>
                <w:szCs w:val="20"/>
                <w:color w:val="auto"/>
              </w:rPr>
            </w:pPr>
            <w:r>
              <w:rPr>
                <w:rFonts w:ascii="Arial" w:cs="Arial" w:eastAsia="Arial" w:hAnsi="Arial"/>
                <w:sz w:val="16"/>
                <w:szCs w:val="16"/>
                <w:b w:val="1"/>
                <w:bCs w:val="1"/>
                <w:color w:val="auto"/>
              </w:rPr>
              <w:t>2016</w:t>
            </w:r>
          </w:p>
        </w:tc>
        <w:tc>
          <w:tcPr>
            <w:tcW w:w="1240" w:type="dxa"/>
            <w:vAlign w:val="bottom"/>
          </w:tcPr>
          <w:p>
            <w:pPr>
              <w:jc w:val="right"/>
              <w:ind w:right="79"/>
              <w:spacing w:after="0"/>
              <w:rPr>
                <w:sz w:val="20"/>
                <w:szCs w:val="20"/>
                <w:color w:val="auto"/>
              </w:rPr>
            </w:pPr>
            <w:r>
              <w:rPr>
                <w:rFonts w:ascii="Arial" w:cs="Arial" w:eastAsia="Arial" w:hAnsi="Arial"/>
                <w:sz w:val="16"/>
                <w:szCs w:val="16"/>
                <w:b w:val="1"/>
                <w:bCs w:val="1"/>
                <w:color w:val="auto"/>
              </w:rPr>
              <w:t>2015</w:t>
            </w:r>
          </w:p>
        </w:tc>
      </w:tr>
      <w:tr>
        <w:trPr>
          <w:trHeight w:val="33"/>
        </w:trPr>
        <w:tc>
          <w:tcPr>
            <w:tcW w:w="422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Women’s Apparel</w:t>
            </w:r>
          </w:p>
        </w:tc>
        <w:tc>
          <w:tcPr>
            <w:tcW w:w="400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32%</w:t>
            </w:r>
          </w:p>
        </w:tc>
        <w:tc>
          <w:tcPr>
            <w:tcW w:w="196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color w:val="auto"/>
              </w:rPr>
              <w:t>32%</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r>
      <w:tr>
        <w:trPr>
          <w:trHeight w:val="237"/>
        </w:trPr>
        <w:tc>
          <w:tcPr>
            <w:tcW w:w="4220" w:type="dxa"/>
            <w:vAlign w:val="bottom"/>
          </w:tcPr>
          <w:p>
            <w:pPr>
              <w:ind w:left="40"/>
              <w:spacing w:after="0"/>
              <w:rPr>
                <w:sz w:val="20"/>
                <w:szCs w:val="20"/>
                <w:color w:val="auto"/>
              </w:rPr>
            </w:pPr>
            <w:r>
              <w:rPr>
                <w:rFonts w:ascii="Arial" w:cs="Arial" w:eastAsia="Arial" w:hAnsi="Arial"/>
                <w:sz w:val="16"/>
                <w:szCs w:val="16"/>
                <w:color w:val="auto"/>
              </w:rPr>
              <w:t>Shoes</w:t>
            </w:r>
          </w:p>
        </w:tc>
        <w:tc>
          <w:tcPr>
            <w:tcW w:w="4000" w:type="dxa"/>
            <w:vAlign w:val="bottom"/>
          </w:tcPr>
          <w:p>
            <w:pPr>
              <w:jc w:val="right"/>
              <w:ind w:right="659"/>
              <w:spacing w:after="0"/>
              <w:rPr>
                <w:sz w:val="20"/>
                <w:szCs w:val="20"/>
                <w:color w:val="auto"/>
              </w:rPr>
            </w:pPr>
            <w:r>
              <w:rPr>
                <w:rFonts w:ascii="Arial" w:cs="Arial" w:eastAsia="Arial" w:hAnsi="Arial"/>
                <w:sz w:val="16"/>
                <w:szCs w:val="16"/>
                <w:b w:val="1"/>
                <w:bCs w:val="1"/>
                <w:color w:val="auto"/>
              </w:rPr>
              <w:t>23%</w:t>
            </w:r>
          </w:p>
        </w:tc>
        <w:tc>
          <w:tcPr>
            <w:tcW w:w="1960" w:type="dxa"/>
            <w:vAlign w:val="bottom"/>
          </w:tcPr>
          <w:p>
            <w:pPr>
              <w:jc w:val="right"/>
              <w:ind w:right="659"/>
              <w:spacing w:after="0"/>
              <w:rPr>
                <w:sz w:val="20"/>
                <w:szCs w:val="20"/>
                <w:color w:val="auto"/>
              </w:rPr>
            </w:pPr>
            <w:r>
              <w:rPr>
                <w:rFonts w:ascii="Arial" w:cs="Arial" w:eastAsia="Arial" w:hAnsi="Arial"/>
                <w:sz w:val="16"/>
                <w:szCs w:val="16"/>
                <w:color w:val="auto"/>
              </w:rPr>
              <w:t>23%</w:t>
            </w:r>
          </w:p>
        </w:tc>
        <w:tc>
          <w:tcPr>
            <w:tcW w:w="124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33"/>
        </w:trPr>
        <w:tc>
          <w:tcPr>
            <w:tcW w:w="42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Men’s Apparel</w:t>
            </w:r>
          </w:p>
        </w:tc>
        <w:tc>
          <w:tcPr>
            <w:tcW w:w="400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16%</w:t>
            </w:r>
          </w:p>
        </w:tc>
        <w:tc>
          <w:tcPr>
            <w:tcW w:w="196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color w:val="auto"/>
              </w:rPr>
              <w:t>17%</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37"/>
        </w:trPr>
        <w:tc>
          <w:tcPr>
            <w:tcW w:w="4220" w:type="dxa"/>
            <w:vAlign w:val="bottom"/>
          </w:tcPr>
          <w:p>
            <w:pPr>
              <w:ind w:left="40"/>
              <w:spacing w:after="0"/>
              <w:rPr>
                <w:sz w:val="20"/>
                <w:szCs w:val="20"/>
                <w:color w:val="auto"/>
              </w:rPr>
            </w:pPr>
            <w:r>
              <w:rPr>
                <w:rFonts w:ascii="Arial" w:cs="Arial" w:eastAsia="Arial" w:hAnsi="Arial"/>
                <w:sz w:val="16"/>
                <w:szCs w:val="16"/>
                <w:color w:val="auto"/>
              </w:rPr>
              <w:t>Women’s Accessories</w:t>
            </w:r>
          </w:p>
        </w:tc>
        <w:tc>
          <w:tcPr>
            <w:tcW w:w="4000" w:type="dxa"/>
            <w:vAlign w:val="bottom"/>
          </w:tcPr>
          <w:p>
            <w:pPr>
              <w:jc w:val="right"/>
              <w:ind w:right="659"/>
              <w:spacing w:after="0"/>
              <w:rPr>
                <w:sz w:val="20"/>
                <w:szCs w:val="20"/>
                <w:color w:val="auto"/>
              </w:rPr>
            </w:pPr>
            <w:r>
              <w:rPr>
                <w:rFonts w:ascii="Arial" w:cs="Arial" w:eastAsia="Arial" w:hAnsi="Arial"/>
                <w:sz w:val="16"/>
                <w:szCs w:val="16"/>
                <w:b w:val="1"/>
                <w:bCs w:val="1"/>
                <w:color w:val="auto"/>
              </w:rPr>
              <w:t>11%</w:t>
            </w:r>
          </w:p>
        </w:tc>
        <w:tc>
          <w:tcPr>
            <w:tcW w:w="1960" w:type="dxa"/>
            <w:vAlign w:val="bottom"/>
          </w:tcPr>
          <w:p>
            <w:pPr>
              <w:jc w:val="right"/>
              <w:ind w:right="659"/>
              <w:spacing w:after="0"/>
              <w:rPr>
                <w:sz w:val="20"/>
                <w:szCs w:val="20"/>
                <w:color w:val="auto"/>
              </w:rPr>
            </w:pPr>
            <w:r>
              <w:rPr>
                <w:rFonts w:ascii="Arial" w:cs="Arial" w:eastAsia="Arial" w:hAnsi="Arial"/>
                <w:sz w:val="16"/>
                <w:szCs w:val="16"/>
                <w:color w:val="auto"/>
              </w:rPr>
              <w:t>11%</w:t>
            </w:r>
          </w:p>
        </w:tc>
        <w:tc>
          <w:tcPr>
            <w:tcW w:w="124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33"/>
        </w:trPr>
        <w:tc>
          <w:tcPr>
            <w:tcW w:w="42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Beauty</w:t>
            </w:r>
          </w:p>
        </w:tc>
        <w:tc>
          <w:tcPr>
            <w:tcW w:w="400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11%</w:t>
            </w:r>
          </w:p>
        </w:tc>
        <w:tc>
          <w:tcPr>
            <w:tcW w:w="196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color w:val="auto"/>
              </w:rPr>
              <w:t>11%</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37"/>
        </w:trPr>
        <w:tc>
          <w:tcPr>
            <w:tcW w:w="4220" w:type="dxa"/>
            <w:vAlign w:val="bottom"/>
          </w:tcPr>
          <w:p>
            <w:pPr>
              <w:ind w:left="40"/>
              <w:spacing w:after="0"/>
              <w:rPr>
                <w:sz w:val="20"/>
                <w:szCs w:val="20"/>
                <w:color w:val="auto"/>
              </w:rPr>
            </w:pPr>
            <w:r>
              <w:rPr>
                <w:rFonts w:ascii="Arial" w:cs="Arial" w:eastAsia="Arial" w:hAnsi="Arial"/>
                <w:sz w:val="16"/>
                <w:szCs w:val="16"/>
                <w:color w:val="auto"/>
              </w:rPr>
              <w:t>Kids’ Apparel</w:t>
            </w:r>
          </w:p>
        </w:tc>
        <w:tc>
          <w:tcPr>
            <w:tcW w:w="4000" w:type="dxa"/>
            <w:vAlign w:val="bottom"/>
          </w:tcPr>
          <w:p>
            <w:pPr>
              <w:jc w:val="right"/>
              <w:ind w:right="659"/>
              <w:spacing w:after="0"/>
              <w:rPr>
                <w:sz w:val="20"/>
                <w:szCs w:val="20"/>
                <w:color w:val="auto"/>
              </w:rPr>
            </w:pPr>
            <w:r>
              <w:rPr>
                <w:rFonts w:ascii="Arial" w:cs="Arial" w:eastAsia="Arial" w:hAnsi="Arial"/>
                <w:sz w:val="16"/>
                <w:szCs w:val="16"/>
                <w:b w:val="1"/>
                <w:bCs w:val="1"/>
                <w:color w:val="auto"/>
              </w:rPr>
              <w:t>4%</w:t>
            </w:r>
          </w:p>
        </w:tc>
        <w:tc>
          <w:tcPr>
            <w:tcW w:w="1960" w:type="dxa"/>
            <w:vAlign w:val="bottom"/>
          </w:tcPr>
          <w:p>
            <w:pPr>
              <w:jc w:val="right"/>
              <w:ind w:right="659"/>
              <w:spacing w:after="0"/>
              <w:rPr>
                <w:sz w:val="20"/>
                <w:szCs w:val="20"/>
                <w:color w:val="auto"/>
              </w:rPr>
            </w:pPr>
            <w:r>
              <w:rPr>
                <w:rFonts w:ascii="Arial" w:cs="Arial" w:eastAsia="Arial" w:hAnsi="Arial"/>
                <w:sz w:val="16"/>
                <w:szCs w:val="16"/>
                <w:color w:val="auto"/>
              </w:rPr>
              <w:t>3%</w:t>
            </w:r>
          </w:p>
        </w:tc>
        <w:tc>
          <w:tcPr>
            <w:tcW w:w="12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33"/>
        </w:trPr>
        <w:tc>
          <w:tcPr>
            <w:tcW w:w="42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5"/>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400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3%</w:t>
            </w:r>
          </w:p>
        </w:tc>
        <w:tc>
          <w:tcPr>
            <w:tcW w:w="196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color w:val="auto"/>
              </w:rPr>
              <w:t>3%</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31"/>
        </w:trPr>
        <w:tc>
          <w:tcPr>
            <w:tcW w:w="42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net sales</w:t>
            </w:r>
          </w:p>
        </w:tc>
        <w:tc>
          <w:tcPr>
            <w:tcW w:w="4000" w:type="dxa"/>
            <w:vAlign w:val="bottom"/>
            <w:tcBorders>
              <w:top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100%</w:t>
            </w:r>
          </w:p>
        </w:tc>
        <w:tc>
          <w:tcPr>
            <w:tcW w:w="1960" w:type="dxa"/>
            <w:vAlign w:val="bottom"/>
            <w:tcBorders>
              <w:top w:val="single" w:sz="8" w:color="auto"/>
            </w:tcBorders>
          </w:tcPr>
          <w:p>
            <w:pPr>
              <w:jc w:val="right"/>
              <w:ind w:right="659"/>
              <w:spacing w:after="0"/>
              <w:rPr>
                <w:sz w:val="20"/>
                <w:szCs w:val="20"/>
                <w:color w:val="auto"/>
              </w:rPr>
            </w:pPr>
            <w:r>
              <w:rPr>
                <w:rFonts w:ascii="Arial" w:cs="Arial" w:eastAsia="Arial" w:hAnsi="Arial"/>
                <w:sz w:val="16"/>
                <w:szCs w:val="16"/>
                <w:color w:val="auto"/>
              </w:rPr>
              <w:t>100%</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w:t>
            </w:r>
          </w:p>
        </w:tc>
      </w:tr>
      <w:tr>
        <w:trPr>
          <w:trHeight w:val="33"/>
        </w:trPr>
        <w:tc>
          <w:tcPr>
            <w:tcW w:w="422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649"/>
        </w:trPr>
        <w:tc>
          <w:tcPr>
            <w:tcW w:w="4220" w:type="dxa"/>
            <w:vAlign w:val="bottom"/>
          </w:tcPr>
          <w:p>
            <w:pPr>
              <w:spacing w:after="0"/>
              <w:rPr>
                <w:sz w:val="20"/>
                <w:szCs w:val="20"/>
                <w:color w:val="auto"/>
              </w:rPr>
            </w:pPr>
            <w:r>
              <w:rPr>
                <w:rFonts w:ascii="Arial" w:cs="Arial" w:eastAsia="Arial" w:hAnsi="Arial"/>
                <w:sz w:val="16"/>
                <w:szCs w:val="16"/>
                <w:color w:val="auto"/>
              </w:rPr>
              <w:t>62</w:t>
            </w:r>
          </w:p>
        </w:tc>
        <w:tc>
          <w:tcPr>
            <w:tcW w:w="40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20"/>
          </w:cols>
          <w:pgMar w:left="240" w:top="126" w:right="239" w:bottom="1440" w:gutter="0" w:footer="0" w:header="0"/>
        </w:sectPr>
      </w:pPr>
    </w:p>
    <w:bookmarkStart w:id="63" w:name="page64"/>
    <w:bookmarkEnd w:id="63"/>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SELECTED QUARTERLY DATA</w:t>
      </w:r>
      <w:r>
        <w:rPr>
          <w:rFonts w:ascii="Arial" w:cs="Arial" w:eastAsia="Arial" w:hAnsi="Arial"/>
          <w:sz w:val="21"/>
          <w:szCs w:val="21"/>
          <w:color w:val="auto"/>
          <w:vertAlign w:val="superscript"/>
        </w:rPr>
        <w:t>1</w:t>
      </w:r>
      <w:r>
        <w:rPr>
          <w:rFonts w:ascii="Arial" w:cs="Arial" w:eastAsia="Arial" w:hAnsi="Arial"/>
          <w:sz w:val="18"/>
          <w:szCs w:val="18"/>
          <w:b w:val="1"/>
          <w:bCs w:val="1"/>
          <w:color w:val="auto"/>
        </w:rPr>
        <w:t xml:space="preserve"> (UNAUDITED)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60" w:type="dxa"/>
            <w:vAlign w:val="bottom"/>
          </w:tcPr>
          <w:p>
            <w:pPr>
              <w:spacing w:after="0"/>
              <w:rPr>
                <w:sz w:val="18"/>
                <w:szCs w:val="18"/>
                <w:color w:val="auto"/>
              </w:rPr>
            </w:pPr>
          </w:p>
        </w:tc>
        <w:tc>
          <w:tcPr>
            <w:tcW w:w="1600" w:type="dxa"/>
            <w:vAlign w:val="bottom"/>
          </w:tcPr>
          <w:p>
            <w:pPr>
              <w:jc w:val="right"/>
              <w:ind w:right="479"/>
              <w:spacing w:after="0"/>
              <w:rPr>
                <w:sz w:val="20"/>
                <w:szCs w:val="20"/>
                <w:color w:val="auto"/>
              </w:rPr>
            </w:pPr>
            <w:r>
              <w:rPr>
                <w:rFonts w:ascii="Arial" w:cs="Arial" w:eastAsia="Arial" w:hAnsi="Arial"/>
                <w:sz w:val="16"/>
                <w:szCs w:val="16"/>
                <w:b w:val="1"/>
                <w:bCs w:val="1"/>
                <w:color w:val="auto"/>
              </w:rPr>
              <w:t>1st Quarter</w:t>
            </w:r>
          </w:p>
        </w:tc>
        <w:tc>
          <w:tcPr>
            <w:tcW w:w="1740" w:type="dxa"/>
            <w:vAlign w:val="bottom"/>
          </w:tcPr>
          <w:p>
            <w:pPr>
              <w:jc w:val="right"/>
              <w:ind w:right="459"/>
              <w:spacing w:after="0"/>
              <w:rPr>
                <w:sz w:val="20"/>
                <w:szCs w:val="20"/>
                <w:color w:val="auto"/>
              </w:rPr>
            </w:pPr>
            <w:r>
              <w:rPr>
                <w:rFonts w:ascii="Arial" w:cs="Arial" w:eastAsia="Arial" w:hAnsi="Arial"/>
                <w:sz w:val="16"/>
                <w:szCs w:val="16"/>
                <w:b w:val="1"/>
                <w:bCs w:val="1"/>
                <w:color w:val="auto"/>
              </w:rPr>
              <w:t>2nd Quarter</w:t>
            </w:r>
          </w:p>
        </w:tc>
        <w:tc>
          <w:tcPr>
            <w:tcW w:w="1740" w:type="dxa"/>
            <w:vAlign w:val="bottom"/>
          </w:tcPr>
          <w:p>
            <w:pPr>
              <w:jc w:val="right"/>
              <w:ind w:right="479"/>
              <w:spacing w:after="0"/>
              <w:rPr>
                <w:sz w:val="20"/>
                <w:szCs w:val="20"/>
                <w:color w:val="auto"/>
              </w:rPr>
            </w:pPr>
            <w:r>
              <w:rPr>
                <w:rFonts w:ascii="Arial" w:cs="Arial" w:eastAsia="Arial" w:hAnsi="Arial"/>
                <w:sz w:val="16"/>
                <w:szCs w:val="16"/>
                <w:b w:val="1"/>
                <w:bCs w:val="1"/>
                <w:color w:val="auto"/>
              </w:rPr>
              <w:t>3rd Quarter</w:t>
            </w:r>
          </w:p>
        </w:tc>
        <w:tc>
          <w:tcPr>
            <w:tcW w:w="1840" w:type="dxa"/>
            <w:vAlign w:val="bottom"/>
          </w:tcPr>
          <w:p>
            <w:pPr>
              <w:jc w:val="right"/>
              <w:ind w:right="579"/>
              <w:spacing w:after="0"/>
              <w:rPr>
                <w:sz w:val="20"/>
                <w:szCs w:val="20"/>
                <w:color w:val="auto"/>
              </w:rPr>
            </w:pPr>
            <w:r>
              <w:rPr>
                <w:rFonts w:ascii="Arial" w:cs="Arial" w:eastAsia="Arial" w:hAnsi="Arial"/>
                <w:sz w:val="16"/>
                <w:szCs w:val="16"/>
                <w:b w:val="1"/>
                <w:bCs w:val="1"/>
                <w:color w:val="auto"/>
              </w:rPr>
              <w:t>4th Quarter</w:t>
            </w:r>
          </w:p>
        </w:tc>
        <w:tc>
          <w:tcPr>
            <w:tcW w:w="1340" w:type="dxa"/>
            <w:vAlign w:val="bottom"/>
          </w:tcPr>
          <w:p>
            <w:pPr>
              <w:jc w:val="right"/>
              <w:ind w:right="279"/>
              <w:spacing w:after="0"/>
              <w:rPr>
                <w:sz w:val="20"/>
                <w:szCs w:val="20"/>
                <w:color w:val="auto"/>
              </w:rPr>
            </w:pPr>
            <w:r>
              <w:rPr>
                <w:rFonts w:ascii="Arial" w:cs="Arial" w:eastAsia="Arial" w:hAnsi="Arial"/>
                <w:sz w:val="16"/>
                <w:szCs w:val="16"/>
                <w:b w:val="1"/>
                <w:bCs w:val="1"/>
                <w:color w:val="auto"/>
              </w:rPr>
              <w:t>Total</w:t>
            </w:r>
          </w:p>
        </w:tc>
      </w:tr>
      <w:tr>
        <w:trPr>
          <w:trHeight w:val="33"/>
        </w:trPr>
        <w:tc>
          <w:tcPr>
            <w:tcW w:w="3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Fiscal year 2017</w:t>
            </w:r>
          </w:p>
        </w:tc>
        <w:tc>
          <w:tcPr>
            <w:tcW w:w="16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37"/>
        </w:trPr>
        <w:tc>
          <w:tcPr>
            <w:tcW w:w="3160" w:type="dxa"/>
            <w:vAlign w:val="bottom"/>
          </w:tcPr>
          <w:p>
            <w:pPr>
              <w:ind w:left="40"/>
              <w:spacing w:after="0"/>
              <w:rPr>
                <w:sz w:val="20"/>
                <w:szCs w:val="20"/>
                <w:color w:val="auto"/>
              </w:rPr>
            </w:pPr>
            <w:r>
              <w:rPr>
                <w:rFonts w:ascii="Arial" w:cs="Arial" w:eastAsia="Arial" w:hAnsi="Arial"/>
                <w:sz w:val="16"/>
                <w:szCs w:val="16"/>
                <w:color w:val="auto"/>
              </w:rPr>
              <w:t>Net sales</w:t>
            </w:r>
          </w:p>
        </w:tc>
        <w:tc>
          <w:tcPr>
            <w:tcW w:w="1600" w:type="dxa"/>
            <w:vAlign w:val="bottom"/>
          </w:tcPr>
          <w:p>
            <w:pPr>
              <w:jc w:val="right"/>
              <w:ind w:right="479"/>
              <w:spacing w:after="0"/>
              <w:rPr>
                <w:sz w:val="20"/>
                <w:szCs w:val="20"/>
                <w:color w:val="auto"/>
              </w:rPr>
            </w:pPr>
            <w:r>
              <w:rPr>
                <w:rFonts w:ascii="Arial" w:cs="Arial" w:eastAsia="Arial" w:hAnsi="Arial"/>
                <w:sz w:val="16"/>
                <w:szCs w:val="16"/>
                <w:b w:val="1"/>
                <w:bCs w:val="1"/>
                <w:color w:val="auto"/>
              </w:rPr>
              <w:t>$3,279</w:t>
            </w:r>
          </w:p>
        </w:tc>
        <w:tc>
          <w:tcPr>
            <w:tcW w:w="1740" w:type="dxa"/>
            <w:vAlign w:val="bottom"/>
          </w:tcPr>
          <w:p>
            <w:pPr>
              <w:jc w:val="right"/>
              <w:ind w:right="459"/>
              <w:spacing w:after="0"/>
              <w:rPr>
                <w:sz w:val="20"/>
                <w:szCs w:val="20"/>
                <w:color w:val="auto"/>
              </w:rPr>
            </w:pPr>
            <w:r>
              <w:rPr>
                <w:rFonts w:ascii="Arial" w:cs="Arial" w:eastAsia="Arial" w:hAnsi="Arial"/>
                <w:sz w:val="16"/>
                <w:szCs w:val="16"/>
                <w:b w:val="1"/>
                <w:bCs w:val="1"/>
                <w:color w:val="auto"/>
              </w:rPr>
              <w:t>$3,717</w:t>
            </w:r>
          </w:p>
        </w:tc>
        <w:tc>
          <w:tcPr>
            <w:tcW w:w="1740" w:type="dxa"/>
            <w:vAlign w:val="bottom"/>
          </w:tcPr>
          <w:p>
            <w:pPr>
              <w:jc w:val="right"/>
              <w:ind w:right="479"/>
              <w:spacing w:after="0"/>
              <w:rPr>
                <w:sz w:val="20"/>
                <w:szCs w:val="20"/>
                <w:color w:val="auto"/>
              </w:rPr>
            </w:pPr>
            <w:r>
              <w:rPr>
                <w:rFonts w:ascii="Arial" w:cs="Arial" w:eastAsia="Arial" w:hAnsi="Arial"/>
                <w:sz w:val="16"/>
                <w:szCs w:val="16"/>
                <w:b w:val="1"/>
                <w:bCs w:val="1"/>
                <w:color w:val="auto"/>
              </w:rPr>
              <w:t>$3,541</w:t>
            </w:r>
          </w:p>
        </w:tc>
        <w:tc>
          <w:tcPr>
            <w:tcW w:w="1840" w:type="dxa"/>
            <w:vAlign w:val="bottom"/>
          </w:tcPr>
          <w:p>
            <w:pPr>
              <w:jc w:val="right"/>
              <w:ind w:right="579"/>
              <w:spacing w:after="0"/>
              <w:rPr>
                <w:sz w:val="20"/>
                <w:szCs w:val="20"/>
                <w:color w:val="auto"/>
              </w:rPr>
            </w:pPr>
            <w:r>
              <w:rPr>
                <w:rFonts w:ascii="Arial" w:cs="Arial" w:eastAsia="Arial" w:hAnsi="Arial"/>
                <w:sz w:val="16"/>
                <w:szCs w:val="16"/>
                <w:b w:val="1"/>
                <w:bCs w:val="1"/>
                <w:color w:val="auto"/>
              </w:rPr>
              <w:t>$4,600</w:t>
            </w:r>
          </w:p>
        </w:tc>
        <w:tc>
          <w:tcPr>
            <w:tcW w:w="1340" w:type="dxa"/>
            <w:vAlign w:val="bottom"/>
          </w:tcPr>
          <w:p>
            <w:pPr>
              <w:jc w:val="right"/>
              <w:ind w:right="279"/>
              <w:spacing w:after="0"/>
              <w:rPr>
                <w:sz w:val="20"/>
                <w:szCs w:val="20"/>
                <w:color w:val="auto"/>
              </w:rPr>
            </w:pPr>
            <w:r>
              <w:rPr>
                <w:rFonts w:ascii="Arial" w:cs="Arial" w:eastAsia="Arial" w:hAnsi="Arial"/>
                <w:sz w:val="16"/>
                <w:szCs w:val="16"/>
                <w:b w:val="1"/>
                <w:bCs w:val="1"/>
                <w:color w:val="auto"/>
              </w:rPr>
              <w:t>$15,137</w:t>
            </w:r>
          </w:p>
        </w:tc>
      </w:tr>
      <w:tr>
        <w:trPr>
          <w:trHeight w:val="33"/>
        </w:trPr>
        <w:tc>
          <w:tcPr>
            <w:tcW w:w="3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3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Comparable sales (decrease) increase</w:t>
            </w:r>
            <w:r>
              <w:rPr>
                <w:rFonts w:ascii="Arial" w:cs="Arial" w:eastAsia="Arial" w:hAnsi="Arial"/>
                <w:sz w:val="21"/>
                <w:szCs w:val="21"/>
                <w:color w:val="auto"/>
                <w:vertAlign w:val="superscript"/>
              </w:rPr>
              <w:t>2</w:t>
            </w:r>
          </w:p>
        </w:tc>
        <w:tc>
          <w:tcPr>
            <w:tcW w:w="1600" w:type="dxa"/>
            <w:vAlign w:val="bottom"/>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(0.8%)</w:t>
            </w:r>
          </w:p>
        </w:tc>
        <w:tc>
          <w:tcPr>
            <w:tcW w:w="1740" w:type="dxa"/>
            <w:vAlign w:val="bottom"/>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1.7%</w:t>
            </w:r>
          </w:p>
        </w:tc>
        <w:tc>
          <w:tcPr>
            <w:tcW w:w="1740" w:type="dxa"/>
            <w:vAlign w:val="bottom"/>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(0.9%)</w:t>
            </w:r>
          </w:p>
        </w:tc>
        <w:tc>
          <w:tcPr>
            <w:tcW w:w="1840" w:type="dxa"/>
            <w:vAlign w:val="bottom"/>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2.6%</w:t>
            </w:r>
          </w:p>
        </w:tc>
        <w:tc>
          <w:tcPr>
            <w:tcW w:w="134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0.8%</w:t>
            </w:r>
          </w:p>
        </w:tc>
      </w:tr>
      <w:tr>
        <w:trPr>
          <w:trHeight w:val="237"/>
        </w:trPr>
        <w:tc>
          <w:tcPr>
            <w:tcW w:w="3160" w:type="dxa"/>
            <w:vAlign w:val="bottom"/>
          </w:tcPr>
          <w:p>
            <w:pPr>
              <w:ind w:left="40"/>
              <w:spacing w:after="0"/>
              <w:rPr>
                <w:sz w:val="20"/>
                <w:szCs w:val="20"/>
                <w:color w:val="auto"/>
              </w:rPr>
            </w:pPr>
            <w:r>
              <w:rPr>
                <w:rFonts w:ascii="Arial" w:cs="Arial" w:eastAsia="Arial" w:hAnsi="Arial"/>
                <w:sz w:val="16"/>
                <w:szCs w:val="16"/>
                <w:color w:val="auto"/>
              </w:rPr>
              <w:t>Credit card revenues, net</w:t>
            </w:r>
          </w:p>
        </w:tc>
        <w:tc>
          <w:tcPr>
            <w:tcW w:w="1600" w:type="dxa"/>
            <w:vAlign w:val="bottom"/>
          </w:tcPr>
          <w:p>
            <w:pPr>
              <w:jc w:val="right"/>
              <w:ind w:right="479"/>
              <w:spacing w:after="0"/>
              <w:rPr>
                <w:sz w:val="20"/>
                <w:szCs w:val="20"/>
                <w:color w:val="auto"/>
              </w:rPr>
            </w:pPr>
            <w:r>
              <w:rPr>
                <w:rFonts w:ascii="Arial" w:cs="Arial" w:eastAsia="Arial" w:hAnsi="Arial"/>
                <w:sz w:val="16"/>
                <w:szCs w:val="16"/>
                <w:b w:val="1"/>
                <w:bCs w:val="1"/>
                <w:color w:val="auto"/>
              </w:rPr>
              <w:t>75</w:t>
            </w:r>
          </w:p>
        </w:tc>
        <w:tc>
          <w:tcPr>
            <w:tcW w:w="1740" w:type="dxa"/>
            <w:vAlign w:val="bottom"/>
          </w:tcPr>
          <w:p>
            <w:pPr>
              <w:jc w:val="right"/>
              <w:ind w:right="459"/>
              <w:spacing w:after="0"/>
              <w:rPr>
                <w:sz w:val="20"/>
                <w:szCs w:val="20"/>
                <w:color w:val="auto"/>
              </w:rPr>
            </w:pPr>
            <w:r>
              <w:rPr>
                <w:rFonts w:ascii="Arial" w:cs="Arial" w:eastAsia="Arial" w:hAnsi="Arial"/>
                <w:sz w:val="16"/>
                <w:szCs w:val="16"/>
                <w:b w:val="1"/>
                <w:bCs w:val="1"/>
                <w:color w:val="auto"/>
              </w:rPr>
              <w:t>76</w:t>
            </w:r>
          </w:p>
        </w:tc>
        <w:tc>
          <w:tcPr>
            <w:tcW w:w="1740" w:type="dxa"/>
            <w:vAlign w:val="bottom"/>
          </w:tcPr>
          <w:p>
            <w:pPr>
              <w:jc w:val="right"/>
              <w:ind w:right="479"/>
              <w:spacing w:after="0"/>
              <w:rPr>
                <w:sz w:val="20"/>
                <w:szCs w:val="20"/>
                <w:color w:val="auto"/>
              </w:rPr>
            </w:pPr>
            <w:r>
              <w:rPr>
                <w:rFonts w:ascii="Arial" w:cs="Arial" w:eastAsia="Arial" w:hAnsi="Arial"/>
                <w:sz w:val="16"/>
                <w:szCs w:val="16"/>
                <w:b w:val="1"/>
                <w:bCs w:val="1"/>
                <w:color w:val="auto"/>
              </w:rPr>
              <w:t>88</w:t>
            </w:r>
          </w:p>
        </w:tc>
        <w:tc>
          <w:tcPr>
            <w:tcW w:w="1840" w:type="dxa"/>
            <w:vAlign w:val="bottom"/>
          </w:tcPr>
          <w:p>
            <w:pPr>
              <w:jc w:val="right"/>
              <w:ind w:right="579"/>
              <w:spacing w:after="0"/>
              <w:rPr>
                <w:sz w:val="20"/>
                <w:szCs w:val="20"/>
                <w:color w:val="auto"/>
              </w:rPr>
            </w:pPr>
            <w:r>
              <w:rPr>
                <w:rFonts w:ascii="Arial" w:cs="Arial" w:eastAsia="Arial" w:hAnsi="Arial"/>
                <w:sz w:val="16"/>
                <w:szCs w:val="16"/>
                <w:b w:val="1"/>
                <w:bCs w:val="1"/>
                <w:color w:val="auto"/>
              </w:rPr>
              <w:t>102</w:t>
            </w:r>
          </w:p>
        </w:tc>
        <w:tc>
          <w:tcPr>
            <w:tcW w:w="1340" w:type="dxa"/>
            <w:vAlign w:val="bottom"/>
          </w:tcPr>
          <w:p>
            <w:pPr>
              <w:jc w:val="right"/>
              <w:ind w:right="279"/>
              <w:spacing w:after="0"/>
              <w:rPr>
                <w:sz w:val="20"/>
                <w:szCs w:val="20"/>
                <w:color w:val="auto"/>
              </w:rPr>
            </w:pPr>
            <w:r>
              <w:rPr>
                <w:rFonts w:ascii="Arial" w:cs="Arial" w:eastAsia="Arial" w:hAnsi="Arial"/>
                <w:sz w:val="16"/>
                <w:szCs w:val="16"/>
                <w:b w:val="1"/>
                <w:bCs w:val="1"/>
                <w:color w:val="auto"/>
              </w:rPr>
              <w:t>341</w:t>
            </w:r>
          </w:p>
        </w:tc>
      </w:tr>
      <w:tr>
        <w:trPr>
          <w:trHeight w:val="33"/>
        </w:trPr>
        <w:tc>
          <w:tcPr>
            <w:tcW w:w="3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160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b w:val="1"/>
                <w:bCs w:val="1"/>
                <w:color w:val="auto"/>
              </w:rPr>
              <w:t>1,124</w:t>
            </w:r>
          </w:p>
        </w:tc>
        <w:tc>
          <w:tcPr>
            <w:tcW w:w="174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b w:val="1"/>
                <w:bCs w:val="1"/>
                <w:color w:val="auto"/>
              </w:rPr>
              <w:t>1,266</w:t>
            </w:r>
          </w:p>
        </w:tc>
        <w:tc>
          <w:tcPr>
            <w:tcW w:w="174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b w:val="1"/>
                <w:bCs w:val="1"/>
                <w:color w:val="auto"/>
              </w:rPr>
              <w:t>1,226</w:t>
            </w:r>
          </w:p>
        </w:tc>
        <w:tc>
          <w:tcPr>
            <w:tcW w:w="1840" w:type="dxa"/>
            <w:vAlign w:val="bottom"/>
            <w:tcBorders>
              <w:bottom w:val="single" w:sz="8" w:color="CCEEFF"/>
            </w:tcBorders>
            <w:shd w:val="clear" w:color="auto" w:fill="CCEEFF"/>
          </w:tcPr>
          <w:p>
            <w:pPr>
              <w:jc w:val="right"/>
              <w:ind w:right="579"/>
              <w:spacing w:after="0"/>
              <w:rPr>
                <w:sz w:val="20"/>
                <w:szCs w:val="20"/>
                <w:color w:val="auto"/>
              </w:rPr>
            </w:pPr>
            <w:r>
              <w:rPr>
                <w:rFonts w:ascii="Arial" w:cs="Arial" w:eastAsia="Arial" w:hAnsi="Arial"/>
                <w:sz w:val="16"/>
                <w:szCs w:val="16"/>
                <w:b w:val="1"/>
                <w:bCs w:val="1"/>
                <w:color w:val="auto"/>
              </w:rPr>
              <w:t>1,631</w:t>
            </w:r>
          </w:p>
        </w:tc>
        <w:tc>
          <w:tcPr>
            <w:tcW w:w="134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5,247</w:t>
            </w:r>
          </w:p>
        </w:tc>
      </w:tr>
      <w:tr>
        <w:trPr>
          <w:trHeight w:val="237"/>
        </w:trPr>
        <w:tc>
          <w:tcPr>
            <w:tcW w:w="3160" w:type="dxa"/>
            <w:vAlign w:val="bottom"/>
          </w:tcPr>
          <w:p>
            <w:pPr>
              <w:ind w:left="40"/>
              <w:spacing w:after="0"/>
              <w:rPr>
                <w:sz w:val="20"/>
                <w:szCs w:val="20"/>
                <w:color w:val="auto"/>
              </w:rPr>
            </w:pPr>
            <w:r>
              <w:rPr>
                <w:rFonts w:ascii="Arial" w:cs="Arial" w:eastAsia="Arial" w:hAnsi="Arial"/>
                <w:sz w:val="16"/>
                <w:szCs w:val="16"/>
                <w:color w:val="auto"/>
                <w:w w:val="97"/>
              </w:rPr>
              <w:t>Selling, general and administrative expenses</w:t>
            </w:r>
          </w:p>
        </w:tc>
        <w:tc>
          <w:tcPr>
            <w:tcW w:w="1600" w:type="dxa"/>
            <w:vAlign w:val="bottom"/>
          </w:tcPr>
          <w:p>
            <w:pPr>
              <w:jc w:val="right"/>
              <w:ind w:right="419"/>
              <w:spacing w:after="0"/>
              <w:rPr>
                <w:sz w:val="20"/>
                <w:szCs w:val="20"/>
                <w:color w:val="auto"/>
              </w:rPr>
            </w:pPr>
            <w:r>
              <w:rPr>
                <w:rFonts w:ascii="Arial" w:cs="Arial" w:eastAsia="Arial" w:hAnsi="Arial"/>
                <w:sz w:val="16"/>
                <w:szCs w:val="16"/>
                <w:b w:val="1"/>
                <w:bCs w:val="1"/>
                <w:color w:val="auto"/>
              </w:rPr>
              <w:t>(1,048)</w:t>
            </w:r>
          </w:p>
        </w:tc>
        <w:tc>
          <w:tcPr>
            <w:tcW w:w="1740" w:type="dxa"/>
            <w:vAlign w:val="bottom"/>
          </w:tcPr>
          <w:p>
            <w:pPr>
              <w:jc w:val="right"/>
              <w:ind w:right="399"/>
              <w:spacing w:after="0"/>
              <w:rPr>
                <w:sz w:val="20"/>
                <w:szCs w:val="20"/>
                <w:color w:val="auto"/>
              </w:rPr>
            </w:pPr>
            <w:r>
              <w:rPr>
                <w:rFonts w:ascii="Arial" w:cs="Arial" w:eastAsia="Arial" w:hAnsi="Arial"/>
                <w:sz w:val="16"/>
                <w:szCs w:val="16"/>
                <w:b w:val="1"/>
                <w:bCs w:val="1"/>
                <w:color w:val="auto"/>
              </w:rPr>
              <w:t>(1,125)</w:t>
            </w:r>
          </w:p>
        </w:tc>
        <w:tc>
          <w:tcPr>
            <w:tcW w:w="1740" w:type="dxa"/>
            <w:vAlign w:val="bottom"/>
          </w:tcPr>
          <w:p>
            <w:pPr>
              <w:jc w:val="right"/>
              <w:ind w:right="419"/>
              <w:spacing w:after="0"/>
              <w:rPr>
                <w:sz w:val="20"/>
                <w:szCs w:val="20"/>
                <w:color w:val="auto"/>
              </w:rPr>
            </w:pPr>
            <w:r>
              <w:rPr>
                <w:rFonts w:ascii="Arial" w:cs="Arial" w:eastAsia="Arial" w:hAnsi="Arial"/>
                <w:sz w:val="16"/>
                <w:szCs w:val="16"/>
                <w:b w:val="1"/>
                <w:bCs w:val="1"/>
                <w:color w:val="auto"/>
              </w:rPr>
              <w:t>(1,106)</w:t>
            </w:r>
          </w:p>
        </w:tc>
        <w:tc>
          <w:tcPr>
            <w:tcW w:w="1840" w:type="dxa"/>
            <w:vAlign w:val="bottom"/>
          </w:tcPr>
          <w:p>
            <w:pPr>
              <w:jc w:val="right"/>
              <w:ind w:right="519"/>
              <w:spacing w:after="0"/>
              <w:rPr>
                <w:sz w:val="20"/>
                <w:szCs w:val="20"/>
                <w:color w:val="auto"/>
              </w:rPr>
            </w:pPr>
            <w:r>
              <w:rPr>
                <w:rFonts w:ascii="Arial" w:cs="Arial" w:eastAsia="Arial" w:hAnsi="Arial"/>
                <w:sz w:val="16"/>
                <w:szCs w:val="16"/>
                <w:b w:val="1"/>
                <w:bCs w:val="1"/>
                <w:color w:val="auto"/>
              </w:rPr>
              <w:t>(1,383)</w:t>
            </w:r>
          </w:p>
        </w:tc>
        <w:tc>
          <w:tcPr>
            <w:tcW w:w="1340" w:type="dxa"/>
            <w:vAlign w:val="bottom"/>
          </w:tcPr>
          <w:p>
            <w:pPr>
              <w:jc w:val="right"/>
              <w:ind w:right="219"/>
              <w:spacing w:after="0"/>
              <w:rPr>
                <w:sz w:val="20"/>
                <w:szCs w:val="20"/>
                <w:color w:val="auto"/>
              </w:rPr>
            </w:pPr>
            <w:r>
              <w:rPr>
                <w:rFonts w:ascii="Arial" w:cs="Arial" w:eastAsia="Arial" w:hAnsi="Arial"/>
                <w:sz w:val="16"/>
                <w:szCs w:val="16"/>
                <w:b w:val="1"/>
                <w:bCs w:val="1"/>
                <w:color w:val="auto"/>
              </w:rPr>
              <w:t>(4,662)</w:t>
            </w:r>
          </w:p>
        </w:tc>
      </w:tr>
      <w:tr>
        <w:trPr>
          <w:trHeight w:val="33"/>
        </w:trPr>
        <w:tc>
          <w:tcPr>
            <w:tcW w:w="3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before interest and income taxes</w:t>
            </w:r>
          </w:p>
        </w:tc>
        <w:tc>
          <w:tcPr>
            <w:tcW w:w="160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b w:val="1"/>
                <w:bCs w:val="1"/>
                <w:color w:val="auto"/>
              </w:rPr>
              <w:t>151</w:t>
            </w:r>
          </w:p>
        </w:tc>
        <w:tc>
          <w:tcPr>
            <w:tcW w:w="174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b w:val="1"/>
                <w:bCs w:val="1"/>
                <w:color w:val="auto"/>
              </w:rPr>
              <w:t>217</w:t>
            </w:r>
          </w:p>
        </w:tc>
        <w:tc>
          <w:tcPr>
            <w:tcW w:w="174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b w:val="1"/>
                <w:bCs w:val="1"/>
                <w:color w:val="auto"/>
              </w:rPr>
              <w:t>208</w:t>
            </w:r>
          </w:p>
        </w:tc>
        <w:tc>
          <w:tcPr>
            <w:tcW w:w="1840" w:type="dxa"/>
            <w:vAlign w:val="bottom"/>
            <w:tcBorders>
              <w:bottom w:val="single" w:sz="8" w:color="CCEEFF"/>
            </w:tcBorders>
            <w:shd w:val="clear" w:color="auto" w:fill="CCEEFF"/>
          </w:tcPr>
          <w:p>
            <w:pPr>
              <w:jc w:val="right"/>
              <w:ind w:right="579"/>
              <w:spacing w:after="0"/>
              <w:rPr>
                <w:sz w:val="20"/>
                <w:szCs w:val="20"/>
                <w:color w:val="auto"/>
              </w:rPr>
            </w:pPr>
            <w:r>
              <w:rPr>
                <w:rFonts w:ascii="Arial" w:cs="Arial" w:eastAsia="Arial" w:hAnsi="Arial"/>
                <w:sz w:val="16"/>
                <w:szCs w:val="16"/>
                <w:b w:val="1"/>
                <w:bCs w:val="1"/>
                <w:color w:val="auto"/>
              </w:rPr>
              <w:t>350</w:t>
            </w:r>
          </w:p>
        </w:tc>
        <w:tc>
          <w:tcPr>
            <w:tcW w:w="134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926</w:t>
            </w:r>
          </w:p>
        </w:tc>
      </w:tr>
      <w:tr>
        <w:trPr>
          <w:trHeight w:val="237"/>
        </w:trPr>
        <w:tc>
          <w:tcPr>
            <w:tcW w:w="3160" w:type="dxa"/>
            <w:vAlign w:val="bottom"/>
          </w:tcPr>
          <w:p>
            <w:pPr>
              <w:ind w:left="40"/>
              <w:spacing w:after="0"/>
              <w:rPr>
                <w:sz w:val="20"/>
                <w:szCs w:val="20"/>
                <w:color w:val="auto"/>
              </w:rPr>
            </w:pPr>
            <w:r>
              <w:rPr>
                <w:rFonts w:ascii="Arial" w:cs="Arial" w:eastAsia="Arial" w:hAnsi="Arial"/>
                <w:sz w:val="16"/>
                <w:szCs w:val="16"/>
                <w:color w:val="auto"/>
              </w:rPr>
              <w:t>Net earnings</w:t>
            </w:r>
          </w:p>
        </w:tc>
        <w:tc>
          <w:tcPr>
            <w:tcW w:w="1600" w:type="dxa"/>
            <w:vAlign w:val="bottom"/>
          </w:tcPr>
          <w:p>
            <w:pPr>
              <w:jc w:val="right"/>
              <w:ind w:right="479"/>
              <w:spacing w:after="0"/>
              <w:rPr>
                <w:sz w:val="20"/>
                <w:szCs w:val="20"/>
                <w:color w:val="auto"/>
              </w:rPr>
            </w:pPr>
            <w:r>
              <w:rPr>
                <w:rFonts w:ascii="Arial" w:cs="Arial" w:eastAsia="Arial" w:hAnsi="Arial"/>
                <w:sz w:val="16"/>
                <w:szCs w:val="16"/>
                <w:b w:val="1"/>
                <w:bCs w:val="1"/>
                <w:color w:val="auto"/>
              </w:rPr>
              <w:t>63</w:t>
            </w:r>
          </w:p>
        </w:tc>
        <w:tc>
          <w:tcPr>
            <w:tcW w:w="1740" w:type="dxa"/>
            <w:vAlign w:val="bottom"/>
          </w:tcPr>
          <w:p>
            <w:pPr>
              <w:jc w:val="right"/>
              <w:ind w:right="459"/>
              <w:spacing w:after="0"/>
              <w:rPr>
                <w:sz w:val="20"/>
                <w:szCs w:val="20"/>
                <w:color w:val="auto"/>
              </w:rPr>
            </w:pPr>
            <w:r>
              <w:rPr>
                <w:rFonts w:ascii="Arial" w:cs="Arial" w:eastAsia="Arial" w:hAnsi="Arial"/>
                <w:sz w:val="16"/>
                <w:szCs w:val="16"/>
                <w:b w:val="1"/>
                <w:bCs w:val="1"/>
                <w:color w:val="auto"/>
              </w:rPr>
              <w:t>110</w:t>
            </w:r>
          </w:p>
        </w:tc>
        <w:tc>
          <w:tcPr>
            <w:tcW w:w="1740" w:type="dxa"/>
            <w:vAlign w:val="bottom"/>
          </w:tcPr>
          <w:p>
            <w:pPr>
              <w:jc w:val="right"/>
              <w:ind w:right="479"/>
              <w:spacing w:after="0"/>
              <w:rPr>
                <w:sz w:val="20"/>
                <w:szCs w:val="20"/>
                <w:color w:val="auto"/>
              </w:rPr>
            </w:pPr>
            <w:r>
              <w:rPr>
                <w:rFonts w:ascii="Arial" w:cs="Arial" w:eastAsia="Arial" w:hAnsi="Arial"/>
                <w:sz w:val="16"/>
                <w:szCs w:val="16"/>
                <w:b w:val="1"/>
                <w:bCs w:val="1"/>
                <w:color w:val="auto"/>
              </w:rPr>
              <w:t>114</w:t>
            </w:r>
          </w:p>
        </w:tc>
        <w:tc>
          <w:tcPr>
            <w:tcW w:w="1840" w:type="dxa"/>
            <w:vAlign w:val="bottom"/>
          </w:tcPr>
          <w:p>
            <w:pPr>
              <w:jc w:val="right"/>
              <w:ind w:right="579"/>
              <w:spacing w:after="0"/>
              <w:rPr>
                <w:sz w:val="20"/>
                <w:szCs w:val="20"/>
                <w:color w:val="auto"/>
              </w:rPr>
            </w:pPr>
            <w:r>
              <w:rPr>
                <w:rFonts w:ascii="Arial" w:cs="Arial" w:eastAsia="Arial" w:hAnsi="Arial"/>
                <w:sz w:val="16"/>
                <w:szCs w:val="16"/>
                <w:b w:val="1"/>
                <w:bCs w:val="1"/>
                <w:color w:val="auto"/>
              </w:rPr>
              <w:t>151</w:t>
            </w:r>
          </w:p>
        </w:tc>
        <w:tc>
          <w:tcPr>
            <w:tcW w:w="1340" w:type="dxa"/>
            <w:vAlign w:val="bottom"/>
          </w:tcPr>
          <w:p>
            <w:pPr>
              <w:jc w:val="right"/>
              <w:ind w:right="279"/>
              <w:spacing w:after="0"/>
              <w:rPr>
                <w:sz w:val="20"/>
                <w:szCs w:val="20"/>
                <w:color w:val="auto"/>
              </w:rPr>
            </w:pPr>
            <w:r>
              <w:rPr>
                <w:rFonts w:ascii="Arial" w:cs="Arial" w:eastAsia="Arial" w:hAnsi="Arial"/>
                <w:sz w:val="16"/>
                <w:szCs w:val="16"/>
                <w:b w:val="1"/>
                <w:bCs w:val="1"/>
                <w:color w:val="auto"/>
              </w:rPr>
              <w:t>437</w:t>
            </w:r>
          </w:p>
        </w:tc>
      </w:tr>
      <w:tr>
        <w:trPr>
          <w:trHeight w:val="33"/>
        </w:trPr>
        <w:tc>
          <w:tcPr>
            <w:tcW w:w="3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per basic share</w:t>
            </w:r>
          </w:p>
        </w:tc>
        <w:tc>
          <w:tcPr>
            <w:tcW w:w="160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b w:val="1"/>
                <w:bCs w:val="1"/>
                <w:color w:val="auto"/>
              </w:rPr>
              <w:t>$0.38</w:t>
            </w:r>
          </w:p>
        </w:tc>
        <w:tc>
          <w:tcPr>
            <w:tcW w:w="174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b w:val="1"/>
                <w:bCs w:val="1"/>
                <w:color w:val="auto"/>
              </w:rPr>
              <w:t>$0.66</w:t>
            </w:r>
          </w:p>
        </w:tc>
        <w:tc>
          <w:tcPr>
            <w:tcW w:w="174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b w:val="1"/>
                <w:bCs w:val="1"/>
                <w:color w:val="auto"/>
              </w:rPr>
              <w:t>$0.68</w:t>
            </w:r>
          </w:p>
        </w:tc>
        <w:tc>
          <w:tcPr>
            <w:tcW w:w="1840" w:type="dxa"/>
            <w:vAlign w:val="bottom"/>
            <w:tcBorders>
              <w:bottom w:val="single" w:sz="8" w:color="CCEEFF"/>
            </w:tcBorders>
            <w:shd w:val="clear" w:color="auto" w:fill="CCEEFF"/>
          </w:tcPr>
          <w:p>
            <w:pPr>
              <w:jc w:val="right"/>
              <w:ind w:right="579"/>
              <w:spacing w:after="0"/>
              <w:rPr>
                <w:sz w:val="20"/>
                <w:szCs w:val="20"/>
                <w:color w:val="auto"/>
              </w:rPr>
            </w:pPr>
            <w:r>
              <w:rPr>
                <w:rFonts w:ascii="Arial" w:cs="Arial" w:eastAsia="Arial" w:hAnsi="Arial"/>
                <w:sz w:val="16"/>
                <w:szCs w:val="16"/>
                <w:b w:val="1"/>
                <w:bCs w:val="1"/>
                <w:color w:val="auto"/>
              </w:rPr>
              <w:t>$0.90</w:t>
            </w:r>
          </w:p>
        </w:tc>
        <w:tc>
          <w:tcPr>
            <w:tcW w:w="134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$2.62</w:t>
            </w:r>
          </w:p>
        </w:tc>
      </w:tr>
      <w:tr>
        <w:trPr>
          <w:trHeight w:val="237"/>
        </w:trPr>
        <w:tc>
          <w:tcPr>
            <w:tcW w:w="3160" w:type="dxa"/>
            <w:vAlign w:val="bottom"/>
          </w:tcPr>
          <w:p>
            <w:pPr>
              <w:ind w:left="40"/>
              <w:spacing w:after="0"/>
              <w:rPr>
                <w:sz w:val="20"/>
                <w:szCs w:val="20"/>
                <w:color w:val="auto"/>
              </w:rPr>
            </w:pPr>
            <w:r>
              <w:rPr>
                <w:rFonts w:ascii="Arial" w:cs="Arial" w:eastAsia="Arial" w:hAnsi="Arial"/>
                <w:sz w:val="16"/>
                <w:szCs w:val="16"/>
                <w:color w:val="auto"/>
              </w:rPr>
              <w:t>Earnings per diluted share</w:t>
            </w:r>
          </w:p>
        </w:tc>
        <w:tc>
          <w:tcPr>
            <w:tcW w:w="1600" w:type="dxa"/>
            <w:vAlign w:val="bottom"/>
          </w:tcPr>
          <w:p>
            <w:pPr>
              <w:jc w:val="right"/>
              <w:ind w:right="479"/>
              <w:spacing w:after="0"/>
              <w:rPr>
                <w:sz w:val="20"/>
                <w:szCs w:val="20"/>
                <w:color w:val="auto"/>
              </w:rPr>
            </w:pPr>
            <w:r>
              <w:rPr>
                <w:rFonts w:ascii="Arial" w:cs="Arial" w:eastAsia="Arial" w:hAnsi="Arial"/>
                <w:sz w:val="16"/>
                <w:szCs w:val="16"/>
                <w:b w:val="1"/>
                <w:bCs w:val="1"/>
                <w:color w:val="auto"/>
              </w:rPr>
              <w:t>$0.37</w:t>
            </w:r>
          </w:p>
        </w:tc>
        <w:tc>
          <w:tcPr>
            <w:tcW w:w="1740" w:type="dxa"/>
            <w:vAlign w:val="bottom"/>
          </w:tcPr>
          <w:p>
            <w:pPr>
              <w:jc w:val="right"/>
              <w:ind w:right="459"/>
              <w:spacing w:after="0"/>
              <w:rPr>
                <w:sz w:val="20"/>
                <w:szCs w:val="20"/>
                <w:color w:val="auto"/>
              </w:rPr>
            </w:pPr>
            <w:r>
              <w:rPr>
                <w:rFonts w:ascii="Arial" w:cs="Arial" w:eastAsia="Arial" w:hAnsi="Arial"/>
                <w:sz w:val="16"/>
                <w:szCs w:val="16"/>
                <w:b w:val="1"/>
                <w:bCs w:val="1"/>
                <w:color w:val="auto"/>
              </w:rPr>
              <w:t>$0.65</w:t>
            </w:r>
          </w:p>
        </w:tc>
        <w:tc>
          <w:tcPr>
            <w:tcW w:w="1740" w:type="dxa"/>
            <w:vAlign w:val="bottom"/>
          </w:tcPr>
          <w:p>
            <w:pPr>
              <w:jc w:val="right"/>
              <w:ind w:right="479"/>
              <w:spacing w:after="0"/>
              <w:rPr>
                <w:sz w:val="20"/>
                <w:szCs w:val="20"/>
                <w:color w:val="auto"/>
              </w:rPr>
            </w:pPr>
            <w:r>
              <w:rPr>
                <w:rFonts w:ascii="Arial" w:cs="Arial" w:eastAsia="Arial" w:hAnsi="Arial"/>
                <w:sz w:val="16"/>
                <w:szCs w:val="16"/>
                <w:b w:val="1"/>
                <w:bCs w:val="1"/>
                <w:color w:val="auto"/>
              </w:rPr>
              <w:t>$0.67</w:t>
            </w:r>
          </w:p>
        </w:tc>
        <w:tc>
          <w:tcPr>
            <w:tcW w:w="1840" w:type="dxa"/>
            <w:vAlign w:val="bottom"/>
          </w:tcPr>
          <w:p>
            <w:pPr>
              <w:jc w:val="right"/>
              <w:ind w:right="579"/>
              <w:spacing w:after="0"/>
              <w:rPr>
                <w:sz w:val="20"/>
                <w:szCs w:val="20"/>
                <w:color w:val="auto"/>
              </w:rPr>
            </w:pPr>
            <w:r>
              <w:rPr>
                <w:rFonts w:ascii="Arial" w:cs="Arial" w:eastAsia="Arial" w:hAnsi="Arial"/>
                <w:sz w:val="16"/>
                <w:szCs w:val="16"/>
                <w:b w:val="1"/>
                <w:bCs w:val="1"/>
                <w:color w:val="auto"/>
              </w:rPr>
              <w:t>$0.89</w:t>
            </w:r>
          </w:p>
        </w:tc>
        <w:tc>
          <w:tcPr>
            <w:tcW w:w="1340" w:type="dxa"/>
            <w:vAlign w:val="bottom"/>
          </w:tcPr>
          <w:p>
            <w:pPr>
              <w:jc w:val="right"/>
              <w:ind w:right="279"/>
              <w:spacing w:after="0"/>
              <w:rPr>
                <w:sz w:val="20"/>
                <w:szCs w:val="20"/>
                <w:color w:val="auto"/>
              </w:rPr>
            </w:pPr>
            <w:r>
              <w:rPr>
                <w:rFonts w:ascii="Arial" w:cs="Arial" w:eastAsia="Arial" w:hAnsi="Arial"/>
                <w:sz w:val="16"/>
                <w:szCs w:val="16"/>
                <w:b w:val="1"/>
                <w:bCs w:val="1"/>
                <w:color w:val="auto"/>
              </w:rPr>
              <w:t>$2.59</w:t>
            </w:r>
          </w:p>
        </w:tc>
      </w:tr>
      <w:tr>
        <w:trPr>
          <w:trHeight w:val="33"/>
        </w:trPr>
        <w:tc>
          <w:tcPr>
            <w:tcW w:w="3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97"/>
        </w:trPr>
        <w:tc>
          <w:tcPr>
            <w:tcW w:w="316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37"/>
        </w:trPr>
        <w:tc>
          <w:tcPr>
            <w:tcW w:w="3160" w:type="dxa"/>
            <w:vAlign w:val="bottom"/>
          </w:tcPr>
          <w:p>
            <w:pPr>
              <w:ind w:left="40"/>
              <w:spacing w:after="0"/>
              <w:rPr>
                <w:sz w:val="20"/>
                <w:szCs w:val="20"/>
                <w:color w:val="auto"/>
              </w:rPr>
            </w:pPr>
            <w:r>
              <w:rPr>
                <w:rFonts w:ascii="Arial" w:cs="Arial" w:eastAsia="Arial" w:hAnsi="Arial"/>
                <w:sz w:val="16"/>
                <w:szCs w:val="16"/>
                <w:b w:val="1"/>
                <w:bCs w:val="1"/>
                <w:color w:val="auto"/>
              </w:rPr>
              <w:t>Fiscal year 2016</w:t>
            </w:r>
          </w:p>
        </w:tc>
        <w:tc>
          <w:tcPr>
            <w:tcW w:w="16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3"/>
        </w:trPr>
        <w:tc>
          <w:tcPr>
            <w:tcW w:w="3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160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$3,192</w:t>
            </w:r>
          </w:p>
        </w:tc>
        <w:tc>
          <w:tcPr>
            <w:tcW w:w="174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color w:val="auto"/>
              </w:rPr>
              <w:t>$3,592</w:t>
            </w:r>
          </w:p>
        </w:tc>
        <w:tc>
          <w:tcPr>
            <w:tcW w:w="174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$3,472</w:t>
            </w:r>
          </w:p>
        </w:tc>
        <w:tc>
          <w:tcPr>
            <w:tcW w:w="1840" w:type="dxa"/>
            <w:vAlign w:val="bottom"/>
            <w:tcBorders>
              <w:bottom w:val="single" w:sz="8" w:color="CCEEFF"/>
            </w:tcBorders>
            <w:shd w:val="clear" w:color="auto" w:fill="CCEEFF"/>
          </w:tcPr>
          <w:p>
            <w:pPr>
              <w:jc w:val="right"/>
              <w:ind w:right="579"/>
              <w:spacing w:after="0"/>
              <w:rPr>
                <w:sz w:val="20"/>
                <w:szCs w:val="20"/>
                <w:color w:val="auto"/>
              </w:rPr>
            </w:pPr>
            <w:r>
              <w:rPr>
                <w:rFonts w:ascii="Arial" w:cs="Arial" w:eastAsia="Arial" w:hAnsi="Arial"/>
                <w:sz w:val="16"/>
                <w:szCs w:val="16"/>
                <w:color w:val="auto"/>
              </w:rPr>
              <w:t>$4,243</w:t>
            </w:r>
          </w:p>
        </w:tc>
        <w:tc>
          <w:tcPr>
            <w:tcW w:w="134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$14,498</w:t>
            </w:r>
          </w:p>
        </w:tc>
      </w:tr>
      <w:tr>
        <w:trPr>
          <w:trHeight w:val="270"/>
        </w:trPr>
        <w:tc>
          <w:tcPr>
            <w:tcW w:w="3160" w:type="dxa"/>
            <w:vAlign w:val="bottom"/>
          </w:tcPr>
          <w:p>
            <w:pPr>
              <w:ind w:left="40"/>
              <w:spacing w:after="0"/>
              <w:rPr>
                <w:sz w:val="20"/>
                <w:szCs w:val="20"/>
                <w:color w:val="auto"/>
              </w:rPr>
            </w:pPr>
            <w:r>
              <w:rPr>
                <w:rFonts w:ascii="Arial" w:cs="Arial" w:eastAsia="Arial" w:hAnsi="Arial"/>
                <w:sz w:val="16"/>
                <w:szCs w:val="16"/>
                <w:color w:val="auto"/>
              </w:rPr>
              <w:t>Comparable sales (decrease) increase</w:t>
            </w:r>
            <w:r>
              <w:rPr>
                <w:rFonts w:ascii="Arial" w:cs="Arial" w:eastAsia="Arial" w:hAnsi="Arial"/>
                <w:sz w:val="21"/>
                <w:szCs w:val="21"/>
                <w:color w:val="auto"/>
                <w:vertAlign w:val="superscript"/>
              </w:rPr>
              <w:t>3</w:t>
            </w:r>
          </w:p>
        </w:tc>
        <w:tc>
          <w:tcPr>
            <w:tcW w:w="1600" w:type="dxa"/>
            <w:vAlign w:val="bottom"/>
          </w:tcPr>
          <w:p>
            <w:pPr>
              <w:jc w:val="right"/>
              <w:ind w:right="279"/>
              <w:spacing w:after="0"/>
              <w:rPr>
                <w:sz w:val="20"/>
                <w:szCs w:val="20"/>
                <w:color w:val="auto"/>
              </w:rPr>
            </w:pPr>
            <w:r>
              <w:rPr>
                <w:rFonts w:ascii="Arial" w:cs="Arial" w:eastAsia="Arial" w:hAnsi="Arial"/>
                <w:sz w:val="16"/>
                <w:szCs w:val="16"/>
                <w:color w:val="auto"/>
              </w:rPr>
              <w:t>(1.7%)</w:t>
            </w:r>
          </w:p>
        </w:tc>
        <w:tc>
          <w:tcPr>
            <w:tcW w:w="1740" w:type="dxa"/>
            <w:vAlign w:val="bottom"/>
          </w:tcPr>
          <w:p>
            <w:pPr>
              <w:jc w:val="right"/>
              <w:ind w:right="259"/>
              <w:spacing w:after="0"/>
              <w:rPr>
                <w:sz w:val="20"/>
                <w:szCs w:val="20"/>
                <w:color w:val="auto"/>
              </w:rPr>
            </w:pPr>
            <w:r>
              <w:rPr>
                <w:rFonts w:ascii="Arial" w:cs="Arial" w:eastAsia="Arial" w:hAnsi="Arial"/>
                <w:sz w:val="16"/>
                <w:szCs w:val="16"/>
                <w:color w:val="auto"/>
              </w:rPr>
              <w:t>(1.2%)</w:t>
            </w:r>
          </w:p>
        </w:tc>
        <w:tc>
          <w:tcPr>
            <w:tcW w:w="1740" w:type="dxa"/>
            <w:vAlign w:val="bottom"/>
          </w:tcPr>
          <w:p>
            <w:pPr>
              <w:jc w:val="right"/>
              <w:ind w:right="339"/>
              <w:spacing w:after="0"/>
              <w:rPr>
                <w:sz w:val="20"/>
                <w:szCs w:val="20"/>
                <w:color w:val="auto"/>
              </w:rPr>
            </w:pPr>
            <w:r>
              <w:rPr>
                <w:rFonts w:ascii="Arial" w:cs="Arial" w:eastAsia="Arial" w:hAnsi="Arial"/>
                <w:sz w:val="16"/>
                <w:szCs w:val="16"/>
                <w:color w:val="auto"/>
              </w:rPr>
              <w:t>2.4%</w:t>
            </w:r>
          </w:p>
        </w:tc>
        <w:tc>
          <w:tcPr>
            <w:tcW w:w="1840" w:type="dxa"/>
            <w:vAlign w:val="bottom"/>
          </w:tcPr>
          <w:p>
            <w:pPr>
              <w:jc w:val="right"/>
              <w:ind w:right="379"/>
              <w:spacing w:after="0"/>
              <w:rPr>
                <w:sz w:val="20"/>
                <w:szCs w:val="20"/>
                <w:color w:val="auto"/>
              </w:rPr>
            </w:pPr>
            <w:r>
              <w:rPr>
                <w:rFonts w:ascii="Arial" w:cs="Arial" w:eastAsia="Arial" w:hAnsi="Arial"/>
                <w:sz w:val="16"/>
                <w:szCs w:val="16"/>
                <w:color w:val="auto"/>
              </w:rPr>
              <w:t>(0.9%)</w:t>
            </w: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(0.4%)</w:t>
            </w: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Credit card revenues, net</w:t>
            </w:r>
          </w:p>
        </w:tc>
        <w:tc>
          <w:tcPr>
            <w:tcW w:w="160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57</w:t>
            </w:r>
          </w:p>
        </w:tc>
        <w:tc>
          <w:tcPr>
            <w:tcW w:w="174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color w:val="auto"/>
              </w:rPr>
              <w:t>59</w:t>
            </w:r>
          </w:p>
        </w:tc>
        <w:tc>
          <w:tcPr>
            <w:tcW w:w="174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70</w:t>
            </w:r>
          </w:p>
        </w:tc>
        <w:tc>
          <w:tcPr>
            <w:tcW w:w="1840" w:type="dxa"/>
            <w:vAlign w:val="bottom"/>
            <w:tcBorders>
              <w:bottom w:val="single" w:sz="8" w:color="CCEEFF"/>
            </w:tcBorders>
            <w:shd w:val="clear" w:color="auto" w:fill="CCEEFF"/>
          </w:tcPr>
          <w:p>
            <w:pPr>
              <w:jc w:val="right"/>
              <w:ind w:right="579"/>
              <w:spacing w:after="0"/>
              <w:rPr>
                <w:sz w:val="20"/>
                <w:szCs w:val="20"/>
                <w:color w:val="auto"/>
              </w:rPr>
            </w:pPr>
            <w:r>
              <w:rPr>
                <w:rFonts w:ascii="Arial" w:cs="Arial" w:eastAsia="Arial" w:hAnsi="Arial"/>
                <w:sz w:val="16"/>
                <w:szCs w:val="16"/>
                <w:color w:val="auto"/>
              </w:rPr>
              <w:t>73</w:t>
            </w:r>
          </w:p>
        </w:tc>
        <w:tc>
          <w:tcPr>
            <w:tcW w:w="134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259</w:t>
            </w:r>
          </w:p>
        </w:tc>
      </w:tr>
      <w:tr>
        <w:trPr>
          <w:trHeight w:val="237"/>
        </w:trPr>
        <w:tc>
          <w:tcPr>
            <w:tcW w:w="3160" w:type="dxa"/>
            <w:vAlign w:val="bottom"/>
          </w:tcPr>
          <w:p>
            <w:pPr>
              <w:ind w:left="40"/>
              <w:spacing w:after="0"/>
              <w:rPr>
                <w:sz w:val="20"/>
                <w:szCs w:val="20"/>
                <w:color w:val="auto"/>
              </w:rPr>
            </w:pPr>
            <w:r>
              <w:rPr>
                <w:rFonts w:ascii="Arial" w:cs="Arial" w:eastAsia="Arial" w:hAnsi="Arial"/>
                <w:sz w:val="16"/>
                <w:szCs w:val="16"/>
                <w:color w:val="auto"/>
              </w:rPr>
              <w:t>Gross profit</w:t>
            </w:r>
          </w:p>
        </w:tc>
        <w:tc>
          <w:tcPr>
            <w:tcW w:w="1600" w:type="dxa"/>
            <w:vAlign w:val="bottom"/>
          </w:tcPr>
          <w:p>
            <w:pPr>
              <w:jc w:val="right"/>
              <w:ind w:right="479"/>
              <w:spacing w:after="0"/>
              <w:rPr>
                <w:sz w:val="20"/>
                <w:szCs w:val="20"/>
                <w:color w:val="auto"/>
              </w:rPr>
            </w:pPr>
            <w:r>
              <w:rPr>
                <w:rFonts w:ascii="Arial" w:cs="Arial" w:eastAsia="Arial" w:hAnsi="Arial"/>
                <w:sz w:val="16"/>
                <w:szCs w:val="16"/>
                <w:color w:val="auto"/>
              </w:rPr>
              <w:t>1,092</w:t>
            </w:r>
          </w:p>
        </w:tc>
        <w:tc>
          <w:tcPr>
            <w:tcW w:w="1740" w:type="dxa"/>
            <w:vAlign w:val="bottom"/>
          </w:tcPr>
          <w:p>
            <w:pPr>
              <w:jc w:val="right"/>
              <w:ind w:right="459"/>
              <w:spacing w:after="0"/>
              <w:rPr>
                <w:sz w:val="20"/>
                <w:szCs w:val="20"/>
                <w:color w:val="auto"/>
              </w:rPr>
            </w:pPr>
            <w:r>
              <w:rPr>
                <w:rFonts w:ascii="Arial" w:cs="Arial" w:eastAsia="Arial" w:hAnsi="Arial"/>
                <w:sz w:val="16"/>
                <w:szCs w:val="16"/>
                <w:color w:val="auto"/>
              </w:rPr>
              <w:t>1,233</w:t>
            </w:r>
          </w:p>
        </w:tc>
        <w:tc>
          <w:tcPr>
            <w:tcW w:w="1740" w:type="dxa"/>
            <w:vAlign w:val="bottom"/>
          </w:tcPr>
          <w:p>
            <w:pPr>
              <w:jc w:val="right"/>
              <w:ind w:right="479"/>
              <w:spacing w:after="0"/>
              <w:rPr>
                <w:sz w:val="20"/>
                <w:szCs w:val="20"/>
                <w:color w:val="auto"/>
              </w:rPr>
            </w:pPr>
            <w:r>
              <w:rPr>
                <w:rFonts w:ascii="Arial" w:cs="Arial" w:eastAsia="Arial" w:hAnsi="Arial"/>
                <w:sz w:val="16"/>
                <w:szCs w:val="16"/>
                <w:color w:val="auto"/>
              </w:rPr>
              <w:t>1,211</w:t>
            </w:r>
          </w:p>
        </w:tc>
        <w:tc>
          <w:tcPr>
            <w:tcW w:w="1840" w:type="dxa"/>
            <w:vAlign w:val="bottom"/>
          </w:tcPr>
          <w:p>
            <w:pPr>
              <w:jc w:val="right"/>
              <w:ind w:right="579"/>
              <w:spacing w:after="0"/>
              <w:rPr>
                <w:sz w:val="20"/>
                <w:szCs w:val="20"/>
                <w:color w:val="auto"/>
              </w:rPr>
            </w:pPr>
            <w:r>
              <w:rPr>
                <w:rFonts w:ascii="Arial" w:cs="Arial" w:eastAsia="Arial" w:hAnsi="Arial"/>
                <w:sz w:val="16"/>
                <w:szCs w:val="16"/>
                <w:color w:val="auto"/>
              </w:rPr>
              <w:t>1,523</w:t>
            </w:r>
          </w:p>
        </w:tc>
        <w:tc>
          <w:tcPr>
            <w:tcW w:w="1340" w:type="dxa"/>
            <w:vAlign w:val="bottom"/>
          </w:tcPr>
          <w:p>
            <w:pPr>
              <w:jc w:val="right"/>
              <w:ind w:right="279"/>
              <w:spacing w:after="0"/>
              <w:rPr>
                <w:sz w:val="20"/>
                <w:szCs w:val="20"/>
                <w:color w:val="auto"/>
              </w:rPr>
            </w:pPr>
            <w:r>
              <w:rPr>
                <w:rFonts w:ascii="Arial" w:cs="Arial" w:eastAsia="Arial" w:hAnsi="Arial"/>
                <w:sz w:val="16"/>
                <w:szCs w:val="16"/>
                <w:color w:val="auto"/>
              </w:rPr>
              <w:t>5,058</w:t>
            </w:r>
          </w:p>
        </w:tc>
      </w:tr>
      <w:tr>
        <w:trPr>
          <w:trHeight w:val="33"/>
        </w:trPr>
        <w:tc>
          <w:tcPr>
            <w:tcW w:w="3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7"/>
              </w:rPr>
              <w:t>Selling, general and administrative expenses</w:t>
            </w:r>
          </w:p>
        </w:tc>
        <w:tc>
          <w:tcPr>
            <w:tcW w:w="16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(1,043)</w:t>
            </w:r>
          </w:p>
        </w:tc>
        <w:tc>
          <w:tcPr>
            <w:tcW w:w="174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(1,071)</w:t>
            </w:r>
          </w:p>
        </w:tc>
        <w:tc>
          <w:tcPr>
            <w:tcW w:w="174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(1,029)</w:t>
            </w:r>
          </w:p>
        </w:tc>
        <w:tc>
          <w:tcPr>
            <w:tcW w:w="184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6"/>
                <w:szCs w:val="16"/>
                <w:color w:val="auto"/>
              </w:rPr>
              <w:t>(1,172)</w:t>
            </w:r>
          </w:p>
        </w:tc>
        <w:tc>
          <w:tcPr>
            <w:tcW w:w="134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(4,315)</w:t>
            </w:r>
          </w:p>
        </w:tc>
      </w:tr>
      <w:tr>
        <w:trPr>
          <w:trHeight w:val="237"/>
        </w:trPr>
        <w:tc>
          <w:tcPr>
            <w:tcW w:w="3160" w:type="dxa"/>
            <w:vAlign w:val="bottom"/>
          </w:tcPr>
          <w:p>
            <w:pPr>
              <w:ind w:left="40"/>
              <w:spacing w:after="0"/>
              <w:rPr>
                <w:sz w:val="20"/>
                <w:szCs w:val="20"/>
                <w:color w:val="auto"/>
              </w:rPr>
            </w:pPr>
            <w:r>
              <w:rPr>
                <w:rFonts w:ascii="Arial" w:cs="Arial" w:eastAsia="Arial" w:hAnsi="Arial"/>
                <w:sz w:val="16"/>
                <w:szCs w:val="16"/>
                <w:color w:val="auto"/>
              </w:rPr>
              <w:t>Goodwill impairment</w:t>
            </w:r>
          </w:p>
        </w:tc>
        <w:tc>
          <w:tcPr>
            <w:tcW w:w="160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174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1740" w:type="dxa"/>
            <w:vAlign w:val="bottom"/>
          </w:tcPr>
          <w:p>
            <w:pPr>
              <w:jc w:val="right"/>
              <w:ind w:right="419"/>
              <w:spacing w:after="0"/>
              <w:rPr>
                <w:sz w:val="20"/>
                <w:szCs w:val="20"/>
                <w:color w:val="auto"/>
              </w:rPr>
            </w:pPr>
            <w:r>
              <w:rPr>
                <w:rFonts w:ascii="Arial" w:cs="Arial" w:eastAsia="Arial" w:hAnsi="Arial"/>
                <w:sz w:val="16"/>
                <w:szCs w:val="16"/>
                <w:color w:val="auto"/>
              </w:rPr>
              <w:t>(197)</w:t>
            </w:r>
          </w:p>
        </w:tc>
        <w:tc>
          <w:tcPr>
            <w:tcW w:w="1840" w:type="dxa"/>
            <w:vAlign w:val="bottom"/>
          </w:tcPr>
          <w:p>
            <w:pPr>
              <w:jc w:val="right"/>
              <w:ind w:right="57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19"/>
              <w:spacing w:after="0"/>
              <w:rPr>
                <w:sz w:val="20"/>
                <w:szCs w:val="20"/>
                <w:color w:val="auto"/>
              </w:rPr>
            </w:pPr>
            <w:r>
              <w:rPr>
                <w:rFonts w:ascii="Arial" w:cs="Arial" w:eastAsia="Arial" w:hAnsi="Arial"/>
                <w:sz w:val="16"/>
                <w:szCs w:val="16"/>
                <w:color w:val="auto"/>
              </w:rPr>
              <w:t>(197)</w:t>
            </w:r>
          </w:p>
        </w:tc>
      </w:tr>
      <w:tr>
        <w:trPr>
          <w:trHeight w:val="33"/>
        </w:trPr>
        <w:tc>
          <w:tcPr>
            <w:tcW w:w="3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before interest and income taxes</w:t>
            </w:r>
          </w:p>
        </w:tc>
        <w:tc>
          <w:tcPr>
            <w:tcW w:w="160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106</w:t>
            </w:r>
          </w:p>
        </w:tc>
        <w:tc>
          <w:tcPr>
            <w:tcW w:w="174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color w:val="auto"/>
              </w:rPr>
              <w:t>221</w:t>
            </w:r>
          </w:p>
        </w:tc>
        <w:tc>
          <w:tcPr>
            <w:tcW w:w="174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55</w:t>
            </w:r>
          </w:p>
        </w:tc>
        <w:tc>
          <w:tcPr>
            <w:tcW w:w="1840" w:type="dxa"/>
            <w:vAlign w:val="bottom"/>
            <w:tcBorders>
              <w:bottom w:val="single" w:sz="8" w:color="CCEEFF"/>
            </w:tcBorders>
            <w:shd w:val="clear" w:color="auto" w:fill="CCEEFF"/>
          </w:tcPr>
          <w:p>
            <w:pPr>
              <w:jc w:val="right"/>
              <w:ind w:right="579"/>
              <w:spacing w:after="0"/>
              <w:rPr>
                <w:sz w:val="20"/>
                <w:szCs w:val="20"/>
                <w:color w:val="auto"/>
              </w:rPr>
            </w:pPr>
            <w:r>
              <w:rPr>
                <w:rFonts w:ascii="Arial" w:cs="Arial" w:eastAsia="Arial" w:hAnsi="Arial"/>
                <w:sz w:val="16"/>
                <w:szCs w:val="16"/>
                <w:color w:val="auto"/>
              </w:rPr>
              <w:t>424</w:t>
            </w:r>
          </w:p>
        </w:tc>
        <w:tc>
          <w:tcPr>
            <w:tcW w:w="134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805</w:t>
            </w:r>
          </w:p>
        </w:tc>
      </w:tr>
      <w:tr>
        <w:trPr>
          <w:trHeight w:val="237"/>
        </w:trPr>
        <w:tc>
          <w:tcPr>
            <w:tcW w:w="3160" w:type="dxa"/>
            <w:vAlign w:val="bottom"/>
          </w:tcPr>
          <w:p>
            <w:pPr>
              <w:ind w:left="40"/>
              <w:spacing w:after="0"/>
              <w:rPr>
                <w:sz w:val="20"/>
                <w:szCs w:val="20"/>
                <w:color w:val="auto"/>
              </w:rPr>
            </w:pPr>
            <w:r>
              <w:rPr>
                <w:rFonts w:ascii="Arial" w:cs="Arial" w:eastAsia="Arial" w:hAnsi="Arial"/>
                <w:sz w:val="16"/>
                <w:szCs w:val="16"/>
                <w:color w:val="auto"/>
              </w:rPr>
              <w:t>Net earnings (loss)</w:t>
            </w:r>
          </w:p>
        </w:tc>
        <w:tc>
          <w:tcPr>
            <w:tcW w:w="1600" w:type="dxa"/>
            <w:vAlign w:val="bottom"/>
          </w:tcPr>
          <w:p>
            <w:pPr>
              <w:jc w:val="right"/>
              <w:ind w:right="479"/>
              <w:spacing w:after="0"/>
              <w:rPr>
                <w:sz w:val="20"/>
                <w:szCs w:val="20"/>
                <w:color w:val="auto"/>
              </w:rPr>
            </w:pPr>
            <w:r>
              <w:rPr>
                <w:rFonts w:ascii="Arial" w:cs="Arial" w:eastAsia="Arial" w:hAnsi="Arial"/>
                <w:sz w:val="16"/>
                <w:szCs w:val="16"/>
                <w:color w:val="auto"/>
              </w:rPr>
              <w:t>46</w:t>
            </w:r>
          </w:p>
        </w:tc>
        <w:tc>
          <w:tcPr>
            <w:tcW w:w="1740" w:type="dxa"/>
            <w:vAlign w:val="bottom"/>
          </w:tcPr>
          <w:p>
            <w:pPr>
              <w:jc w:val="right"/>
              <w:ind w:right="459"/>
              <w:spacing w:after="0"/>
              <w:rPr>
                <w:sz w:val="20"/>
                <w:szCs w:val="20"/>
                <w:color w:val="auto"/>
              </w:rPr>
            </w:pPr>
            <w:r>
              <w:rPr>
                <w:rFonts w:ascii="Arial" w:cs="Arial" w:eastAsia="Arial" w:hAnsi="Arial"/>
                <w:sz w:val="16"/>
                <w:szCs w:val="16"/>
                <w:color w:val="auto"/>
              </w:rPr>
              <w:t>117</w:t>
            </w:r>
          </w:p>
        </w:tc>
        <w:tc>
          <w:tcPr>
            <w:tcW w:w="1740" w:type="dxa"/>
            <w:vAlign w:val="bottom"/>
          </w:tcPr>
          <w:p>
            <w:pPr>
              <w:jc w:val="right"/>
              <w:ind w:right="419"/>
              <w:spacing w:after="0"/>
              <w:rPr>
                <w:sz w:val="20"/>
                <w:szCs w:val="20"/>
                <w:color w:val="auto"/>
              </w:rPr>
            </w:pPr>
            <w:r>
              <w:rPr>
                <w:rFonts w:ascii="Arial" w:cs="Arial" w:eastAsia="Arial" w:hAnsi="Arial"/>
                <w:sz w:val="16"/>
                <w:szCs w:val="16"/>
                <w:color w:val="auto"/>
              </w:rPr>
              <w:t>(10)</w:t>
            </w:r>
          </w:p>
        </w:tc>
        <w:tc>
          <w:tcPr>
            <w:tcW w:w="1840" w:type="dxa"/>
            <w:vAlign w:val="bottom"/>
          </w:tcPr>
          <w:p>
            <w:pPr>
              <w:jc w:val="right"/>
              <w:ind w:right="579"/>
              <w:spacing w:after="0"/>
              <w:rPr>
                <w:sz w:val="20"/>
                <w:szCs w:val="20"/>
                <w:color w:val="auto"/>
              </w:rPr>
            </w:pPr>
            <w:r>
              <w:rPr>
                <w:rFonts w:ascii="Arial" w:cs="Arial" w:eastAsia="Arial" w:hAnsi="Arial"/>
                <w:sz w:val="16"/>
                <w:szCs w:val="16"/>
                <w:color w:val="auto"/>
              </w:rPr>
              <w:t>201</w:t>
            </w:r>
          </w:p>
        </w:tc>
        <w:tc>
          <w:tcPr>
            <w:tcW w:w="1340" w:type="dxa"/>
            <w:vAlign w:val="bottom"/>
          </w:tcPr>
          <w:p>
            <w:pPr>
              <w:jc w:val="right"/>
              <w:ind w:right="279"/>
              <w:spacing w:after="0"/>
              <w:rPr>
                <w:sz w:val="20"/>
                <w:szCs w:val="20"/>
                <w:color w:val="auto"/>
              </w:rPr>
            </w:pPr>
            <w:r>
              <w:rPr>
                <w:rFonts w:ascii="Arial" w:cs="Arial" w:eastAsia="Arial" w:hAnsi="Arial"/>
                <w:sz w:val="16"/>
                <w:szCs w:val="16"/>
                <w:color w:val="auto"/>
              </w:rPr>
              <w:t>354</w:t>
            </w:r>
          </w:p>
        </w:tc>
      </w:tr>
      <w:tr>
        <w:trPr>
          <w:trHeight w:val="33"/>
        </w:trPr>
        <w:tc>
          <w:tcPr>
            <w:tcW w:w="3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3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Earnings (Loss) per basic share</w:t>
            </w:r>
            <w:r>
              <w:rPr>
                <w:rFonts w:ascii="Arial" w:cs="Arial" w:eastAsia="Arial" w:hAnsi="Arial"/>
                <w:sz w:val="21"/>
                <w:szCs w:val="21"/>
                <w:color w:val="auto"/>
                <w:vertAlign w:val="superscript"/>
              </w:rPr>
              <w:t>4</w:t>
            </w:r>
          </w:p>
        </w:tc>
        <w:tc>
          <w:tcPr>
            <w:tcW w:w="160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$0.27</w:t>
            </w:r>
          </w:p>
        </w:tc>
        <w:tc>
          <w:tcPr>
            <w:tcW w:w="174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$0.67</w:t>
            </w:r>
          </w:p>
        </w:tc>
        <w:tc>
          <w:tcPr>
            <w:tcW w:w="174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($0.06)</w:t>
            </w:r>
          </w:p>
        </w:tc>
        <w:tc>
          <w:tcPr>
            <w:tcW w:w="184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$1.17</w:t>
            </w:r>
          </w:p>
        </w:tc>
        <w:tc>
          <w:tcPr>
            <w:tcW w:w="134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$2.05</w:t>
            </w:r>
          </w:p>
        </w:tc>
      </w:tr>
      <w:tr>
        <w:trPr>
          <w:trHeight w:val="277"/>
        </w:trPr>
        <w:tc>
          <w:tcPr>
            <w:tcW w:w="3160" w:type="dxa"/>
            <w:vAlign w:val="bottom"/>
          </w:tcPr>
          <w:p>
            <w:pPr>
              <w:ind w:left="40"/>
              <w:spacing w:after="0"/>
              <w:rPr>
                <w:sz w:val="20"/>
                <w:szCs w:val="20"/>
                <w:color w:val="auto"/>
              </w:rPr>
            </w:pPr>
            <w:r>
              <w:rPr>
                <w:rFonts w:ascii="Arial" w:cs="Arial" w:eastAsia="Arial" w:hAnsi="Arial"/>
                <w:sz w:val="16"/>
                <w:szCs w:val="16"/>
                <w:color w:val="auto"/>
              </w:rPr>
              <w:t>Earnings (Loss) per diluted share</w:t>
            </w:r>
            <w:r>
              <w:rPr>
                <w:rFonts w:ascii="Arial" w:cs="Arial" w:eastAsia="Arial" w:hAnsi="Arial"/>
                <w:sz w:val="21"/>
                <w:szCs w:val="21"/>
                <w:color w:val="auto"/>
                <w:vertAlign w:val="superscript"/>
              </w:rPr>
              <w:t>4,5</w:t>
            </w:r>
          </w:p>
        </w:tc>
        <w:tc>
          <w:tcPr>
            <w:tcW w:w="1600" w:type="dxa"/>
            <w:vAlign w:val="bottom"/>
          </w:tcPr>
          <w:p>
            <w:pPr>
              <w:jc w:val="right"/>
              <w:ind w:right="479"/>
              <w:spacing w:after="0"/>
              <w:rPr>
                <w:sz w:val="20"/>
                <w:szCs w:val="20"/>
                <w:color w:val="auto"/>
              </w:rPr>
            </w:pPr>
            <w:r>
              <w:rPr>
                <w:rFonts w:ascii="Arial" w:cs="Arial" w:eastAsia="Arial" w:hAnsi="Arial"/>
                <w:sz w:val="16"/>
                <w:szCs w:val="16"/>
                <w:color w:val="auto"/>
              </w:rPr>
              <w:t>$0.26</w:t>
            </w:r>
          </w:p>
        </w:tc>
        <w:tc>
          <w:tcPr>
            <w:tcW w:w="1740" w:type="dxa"/>
            <w:vAlign w:val="bottom"/>
          </w:tcPr>
          <w:p>
            <w:pPr>
              <w:jc w:val="right"/>
              <w:ind w:right="459"/>
              <w:spacing w:after="0"/>
              <w:rPr>
                <w:sz w:val="20"/>
                <w:szCs w:val="20"/>
                <w:color w:val="auto"/>
              </w:rPr>
            </w:pPr>
            <w:r>
              <w:rPr>
                <w:rFonts w:ascii="Arial" w:cs="Arial" w:eastAsia="Arial" w:hAnsi="Arial"/>
                <w:sz w:val="16"/>
                <w:szCs w:val="16"/>
                <w:color w:val="auto"/>
              </w:rPr>
              <w:t>$0.67</w:t>
            </w:r>
          </w:p>
        </w:tc>
        <w:tc>
          <w:tcPr>
            <w:tcW w:w="1740" w:type="dxa"/>
            <w:vAlign w:val="bottom"/>
          </w:tcPr>
          <w:p>
            <w:pPr>
              <w:jc w:val="right"/>
              <w:ind w:right="419"/>
              <w:spacing w:after="0"/>
              <w:rPr>
                <w:sz w:val="20"/>
                <w:szCs w:val="20"/>
                <w:color w:val="auto"/>
              </w:rPr>
            </w:pPr>
            <w:r>
              <w:rPr>
                <w:rFonts w:ascii="Arial" w:cs="Arial" w:eastAsia="Arial" w:hAnsi="Arial"/>
                <w:sz w:val="16"/>
                <w:szCs w:val="16"/>
                <w:color w:val="auto"/>
              </w:rPr>
              <w:t>($0.06)</w:t>
            </w:r>
          </w:p>
        </w:tc>
        <w:tc>
          <w:tcPr>
            <w:tcW w:w="1840" w:type="dxa"/>
            <w:vAlign w:val="bottom"/>
          </w:tcPr>
          <w:p>
            <w:pPr>
              <w:jc w:val="right"/>
              <w:ind w:right="579"/>
              <w:spacing w:after="0"/>
              <w:rPr>
                <w:sz w:val="20"/>
                <w:szCs w:val="20"/>
                <w:color w:val="auto"/>
              </w:rPr>
            </w:pPr>
            <w:r>
              <w:rPr>
                <w:rFonts w:ascii="Arial" w:cs="Arial" w:eastAsia="Arial" w:hAnsi="Arial"/>
                <w:sz w:val="16"/>
                <w:szCs w:val="16"/>
                <w:color w:val="auto"/>
              </w:rPr>
              <w:t>$1.15</w:t>
            </w:r>
          </w:p>
        </w:tc>
        <w:tc>
          <w:tcPr>
            <w:tcW w:w="1340" w:type="dxa"/>
            <w:vAlign w:val="bottom"/>
          </w:tcPr>
          <w:p>
            <w:pPr>
              <w:jc w:val="right"/>
              <w:ind w:right="279"/>
              <w:spacing w:after="0"/>
              <w:rPr>
                <w:sz w:val="20"/>
                <w:szCs w:val="20"/>
                <w:color w:val="auto"/>
              </w:rPr>
            </w:pPr>
            <w:r>
              <w:rPr>
                <w:rFonts w:ascii="Arial" w:cs="Arial" w:eastAsia="Arial" w:hAnsi="Arial"/>
                <w:sz w:val="16"/>
                <w:szCs w:val="16"/>
                <w:color w:val="auto"/>
              </w:rPr>
              <w:t>$2.02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80" w:hanging="72"/>
        <w:spacing w:after="0"/>
        <w:tabs>
          <w:tab w:leader="none" w:pos="80" w:val="left"/>
        </w:tabs>
        <w:numPr>
          <w:ilvl w:val="0"/>
          <w:numId w:val="71"/>
        </w:numPr>
        <w:rPr>
          <w:rFonts w:ascii="Arial" w:cs="Arial" w:eastAsia="Arial" w:hAnsi="Arial"/>
          <w:sz w:val="9"/>
          <w:szCs w:val="9"/>
          <w:color w:val="auto"/>
        </w:rPr>
      </w:pPr>
      <w:r>
        <w:rPr>
          <w:rFonts w:ascii="Arial" w:cs="Arial" w:eastAsia="Arial" w:hAnsi="Arial"/>
          <w:sz w:val="14"/>
          <w:szCs w:val="14"/>
          <w:color w:val="auto"/>
        </w:rPr>
        <w:t>Quarterly totals may not foot across due to rounding.</w:t>
      </w:r>
    </w:p>
    <w:p>
      <w:pPr>
        <w:spacing w:after="0" w:line="1" w:lineRule="exact"/>
        <w:rPr>
          <w:sz w:val="20"/>
          <w:szCs w:val="20"/>
          <w:color w:val="auto"/>
        </w:rPr>
      </w:pPr>
    </w:p>
    <w:p>
      <w:pPr>
        <w:ind w:left="80" w:hanging="72"/>
        <w:spacing w:after="0"/>
        <w:tabs>
          <w:tab w:leader="none" w:pos="80" w:val="left"/>
        </w:tabs>
        <w:numPr>
          <w:ilvl w:val="0"/>
          <w:numId w:val="72"/>
        </w:numPr>
        <w:rPr>
          <w:rFonts w:ascii="Arial" w:cs="Arial" w:eastAsia="Arial" w:hAnsi="Arial"/>
          <w:sz w:val="8"/>
          <w:szCs w:val="8"/>
          <w:color w:val="auto"/>
        </w:rPr>
      </w:pPr>
      <w:r>
        <w:rPr>
          <w:rFonts w:ascii="Arial" w:cs="Arial" w:eastAsia="Arial" w:hAnsi="Arial"/>
          <w:sz w:val="13"/>
          <w:szCs w:val="13"/>
          <w:color w:val="auto"/>
        </w:rPr>
        <w:t>The 53rd week is not included in comparable sales calculations (see Item 7: Management’s Discussion and Analysis of Financial Condition and Results of Operations for more information about</w:t>
      </w:r>
    </w:p>
    <w:p>
      <w:pPr>
        <w:spacing w:after="0" w:line="13" w:lineRule="exact"/>
        <w:rPr>
          <w:sz w:val="20"/>
          <w:szCs w:val="20"/>
          <w:color w:val="auto"/>
        </w:rPr>
      </w:pPr>
    </w:p>
    <w:p>
      <w:pPr>
        <w:ind w:left="80"/>
        <w:spacing w:after="0"/>
        <w:rPr>
          <w:sz w:val="20"/>
          <w:szCs w:val="20"/>
          <w:color w:val="auto"/>
        </w:rPr>
      </w:pPr>
      <w:r>
        <w:rPr>
          <w:rFonts w:ascii="Arial" w:cs="Arial" w:eastAsia="Arial" w:hAnsi="Arial"/>
          <w:sz w:val="14"/>
          <w:szCs w:val="14"/>
          <w:color w:val="auto"/>
        </w:rPr>
        <w:t>the 53rd week).</w:t>
      </w:r>
    </w:p>
    <w:p>
      <w:pPr>
        <w:spacing w:after="0" w:line="1" w:lineRule="exact"/>
        <w:rPr>
          <w:sz w:val="20"/>
          <w:szCs w:val="20"/>
          <w:color w:val="auto"/>
        </w:rPr>
      </w:pPr>
    </w:p>
    <w:p>
      <w:pPr>
        <w:ind w:left="80" w:hanging="72"/>
        <w:spacing w:after="0"/>
        <w:tabs>
          <w:tab w:leader="none" w:pos="80" w:val="left"/>
        </w:tabs>
        <w:numPr>
          <w:ilvl w:val="0"/>
          <w:numId w:val="73"/>
        </w:numPr>
        <w:rPr>
          <w:rFonts w:ascii="Arial" w:cs="Arial" w:eastAsia="Arial" w:hAnsi="Arial"/>
          <w:sz w:val="8"/>
          <w:szCs w:val="8"/>
          <w:color w:val="auto"/>
        </w:rPr>
      </w:pPr>
      <w:r>
        <w:rPr>
          <w:rFonts w:ascii="Arial" w:cs="Arial" w:eastAsia="Arial" w:hAnsi="Arial"/>
          <w:sz w:val="13"/>
          <w:szCs w:val="13"/>
          <w:color w:val="auto"/>
        </w:rPr>
        <w:t>One week of the Anniversary Sale, historically our largest event of the year, shifted into the third quarter. Combined second and third quarter comparable sales, which removes the impact of the</w:t>
      </w:r>
    </w:p>
    <w:p>
      <w:pPr>
        <w:spacing w:after="0" w:line="13" w:lineRule="exact"/>
        <w:rPr>
          <w:sz w:val="20"/>
          <w:szCs w:val="20"/>
          <w:color w:val="auto"/>
        </w:rPr>
      </w:pPr>
    </w:p>
    <w:p>
      <w:pPr>
        <w:ind w:left="80"/>
        <w:spacing w:after="0"/>
        <w:rPr>
          <w:sz w:val="20"/>
          <w:szCs w:val="20"/>
          <w:color w:val="auto"/>
        </w:rPr>
      </w:pPr>
      <w:r>
        <w:rPr>
          <w:rFonts w:ascii="Arial" w:cs="Arial" w:eastAsia="Arial" w:hAnsi="Arial"/>
          <w:sz w:val="14"/>
          <w:szCs w:val="14"/>
          <w:color w:val="auto"/>
        </w:rPr>
        <w:t>event shift, increased 0.4% compared with the same period last year.</w:t>
      </w:r>
    </w:p>
    <w:p>
      <w:pPr>
        <w:spacing w:after="0" w:line="1" w:lineRule="exact"/>
        <w:rPr>
          <w:sz w:val="20"/>
          <w:szCs w:val="20"/>
          <w:color w:val="auto"/>
        </w:rPr>
      </w:pPr>
    </w:p>
    <w:p>
      <w:pPr>
        <w:ind w:left="80" w:hanging="72"/>
        <w:spacing w:after="0"/>
        <w:tabs>
          <w:tab w:leader="none" w:pos="80" w:val="left"/>
        </w:tabs>
        <w:numPr>
          <w:ilvl w:val="0"/>
          <w:numId w:val="74"/>
        </w:numPr>
        <w:rPr>
          <w:rFonts w:ascii="Arial" w:cs="Arial" w:eastAsia="Arial" w:hAnsi="Arial"/>
          <w:sz w:val="9"/>
          <w:szCs w:val="9"/>
          <w:color w:val="auto"/>
        </w:rPr>
      </w:pPr>
      <w:r>
        <w:rPr>
          <w:rFonts w:ascii="Arial" w:cs="Arial" w:eastAsia="Arial" w:hAnsi="Arial"/>
          <w:sz w:val="14"/>
          <w:szCs w:val="14"/>
          <w:color w:val="auto"/>
        </w:rPr>
        <w:t>Loss per basic and diluted share included the impact of the Trunk Club goodwill impairment charge of $1.14 and $1.12 per share in the third quarter of 2016.</w:t>
      </w:r>
    </w:p>
    <w:p>
      <w:pPr>
        <w:spacing w:after="0" w:line="1" w:lineRule="exact"/>
        <w:rPr>
          <w:sz w:val="20"/>
          <w:szCs w:val="20"/>
          <w:color w:val="auto"/>
        </w:rPr>
      </w:pPr>
    </w:p>
    <w:p>
      <w:pPr>
        <w:jc w:val="both"/>
        <w:ind w:left="80" w:right="380" w:hanging="72"/>
        <w:spacing w:after="0" w:line="248" w:lineRule="auto"/>
        <w:tabs>
          <w:tab w:leader="none" w:pos="66" w:val="left"/>
        </w:tabs>
        <w:numPr>
          <w:ilvl w:val="0"/>
          <w:numId w:val="75"/>
        </w:numPr>
        <w:rPr>
          <w:rFonts w:ascii="Arial" w:cs="Arial" w:eastAsia="Arial" w:hAnsi="Arial"/>
          <w:sz w:val="9"/>
          <w:szCs w:val="9"/>
          <w:color w:val="auto"/>
        </w:rPr>
      </w:pPr>
      <w:r>
        <w:rPr>
          <w:rFonts w:ascii="Arial" w:cs="Arial" w:eastAsia="Arial" w:hAnsi="Arial"/>
          <w:sz w:val="14"/>
          <w:szCs w:val="14"/>
          <w:color w:val="auto"/>
        </w:rPr>
        <w:t>Due to the anti-dilutive effect resulting from the reported net loss in the third quarter of 2016, the impact of potentially dilutive securities on the weighted-average shares outstanding has been omitted from the quarterly calculation of loss per diluted share. The impact of these potentially dilutive securities has been included in the calculation of weighted-average shares for all other periods in 2016.</w:t>
      </w:r>
    </w:p>
    <w:p>
      <w:pPr>
        <w:spacing w:after="0" w:line="389"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63</w:t>
      </w:r>
    </w:p>
    <w:p>
      <w:pPr>
        <w:sectPr>
          <w:pgSz w:w="11900" w:h="16838" w:orient="portrait"/>
          <w:cols w:equalWidth="0" w:num="1">
            <w:col w:w="11420"/>
          </w:cols>
          <w:pgMar w:left="240" w:top="126" w:right="239" w:bottom="1440" w:gutter="0" w:footer="0" w:header="0"/>
        </w:sectPr>
      </w:pPr>
    </w:p>
    <w:bookmarkStart w:id="64" w:name="page65"/>
    <w:bookmarkEnd w:id="64"/>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 Changes in and Disagreements With Accountants on Accounting and Financial Disclosure.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9A. Controls and Procedures.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7"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Blake Nordstrom, Pete Nordstrom and Erik Nordstrom serve as co-presidents of Nordstrom, Inc. (“Company”). Blake Nordstrom continues to serve as the Company’s principal executive officer for purposes of the Securities Exchange Act of 1934, as amended (the “Exchange Act”). The Company’s Chief Financial Officer is the Company’s principal financial officer for purposes of the Exchange Act.</w:t>
      </w:r>
    </w:p>
    <w:p>
      <w:pPr>
        <w:spacing w:after="0" w:line="13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As of the end of the period covered by this Annual Report on Form 10-K, the Company performed an evaluation under the supervision and with the participation of management, including our principal executive officer and principal financial officer, of the design and effectiveness of our disclosure controls and procedures (as defined in rules 13a-15(e) or 15d-15(e) under the Exchange Act). Based upon that evaluation, our principal executive officer and principal financial officer concluded that, as of the end of the period covered by this Annual Report, our disclosure controls and procedures were effective in the timely and accurate recording, processing, summarizing and reporting of material financial and non-financial information within the time periods specified within the SEC’s rules and forms. Our principal executive officer and principal financial officer also concluded that our disclosure controls and procedures were effective to ensure that information required to be disclosed in the reports that we file or submit under the Exchange Act is accumulated and communicated to our management, including our principal executive officer and principal financial officer, to allow timely decisions regarding required disclosure.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7" w:lineRule="exact"/>
        <w:rPr>
          <w:sz w:val="20"/>
          <w:szCs w:val="20"/>
          <w:color w:val="auto"/>
        </w:rPr>
      </w:pPr>
    </w:p>
    <w:p>
      <w:pPr>
        <w:ind w:right="40"/>
        <w:spacing w:after="0" w:line="323" w:lineRule="auto"/>
        <w:rPr>
          <w:sz w:val="20"/>
          <w:szCs w:val="20"/>
          <w:color w:val="auto"/>
        </w:rPr>
      </w:pPr>
      <w:r>
        <w:rPr>
          <w:rFonts w:ascii="Arial" w:cs="Arial" w:eastAsia="Arial" w:hAnsi="Arial"/>
          <w:sz w:val="16"/>
          <w:szCs w:val="16"/>
          <w:color w:val="auto"/>
        </w:rPr>
        <w:t>There have been no changes in our internal control over financial reporting (as defined in Rules 13a-15(f) or 15d-15(f) of the Exchange Act) during our most recently completed fiscal quarter that have materially affected, or are reasonably likely to materially affect, our internal control over financial reporting.</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is defined in the Exchange Act. These internal controls are designed to provide reasonable assurance that the reported financial information is presented fairly, that disclosures are adequate and that the judgments inherent in the preparation of financial statements are reasonable. There are inherent limitations in the effectiveness of any system of internal control, including the possibility of human error and overriding of controls. Consequently, an effective internal control system can only provide reasonable, not absolute, assurance with respect to reporting financial information.</w:t>
      </w:r>
    </w:p>
    <w:p>
      <w:pPr>
        <w:spacing w:after="0" w:line="125"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 xml:space="preserve">Management conducted an evaluation of the effectiveness of our internal control over financial reporting based on the framework and criteria established in </w:t>
      </w:r>
      <w:r>
        <w:rPr>
          <w:rFonts w:ascii="Arial" w:cs="Arial" w:eastAsia="Arial" w:hAnsi="Arial"/>
          <w:sz w:val="17"/>
          <w:szCs w:val="17"/>
          <w:i w:val="1"/>
          <w:iCs w:val="1"/>
          <w:color w:val="auto"/>
        </w:rPr>
        <w:t xml:space="preserve">Internal Control – Integrated Framework (2013), </w:t>
      </w:r>
      <w:r>
        <w:rPr>
          <w:rFonts w:ascii="Arial" w:cs="Arial" w:eastAsia="Arial" w:hAnsi="Arial"/>
          <w:sz w:val="17"/>
          <w:szCs w:val="17"/>
          <w:color w:val="auto"/>
        </w:rPr>
        <w:t>issued by the Committee of Sponsoring Organizations of the Treadway Commission. Based on this</w:t>
      </w:r>
      <w:r>
        <w:rPr>
          <w:rFonts w:ascii="Arial" w:cs="Arial" w:eastAsia="Arial" w:hAnsi="Arial"/>
          <w:sz w:val="17"/>
          <w:szCs w:val="17"/>
          <w:i w:val="1"/>
          <w:iCs w:val="1"/>
          <w:color w:val="auto"/>
        </w:rPr>
        <w:t xml:space="preserve"> </w:t>
      </w:r>
      <w:r>
        <w:rPr>
          <w:rFonts w:ascii="Arial" w:cs="Arial" w:eastAsia="Arial" w:hAnsi="Arial"/>
          <w:sz w:val="17"/>
          <w:szCs w:val="17"/>
          <w:color w:val="auto"/>
        </w:rPr>
        <w:t>evaluation, management concluded that the Company’s internal control over financial reporting was effective as of February 3, 2018.</w:t>
      </w:r>
    </w:p>
    <w:p>
      <w:pPr>
        <w:spacing w:after="0" w:line="111"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Deloitte &amp; Touche LLP, an independent registered public accounting firm, was retained to audit Nordstrom’s Consolidated Financial Statements and the effectiveness of the Company’s internal control over financial reporting. They have issued an attestation report on the Company’s internal control over financial reporting as of February 3, 2018, which is included herein.</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360"/>
          </w:cols>
          <w:pgMar w:left="240" w:top="126" w:right="299" w:bottom="1440" w:gutter="0" w:footer="0" w:header="0"/>
        </w:sectPr>
      </w:pPr>
    </w:p>
    <w:bookmarkStart w:id="65" w:name="page66"/>
    <w:bookmarkEnd w:id="65"/>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5240"/>
        <w:spacing w:after="0" w:line="454"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Board of Directors and Shareholders of Nordstrom, Inc. </w:t>
      </w:r>
      <w:r>
        <w:rPr>
          <w:rFonts w:ascii="Arial" w:cs="Arial" w:eastAsia="Arial" w:hAnsi="Arial"/>
          <w:sz w:val="18"/>
          <w:szCs w:val="18"/>
          <w:b w:val="1"/>
          <w:bCs w:val="1"/>
          <w:color w:val="auto"/>
        </w:rPr>
        <w:t>Opinion on Internal Control over Financial Reporting</w:t>
      </w:r>
    </w:p>
    <w:p>
      <w:pPr>
        <w:spacing w:after="0" w:line="13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We have audited the internal control over financial reporting of Nordstrom, Inc. and subsidiaries (the “Company”) as of February 3, 2018,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 In our opinion, the Company maintained, in all material respects, effective internal control over financial reporting as of February 3, 2018,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COSO.</w:t>
      </w:r>
    </w:p>
    <w:p>
      <w:pPr>
        <w:spacing w:after="0" w:line="14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February 3, 2018, of the Company and our report dated March 19, 2018 expressed an unqualified opinion on those financial statements.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351" w:lineRule="exact"/>
        <w:rPr>
          <w:sz w:val="20"/>
          <w:szCs w:val="20"/>
          <w:color w:val="auto"/>
        </w:rPr>
      </w:pPr>
    </w:p>
    <w:p>
      <w:pPr>
        <w:ind w:right="300"/>
        <w:spacing w:after="0" w:line="276" w:lineRule="auto"/>
        <w:rPr>
          <w:sz w:val="20"/>
          <w:szCs w:val="20"/>
          <w:color w:val="auto"/>
        </w:rPr>
      </w:pPr>
      <w:r>
        <w:rPr>
          <w:rFonts w:ascii="Arial" w:cs="Arial" w:eastAsia="Arial" w:hAnsi="Arial"/>
          <w:sz w:val="17"/>
          <w:szCs w:val="17"/>
          <w:color w:val="auto"/>
        </w:rPr>
        <w:t xml:space="preserve">The Company’s management is responsible for maintaining effective internal control over financial reporting and for its assessment of the effectiveness of internal control over financial reporting, included in the accompanying </w:t>
      </w:r>
      <w:r>
        <w:rPr>
          <w:rFonts w:ascii="Arial" w:cs="Arial" w:eastAsia="Arial" w:hAnsi="Arial"/>
          <w:sz w:val="17"/>
          <w:szCs w:val="17"/>
          <w:i w:val="1"/>
          <w:iCs w:val="1"/>
          <w:color w:val="auto"/>
        </w:rPr>
        <w:t>Management’s Report On Internal Control Over Financial Reporting</w:t>
      </w:r>
      <w:r>
        <w:rPr>
          <w:rFonts w:ascii="Arial" w:cs="Arial" w:eastAsia="Arial" w:hAnsi="Arial"/>
          <w:sz w:val="17"/>
          <w:szCs w:val="17"/>
          <w:color w:val="auto"/>
        </w:rPr>
        <w:t>.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2"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8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19, 2018</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65</w:t>
      </w:r>
    </w:p>
    <w:p>
      <w:pPr>
        <w:sectPr>
          <w:pgSz w:w="11900" w:h="16838" w:orient="portrait"/>
          <w:cols w:equalWidth="0" w:num="1">
            <w:col w:w="11420"/>
          </w:cols>
          <w:pgMar w:left="240" w:top="126" w:right="239" w:bottom="1440" w:gutter="0" w:footer="0" w:header="0"/>
        </w:sectPr>
      </w:pPr>
    </w:p>
    <w:bookmarkStart w:id="66" w:name="page67"/>
    <w:bookmarkEnd w:id="66"/>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9B. Other Information.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72" w:lineRule="exact"/>
        <w:rPr>
          <w:sz w:val="20"/>
          <w:szCs w:val="20"/>
          <w:color w:val="auto"/>
        </w:rPr>
      </w:pPr>
    </w:p>
    <w:p>
      <w:pPr>
        <w:jc w:val="right"/>
        <w:ind w:right="5200"/>
        <w:spacing w:after="0"/>
        <w:rPr>
          <w:sz w:val="20"/>
          <w:szCs w:val="20"/>
          <w:color w:val="auto"/>
        </w:rPr>
      </w:pPr>
      <w:r>
        <w:rPr>
          <w:rFonts w:ascii="Arial" w:cs="Arial" w:eastAsia="Arial" w:hAnsi="Arial"/>
          <w:sz w:val="22"/>
          <w:szCs w:val="22"/>
          <w:b w:val="1"/>
          <w:bCs w:val="1"/>
          <w:color w:val="auto"/>
        </w:rPr>
        <w:t>PART III</w:t>
      </w:r>
    </w:p>
    <w:p>
      <w:pPr>
        <w:spacing w:after="0" w:line="166" w:lineRule="exact"/>
        <w:rPr>
          <w:sz w:val="20"/>
          <w:szCs w:val="20"/>
          <w:color w:val="auto"/>
        </w:rPr>
      </w:pPr>
    </w:p>
    <w:p>
      <w:pPr>
        <w:jc w:val="right"/>
        <w:ind w:right="5220"/>
        <w:spacing w:after="0"/>
        <w:rPr>
          <w:sz w:val="20"/>
          <w:szCs w:val="20"/>
          <w:color w:val="auto"/>
        </w:rPr>
      </w:pPr>
      <w:r>
        <w:rPr>
          <w:rFonts w:ascii="Arial" w:cs="Arial" w:eastAsia="Arial" w:hAnsi="Arial"/>
          <w:sz w:val="19"/>
          <w:szCs w:val="19"/>
          <w:b w:val="1"/>
          <w:bCs w:val="1"/>
          <w:color w:val="auto"/>
        </w:rPr>
        <w:t>Item 10. Directors, Executive Officers and Corporate Governance.</w:t>
      </w:r>
    </w:p>
    <w:p>
      <w:pPr>
        <w:spacing w:after="0" w:line="20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information required under this item is included in the following sections of our Proxy Statement for our 2018 Annual Meeting of Shareholders, the sections of which are incorporated by reference herein and will be filed within 120 days after the end of our fiscal year:</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Corporate Governance</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Director Nominating Process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16(a) Beneficial Ownership Reporting Compliance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Requirements and Deadlines for Submission of Proxy Proposals, Nomination of Directors and other Business of Shareholders</w:t>
      </w:r>
    </w:p>
    <w:p>
      <w:pPr>
        <w:spacing w:after="0" w:line="15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certifications of our Co-President and Chief Financial Officer required pursuant to Sections 302 and 906 of the Sarbanes-Oxley Act of 2002 are included as exhibits to this Annual Report on Form 10-K and were included as exhibits to each of our quarterly reports on Form 10-Q. Our Co-President certified to the New York Stock Exchange (“NYSE”) on May 30, 2017 pursuant to Section 303A.12(a) of the NYSE’s listing standards, that he was not aware of any violation by the Company of the NYSE’s corporate governance listing standards as of that date.</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11. Executive Compensation.</w:t>
      </w:r>
    </w:p>
    <w:p>
      <w:pPr>
        <w:spacing w:after="0" w:line="16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information required under this item is included in the following sections of our Proxy Statement for our 2018 Annual Meeting of Shareholders, the sections of which are incorporated by reference herein and will be filed within 120 days after the end of our fiscal year:</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Compensation of Executive Officers</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Director Compensation</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Compensation Committee Interlocks and Insider Participation</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Compensation Committee Report</w:t>
      </w:r>
    </w:p>
    <w:p>
      <w:pPr>
        <w:spacing w:after="0" w:line="15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12. Security Ownership of Certain Beneficial Owners and Management and Related Shareholder Matters.</w:t>
      </w:r>
    </w:p>
    <w:p>
      <w:pPr>
        <w:spacing w:after="0" w:line="17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information required under this item is included in the following sections of our Proxy Statement for our 2018 Annual Meeting of Shareholders, the sections of which are incorporated by reference herein and will be filed within 120 days after the end of our fiscal year:</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Security Ownership of Certain Beneficial Owners and Management</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Equity Compensation Plans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13. Certain Relationships and Related Transactions, and Director Independence.</w:t>
      </w:r>
    </w:p>
    <w:p>
      <w:pPr>
        <w:spacing w:after="0" w:line="16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information required under this item is included in the following sections of our Proxy Statement for our 2018 Annual Meeting of Shareholders, the sections of which are incorporated by reference herein and will be filed within 120 days after the end of our fiscal year:</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Corporate Governance</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Certain Relationships and Related Transactions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14. Principal Accounting Fees and Services.</w:t>
      </w:r>
    </w:p>
    <w:p>
      <w:pPr>
        <w:spacing w:after="0" w:line="16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information required under this item is included in the following section of our Proxy Statement for our 2018 Annual Meeting of Shareholders, the section of which is incorporated by reference herein and will be filed within 120 days after the end of our fiscal year:</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Ratification of the Appointment of Independent Registered Public Accounting Firm</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340"/>
          </w:cols>
          <w:pgMar w:left="240" w:top="126" w:right="319" w:bottom="1440" w:gutter="0" w:footer="0" w:header="0"/>
        </w:sectPr>
      </w:pPr>
    </w:p>
    <w:bookmarkStart w:id="67" w:name="page68"/>
    <w:bookmarkEnd w:id="67"/>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8600" w:type="dxa"/>
            <w:vAlign w:val="bottom"/>
          </w:tcPr>
          <w:p>
            <w:pPr>
              <w:ind w:left="5280"/>
              <w:spacing w:after="0"/>
              <w:rPr>
                <w:sz w:val="20"/>
                <w:szCs w:val="20"/>
                <w:color w:val="auto"/>
              </w:rPr>
            </w:pPr>
            <w:r>
              <w:rPr>
                <w:rFonts w:ascii="Arial" w:cs="Arial" w:eastAsia="Arial" w:hAnsi="Arial"/>
                <w:sz w:val="22"/>
                <w:szCs w:val="22"/>
                <w:b w:val="1"/>
                <w:bCs w:val="1"/>
                <w:color w:val="auto"/>
              </w:rPr>
              <w:t>PART IV</w:t>
            </w:r>
          </w:p>
        </w:tc>
        <w:tc>
          <w:tcPr>
            <w:tcW w:w="2820" w:type="dxa"/>
            <w:vAlign w:val="bottom"/>
          </w:tcPr>
          <w:p>
            <w:pPr>
              <w:spacing w:after="0"/>
              <w:rPr>
                <w:sz w:val="24"/>
                <w:szCs w:val="24"/>
                <w:color w:val="auto"/>
              </w:rPr>
            </w:pPr>
          </w:p>
        </w:tc>
      </w:tr>
      <w:tr>
        <w:trPr>
          <w:trHeight w:val="419"/>
        </w:trPr>
        <w:tc>
          <w:tcPr>
            <w:tcW w:w="8600" w:type="dxa"/>
            <w:vAlign w:val="bottom"/>
          </w:tcPr>
          <w:p>
            <w:pPr>
              <w:spacing w:after="0"/>
              <w:rPr>
                <w:sz w:val="20"/>
                <w:szCs w:val="20"/>
                <w:color w:val="auto"/>
              </w:rPr>
            </w:pPr>
            <w:r>
              <w:rPr>
                <w:rFonts w:ascii="Arial" w:cs="Arial" w:eastAsia="Arial" w:hAnsi="Arial"/>
                <w:sz w:val="22"/>
                <w:szCs w:val="22"/>
                <w:b w:val="1"/>
                <w:bCs w:val="1"/>
                <w:color w:val="auto"/>
              </w:rPr>
              <w:t>Item 15. Exhibits, Financial Statement Schedules.</w:t>
            </w:r>
          </w:p>
        </w:tc>
        <w:tc>
          <w:tcPr>
            <w:tcW w:w="2820" w:type="dxa"/>
            <w:vAlign w:val="bottom"/>
          </w:tcPr>
          <w:p>
            <w:pPr>
              <w:spacing w:after="0"/>
              <w:rPr>
                <w:sz w:val="24"/>
                <w:szCs w:val="24"/>
                <w:color w:val="auto"/>
              </w:rPr>
            </w:pPr>
          </w:p>
        </w:tc>
      </w:tr>
      <w:tr>
        <w:trPr>
          <w:trHeight w:val="368"/>
        </w:trPr>
        <w:tc>
          <w:tcPr>
            <w:tcW w:w="8600" w:type="dxa"/>
            <w:vAlign w:val="bottom"/>
          </w:tcPr>
          <w:p>
            <w:pPr>
              <w:spacing w:after="0"/>
              <w:rPr>
                <w:sz w:val="20"/>
                <w:szCs w:val="20"/>
                <w:color w:val="auto"/>
              </w:rPr>
            </w:pPr>
            <w:r>
              <w:rPr>
                <w:rFonts w:ascii="Arial" w:cs="Arial" w:eastAsia="Arial" w:hAnsi="Arial"/>
                <w:sz w:val="18"/>
                <w:szCs w:val="18"/>
                <w:color w:val="auto"/>
              </w:rPr>
              <w:t>The following information required under this item is filed as part of this report:</w:t>
            </w:r>
          </w:p>
        </w:tc>
        <w:tc>
          <w:tcPr>
            <w:tcW w:w="2820" w:type="dxa"/>
            <w:vAlign w:val="bottom"/>
          </w:tcPr>
          <w:p>
            <w:pPr>
              <w:spacing w:after="0"/>
              <w:rPr>
                <w:sz w:val="24"/>
                <w:szCs w:val="24"/>
                <w:color w:val="auto"/>
              </w:rPr>
            </w:pPr>
          </w:p>
        </w:tc>
      </w:tr>
      <w:tr>
        <w:trPr>
          <w:trHeight w:val="378"/>
        </w:trPr>
        <w:tc>
          <w:tcPr>
            <w:tcW w:w="8600" w:type="dxa"/>
            <w:vAlign w:val="bottom"/>
          </w:tcPr>
          <w:p>
            <w:pPr>
              <w:spacing w:after="0"/>
              <w:rPr>
                <w:sz w:val="20"/>
                <w:szCs w:val="20"/>
                <w:color w:val="auto"/>
              </w:rPr>
            </w:pPr>
            <w:r>
              <w:rPr>
                <w:rFonts w:ascii="Arial" w:cs="Arial" w:eastAsia="Arial" w:hAnsi="Arial"/>
                <w:sz w:val="18"/>
                <w:szCs w:val="18"/>
                <w:b w:val="1"/>
                <w:bCs w:val="1"/>
                <w:color w:val="auto"/>
              </w:rPr>
              <w:t>(a)1. FINANCIAL STATEMENTS</w:t>
            </w:r>
          </w:p>
        </w:tc>
        <w:tc>
          <w:tcPr>
            <w:tcW w:w="2820" w:type="dxa"/>
            <w:vAlign w:val="bottom"/>
          </w:tcPr>
          <w:p>
            <w:pPr>
              <w:spacing w:after="0"/>
              <w:rPr>
                <w:sz w:val="24"/>
                <w:szCs w:val="24"/>
                <w:color w:val="auto"/>
              </w:rPr>
            </w:pPr>
          </w:p>
        </w:tc>
      </w:tr>
      <w:tr>
        <w:trPr>
          <w:trHeight w:val="359"/>
        </w:trPr>
        <w:tc>
          <w:tcPr>
            <w:tcW w:w="8600" w:type="dxa"/>
            <w:vAlign w:val="bottom"/>
          </w:tcPr>
          <w:p>
            <w:pPr>
              <w:spacing w:after="0"/>
              <w:rPr>
                <w:sz w:val="24"/>
                <w:szCs w:val="24"/>
                <w:color w:val="auto"/>
              </w:rPr>
            </w:pPr>
          </w:p>
        </w:tc>
        <w:tc>
          <w:tcPr>
            <w:tcW w:w="2820" w:type="dxa"/>
            <w:vAlign w:val="bottom"/>
          </w:tcPr>
          <w:p>
            <w:pPr>
              <w:jc w:val="right"/>
              <w:spacing w:after="0"/>
              <w:rPr>
                <w:sz w:val="20"/>
                <w:szCs w:val="20"/>
                <w:color w:val="auto"/>
              </w:rPr>
            </w:pPr>
            <w:r>
              <w:rPr>
                <w:rFonts w:ascii="Arial" w:cs="Arial" w:eastAsia="Arial" w:hAnsi="Arial"/>
                <w:sz w:val="16"/>
                <w:szCs w:val="16"/>
                <w:b w:val="1"/>
                <w:bCs w:val="1"/>
                <w:color w:val="auto"/>
              </w:rPr>
              <w:t>Page</w:t>
            </w:r>
          </w:p>
        </w:tc>
      </w:tr>
      <w:tr>
        <w:trPr>
          <w:trHeight w:val="33"/>
        </w:trPr>
        <w:tc>
          <w:tcPr>
            <w:tcW w:w="8600" w:type="dxa"/>
            <w:vAlign w:val="bottom"/>
          </w:tcPr>
          <w:p>
            <w:pPr>
              <w:spacing w:after="0"/>
              <w:rPr>
                <w:sz w:val="2"/>
                <w:szCs w:val="2"/>
                <w:color w:val="auto"/>
              </w:rPr>
            </w:pPr>
          </w:p>
        </w:tc>
        <w:tc>
          <w:tcPr>
            <w:tcW w:w="2820" w:type="dxa"/>
            <w:vAlign w:val="bottom"/>
          </w:tcPr>
          <w:p>
            <w:pPr>
              <w:spacing w:after="0"/>
              <w:rPr>
                <w:sz w:val="2"/>
                <w:szCs w:val="2"/>
                <w:color w:val="auto"/>
              </w:rPr>
            </w:pPr>
          </w:p>
        </w:tc>
      </w:tr>
      <w:tr>
        <w:trPr>
          <w:trHeight w:val="237"/>
        </w:trPr>
        <w:tc>
          <w:tcPr>
            <w:tcW w:w="8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Report of Independent Registered Public Accounting Firm</w:t>
            </w:r>
          </w:p>
        </w:tc>
        <w:tc>
          <w:tcPr>
            <w:tcW w:w="2820" w:type="dxa"/>
            <w:vAlign w:val="bottom"/>
            <w:tcBorders>
              <w:bottom w:val="single" w:sz="8" w:color="CCEEFF"/>
            </w:tcBorders>
            <w:shd w:val="clear" w:color="auto" w:fill="CCEEFF"/>
          </w:tcPr>
          <w:p>
            <w:pPr>
              <w:jc w:val="right"/>
              <w:spacing w:after="0"/>
              <w:rPr>
                <w:rFonts w:ascii="Arial" w:cs="Arial" w:eastAsia="Arial" w:hAnsi="Arial"/>
                <w:sz w:val="16"/>
                <w:szCs w:val="16"/>
                <w:color w:val="auto"/>
              </w:rPr>
            </w:pPr>
            <w:hyperlink w:anchor="page36">
              <w:r>
                <w:rPr>
                  <w:rFonts w:ascii="Arial" w:cs="Arial" w:eastAsia="Arial" w:hAnsi="Arial"/>
                  <w:sz w:val="16"/>
                  <w:szCs w:val="16"/>
                  <w:color w:val="auto"/>
                </w:rPr>
                <w:t>36</w:t>
              </w:r>
            </w:hyperlink>
          </w:p>
        </w:tc>
      </w:tr>
      <w:tr>
        <w:trPr>
          <w:trHeight w:val="224"/>
        </w:trPr>
        <w:tc>
          <w:tcPr>
            <w:tcW w:w="8600" w:type="dxa"/>
            <w:vAlign w:val="bottom"/>
          </w:tcPr>
          <w:p>
            <w:pPr>
              <w:ind w:left="380"/>
              <w:spacing w:after="0"/>
              <w:rPr>
                <w:sz w:val="20"/>
                <w:szCs w:val="20"/>
                <w:color w:val="auto"/>
              </w:rPr>
            </w:pPr>
            <w:r>
              <w:rPr>
                <w:rFonts w:ascii="Arial" w:cs="Arial" w:eastAsia="Arial" w:hAnsi="Arial"/>
                <w:sz w:val="16"/>
                <w:szCs w:val="16"/>
                <w:color w:val="auto"/>
              </w:rPr>
              <w:t>Consolidated Statements of Earnings</w:t>
            </w:r>
          </w:p>
        </w:tc>
        <w:tc>
          <w:tcPr>
            <w:tcW w:w="2820" w:type="dxa"/>
            <w:vAlign w:val="bottom"/>
          </w:tcPr>
          <w:p>
            <w:pPr>
              <w:jc w:val="right"/>
              <w:spacing w:after="0"/>
              <w:rPr>
                <w:rFonts w:ascii="Arial" w:cs="Arial" w:eastAsia="Arial" w:hAnsi="Arial"/>
                <w:sz w:val="16"/>
                <w:szCs w:val="16"/>
                <w:color w:val="auto"/>
              </w:rPr>
            </w:pPr>
            <w:hyperlink w:anchor="page37">
              <w:r>
                <w:rPr>
                  <w:rFonts w:ascii="Arial" w:cs="Arial" w:eastAsia="Arial" w:hAnsi="Arial"/>
                  <w:sz w:val="16"/>
                  <w:szCs w:val="16"/>
                  <w:color w:val="auto"/>
                </w:rPr>
                <w:t>37</w:t>
              </w:r>
            </w:hyperlink>
          </w:p>
        </w:tc>
      </w:tr>
      <w:tr>
        <w:trPr>
          <w:trHeight w:val="33"/>
        </w:trPr>
        <w:tc>
          <w:tcPr>
            <w:tcW w:w="8600" w:type="dxa"/>
            <w:vAlign w:val="bottom"/>
          </w:tcPr>
          <w:p>
            <w:pPr>
              <w:spacing w:after="0"/>
              <w:rPr>
                <w:sz w:val="2"/>
                <w:szCs w:val="2"/>
                <w:color w:val="auto"/>
              </w:rPr>
            </w:pPr>
          </w:p>
        </w:tc>
        <w:tc>
          <w:tcPr>
            <w:tcW w:w="2820" w:type="dxa"/>
            <w:vAlign w:val="bottom"/>
          </w:tcPr>
          <w:p>
            <w:pPr>
              <w:spacing w:after="0"/>
              <w:rPr>
                <w:sz w:val="2"/>
                <w:szCs w:val="2"/>
                <w:color w:val="auto"/>
              </w:rPr>
            </w:pPr>
          </w:p>
        </w:tc>
      </w:tr>
      <w:tr>
        <w:trPr>
          <w:trHeight w:val="237"/>
        </w:trPr>
        <w:tc>
          <w:tcPr>
            <w:tcW w:w="8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Consolidated Statements of Comprehensive Earnings</w:t>
            </w:r>
          </w:p>
        </w:tc>
        <w:tc>
          <w:tcPr>
            <w:tcW w:w="2820" w:type="dxa"/>
            <w:vAlign w:val="bottom"/>
            <w:tcBorders>
              <w:bottom w:val="single" w:sz="8" w:color="CCEEFF"/>
            </w:tcBorders>
            <w:shd w:val="clear" w:color="auto" w:fill="CCEEFF"/>
          </w:tcPr>
          <w:p>
            <w:pPr>
              <w:jc w:val="right"/>
              <w:spacing w:after="0"/>
              <w:rPr>
                <w:rFonts w:ascii="Arial" w:cs="Arial" w:eastAsia="Arial" w:hAnsi="Arial"/>
                <w:sz w:val="16"/>
                <w:szCs w:val="16"/>
                <w:color w:val="auto"/>
              </w:rPr>
            </w:pPr>
            <w:hyperlink w:anchor="page37">
              <w:r>
                <w:rPr>
                  <w:rFonts w:ascii="Arial" w:cs="Arial" w:eastAsia="Arial" w:hAnsi="Arial"/>
                  <w:sz w:val="16"/>
                  <w:szCs w:val="16"/>
                  <w:color w:val="auto"/>
                </w:rPr>
                <w:t>37</w:t>
              </w:r>
            </w:hyperlink>
          </w:p>
        </w:tc>
      </w:tr>
      <w:tr>
        <w:trPr>
          <w:trHeight w:val="224"/>
        </w:trPr>
        <w:tc>
          <w:tcPr>
            <w:tcW w:w="8600" w:type="dxa"/>
            <w:vAlign w:val="bottom"/>
          </w:tcPr>
          <w:p>
            <w:pPr>
              <w:ind w:left="380"/>
              <w:spacing w:after="0"/>
              <w:rPr>
                <w:sz w:val="20"/>
                <w:szCs w:val="20"/>
                <w:color w:val="auto"/>
              </w:rPr>
            </w:pPr>
            <w:r>
              <w:rPr>
                <w:rFonts w:ascii="Arial" w:cs="Arial" w:eastAsia="Arial" w:hAnsi="Arial"/>
                <w:sz w:val="16"/>
                <w:szCs w:val="16"/>
                <w:color w:val="auto"/>
              </w:rPr>
              <w:t>Consolidated Balance Sheets</w:t>
            </w:r>
          </w:p>
        </w:tc>
        <w:tc>
          <w:tcPr>
            <w:tcW w:w="2820" w:type="dxa"/>
            <w:vAlign w:val="bottom"/>
          </w:tcPr>
          <w:p>
            <w:pPr>
              <w:jc w:val="right"/>
              <w:spacing w:after="0"/>
              <w:rPr>
                <w:rFonts w:ascii="Arial" w:cs="Arial" w:eastAsia="Arial" w:hAnsi="Arial"/>
                <w:sz w:val="16"/>
                <w:szCs w:val="16"/>
                <w:color w:val="auto"/>
              </w:rPr>
            </w:pPr>
            <w:hyperlink w:anchor="page38">
              <w:r>
                <w:rPr>
                  <w:rFonts w:ascii="Arial" w:cs="Arial" w:eastAsia="Arial" w:hAnsi="Arial"/>
                  <w:sz w:val="16"/>
                  <w:szCs w:val="16"/>
                  <w:color w:val="auto"/>
                </w:rPr>
                <w:t>38</w:t>
              </w:r>
            </w:hyperlink>
          </w:p>
        </w:tc>
      </w:tr>
      <w:tr>
        <w:trPr>
          <w:trHeight w:val="33"/>
        </w:trPr>
        <w:tc>
          <w:tcPr>
            <w:tcW w:w="8600" w:type="dxa"/>
            <w:vAlign w:val="bottom"/>
          </w:tcPr>
          <w:p>
            <w:pPr>
              <w:spacing w:after="0"/>
              <w:rPr>
                <w:sz w:val="2"/>
                <w:szCs w:val="2"/>
                <w:color w:val="auto"/>
              </w:rPr>
            </w:pPr>
          </w:p>
        </w:tc>
        <w:tc>
          <w:tcPr>
            <w:tcW w:w="2820" w:type="dxa"/>
            <w:vAlign w:val="bottom"/>
          </w:tcPr>
          <w:p>
            <w:pPr>
              <w:spacing w:after="0"/>
              <w:rPr>
                <w:sz w:val="2"/>
                <w:szCs w:val="2"/>
                <w:color w:val="auto"/>
              </w:rPr>
            </w:pPr>
          </w:p>
        </w:tc>
      </w:tr>
      <w:tr>
        <w:trPr>
          <w:trHeight w:val="237"/>
        </w:trPr>
        <w:tc>
          <w:tcPr>
            <w:tcW w:w="8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Consolidated Statements of Shareholders’ Equity</w:t>
            </w:r>
          </w:p>
        </w:tc>
        <w:tc>
          <w:tcPr>
            <w:tcW w:w="2820" w:type="dxa"/>
            <w:vAlign w:val="bottom"/>
            <w:tcBorders>
              <w:bottom w:val="single" w:sz="8" w:color="CCEEFF"/>
            </w:tcBorders>
            <w:shd w:val="clear" w:color="auto" w:fill="CCEEFF"/>
          </w:tcPr>
          <w:p>
            <w:pPr>
              <w:jc w:val="right"/>
              <w:spacing w:after="0"/>
              <w:rPr>
                <w:rFonts w:ascii="Arial" w:cs="Arial" w:eastAsia="Arial" w:hAnsi="Arial"/>
                <w:sz w:val="16"/>
                <w:szCs w:val="16"/>
                <w:color w:val="auto"/>
              </w:rPr>
            </w:pPr>
            <w:hyperlink w:anchor="page39">
              <w:r>
                <w:rPr>
                  <w:rFonts w:ascii="Arial" w:cs="Arial" w:eastAsia="Arial" w:hAnsi="Arial"/>
                  <w:sz w:val="16"/>
                  <w:szCs w:val="16"/>
                  <w:color w:val="auto"/>
                </w:rPr>
                <w:t>39</w:t>
              </w:r>
            </w:hyperlink>
          </w:p>
        </w:tc>
      </w:tr>
      <w:tr>
        <w:trPr>
          <w:trHeight w:val="224"/>
        </w:trPr>
        <w:tc>
          <w:tcPr>
            <w:tcW w:w="8600" w:type="dxa"/>
            <w:vAlign w:val="bottom"/>
          </w:tcPr>
          <w:p>
            <w:pPr>
              <w:ind w:left="380"/>
              <w:spacing w:after="0"/>
              <w:rPr>
                <w:sz w:val="20"/>
                <w:szCs w:val="20"/>
                <w:color w:val="auto"/>
              </w:rPr>
            </w:pPr>
            <w:r>
              <w:rPr>
                <w:rFonts w:ascii="Arial" w:cs="Arial" w:eastAsia="Arial" w:hAnsi="Arial"/>
                <w:sz w:val="16"/>
                <w:szCs w:val="16"/>
                <w:color w:val="auto"/>
              </w:rPr>
              <w:t>Consolidated Statements of Cash Flows</w:t>
            </w:r>
          </w:p>
        </w:tc>
        <w:tc>
          <w:tcPr>
            <w:tcW w:w="2820" w:type="dxa"/>
            <w:vAlign w:val="bottom"/>
          </w:tcPr>
          <w:p>
            <w:pPr>
              <w:jc w:val="right"/>
              <w:spacing w:after="0"/>
              <w:rPr>
                <w:rFonts w:ascii="Arial" w:cs="Arial" w:eastAsia="Arial" w:hAnsi="Arial"/>
                <w:sz w:val="16"/>
                <w:szCs w:val="16"/>
                <w:color w:val="auto"/>
              </w:rPr>
            </w:pPr>
            <w:hyperlink w:anchor="page40">
              <w:r>
                <w:rPr>
                  <w:rFonts w:ascii="Arial" w:cs="Arial" w:eastAsia="Arial" w:hAnsi="Arial"/>
                  <w:sz w:val="16"/>
                  <w:szCs w:val="16"/>
                  <w:color w:val="auto"/>
                </w:rPr>
                <w:t>40</w:t>
              </w:r>
            </w:hyperlink>
          </w:p>
        </w:tc>
      </w:tr>
      <w:tr>
        <w:trPr>
          <w:trHeight w:val="33"/>
        </w:trPr>
        <w:tc>
          <w:tcPr>
            <w:tcW w:w="8600" w:type="dxa"/>
            <w:vAlign w:val="bottom"/>
          </w:tcPr>
          <w:p>
            <w:pPr>
              <w:spacing w:after="0"/>
              <w:rPr>
                <w:sz w:val="2"/>
                <w:szCs w:val="2"/>
                <w:color w:val="auto"/>
              </w:rPr>
            </w:pPr>
          </w:p>
        </w:tc>
        <w:tc>
          <w:tcPr>
            <w:tcW w:w="2820" w:type="dxa"/>
            <w:vAlign w:val="bottom"/>
          </w:tcPr>
          <w:p>
            <w:pPr>
              <w:spacing w:after="0"/>
              <w:rPr>
                <w:sz w:val="2"/>
                <w:szCs w:val="2"/>
                <w:color w:val="auto"/>
              </w:rPr>
            </w:pPr>
          </w:p>
        </w:tc>
      </w:tr>
      <w:tr>
        <w:trPr>
          <w:trHeight w:val="237"/>
        </w:trPr>
        <w:tc>
          <w:tcPr>
            <w:tcW w:w="8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Management’s Report on Internal Control Over Financial Reporting</w:t>
            </w:r>
          </w:p>
        </w:tc>
        <w:tc>
          <w:tcPr>
            <w:tcW w:w="2820" w:type="dxa"/>
            <w:vAlign w:val="bottom"/>
            <w:tcBorders>
              <w:bottom w:val="single" w:sz="8" w:color="CCEEFF"/>
            </w:tcBorders>
            <w:shd w:val="clear" w:color="auto" w:fill="CCEEFF"/>
          </w:tcPr>
          <w:p>
            <w:pPr>
              <w:jc w:val="right"/>
              <w:spacing w:after="0"/>
              <w:rPr>
                <w:rFonts w:ascii="Arial" w:cs="Arial" w:eastAsia="Arial" w:hAnsi="Arial"/>
                <w:sz w:val="16"/>
                <w:szCs w:val="16"/>
                <w:color w:val="auto"/>
              </w:rPr>
            </w:pPr>
            <w:hyperlink w:anchor="page65">
              <w:r>
                <w:rPr>
                  <w:rFonts w:ascii="Arial" w:cs="Arial" w:eastAsia="Arial" w:hAnsi="Arial"/>
                  <w:sz w:val="16"/>
                  <w:szCs w:val="16"/>
                  <w:color w:val="auto"/>
                </w:rPr>
                <w:t>64</w:t>
              </w:r>
            </w:hyperlink>
          </w:p>
        </w:tc>
      </w:tr>
      <w:tr>
        <w:trPr>
          <w:trHeight w:val="224"/>
        </w:trPr>
        <w:tc>
          <w:tcPr>
            <w:tcW w:w="8600" w:type="dxa"/>
            <w:vAlign w:val="bottom"/>
          </w:tcPr>
          <w:p>
            <w:pPr>
              <w:ind w:left="380"/>
              <w:spacing w:after="0"/>
              <w:rPr>
                <w:sz w:val="20"/>
                <w:szCs w:val="20"/>
                <w:color w:val="auto"/>
              </w:rPr>
            </w:pPr>
            <w:r>
              <w:rPr>
                <w:rFonts w:ascii="Arial" w:cs="Arial" w:eastAsia="Arial" w:hAnsi="Arial"/>
                <w:sz w:val="16"/>
                <w:szCs w:val="16"/>
                <w:color w:val="auto"/>
              </w:rPr>
              <w:t>Report of Independent Registered Public Accounting Firm</w:t>
            </w:r>
          </w:p>
        </w:tc>
        <w:tc>
          <w:tcPr>
            <w:tcW w:w="2820" w:type="dxa"/>
            <w:vAlign w:val="bottom"/>
          </w:tcPr>
          <w:p>
            <w:pPr>
              <w:jc w:val="right"/>
              <w:spacing w:after="0"/>
              <w:rPr>
                <w:rFonts w:ascii="Arial" w:cs="Arial" w:eastAsia="Arial" w:hAnsi="Arial"/>
                <w:sz w:val="16"/>
                <w:szCs w:val="16"/>
                <w:color w:val="auto"/>
              </w:rPr>
            </w:pPr>
            <w:hyperlink w:anchor="page66">
              <w:r>
                <w:rPr>
                  <w:rFonts w:ascii="Arial" w:cs="Arial" w:eastAsia="Arial" w:hAnsi="Arial"/>
                  <w:sz w:val="16"/>
                  <w:szCs w:val="16"/>
                  <w:color w:val="auto"/>
                </w:rPr>
                <w:t>65</w:t>
              </w:r>
            </w:hyperlink>
          </w:p>
        </w:tc>
      </w:tr>
    </w:tbl>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(a)3. EXHIBITS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Exhibits are incorporated herein by reference or are filed with this report as set forth in the Index to Exhibits on pages 68 through 73 hereof.</w:t>
      </w:r>
    </w:p>
    <w:p>
      <w:pPr>
        <w:spacing w:after="0" w:line="17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All other schedules and exhibits are omitted because they are not applicable, not required or because the information required has been given as part of this report.</w:t>
      </w:r>
    </w:p>
    <w:p>
      <w:pPr>
        <w:spacing w:after="0" w:line="364"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67</w:t>
      </w:r>
    </w:p>
    <w:p>
      <w:pPr>
        <w:sectPr>
          <w:pgSz w:w="11900" w:h="16838" w:orient="portrait"/>
          <w:cols w:equalWidth="0" w:num="1">
            <w:col w:w="11420"/>
          </w:cols>
          <w:pgMar w:left="240" w:top="126" w:right="239" w:bottom="1440" w:gutter="0" w:footer="0" w:header="0"/>
        </w:sectPr>
      </w:pPr>
    </w:p>
    <w:bookmarkStart w:id="68" w:name="page69"/>
    <w:bookmarkEnd w:id="68"/>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 and Subsidiaries</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Exhibit Index</w:t>
      </w:r>
    </w:p>
    <w:p>
      <w:pPr>
        <w:spacing w:after="0" w:line="380" w:lineRule="exact"/>
        <w:rPr>
          <w:sz w:val="20"/>
          <w:szCs w:val="20"/>
          <w:color w:val="auto"/>
        </w:rPr>
      </w:pPr>
    </w:p>
    <w:p>
      <w:pPr>
        <w:jc w:val="both"/>
        <w:ind w:left="3220"/>
        <w:spacing w:after="0"/>
        <w:tabs>
          <w:tab w:leader="none" w:pos="814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6" w:right="239" w:bottom="1090" w:gutter="0" w:footer="0" w:header="0"/>
        </w:sectPr>
      </w:pPr>
    </w:p>
    <w:p>
      <w:pPr>
        <w:spacing w:after="0" w:line="6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920" w:type="dxa"/>
            <w:vAlign w:val="bottom"/>
          </w:tcPr>
          <w:p>
            <w:pPr>
              <w:jc w:val="right"/>
              <w:ind w:right="610"/>
              <w:spacing w:after="0"/>
              <w:rPr>
                <w:sz w:val="20"/>
                <w:szCs w:val="20"/>
                <w:color w:val="auto"/>
              </w:rPr>
            </w:pPr>
            <w:r>
              <w:rPr>
                <w:rFonts w:ascii="Arial" w:cs="Arial" w:eastAsia="Arial" w:hAnsi="Arial"/>
                <w:sz w:val="18"/>
                <w:szCs w:val="18"/>
                <w:color w:val="auto"/>
                <w:w w:val="79"/>
              </w:rPr>
              <w:t>1.1</w:t>
            </w:r>
          </w:p>
        </w:tc>
        <w:tc>
          <w:tcPr>
            <w:tcW w:w="4880" w:type="dxa"/>
            <w:vAlign w:val="bottom"/>
            <w:tcBorders>
              <w:bottom w:val="single" w:sz="8" w:color="0000FF"/>
            </w:tcBorders>
            <w:gridSpan w:val="2"/>
          </w:tcPr>
          <w:p>
            <w:pPr>
              <w:spacing w:after="0"/>
              <w:rPr>
                <w:rFonts w:ascii="Arial" w:cs="Arial" w:eastAsia="Arial" w:hAnsi="Arial"/>
                <w:sz w:val="18"/>
                <w:szCs w:val="18"/>
                <w:color w:val="0000FF"/>
                <w:w w:val="90"/>
              </w:rPr>
            </w:pPr>
            <w:hyperlink r:id="rId63">
              <w:r>
                <w:rPr>
                  <w:rFonts w:ascii="Arial" w:cs="Arial" w:eastAsia="Arial" w:hAnsi="Arial"/>
                  <w:sz w:val="18"/>
                  <w:szCs w:val="18"/>
                  <w:color w:val="0000FF"/>
                  <w:w w:val="90"/>
                </w:rPr>
                <w:t>Underwriting Agreement, dated March 6, 2017, by and between the</w:t>
              </w:r>
            </w:hyperlink>
          </w:p>
        </w:tc>
      </w:tr>
      <w:tr>
        <w:trPr>
          <w:trHeight w:val="196"/>
        </w:trPr>
        <w:tc>
          <w:tcPr>
            <w:tcW w:w="920" w:type="dxa"/>
            <w:vAlign w:val="bottom"/>
          </w:tcPr>
          <w:p>
            <w:pPr>
              <w:spacing w:after="0"/>
              <w:rPr>
                <w:sz w:val="17"/>
                <w:szCs w:val="17"/>
                <w:color w:val="auto"/>
              </w:rPr>
            </w:pPr>
          </w:p>
        </w:tc>
        <w:tc>
          <w:tcPr>
            <w:tcW w:w="4880" w:type="dxa"/>
            <w:vAlign w:val="bottom"/>
            <w:gridSpan w:val="2"/>
          </w:tcPr>
          <w:p>
            <w:pPr>
              <w:spacing w:after="0" w:line="196" w:lineRule="exact"/>
              <w:rPr>
                <w:rFonts w:ascii="Arial" w:cs="Arial" w:eastAsia="Arial" w:hAnsi="Arial"/>
                <w:sz w:val="18"/>
                <w:szCs w:val="18"/>
                <w:color w:val="0000FF"/>
                <w:w w:val="92"/>
              </w:rPr>
            </w:pPr>
            <w:hyperlink r:id="rId63">
              <w:r>
                <w:rPr>
                  <w:rFonts w:ascii="Arial" w:cs="Arial" w:eastAsia="Arial" w:hAnsi="Arial"/>
                  <w:sz w:val="18"/>
                  <w:szCs w:val="18"/>
                  <w:color w:val="0000FF"/>
                  <w:w w:val="92"/>
                </w:rPr>
                <w:t>Company and Merrill Lynch, Pierce, Fenner &amp; Smith Incorporated,</w:t>
              </w:r>
            </w:hyperlink>
          </w:p>
        </w:tc>
      </w:tr>
      <w:tr>
        <w:trPr>
          <w:trHeight w:val="20"/>
        </w:trPr>
        <w:tc>
          <w:tcPr>
            <w:tcW w:w="920" w:type="dxa"/>
            <w:vAlign w:val="bottom"/>
          </w:tcPr>
          <w:p>
            <w:pPr>
              <w:spacing w:after="0" w:line="20" w:lineRule="exact"/>
              <w:rPr>
                <w:sz w:val="1"/>
                <w:szCs w:val="1"/>
                <w:color w:val="auto"/>
              </w:rPr>
            </w:pPr>
          </w:p>
        </w:tc>
        <w:tc>
          <w:tcPr>
            <w:tcW w:w="48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3" w:lineRule="exact"/>
        <w:rPr>
          <w:sz w:val="20"/>
          <w:szCs w:val="20"/>
          <w:color w:val="auto"/>
        </w:rPr>
      </w:pPr>
    </w:p>
    <w:p>
      <w:pPr>
        <w:ind w:left="960" w:right="20"/>
        <w:spacing w:after="0" w:line="308" w:lineRule="auto"/>
        <w:rPr>
          <w:rFonts w:ascii="Arial" w:cs="Arial" w:eastAsia="Arial" w:hAnsi="Arial"/>
          <w:sz w:val="17"/>
          <w:szCs w:val="17"/>
          <w:u w:val="single" w:color="auto"/>
          <w:color w:val="0000FF"/>
        </w:rPr>
      </w:pPr>
      <w:hyperlink r:id="rId63">
        <w:r>
          <w:rPr>
            <w:rFonts w:ascii="Arial" w:cs="Arial" w:eastAsia="Arial" w:hAnsi="Arial"/>
            <w:sz w:val="17"/>
            <w:szCs w:val="17"/>
            <w:u w:val="single" w:color="auto"/>
            <w:color w:val="0000FF"/>
          </w:rPr>
          <w:t>Morgan Stanley &amp; Co. LLC and U.S. Bancorp Investments, Inc., as</w:t>
        </w:r>
      </w:hyperlink>
      <w:r>
        <w:rPr>
          <w:rFonts w:ascii="Arial" w:cs="Arial" w:eastAsia="Arial" w:hAnsi="Arial"/>
          <w:sz w:val="17"/>
          <w:szCs w:val="17"/>
          <w:u w:val="single" w:color="auto"/>
          <w:color w:val="0000FF"/>
        </w:rPr>
        <w:t xml:space="preserve"> </w:t>
      </w:r>
      <w:hyperlink r:id="rId63">
        <w:r>
          <w:rPr>
            <w:rFonts w:ascii="Arial" w:cs="Arial" w:eastAsia="Arial" w:hAnsi="Arial"/>
            <w:sz w:val="17"/>
            <w:szCs w:val="17"/>
            <w:u w:val="single" w:color="auto"/>
            <w:color w:val="0000FF"/>
          </w:rPr>
          <w:t>representatives of the several underwriters named therein</w:t>
        </w:r>
      </w:hyperlink>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Incorporated by reference from the Registrant’s Form 8-K filed on March 10, 2017, Exhibit 1.1</w:t>
      </w:r>
    </w:p>
    <w:p>
      <w:pPr>
        <w:spacing w:after="0" w:line="545" w:lineRule="exact"/>
        <w:rPr>
          <w:sz w:val="20"/>
          <w:szCs w:val="20"/>
          <w:color w:val="auto"/>
        </w:rPr>
      </w:pPr>
    </w:p>
    <w:p>
      <w:pPr>
        <w:sectPr>
          <w:pgSz w:w="11900" w:h="16838" w:orient="portrait"/>
          <w:cols w:equalWidth="0" w:num="2">
            <w:col w:w="5840" w:space="360"/>
            <w:col w:w="5220"/>
          </w:cols>
          <w:pgMar w:left="240" w:top="126" w:right="239" w:bottom="1090" w:gutter="0" w:footer="0" w:header="0"/>
          <w:type w:val="continuous"/>
        </w:sectPr>
      </w:pPr>
    </w:p>
    <w:tbl>
      <w:tblPr>
        <w:tblLayout w:type="fixed"/>
        <w:tblInd w:w="40" w:type="dxa"/>
        <w:tblCellMar>
          <w:top w:w="0" w:type="dxa"/>
          <w:left w:w="0" w:type="dxa"/>
          <w:bottom w:w="0" w:type="dxa"/>
          <w:right w:w="0" w:type="dxa"/>
        </w:tblCellMar>
      </w:tblPr>
      <w:tr>
        <w:trPr>
          <w:trHeight w:val="207"/>
        </w:trPr>
        <w:tc>
          <w:tcPr>
            <w:tcW w:w="920" w:type="dxa"/>
            <w:vAlign w:val="bottom"/>
          </w:tcPr>
          <w:p>
            <w:pPr>
              <w:jc w:val="right"/>
              <w:ind w:right="610"/>
              <w:spacing w:after="0"/>
              <w:rPr>
                <w:sz w:val="20"/>
                <w:szCs w:val="20"/>
                <w:color w:val="auto"/>
              </w:rPr>
            </w:pPr>
            <w:r>
              <w:rPr>
                <w:rFonts w:ascii="Arial" w:cs="Arial" w:eastAsia="Arial" w:hAnsi="Arial"/>
                <w:sz w:val="18"/>
                <w:szCs w:val="18"/>
                <w:color w:val="auto"/>
                <w:w w:val="79"/>
              </w:rPr>
              <w:t>3.1</w:t>
            </w:r>
          </w:p>
        </w:tc>
        <w:tc>
          <w:tcPr>
            <w:tcW w:w="4860" w:type="dxa"/>
            <w:vAlign w:val="bottom"/>
            <w:tcBorders>
              <w:bottom w:val="single" w:sz="8" w:color="0000FF"/>
            </w:tcBorders>
            <w:gridSpan w:val="10"/>
          </w:tcPr>
          <w:p>
            <w:pPr>
              <w:spacing w:after="0"/>
              <w:rPr>
                <w:rFonts w:ascii="Arial" w:cs="Arial" w:eastAsia="Arial" w:hAnsi="Arial"/>
                <w:sz w:val="18"/>
                <w:szCs w:val="18"/>
                <w:color w:val="0000FF"/>
                <w:w w:val="90"/>
              </w:rPr>
            </w:pPr>
            <w:hyperlink r:id="rId64">
              <w:r>
                <w:rPr>
                  <w:rFonts w:ascii="Arial" w:cs="Arial" w:eastAsia="Arial" w:hAnsi="Arial"/>
                  <w:sz w:val="18"/>
                  <w:szCs w:val="18"/>
                  <w:color w:val="0000FF"/>
                  <w:w w:val="90"/>
                </w:rPr>
                <w:t>Articles of Incorporation as amended and restated on May 25, 2005</w:t>
              </w:r>
            </w:hyperlink>
          </w:p>
        </w:tc>
        <w:tc>
          <w:tcPr>
            <w:tcW w:w="180" w:type="dxa"/>
            <w:vAlign w:val="bottom"/>
            <w:gridSpan w:val="6"/>
          </w:tcPr>
          <w:p>
            <w:pPr>
              <w:spacing w:after="0"/>
              <w:rPr>
                <w:sz w:val="17"/>
                <w:szCs w:val="17"/>
                <w:color w:val="auto"/>
              </w:rPr>
            </w:pPr>
          </w:p>
        </w:tc>
      </w:tr>
      <w:tr>
        <w:trPr>
          <w:trHeight w:val="588"/>
        </w:trPr>
        <w:tc>
          <w:tcPr>
            <w:tcW w:w="920" w:type="dxa"/>
            <w:vAlign w:val="bottom"/>
          </w:tcPr>
          <w:p>
            <w:pPr>
              <w:jc w:val="right"/>
              <w:ind w:right="610"/>
              <w:spacing w:after="0"/>
              <w:rPr>
                <w:sz w:val="20"/>
                <w:szCs w:val="20"/>
                <w:color w:val="auto"/>
              </w:rPr>
            </w:pPr>
            <w:r>
              <w:rPr>
                <w:rFonts w:ascii="Arial" w:cs="Arial" w:eastAsia="Arial" w:hAnsi="Arial"/>
                <w:sz w:val="18"/>
                <w:szCs w:val="18"/>
                <w:color w:val="auto"/>
                <w:w w:val="79"/>
              </w:rPr>
              <w:t>3.2</w:t>
            </w:r>
          </w:p>
        </w:tc>
        <w:tc>
          <w:tcPr>
            <w:tcW w:w="5040" w:type="dxa"/>
            <w:vAlign w:val="bottom"/>
            <w:gridSpan w:val="16"/>
          </w:tcPr>
          <w:p>
            <w:pPr>
              <w:spacing w:after="0"/>
              <w:rPr>
                <w:rFonts w:ascii="Arial" w:cs="Arial" w:eastAsia="Arial" w:hAnsi="Arial"/>
                <w:sz w:val="18"/>
                <w:szCs w:val="18"/>
                <w:color w:val="0000FF"/>
              </w:rPr>
            </w:pPr>
            <w:hyperlink r:id="rId65">
              <w:r>
                <w:rPr>
                  <w:rFonts w:ascii="Arial" w:cs="Arial" w:eastAsia="Arial" w:hAnsi="Arial"/>
                  <w:sz w:val="18"/>
                  <w:szCs w:val="18"/>
                  <w:color w:val="0000FF"/>
                </w:rPr>
                <w:t>Bylaws, as amended and restated as of June 7, 2017</w:t>
              </w:r>
            </w:hyperlink>
          </w:p>
        </w:tc>
      </w:tr>
      <w:tr>
        <w:trPr>
          <w:trHeight w:val="20"/>
        </w:trPr>
        <w:tc>
          <w:tcPr>
            <w:tcW w:w="9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88"/>
        </w:trPr>
        <w:tc>
          <w:tcPr>
            <w:tcW w:w="920" w:type="dxa"/>
            <w:vAlign w:val="bottom"/>
          </w:tcPr>
          <w:p>
            <w:pPr>
              <w:jc w:val="right"/>
              <w:ind w:right="610"/>
              <w:spacing w:after="0"/>
              <w:rPr>
                <w:sz w:val="20"/>
                <w:szCs w:val="20"/>
                <w:color w:val="auto"/>
              </w:rPr>
            </w:pPr>
            <w:r>
              <w:rPr>
                <w:rFonts w:ascii="Arial" w:cs="Arial" w:eastAsia="Arial" w:hAnsi="Arial"/>
                <w:sz w:val="18"/>
                <w:szCs w:val="18"/>
                <w:color w:val="auto"/>
                <w:w w:val="79"/>
              </w:rPr>
              <w:t>4.1</w:t>
            </w:r>
          </w:p>
        </w:tc>
        <w:tc>
          <w:tcPr>
            <w:tcW w:w="4920" w:type="dxa"/>
            <w:vAlign w:val="bottom"/>
            <w:tcBorders>
              <w:bottom w:val="single" w:sz="8" w:color="0000FF"/>
            </w:tcBorders>
            <w:gridSpan w:val="12"/>
          </w:tcPr>
          <w:p>
            <w:pPr>
              <w:spacing w:after="0"/>
              <w:rPr>
                <w:rFonts w:ascii="Arial" w:cs="Arial" w:eastAsia="Arial" w:hAnsi="Arial"/>
                <w:sz w:val="18"/>
                <w:szCs w:val="18"/>
                <w:color w:val="0000FF"/>
                <w:w w:val="90"/>
              </w:rPr>
            </w:pPr>
            <w:hyperlink r:id="rId66">
              <w:r>
                <w:rPr>
                  <w:rFonts w:ascii="Arial" w:cs="Arial" w:eastAsia="Arial" w:hAnsi="Arial"/>
                  <w:sz w:val="18"/>
                  <w:szCs w:val="18"/>
                  <w:color w:val="0000FF"/>
                  <w:w w:val="90"/>
                </w:rPr>
                <w:t>Indenture between Registrant and Norwest Bank Colorado, N.A., as</w:t>
              </w:r>
            </w:hyperlink>
          </w:p>
        </w:tc>
        <w:tc>
          <w:tcPr>
            <w:tcW w:w="120" w:type="dxa"/>
            <w:vAlign w:val="bottom"/>
            <w:gridSpan w:val="4"/>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2140" w:type="dxa"/>
            <w:vAlign w:val="bottom"/>
            <w:tcBorders>
              <w:bottom w:val="single" w:sz="8" w:color="0000FF"/>
            </w:tcBorders>
            <w:gridSpan w:val="2"/>
          </w:tcPr>
          <w:p>
            <w:pPr>
              <w:spacing w:after="0" w:line="196" w:lineRule="exact"/>
              <w:rPr>
                <w:rFonts w:ascii="Arial" w:cs="Arial" w:eastAsia="Arial" w:hAnsi="Arial"/>
                <w:sz w:val="18"/>
                <w:szCs w:val="18"/>
                <w:color w:val="0000FF"/>
                <w:w w:val="88"/>
              </w:rPr>
            </w:pPr>
            <w:hyperlink r:id="rId66">
              <w:r>
                <w:rPr>
                  <w:rFonts w:ascii="Arial" w:cs="Arial" w:eastAsia="Arial" w:hAnsi="Arial"/>
                  <w:sz w:val="18"/>
                  <w:szCs w:val="18"/>
                  <w:color w:val="0000FF"/>
                  <w:w w:val="88"/>
                </w:rPr>
                <w:t>trustee, dated March 11, 1998</w:t>
              </w:r>
            </w:hyperlink>
          </w:p>
        </w:tc>
        <w:tc>
          <w:tcPr>
            <w:tcW w:w="2900" w:type="dxa"/>
            <w:vAlign w:val="bottom"/>
            <w:gridSpan w:val="14"/>
          </w:tcPr>
          <w:p>
            <w:pPr>
              <w:spacing w:after="0"/>
              <w:rPr>
                <w:sz w:val="17"/>
                <w:szCs w:val="17"/>
                <w:color w:val="auto"/>
              </w:rPr>
            </w:pPr>
          </w:p>
        </w:tc>
      </w:tr>
      <w:tr>
        <w:trPr>
          <w:trHeight w:val="372"/>
        </w:trPr>
        <w:tc>
          <w:tcPr>
            <w:tcW w:w="920" w:type="dxa"/>
            <w:vAlign w:val="bottom"/>
          </w:tcPr>
          <w:p>
            <w:pPr>
              <w:jc w:val="right"/>
              <w:ind w:right="610"/>
              <w:spacing w:after="0"/>
              <w:rPr>
                <w:sz w:val="20"/>
                <w:szCs w:val="20"/>
                <w:color w:val="auto"/>
              </w:rPr>
            </w:pPr>
            <w:r>
              <w:rPr>
                <w:rFonts w:ascii="Arial" w:cs="Arial" w:eastAsia="Arial" w:hAnsi="Arial"/>
                <w:sz w:val="18"/>
                <w:szCs w:val="18"/>
                <w:color w:val="auto"/>
                <w:w w:val="79"/>
              </w:rPr>
              <w:t>4.2</w:t>
            </w:r>
          </w:p>
        </w:tc>
        <w:tc>
          <w:tcPr>
            <w:tcW w:w="5040" w:type="dxa"/>
            <w:vAlign w:val="bottom"/>
            <w:tcBorders>
              <w:bottom w:val="single" w:sz="8" w:color="0000FF"/>
            </w:tcBorders>
            <w:gridSpan w:val="16"/>
          </w:tcPr>
          <w:p>
            <w:pPr>
              <w:spacing w:after="0"/>
              <w:rPr>
                <w:rFonts w:ascii="Arial" w:cs="Arial" w:eastAsia="Arial" w:hAnsi="Arial"/>
                <w:sz w:val="18"/>
                <w:szCs w:val="18"/>
                <w:color w:val="0000FF"/>
                <w:w w:val="89"/>
              </w:rPr>
            </w:pPr>
            <w:hyperlink r:id="rId67">
              <w:r>
                <w:rPr>
                  <w:rFonts w:ascii="Arial" w:cs="Arial" w:eastAsia="Arial" w:hAnsi="Arial"/>
                  <w:sz w:val="18"/>
                  <w:szCs w:val="18"/>
                  <w:color w:val="0000FF"/>
                  <w:w w:val="89"/>
                </w:rPr>
                <w:t>Amended and Restated Master Indenture, dated as of May 1, 2007, by</w:t>
              </w:r>
            </w:hyperlink>
          </w:p>
        </w:tc>
      </w:tr>
      <w:tr>
        <w:trPr>
          <w:trHeight w:val="196"/>
        </w:trPr>
        <w:tc>
          <w:tcPr>
            <w:tcW w:w="920" w:type="dxa"/>
            <w:vAlign w:val="bottom"/>
          </w:tcPr>
          <w:p>
            <w:pPr>
              <w:spacing w:after="0"/>
              <w:rPr>
                <w:sz w:val="17"/>
                <w:szCs w:val="17"/>
                <w:color w:val="auto"/>
              </w:rPr>
            </w:pPr>
          </w:p>
        </w:tc>
        <w:tc>
          <w:tcPr>
            <w:tcW w:w="4900" w:type="dxa"/>
            <w:vAlign w:val="bottom"/>
            <w:tcBorders>
              <w:bottom w:val="single" w:sz="8" w:color="0000FF"/>
            </w:tcBorders>
            <w:gridSpan w:val="11"/>
          </w:tcPr>
          <w:p>
            <w:pPr>
              <w:spacing w:after="0" w:line="196" w:lineRule="exact"/>
              <w:rPr>
                <w:rFonts w:ascii="Arial" w:cs="Arial" w:eastAsia="Arial" w:hAnsi="Arial"/>
                <w:sz w:val="18"/>
                <w:szCs w:val="18"/>
                <w:color w:val="0000FF"/>
                <w:w w:val="90"/>
              </w:rPr>
            </w:pPr>
            <w:hyperlink r:id="rId67">
              <w:r>
                <w:rPr>
                  <w:rFonts w:ascii="Arial" w:cs="Arial" w:eastAsia="Arial" w:hAnsi="Arial"/>
                  <w:sz w:val="18"/>
                  <w:szCs w:val="18"/>
                  <w:color w:val="0000FF"/>
                  <w:w w:val="90"/>
                </w:rPr>
                <w:t>and between Nordstrom Credit Card Master Note Trust II and Wells</w:t>
              </w:r>
            </w:hyperlink>
          </w:p>
        </w:tc>
        <w:tc>
          <w:tcPr>
            <w:tcW w:w="140" w:type="dxa"/>
            <w:vAlign w:val="bottom"/>
            <w:gridSpan w:val="5"/>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5040" w:type="dxa"/>
            <w:vAlign w:val="bottom"/>
            <w:gridSpan w:val="16"/>
          </w:tcPr>
          <w:p>
            <w:pPr>
              <w:spacing w:after="0" w:line="196" w:lineRule="exact"/>
              <w:rPr>
                <w:rFonts w:ascii="Arial" w:cs="Arial" w:eastAsia="Arial" w:hAnsi="Arial"/>
                <w:sz w:val="18"/>
                <w:szCs w:val="18"/>
                <w:color w:val="0000FF"/>
              </w:rPr>
            </w:pPr>
            <w:hyperlink r:id="rId67">
              <w:r>
                <w:rPr>
                  <w:rFonts w:ascii="Arial" w:cs="Arial" w:eastAsia="Arial" w:hAnsi="Arial"/>
                  <w:sz w:val="18"/>
                  <w:szCs w:val="18"/>
                  <w:color w:val="0000FF"/>
                </w:rPr>
                <w:t>Fargo Bank, National Association, as indenture trustee</w:t>
              </w:r>
            </w:hyperlink>
          </w:p>
        </w:tc>
      </w:tr>
      <w:tr>
        <w:trPr>
          <w:trHeight w:val="20"/>
        </w:trPr>
        <w:tc>
          <w:tcPr>
            <w:tcW w:w="9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20" w:type="dxa"/>
            <w:vAlign w:val="bottom"/>
          </w:tcPr>
          <w:p>
            <w:pPr>
              <w:jc w:val="right"/>
              <w:ind w:right="610"/>
              <w:spacing w:after="0"/>
              <w:rPr>
                <w:sz w:val="20"/>
                <w:szCs w:val="20"/>
                <w:color w:val="auto"/>
              </w:rPr>
            </w:pPr>
            <w:r>
              <w:rPr>
                <w:rFonts w:ascii="Arial" w:cs="Arial" w:eastAsia="Arial" w:hAnsi="Arial"/>
                <w:sz w:val="18"/>
                <w:szCs w:val="18"/>
                <w:color w:val="auto"/>
                <w:w w:val="79"/>
              </w:rPr>
              <w:t>4.3</w:t>
            </w:r>
          </w:p>
        </w:tc>
        <w:tc>
          <w:tcPr>
            <w:tcW w:w="5040" w:type="dxa"/>
            <w:vAlign w:val="bottom"/>
            <w:gridSpan w:val="16"/>
          </w:tcPr>
          <w:p>
            <w:pPr>
              <w:spacing w:after="0"/>
              <w:rPr>
                <w:rFonts w:ascii="Arial" w:cs="Arial" w:eastAsia="Arial" w:hAnsi="Arial"/>
                <w:sz w:val="18"/>
                <w:szCs w:val="18"/>
                <w:color w:val="0000FF"/>
                <w:w w:val="89"/>
              </w:rPr>
            </w:pPr>
            <w:hyperlink r:id="rId68">
              <w:r>
                <w:rPr>
                  <w:rFonts w:ascii="Arial" w:cs="Arial" w:eastAsia="Arial" w:hAnsi="Arial"/>
                  <w:sz w:val="18"/>
                  <w:szCs w:val="18"/>
                  <w:color w:val="0000FF"/>
                  <w:w w:val="89"/>
                </w:rPr>
                <w:t>Series 2011-1 Indenture Supplement, dated as of November 22, 2011,</w:t>
              </w:r>
            </w:hyperlink>
          </w:p>
        </w:tc>
      </w:tr>
      <w:tr>
        <w:trPr>
          <w:trHeight w:val="196"/>
        </w:trPr>
        <w:tc>
          <w:tcPr>
            <w:tcW w:w="920" w:type="dxa"/>
            <w:vAlign w:val="bottom"/>
          </w:tcPr>
          <w:p>
            <w:pPr>
              <w:spacing w:after="0"/>
              <w:rPr>
                <w:sz w:val="17"/>
                <w:szCs w:val="17"/>
                <w:color w:val="auto"/>
              </w:rPr>
            </w:pPr>
          </w:p>
        </w:tc>
        <w:tc>
          <w:tcPr>
            <w:tcW w:w="5000" w:type="dxa"/>
            <w:vAlign w:val="bottom"/>
            <w:tcBorders>
              <w:top w:val="single" w:sz="8" w:color="0000FF"/>
            </w:tcBorders>
            <w:gridSpan w:val="15"/>
          </w:tcPr>
          <w:p>
            <w:pPr>
              <w:spacing w:after="0" w:line="196" w:lineRule="exact"/>
              <w:rPr>
                <w:rFonts w:ascii="Arial" w:cs="Arial" w:eastAsia="Arial" w:hAnsi="Arial"/>
                <w:sz w:val="18"/>
                <w:szCs w:val="18"/>
                <w:color w:val="0000FF"/>
                <w:w w:val="97"/>
              </w:rPr>
            </w:pPr>
            <w:hyperlink r:id="rId68">
              <w:r>
                <w:rPr>
                  <w:rFonts w:ascii="Arial" w:cs="Arial" w:eastAsia="Arial" w:hAnsi="Arial"/>
                  <w:sz w:val="18"/>
                  <w:szCs w:val="18"/>
                  <w:color w:val="0000FF"/>
                  <w:w w:val="97"/>
                </w:rPr>
                <w:t>by and between Nordstrom Credit Card Master Note Trust II and</w:t>
              </w:r>
            </w:hyperlink>
          </w:p>
        </w:tc>
        <w:tc>
          <w:tcPr>
            <w:tcW w:w="4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438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90"/>
              </w:rPr>
            </w:pPr>
            <w:hyperlink r:id="rId68">
              <w:r>
                <w:rPr>
                  <w:rFonts w:ascii="Arial" w:cs="Arial" w:eastAsia="Arial" w:hAnsi="Arial"/>
                  <w:sz w:val="18"/>
                  <w:szCs w:val="18"/>
                  <w:color w:val="0000FF"/>
                  <w:w w:val="90"/>
                </w:rPr>
                <w:t>Wells Fargo Bank, National Association, as indenture trustee</w:t>
              </w:r>
            </w:hyperlink>
          </w:p>
        </w:tc>
        <w:tc>
          <w:tcPr>
            <w:tcW w:w="280" w:type="dxa"/>
            <w:vAlign w:val="bottom"/>
            <w:tcBorders>
              <w:top w:val="single" w:sz="8" w:color="0000FF"/>
            </w:tcBorders>
          </w:tcPr>
          <w:p>
            <w:pPr>
              <w:spacing w:after="0"/>
              <w:rPr>
                <w:sz w:val="17"/>
                <w:szCs w:val="17"/>
                <w:color w:val="auto"/>
              </w:rPr>
            </w:pPr>
          </w:p>
        </w:tc>
        <w:tc>
          <w:tcPr>
            <w:tcW w:w="380" w:type="dxa"/>
            <w:vAlign w:val="bottom"/>
            <w:gridSpan w:val="8"/>
          </w:tcPr>
          <w:p>
            <w:pPr>
              <w:spacing w:after="0"/>
              <w:rPr>
                <w:sz w:val="17"/>
                <w:szCs w:val="17"/>
                <w:color w:val="auto"/>
              </w:rPr>
            </w:pPr>
          </w:p>
        </w:tc>
      </w:tr>
      <w:tr>
        <w:trPr>
          <w:trHeight w:val="372"/>
        </w:trPr>
        <w:tc>
          <w:tcPr>
            <w:tcW w:w="920" w:type="dxa"/>
            <w:vAlign w:val="bottom"/>
          </w:tcPr>
          <w:p>
            <w:pPr>
              <w:jc w:val="right"/>
              <w:ind w:right="610"/>
              <w:spacing w:after="0"/>
              <w:rPr>
                <w:sz w:val="20"/>
                <w:szCs w:val="20"/>
                <w:color w:val="auto"/>
              </w:rPr>
            </w:pPr>
            <w:r>
              <w:rPr>
                <w:rFonts w:ascii="Arial" w:cs="Arial" w:eastAsia="Arial" w:hAnsi="Arial"/>
                <w:sz w:val="18"/>
                <w:szCs w:val="18"/>
                <w:color w:val="auto"/>
                <w:w w:val="79"/>
              </w:rPr>
              <w:t>4.4</w:t>
            </w:r>
          </w:p>
        </w:tc>
        <w:tc>
          <w:tcPr>
            <w:tcW w:w="5040" w:type="dxa"/>
            <w:vAlign w:val="bottom"/>
            <w:gridSpan w:val="16"/>
          </w:tcPr>
          <w:p>
            <w:pPr>
              <w:spacing w:after="0"/>
              <w:rPr>
                <w:rFonts w:ascii="Arial" w:cs="Arial" w:eastAsia="Arial" w:hAnsi="Arial"/>
                <w:sz w:val="18"/>
                <w:szCs w:val="18"/>
                <w:color w:val="0000FF"/>
                <w:w w:val="90"/>
              </w:rPr>
            </w:pPr>
            <w:hyperlink r:id="rId69">
              <w:r>
                <w:rPr>
                  <w:rFonts w:ascii="Arial" w:cs="Arial" w:eastAsia="Arial" w:hAnsi="Arial"/>
                  <w:sz w:val="18"/>
                  <w:szCs w:val="18"/>
                  <w:color w:val="0000FF"/>
                  <w:w w:val="90"/>
                </w:rPr>
                <w:t>Indenture dated December 3, 2007, between the Company and Wells</w:t>
              </w:r>
            </w:hyperlink>
          </w:p>
        </w:tc>
      </w:tr>
      <w:tr>
        <w:trPr>
          <w:trHeight w:val="196"/>
        </w:trPr>
        <w:tc>
          <w:tcPr>
            <w:tcW w:w="920" w:type="dxa"/>
            <w:vAlign w:val="bottom"/>
          </w:tcPr>
          <w:p>
            <w:pPr>
              <w:spacing w:after="0"/>
              <w:rPr>
                <w:sz w:val="17"/>
                <w:szCs w:val="17"/>
                <w:color w:val="auto"/>
              </w:rPr>
            </w:pPr>
          </w:p>
        </w:tc>
        <w:tc>
          <w:tcPr>
            <w:tcW w:w="244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0"/>
              </w:rPr>
            </w:pPr>
            <w:hyperlink r:id="rId69">
              <w:r>
                <w:rPr>
                  <w:rFonts w:ascii="Arial" w:cs="Arial" w:eastAsia="Arial" w:hAnsi="Arial"/>
                  <w:sz w:val="18"/>
                  <w:szCs w:val="18"/>
                  <w:color w:val="0000FF"/>
                  <w:w w:val="90"/>
                </w:rPr>
                <w:t>Fargo Bank, National Association</w:t>
              </w:r>
            </w:hyperlink>
          </w:p>
        </w:tc>
        <w:tc>
          <w:tcPr>
            <w:tcW w:w="2500" w:type="dxa"/>
            <w:vAlign w:val="bottom"/>
            <w:tcBorders>
              <w:top w:val="single" w:sz="8" w:color="0000FF"/>
            </w:tcBorders>
            <w:gridSpan w:val="10"/>
          </w:tcPr>
          <w:p>
            <w:pPr>
              <w:spacing w:after="0"/>
              <w:rPr>
                <w:sz w:val="17"/>
                <w:szCs w:val="17"/>
                <w:color w:val="auto"/>
              </w:rPr>
            </w:pPr>
          </w:p>
        </w:tc>
        <w:tc>
          <w:tcPr>
            <w:tcW w:w="100" w:type="dxa"/>
            <w:vAlign w:val="bottom"/>
            <w:gridSpan w:val="3"/>
          </w:tcPr>
          <w:p>
            <w:pPr>
              <w:spacing w:after="0"/>
              <w:rPr>
                <w:sz w:val="17"/>
                <w:szCs w:val="17"/>
                <w:color w:val="auto"/>
              </w:rPr>
            </w:pPr>
          </w:p>
        </w:tc>
      </w:tr>
      <w:tr>
        <w:trPr>
          <w:trHeight w:val="372"/>
        </w:trPr>
        <w:tc>
          <w:tcPr>
            <w:tcW w:w="920" w:type="dxa"/>
            <w:vAlign w:val="bottom"/>
          </w:tcPr>
          <w:p>
            <w:pPr>
              <w:jc w:val="right"/>
              <w:ind w:right="610"/>
              <w:spacing w:after="0"/>
              <w:rPr>
                <w:sz w:val="20"/>
                <w:szCs w:val="20"/>
                <w:color w:val="auto"/>
              </w:rPr>
            </w:pPr>
            <w:r>
              <w:rPr>
                <w:rFonts w:ascii="Arial" w:cs="Arial" w:eastAsia="Arial" w:hAnsi="Arial"/>
                <w:sz w:val="18"/>
                <w:szCs w:val="18"/>
                <w:color w:val="auto"/>
                <w:w w:val="79"/>
              </w:rPr>
              <w:t>4.5</w:t>
            </w:r>
          </w:p>
        </w:tc>
        <w:tc>
          <w:tcPr>
            <w:tcW w:w="5040" w:type="dxa"/>
            <w:vAlign w:val="bottom"/>
            <w:gridSpan w:val="16"/>
          </w:tcPr>
          <w:p>
            <w:pPr>
              <w:spacing w:after="0"/>
              <w:rPr>
                <w:rFonts w:ascii="Arial" w:cs="Arial" w:eastAsia="Arial" w:hAnsi="Arial"/>
                <w:sz w:val="18"/>
                <w:szCs w:val="18"/>
                <w:color w:val="0000FF"/>
                <w:w w:val="93"/>
              </w:rPr>
            </w:pPr>
            <w:hyperlink r:id="rId70">
              <w:r>
                <w:rPr>
                  <w:rFonts w:ascii="Arial" w:cs="Arial" w:eastAsia="Arial" w:hAnsi="Arial"/>
                  <w:sz w:val="18"/>
                  <w:szCs w:val="18"/>
                  <w:color w:val="0000FF"/>
                  <w:w w:val="93"/>
                </w:rPr>
                <w:t>Note Purchase Agreement, dated as of November 16, 2011, by and</w:t>
              </w:r>
            </w:hyperlink>
          </w:p>
        </w:tc>
      </w:tr>
      <w:tr>
        <w:trPr>
          <w:trHeight w:val="20"/>
        </w:trPr>
        <w:tc>
          <w:tcPr>
            <w:tcW w:w="9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3260" w:type="dxa"/>
            <w:vAlign w:val="bottom"/>
            <w:gridSpan w:val="5"/>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4960" w:type="dxa"/>
            <w:vAlign w:val="bottom"/>
            <w:tcBorders>
              <w:bottom w:val="single" w:sz="8" w:color="0000FF"/>
            </w:tcBorders>
            <w:gridSpan w:val="14"/>
          </w:tcPr>
          <w:p>
            <w:pPr>
              <w:spacing w:after="0" w:line="196" w:lineRule="exact"/>
              <w:rPr>
                <w:rFonts w:ascii="Arial" w:cs="Arial" w:eastAsia="Arial" w:hAnsi="Arial"/>
                <w:sz w:val="18"/>
                <w:szCs w:val="18"/>
                <w:color w:val="0000FF"/>
                <w:w w:val="91"/>
              </w:rPr>
            </w:pPr>
            <w:hyperlink r:id="rId70">
              <w:r>
                <w:rPr>
                  <w:rFonts w:ascii="Arial" w:cs="Arial" w:eastAsia="Arial" w:hAnsi="Arial"/>
                  <w:sz w:val="18"/>
                  <w:szCs w:val="18"/>
                  <w:color w:val="0000FF"/>
                  <w:w w:val="91"/>
                </w:rPr>
                <w:t>between Nordstrom Credit Card Receivables II LLC, Nordstrom fsb,</w:t>
              </w:r>
            </w:hyperlink>
          </w:p>
        </w:tc>
        <w:tc>
          <w:tcPr>
            <w:tcW w:w="80" w:type="dxa"/>
            <w:vAlign w:val="bottom"/>
            <w:gridSpan w:val="2"/>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4340" w:type="dxa"/>
            <w:vAlign w:val="bottom"/>
            <w:tcBorders>
              <w:bottom w:val="single" w:sz="8" w:color="0000FF"/>
            </w:tcBorders>
            <w:gridSpan w:val="6"/>
          </w:tcPr>
          <w:p>
            <w:pPr>
              <w:spacing w:after="0" w:line="196" w:lineRule="exact"/>
              <w:rPr>
                <w:rFonts w:ascii="Arial" w:cs="Arial" w:eastAsia="Arial" w:hAnsi="Arial"/>
                <w:sz w:val="18"/>
                <w:szCs w:val="18"/>
                <w:color w:val="0000FF"/>
                <w:w w:val="90"/>
              </w:rPr>
            </w:pPr>
            <w:hyperlink r:id="rId70">
              <w:r>
                <w:rPr>
                  <w:rFonts w:ascii="Arial" w:cs="Arial" w:eastAsia="Arial" w:hAnsi="Arial"/>
                  <w:sz w:val="18"/>
                  <w:szCs w:val="18"/>
                  <w:color w:val="0000FF"/>
                  <w:w w:val="90"/>
                </w:rPr>
                <w:t>Nordstrom Credit, Inc., RBS Securities Inc. and J.P. Morgan</w:t>
              </w:r>
            </w:hyperlink>
          </w:p>
        </w:tc>
        <w:tc>
          <w:tcPr>
            <w:tcW w:w="700" w:type="dxa"/>
            <w:vAlign w:val="bottom"/>
            <w:gridSpan w:val="10"/>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5040" w:type="dxa"/>
            <w:vAlign w:val="bottom"/>
            <w:gridSpan w:val="16"/>
          </w:tcPr>
          <w:p>
            <w:pPr>
              <w:spacing w:after="0" w:line="196" w:lineRule="exact"/>
              <w:rPr>
                <w:rFonts w:ascii="Arial" w:cs="Arial" w:eastAsia="Arial" w:hAnsi="Arial"/>
                <w:sz w:val="18"/>
                <w:szCs w:val="18"/>
                <w:color w:val="0000FF"/>
              </w:rPr>
            </w:pPr>
            <w:hyperlink r:id="rId70">
              <w:r>
                <w:rPr>
                  <w:rFonts w:ascii="Arial" w:cs="Arial" w:eastAsia="Arial" w:hAnsi="Arial"/>
                  <w:sz w:val="18"/>
                  <w:szCs w:val="18"/>
                  <w:color w:val="0000FF"/>
                </w:rPr>
                <w:t>Securities LLC</w:t>
              </w:r>
            </w:hyperlink>
          </w:p>
        </w:tc>
      </w:tr>
      <w:tr>
        <w:trPr>
          <w:trHeight w:val="20"/>
        </w:trPr>
        <w:tc>
          <w:tcPr>
            <w:tcW w:w="9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ind w:right="60"/>
        <w:spacing w:after="0" w:line="277" w:lineRule="auto"/>
        <w:rPr>
          <w:sz w:val="20"/>
          <w:szCs w:val="20"/>
          <w:color w:val="auto"/>
        </w:rPr>
      </w:pPr>
      <w:r>
        <w:rPr>
          <w:rFonts w:ascii="Arial" w:cs="Arial" w:eastAsia="Arial" w:hAnsi="Arial"/>
          <w:sz w:val="18"/>
          <w:szCs w:val="18"/>
          <w:color w:val="auto"/>
        </w:rPr>
        <w:t>Incorporated by reference from the Registrant’s Form 8-K filed on May 31, 2005, Exhibit 3.1</w:t>
      </w:r>
    </w:p>
    <w:p>
      <w:pPr>
        <w:spacing w:after="0" w:line="13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Incorporated by reference from the Registrant’s Form 8-K filed on June 8, 2017, Exhibit 3.1</w:t>
      </w:r>
    </w:p>
    <w:p>
      <w:pPr>
        <w:spacing w:after="0" w:line="13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Incorporated by reference from Registration No. 333-47035, Exhibit 4.1</w:t>
      </w:r>
    </w:p>
    <w:p>
      <w:pPr>
        <w:spacing w:after="0" w:line="13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Incorporated by reference from the Registrant’s Form 8-K filed on May 8, 2007, Exhibit 4.1</w:t>
      </w:r>
    </w:p>
    <w:p>
      <w:pPr>
        <w:spacing w:after="0" w:line="34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Incorporated by reference from the Registrant’s Form 8-K filed on November 28, 2011, Exhibit 4.2</w:t>
      </w:r>
    </w:p>
    <w:p>
      <w:pPr>
        <w:spacing w:after="0" w:line="34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Incorporated by reference from the Registrant’s Form S-4/A filed on April 29, 2014, Exhibit 4.1</w:t>
      </w:r>
    </w:p>
    <w:p>
      <w:pPr>
        <w:spacing w:after="0" w:line="13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Incorporated by reference from the Registrant’s Form 8-K filed on November 28, 2011, Exhibit 4.1</w:t>
      </w:r>
    </w:p>
    <w:p>
      <w:pPr>
        <w:spacing w:after="0" w:line="544" w:lineRule="exact"/>
        <w:rPr>
          <w:sz w:val="20"/>
          <w:szCs w:val="20"/>
          <w:color w:val="auto"/>
        </w:rPr>
      </w:pPr>
    </w:p>
    <w:p>
      <w:pPr>
        <w:sectPr>
          <w:pgSz w:w="11900" w:h="16838" w:orient="portrait"/>
          <w:cols w:equalWidth="0" w:num="2">
            <w:col w:w="6000" w:space="200"/>
            <w:col w:w="5220"/>
          </w:cols>
          <w:pgMar w:left="240" w:top="126" w:right="239" w:bottom="109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960" w:type="dxa"/>
            <w:vAlign w:val="bottom"/>
          </w:tcPr>
          <w:p>
            <w:pPr>
              <w:ind w:left="40"/>
              <w:spacing w:after="0"/>
              <w:rPr>
                <w:sz w:val="20"/>
                <w:szCs w:val="20"/>
                <w:color w:val="auto"/>
              </w:rPr>
            </w:pPr>
            <w:r>
              <w:rPr>
                <w:rFonts w:ascii="Arial" w:cs="Arial" w:eastAsia="Arial" w:hAnsi="Arial"/>
                <w:sz w:val="18"/>
                <w:szCs w:val="18"/>
                <w:color w:val="auto"/>
              </w:rPr>
              <w:t>4.6</w:t>
            </w:r>
          </w:p>
        </w:tc>
        <w:tc>
          <w:tcPr>
            <w:tcW w:w="5020" w:type="dxa"/>
            <w:vAlign w:val="bottom"/>
            <w:gridSpan w:val="11"/>
          </w:tcPr>
          <w:p>
            <w:pPr>
              <w:spacing w:after="0"/>
              <w:rPr>
                <w:rFonts w:ascii="Arial" w:cs="Arial" w:eastAsia="Arial" w:hAnsi="Arial"/>
                <w:sz w:val="18"/>
                <w:szCs w:val="18"/>
                <w:color w:val="0000FF"/>
              </w:rPr>
            </w:pPr>
            <w:hyperlink r:id="rId71">
              <w:r>
                <w:rPr>
                  <w:rFonts w:ascii="Arial" w:cs="Arial" w:eastAsia="Arial" w:hAnsi="Arial"/>
                  <w:sz w:val="18"/>
                  <w:szCs w:val="18"/>
                  <w:color w:val="0000FF"/>
                </w:rPr>
                <w:t>Form of 6.25% Note due January 2018</w:t>
              </w:r>
            </w:hyperlink>
          </w:p>
        </w:tc>
        <w:tc>
          <w:tcPr>
            <w:tcW w:w="5440" w:type="dxa"/>
            <w:vAlign w:val="bottom"/>
          </w:tcPr>
          <w:p>
            <w:pPr>
              <w:ind w:left="220"/>
              <w:spacing w:after="0"/>
              <w:rPr>
                <w:sz w:val="20"/>
                <w:szCs w:val="20"/>
                <w:color w:val="auto"/>
              </w:rPr>
            </w:pPr>
            <w:r>
              <w:rPr>
                <w:rFonts w:ascii="Arial" w:cs="Arial" w:eastAsia="Arial" w:hAnsi="Arial"/>
                <w:sz w:val="18"/>
                <w:szCs w:val="18"/>
                <w:color w:val="auto"/>
                <w:w w:val="99"/>
              </w:rPr>
              <w:t>Incorporated by reference from the Registrant’s Form 8-K filed on</w:t>
            </w:r>
          </w:p>
        </w:tc>
      </w:tr>
      <w:tr>
        <w:trPr>
          <w:trHeight w:val="237"/>
        </w:trPr>
        <w:tc>
          <w:tcPr>
            <w:tcW w:w="960" w:type="dxa"/>
            <w:vAlign w:val="bottom"/>
          </w:tcPr>
          <w:p>
            <w:pPr>
              <w:spacing w:after="0"/>
              <w:rPr>
                <w:sz w:val="20"/>
                <w:szCs w:val="20"/>
                <w:color w:val="auto"/>
              </w:rPr>
            </w:pPr>
          </w:p>
        </w:tc>
        <w:tc>
          <w:tcPr>
            <w:tcW w:w="1000" w:type="dxa"/>
            <w:vAlign w:val="bottom"/>
            <w:tcBorders>
              <w:top w:val="single" w:sz="8" w:color="0000FF"/>
            </w:tcBorders>
          </w:tcPr>
          <w:p>
            <w:pPr>
              <w:spacing w:after="0"/>
              <w:rPr>
                <w:sz w:val="20"/>
                <w:szCs w:val="20"/>
                <w:color w:val="auto"/>
              </w:rPr>
            </w:pPr>
          </w:p>
        </w:tc>
        <w:tc>
          <w:tcPr>
            <w:tcW w:w="1200" w:type="dxa"/>
            <w:vAlign w:val="bottom"/>
            <w:tcBorders>
              <w:top w:val="single" w:sz="8" w:color="0000FF"/>
            </w:tcBorders>
          </w:tcPr>
          <w:p>
            <w:pPr>
              <w:spacing w:after="0"/>
              <w:rPr>
                <w:sz w:val="20"/>
                <w:szCs w:val="20"/>
                <w:color w:val="auto"/>
              </w:rPr>
            </w:pPr>
          </w:p>
        </w:tc>
        <w:tc>
          <w:tcPr>
            <w:tcW w:w="5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40" w:type="dxa"/>
            <w:vAlign w:val="bottom"/>
          </w:tcPr>
          <w:p>
            <w:pPr>
              <w:ind w:left="220"/>
              <w:spacing w:after="0"/>
              <w:rPr>
                <w:sz w:val="20"/>
                <w:szCs w:val="20"/>
                <w:color w:val="auto"/>
              </w:rPr>
            </w:pPr>
            <w:r>
              <w:rPr>
                <w:rFonts w:ascii="Arial" w:cs="Arial" w:eastAsia="Arial" w:hAnsi="Arial"/>
                <w:sz w:val="18"/>
                <w:szCs w:val="18"/>
                <w:color w:val="auto"/>
              </w:rPr>
              <w:t>December 3, 2007, Exhibit 4.1</w:t>
            </w:r>
          </w:p>
        </w:tc>
      </w:tr>
      <w:tr>
        <w:trPr>
          <w:trHeight w:val="351"/>
        </w:trPr>
        <w:tc>
          <w:tcPr>
            <w:tcW w:w="960" w:type="dxa"/>
            <w:vAlign w:val="bottom"/>
          </w:tcPr>
          <w:p>
            <w:pPr>
              <w:ind w:left="40"/>
              <w:spacing w:after="0"/>
              <w:rPr>
                <w:sz w:val="20"/>
                <w:szCs w:val="20"/>
                <w:color w:val="auto"/>
              </w:rPr>
            </w:pPr>
            <w:r>
              <w:rPr>
                <w:rFonts w:ascii="Arial" w:cs="Arial" w:eastAsia="Arial" w:hAnsi="Arial"/>
                <w:sz w:val="18"/>
                <w:szCs w:val="18"/>
                <w:color w:val="auto"/>
              </w:rPr>
              <w:t>4.7</w:t>
            </w:r>
          </w:p>
        </w:tc>
        <w:tc>
          <w:tcPr>
            <w:tcW w:w="5020" w:type="dxa"/>
            <w:vAlign w:val="bottom"/>
            <w:gridSpan w:val="11"/>
          </w:tcPr>
          <w:p>
            <w:pPr>
              <w:spacing w:after="0"/>
              <w:rPr>
                <w:rFonts w:ascii="Arial" w:cs="Arial" w:eastAsia="Arial" w:hAnsi="Arial"/>
                <w:sz w:val="18"/>
                <w:szCs w:val="18"/>
                <w:color w:val="0000FF"/>
              </w:rPr>
            </w:pPr>
            <w:hyperlink r:id="rId72">
              <w:r>
                <w:rPr>
                  <w:rFonts w:ascii="Arial" w:cs="Arial" w:eastAsia="Arial" w:hAnsi="Arial"/>
                  <w:sz w:val="18"/>
                  <w:szCs w:val="18"/>
                  <w:color w:val="0000FF"/>
                </w:rPr>
                <w:t>Form of 4.75% Note due May 1, 2020</w:t>
              </w:r>
            </w:hyperlink>
          </w:p>
        </w:tc>
        <w:tc>
          <w:tcPr>
            <w:tcW w:w="5440" w:type="dxa"/>
            <w:vAlign w:val="bottom"/>
          </w:tcPr>
          <w:p>
            <w:pPr>
              <w:ind w:left="220"/>
              <w:spacing w:after="0"/>
              <w:rPr>
                <w:sz w:val="20"/>
                <w:szCs w:val="20"/>
                <w:color w:val="auto"/>
              </w:rPr>
            </w:pPr>
            <w:r>
              <w:rPr>
                <w:rFonts w:ascii="Arial" w:cs="Arial" w:eastAsia="Arial" w:hAnsi="Arial"/>
                <w:sz w:val="18"/>
                <w:szCs w:val="18"/>
                <w:color w:val="auto"/>
                <w:w w:val="99"/>
              </w:rPr>
              <w:t>Incorporated by reference from the Registrant’s Form 8-K filed on</w:t>
            </w:r>
          </w:p>
        </w:tc>
      </w:tr>
      <w:tr>
        <w:trPr>
          <w:trHeight w:val="237"/>
        </w:trPr>
        <w:tc>
          <w:tcPr>
            <w:tcW w:w="960" w:type="dxa"/>
            <w:vAlign w:val="bottom"/>
          </w:tcPr>
          <w:p>
            <w:pPr>
              <w:spacing w:after="0"/>
              <w:rPr>
                <w:sz w:val="20"/>
                <w:szCs w:val="20"/>
                <w:color w:val="auto"/>
              </w:rPr>
            </w:pPr>
          </w:p>
        </w:tc>
        <w:tc>
          <w:tcPr>
            <w:tcW w:w="1000" w:type="dxa"/>
            <w:vAlign w:val="bottom"/>
            <w:tcBorders>
              <w:top w:val="single" w:sz="8" w:color="0000FF"/>
            </w:tcBorders>
          </w:tcPr>
          <w:p>
            <w:pPr>
              <w:spacing w:after="0"/>
              <w:rPr>
                <w:sz w:val="20"/>
                <w:szCs w:val="20"/>
                <w:color w:val="auto"/>
              </w:rPr>
            </w:pPr>
          </w:p>
        </w:tc>
        <w:tc>
          <w:tcPr>
            <w:tcW w:w="1200" w:type="dxa"/>
            <w:vAlign w:val="bottom"/>
            <w:tcBorders>
              <w:top w:val="single" w:sz="8" w:color="0000FF"/>
            </w:tcBorders>
          </w:tcPr>
          <w:p>
            <w:pPr>
              <w:spacing w:after="0"/>
              <w:rPr>
                <w:sz w:val="20"/>
                <w:szCs w:val="20"/>
                <w:color w:val="auto"/>
              </w:rPr>
            </w:pPr>
          </w:p>
        </w:tc>
        <w:tc>
          <w:tcPr>
            <w:tcW w:w="5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40" w:type="dxa"/>
            <w:vAlign w:val="bottom"/>
          </w:tcPr>
          <w:p>
            <w:pPr>
              <w:ind w:left="220"/>
              <w:spacing w:after="0"/>
              <w:rPr>
                <w:sz w:val="20"/>
                <w:szCs w:val="20"/>
                <w:color w:val="auto"/>
              </w:rPr>
            </w:pPr>
            <w:r>
              <w:rPr>
                <w:rFonts w:ascii="Arial" w:cs="Arial" w:eastAsia="Arial" w:hAnsi="Arial"/>
                <w:sz w:val="18"/>
                <w:szCs w:val="18"/>
                <w:color w:val="auto"/>
              </w:rPr>
              <w:t>April 23, 2010, Exhibit 4.1</w:t>
            </w:r>
          </w:p>
        </w:tc>
      </w:tr>
      <w:tr>
        <w:trPr>
          <w:trHeight w:val="351"/>
        </w:trPr>
        <w:tc>
          <w:tcPr>
            <w:tcW w:w="960" w:type="dxa"/>
            <w:vAlign w:val="bottom"/>
          </w:tcPr>
          <w:p>
            <w:pPr>
              <w:ind w:left="40"/>
              <w:spacing w:after="0"/>
              <w:rPr>
                <w:sz w:val="20"/>
                <w:szCs w:val="20"/>
                <w:color w:val="auto"/>
              </w:rPr>
            </w:pPr>
            <w:r>
              <w:rPr>
                <w:rFonts w:ascii="Arial" w:cs="Arial" w:eastAsia="Arial" w:hAnsi="Arial"/>
                <w:sz w:val="18"/>
                <w:szCs w:val="18"/>
                <w:color w:val="auto"/>
              </w:rPr>
              <w:t>4.8</w:t>
            </w:r>
          </w:p>
        </w:tc>
        <w:tc>
          <w:tcPr>
            <w:tcW w:w="5020" w:type="dxa"/>
            <w:vAlign w:val="bottom"/>
            <w:gridSpan w:val="11"/>
          </w:tcPr>
          <w:p>
            <w:pPr>
              <w:spacing w:after="0"/>
              <w:rPr>
                <w:rFonts w:ascii="Arial" w:cs="Arial" w:eastAsia="Arial" w:hAnsi="Arial"/>
                <w:sz w:val="18"/>
                <w:szCs w:val="18"/>
                <w:color w:val="0000FF"/>
              </w:rPr>
            </w:pPr>
            <w:hyperlink r:id="rId73">
              <w:r>
                <w:rPr>
                  <w:rFonts w:ascii="Arial" w:cs="Arial" w:eastAsia="Arial" w:hAnsi="Arial"/>
                  <w:sz w:val="18"/>
                  <w:szCs w:val="18"/>
                  <w:color w:val="0000FF"/>
                </w:rPr>
                <w:t>Form of 4.00% Note due 2021</w:t>
              </w:r>
            </w:hyperlink>
          </w:p>
        </w:tc>
        <w:tc>
          <w:tcPr>
            <w:tcW w:w="5440" w:type="dxa"/>
            <w:vAlign w:val="bottom"/>
          </w:tcPr>
          <w:p>
            <w:pPr>
              <w:ind w:left="220"/>
              <w:spacing w:after="0"/>
              <w:rPr>
                <w:sz w:val="20"/>
                <w:szCs w:val="20"/>
                <w:color w:val="auto"/>
              </w:rPr>
            </w:pPr>
            <w:r>
              <w:rPr>
                <w:rFonts w:ascii="Arial" w:cs="Arial" w:eastAsia="Arial" w:hAnsi="Arial"/>
                <w:sz w:val="18"/>
                <w:szCs w:val="18"/>
                <w:color w:val="auto"/>
                <w:w w:val="99"/>
              </w:rPr>
              <w:t>Incorporated by reference from the Registrant’s Form 8-K filed on</w:t>
            </w:r>
          </w:p>
        </w:tc>
      </w:tr>
      <w:tr>
        <w:trPr>
          <w:trHeight w:val="237"/>
        </w:trPr>
        <w:tc>
          <w:tcPr>
            <w:tcW w:w="960" w:type="dxa"/>
            <w:vAlign w:val="bottom"/>
          </w:tcPr>
          <w:p>
            <w:pPr>
              <w:spacing w:after="0"/>
              <w:rPr>
                <w:sz w:val="20"/>
                <w:szCs w:val="20"/>
                <w:color w:val="auto"/>
              </w:rPr>
            </w:pPr>
          </w:p>
        </w:tc>
        <w:tc>
          <w:tcPr>
            <w:tcW w:w="1000" w:type="dxa"/>
            <w:vAlign w:val="bottom"/>
            <w:tcBorders>
              <w:top w:val="single" w:sz="8" w:color="0000FF"/>
            </w:tcBorders>
          </w:tcPr>
          <w:p>
            <w:pPr>
              <w:spacing w:after="0"/>
              <w:rPr>
                <w:sz w:val="20"/>
                <w:szCs w:val="20"/>
                <w:color w:val="auto"/>
              </w:rPr>
            </w:pPr>
          </w:p>
        </w:tc>
        <w:tc>
          <w:tcPr>
            <w:tcW w:w="1200" w:type="dxa"/>
            <w:vAlign w:val="bottom"/>
            <w:tcBorders>
              <w:top w:val="single" w:sz="8" w:color="0000FF"/>
            </w:tcBorders>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40" w:type="dxa"/>
            <w:vAlign w:val="bottom"/>
          </w:tcPr>
          <w:p>
            <w:pPr>
              <w:ind w:left="220"/>
              <w:spacing w:after="0"/>
              <w:rPr>
                <w:sz w:val="20"/>
                <w:szCs w:val="20"/>
                <w:color w:val="auto"/>
              </w:rPr>
            </w:pPr>
            <w:r>
              <w:rPr>
                <w:rFonts w:ascii="Arial" w:cs="Arial" w:eastAsia="Arial" w:hAnsi="Arial"/>
                <w:sz w:val="18"/>
                <w:szCs w:val="18"/>
                <w:color w:val="auto"/>
              </w:rPr>
              <w:t>October 11, 2011, Exhibit 4.1</w:t>
            </w:r>
          </w:p>
        </w:tc>
      </w:tr>
      <w:tr>
        <w:trPr>
          <w:trHeight w:val="351"/>
        </w:trPr>
        <w:tc>
          <w:tcPr>
            <w:tcW w:w="960" w:type="dxa"/>
            <w:vAlign w:val="bottom"/>
          </w:tcPr>
          <w:p>
            <w:pPr>
              <w:ind w:left="40"/>
              <w:spacing w:after="0"/>
              <w:rPr>
                <w:sz w:val="20"/>
                <w:szCs w:val="20"/>
                <w:color w:val="auto"/>
              </w:rPr>
            </w:pPr>
            <w:r>
              <w:rPr>
                <w:rFonts w:ascii="Arial" w:cs="Arial" w:eastAsia="Arial" w:hAnsi="Arial"/>
                <w:sz w:val="18"/>
                <w:szCs w:val="18"/>
                <w:color w:val="auto"/>
              </w:rPr>
              <w:t>4.9</w:t>
            </w:r>
          </w:p>
        </w:tc>
        <w:tc>
          <w:tcPr>
            <w:tcW w:w="5020" w:type="dxa"/>
            <w:vAlign w:val="bottom"/>
            <w:gridSpan w:val="11"/>
          </w:tcPr>
          <w:p>
            <w:pPr>
              <w:spacing w:after="0"/>
              <w:rPr>
                <w:rFonts w:ascii="Arial" w:cs="Arial" w:eastAsia="Arial" w:hAnsi="Arial"/>
                <w:sz w:val="18"/>
                <w:szCs w:val="18"/>
                <w:color w:val="0000FF"/>
              </w:rPr>
            </w:pPr>
            <w:hyperlink r:id="rId74">
              <w:r>
                <w:rPr>
                  <w:rFonts w:ascii="Arial" w:cs="Arial" w:eastAsia="Arial" w:hAnsi="Arial"/>
                  <w:sz w:val="18"/>
                  <w:szCs w:val="18"/>
                  <w:color w:val="0000FF"/>
                </w:rPr>
                <w:t>Form of 5.00% Global Note due 2044</w:t>
              </w:r>
            </w:hyperlink>
          </w:p>
        </w:tc>
        <w:tc>
          <w:tcPr>
            <w:tcW w:w="5440" w:type="dxa"/>
            <w:vAlign w:val="bottom"/>
          </w:tcPr>
          <w:p>
            <w:pPr>
              <w:ind w:left="220"/>
              <w:spacing w:after="0"/>
              <w:rPr>
                <w:sz w:val="20"/>
                <w:szCs w:val="20"/>
                <w:color w:val="auto"/>
              </w:rPr>
            </w:pPr>
            <w:r>
              <w:rPr>
                <w:rFonts w:ascii="Arial" w:cs="Arial" w:eastAsia="Arial" w:hAnsi="Arial"/>
                <w:sz w:val="18"/>
                <w:szCs w:val="18"/>
                <w:color w:val="auto"/>
                <w:w w:val="99"/>
              </w:rPr>
              <w:t>Incorporated by reference from the Registrant’s Form S-4 filed on</w:t>
            </w:r>
          </w:p>
        </w:tc>
      </w:tr>
      <w:tr>
        <w:trPr>
          <w:trHeight w:val="237"/>
        </w:trPr>
        <w:tc>
          <w:tcPr>
            <w:tcW w:w="960" w:type="dxa"/>
            <w:vAlign w:val="bottom"/>
          </w:tcPr>
          <w:p>
            <w:pPr>
              <w:spacing w:after="0"/>
              <w:rPr>
                <w:sz w:val="20"/>
                <w:szCs w:val="20"/>
                <w:color w:val="auto"/>
              </w:rPr>
            </w:pPr>
          </w:p>
        </w:tc>
        <w:tc>
          <w:tcPr>
            <w:tcW w:w="1000" w:type="dxa"/>
            <w:vAlign w:val="bottom"/>
            <w:tcBorders>
              <w:top w:val="single" w:sz="8" w:color="0000FF"/>
            </w:tcBorders>
          </w:tcPr>
          <w:p>
            <w:pPr>
              <w:spacing w:after="0"/>
              <w:rPr>
                <w:sz w:val="20"/>
                <w:szCs w:val="20"/>
                <w:color w:val="auto"/>
              </w:rPr>
            </w:pPr>
          </w:p>
        </w:tc>
        <w:tc>
          <w:tcPr>
            <w:tcW w:w="1200" w:type="dxa"/>
            <w:vAlign w:val="bottom"/>
            <w:tcBorders>
              <w:top w:val="single" w:sz="8" w:color="0000FF"/>
            </w:tcBorders>
          </w:tcPr>
          <w:p>
            <w:pPr>
              <w:spacing w:after="0"/>
              <w:rPr>
                <w:sz w:val="20"/>
                <w:szCs w:val="20"/>
                <w:color w:val="auto"/>
              </w:rPr>
            </w:pPr>
          </w:p>
        </w:tc>
        <w:tc>
          <w:tcPr>
            <w:tcW w:w="52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40" w:type="dxa"/>
            <w:vAlign w:val="bottom"/>
          </w:tcPr>
          <w:p>
            <w:pPr>
              <w:ind w:left="220"/>
              <w:spacing w:after="0"/>
              <w:rPr>
                <w:sz w:val="20"/>
                <w:szCs w:val="20"/>
                <w:color w:val="auto"/>
              </w:rPr>
            </w:pPr>
            <w:r>
              <w:rPr>
                <w:rFonts w:ascii="Arial" w:cs="Arial" w:eastAsia="Arial" w:hAnsi="Arial"/>
                <w:sz w:val="18"/>
                <w:szCs w:val="18"/>
                <w:color w:val="auto"/>
              </w:rPr>
              <w:t>March 28, 2014, Exhibit 4.2</w:t>
            </w:r>
          </w:p>
        </w:tc>
      </w:tr>
      <w:tr>
        <w:trPr>
          <w:trHeight w:val="351"/>
        </w:trPr>
        <w:tc>
          <w:tcPr>
            <w:tcW w:w="960" w:type="dxa"/>
            <w:vAlign w:val="bottom"/>
          </w:tcPr>
          <w:p>
            <w:pPr>
              <w:ind w:left="40"/>
              <w:spacing w:after="0"/>
              <w:rPr>
                <w:sz w:val="20"/>
                <w:szCs w:val="20"/>
                <w:color w:val="auto"/>
              </w:rPr>
            </w:pPr>
            <w:r>
              <w:rPr>
                <w:rFonts w:ascii="Arial" w:cs="Arial" w:eastAsia="Arial" w:hAnsi="Arial"/>
                <w:sz w:val="18"/>
                <w:szCs w:val="18"/>
                <w:color w:val="auto"/>
              </w:rPr>
              <w:t>4.10</w:t>
            </w:r>
          </w:p>
        </w:tc>
        <w:tc>
          <w:tcPr>
            <w:tcW w:w="5020" w:type="dxa"/>
            <w:vAlign w:val="bottom"/>
            <w:gridSpan w:val="11"/>
          </w:tcPr>
          <w:p>
            <w:pPr>
              <w:spacing w:after="0"/>
              <w:rPr>
                <w:rFonts w:ascii="Arial" w:cs="Arial" w:eastAsia="Arial" w:hAnsi="Arial"/>
                <w:sz w:val="18"/>
                <w:szCs w:val="18"/>
                <w:color w:val="0000FF"/>
              </w:rPr>
            </w:pPr>
            <w:hyperlink r:id="rId75">
              <w:r>
                <w:rPr>
                  <w:rFonts w:ascii="Arial" w:cs="Arial" w:eastAsia="Arial" w:hAnsi="Arial"/>
                  <w:sz w:val="18"/>
                  <w:szCs w:val="18"/>
                  <w:color w:val="0000FF"/>
                </w:rPr>
                <w:t>Form of 5.00% Rule 144A Global Note due 2044</w:t>
              </w:r>
            </w:hyperlink>
          </w:p>
        </w:tc>
        <w:tc>
          <w:tcPr>
            <w:tcW w:w="5440" w:type="dxa"/>
            <w:vAlign w:val="bottom"/>
          </w:tcPr>
          <w:p>
            <w:pPr>
              <w:ind w:left="220"/>
              <w:spacing w:after="0"/>
              <w:rPr>
                <w:sz w:val="20"/>
                <w:szCs w:val="20"/>
                <w:color w:val="auto"/>
              </w:rPr>
            </w:pPr>
            <w:r>
              <w:rPr>
                <w:rFonts w:ascii="Arial" w:cs="Arial" w:eastAsia="Arial" w:hAnsi="Arial"/>
                <w:sz w:val="18"/>
                <w:szCs w:val="18"/>
                <w:color w:val="auto"/>
                <w:w w:val="99"/>
              </w:rPr>
              <w:t>Incorporated by reference from the Registrant’s Form S-4 filed on</w:t>
            </w:r>
          </w:p>
        </w:tc>
      </w:tr>
      <w:tr>
        <w:trPr>
          <w:trHeight w:val="237"/>
        </w:trPr>
        <w:tc>
          <w:tcPr>
            <w:tcW w:w="960" w:type="dxa"/>
            <w:vAlign w:val="bottom"/>
          </w:tcPr>
          <w:p>
            <w:pPr>
              <w:spacing w:after="0"/>
              <w:rPr>
                <w:sz w:val="20"/>
                <w:szCs w:val="20"/>
                <w:color w:val="auto"/>
              </w:rPr>
            </w:pPr>
          </w:p>
        </w:tc>
        <w:tc>
          <w:tcPr>
            <w:tcW w:w="1000" w:type="dxa"/>
            <w:vAlign w:val="bottom"/>
            <w:tcBorders>
              <w:top w:val="single" w:sz="8" w:color="0000FF"/>
            </w:tcBorders>
          </w:tcPr>
          <w:p>
            <w:pPr>
              <w:spacing w:after="0"/>
              <w:rPr>
                <w:sz w:val="20"/>
                <w:szCs w:val="20"/>
                <w:color w:val="auto"/>
              </w:rPr>
            </w:pPr>
          </w:p>
        </w:tc>
        <w:tc>
          <w:tcPr>
            <w:tcW w:w="1200" w:type="dxa"/>
            <w:vAlign w:val="bottom"/>
            <w:tcBorders>
              <w:top w:val="single" w:sz="8" w:color="0000FF"/>
            </w:tcBorders>
          </w:tcPr>
          <w:p>
            <w:pPr>
              <w:spacing w:after="0"/>
              <w:rPr>
                <w:sz w:val="20"/>
                <w:szCs w:val="20"/>
                <w:color w:val="auto"/>
              </w:rPr>
            </w:pPr>
          </w:p>
        </w:tc>
        <w:tc>
          <w:tcPr>
            <w:tcW w:w="5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760" w:type="dxa"/>
            <w:vAlign w:val="bottom"/>
            <w:tcBorders>
              <w:top w:val="single" w:sz="8" w:color="0000FF"/>
            </w:tcBorders>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40" w:type="dxa"/>
            <w:vAlign w:val="bottom"/>
          </w:tcPr>
          <w:p>
            <w:pPr>
              <w:ind w:left="220"/>
              <w:spacing w:after="0"/>
              <w:rPr>
                <w:sz w:val="20"/>
                <w:szCs w:val="20"/>
                <w:color w:val="auto"/>
              </w:rPr>
            </w:pPr>
            <w:r>
              <w:rPr>
                <w:rFonts w:ascii="Arial" w:cs="Arial" w:eastAsia="Arial" w:hAnsi="Arial"/>
                <w:sz w:val="18"/>
                <w:szCs w:val="18"/>
                <w:color w:val="auto"/>
              </w:rPr>
              <w:t>March 28, 2014, Exhibit 4.3</w:t>
            </w:r>
          </w:p>
        </w:tc>
      </w:tr>
      <w:tr>
        <w:trPr>
          <w:trHeight w:val="351"/>
        </w:trPr>
        <w:tc>
          <w:tcPr>
            <w:tcW w:w="960" w:type="dxa"/>
            <w:vAlign w:val="bottom"/>
          </w:tcPr>
          <w:p>
            <w:pPr>
              <w:ind w:left="40"/>
              <w:spacing w:after="0"/>
              <w:rPr>
                <w:sz w:val="20"/>
                <w:szCs w:val="20"/>
                <w:color w:val="auto"/>
              </w:rPr>
            </w:pPr>
            <w:r>
              <w:rPr>
                <w:rFonts w:ascii="Arial" w:cs="Arial" w:eastAsia="Arial" w:hAnsi="Arial"/>
                <w:sz w:val="18"/>
                <w:szCs w:val="18"/>
                <w:color w:val="auto"/>
              </w:rPr>
              <w:t>4.11</w:t>
            </w:r>
          </w:p>
        </w:tc>
        <w:tc>
          <w:tcPr>
            <w:tcW w:w="5020" w:type="dxa"/>
            <w:vAlign w:val="bottom"/>
            <w:gridSpan w:val="11"/>
          </w:tcPr>
          <w:p>
            <w:pPr>
              <w:spacing w:after="0"/>
              <w:rPr>
                <w:rFonts w:ascii="Arial" w:cs="Arial" w:eastAsia="Arial" w:hAnsi="Arial"/>
                <w:sz w:val="18"/>
                <w:szCs w:val="18"/>
                <w:color w:val="0000FF"/>
              </w:rPr>
            </w:pPr>
            <w:hyperlink r:id="rId76">
              <w:r>
                <w:rPr>
                  <w:rFonts w:ascii="Arial" w:cs="Arial" w:eastAsia="Arial" w:hAnsi="Arial"/>
                  <w:sz w:val="18"/>
                  <w:szCs w:val="18"/>
                  <w:color w:val="0000FF"/>
                </w:rPr>
                <w:t>Form of 5.00% Regulation S Global Note due 2044</w:t>
              </w:r>
            </w:hyperlink>
          </w:p>
        </w:tc>
        <w:tc>
          <w:tcPr>
            <w:tcW w:w="5440" w:type="dxa"/>
            <w:vAlign w:val="bottom"/>
          </w:tcPr>
          <w:p>
            <w:pPr>
              <w:ind w:left="220"/>
              <w:spacing w:after="0"/>
              <w:rPr>
                <w:sz w:val="20"/>
                <w:szCs w:val="20"/>
                <w:color w:val="auto"/>
              </w:rPr>
            </w:pPr>
            <w:r>
              <w:rPr>
                <w:rFonts w:ascii="Arial" w:cs="Arial" w:eastAsia="Arial" w:hAnsi="Arial"/>
                <w:sz w:val="18"/>
                <w:szCs w:val="18"/>
                <w:color w:val="auto"/>
                <w:w w:val="99"/>
              </w:rPr>
              <w:t>Incorporated by reference from the Registrant’s Form S-4 filed on</w:t>
            </w:r>
          </w:p>
        </w:tc>
      </w:tr>
      <w:tr>
        <w:trPr>
          <w:trHeight w:val="237"/>
        </w:trPr>
        <w:tc>
          <w:tcPr>
            <w:tcW w:w="960" w:type="dxa"/>
            <w:vAlign w:val="bottom"/>
          </w:tcPr>
          <w:p>
            <w:pPr>
              <w:spacing w:after="0"/>
              <w:rPr>
                <w:sz w:val="20"/>
                <w:szCs w:val="20"/>
                <w:color w:val="auto"/>
              </w:rPr>
            </w:pPr>
          </w:p>
        </w:tc>
        <w:tc>
          <w:tcPr>
            <w:tcW w:w="1000" w:type="dxa"/>
            <w:vAlign w:val="bottom"/>
            <w:tcBorders>
              <w:top w:val="single" w:sz="8" w:color="0000FF"/>
            </w:tcBorders>
          </w:tcPr>
          <w:p>
            <w:pPr>
              <w:spacing w:after="0"/>
              <w:rPr>
                <w:sz w:val="20"/>
                <w:szCs w:val="20"/>
                <w:color w:val="auto"/>
              </w:rPr>
            </w:pPr>
          </w:p>
        </w:tc>
        <w:tc>
          <w:tcPr>
            <w:tcW w:w="1200" w:type="dxa"/>
            <w:vAlign w:val="bottom"/>
            <w:tcBorders>
              <w:top w:val="single" w:sz="8" w:color="0000FF"/>
            </w:tcBorders>
          </w:tcPr>
          <w:p>
            <w:pPr>
              <w:spacing w:after="0"/>
              <w:rPr>
                <w:sz w:val="20"/>
                <w:szCs w:val="20"/>
                <w:color w:val="auto"/>
              </w:rPr>
            </w:pPr>
          </w:p>
        </w:tc>
        <w:tc>
          <w:tcPr>
            <w:tcW w:w="5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76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40" w:type="dxa"/>
            <w:vAlign w:val="bottom"/>
          </w:tcPr>
          <w:p>
            <w:pPr>
              <w:ind w:left="220"/>
              <w:spacing w:after="0"/>
              <w:rPr>
                <w:sz w:val="20"/>
                <w:szCs w:val="20"/>
                <w:color w:val="auto"/>
              </w:rPr>
            </w:pPr>
            <w:r>
              <w:rPr>
                <w:rFonts w:ascii="Arial" w:cs="Arial" w:eastAsia="Arial" w:hAnsi="Arial"/>
                <w:sz w:val="18"/>
                <w:szCs w:val="18"/>
                <w:color w:val="auto"/>
              </w:rPr>
              <w:t>March 28, 2014, Exhibit 4.4</w:t>
            </w:r>
          </w:p>
        </w:tc>
      </w:tr>
      <w:tr>
        <w:trPr>
          <w:trHeight w:val="351"/>
        </w:trPr>
        <w:tc>
          <w:tcPr>
            <w:tcW w:w="960" w:type="dxa"/>
            <w:vAlign w:val="bottom"/>
          </w:tcPr>
          <w:p>
            <w:pPr>
              <w:ind w:left="40"/>
              <w:spacing w:after="0"/>
              <w:rPr>
                <w:sz w:val="20"/>
                <w:szCs w:val="20"/>
                <w:color w:val="auto"/>
              </w:rPr>
            </w:pPr>
            <w:r>
              <w:rPr>
                <w:rFonts w:ascii="Arial" w:cs="Arial" w:eastAsia="Arial" w:hAnsi="Arial"/>
                <w:sz w:val="18"/>
                <w:szCs w:val="18"/>
                <w:color w:val="auto"/>
              </w:rPr>
              <w:t>4.12</w:t>
            </w:r>
          </w:p>
        </w:tc>
        <w:tc>
          <w:tcPr>
            <w:tcW w:w="5020" w:type="dxa"/>
            <w:vAlign w:val="bottom"/>
            <w:gridSpan w:val="11"/>
          </w:tcPr>
          <w:p>
            <w:pPr>
              <w:spacing w:after="0"/>
              <w:rPr>
                <w:rFonts w:ascii="Arial" w:cs="Arial" w:eastAsia="Arial" w:hAnsi="Arial"/>
                <w:sz w:val="18"/>
                <w:szCs w:val="18"/>
                <w:color w:val="0000FF"/>
              </w:rPr>
            </w:pPr>
            <w:hyperlink r:id="rId77">
              <w:r>
                <w:rPr>
                  <w:rFonts w:ascii="Arial" w:cs="Arial" w:eastAsia="Arial" w:hAnsi="Arial"/>
                  <w:sz w:val="18"/>
                  <w:szCs w:val="18"/>
                  <w:color w:val="0000FF"/>
                </w:rPr>
                <w:t>Form of 4.00% Note due 2027</w:t>
              </w:r>
            </w:hyperlink>
          </w:p>
        </w:tc>
        <w:tc>
          <w:tcPr>
            <w:tcW w:w="5440" w:type="dxa"/>
            <w:vAlign w:val="bottom"/>
          </w:tcPr>
          <w:p>
            <w:pPr>
              <w:ind w:left="220"/>
              <w:spacing w:after="0"/>
              <w:rPr>
                <w:sz w:val="20"/>
                <w:szCs w:val="20"/>
                <w:color w:val="auto"/>
              </w:rPr>
            </w:pPr>
            <w:r>
              <w:rPr>
                <w:rFonts w:ascii="Arial" w:cs="Arial" w:eastAsia="Arial" w:hAnsi="Arial"/>
                <w:sz w:val="18"/>
                <w:szCs w:val="18"/>
                <w:color w:val="auto"/>
                <w:w w:val="99"/>
              </w:rPr>
              <w:t>Incorporated by reference from the Registrant’s Form 8-K filed on</w:t>
            </w:r>
          </w:p>
        </w:tc>
      </w:tr>
      <w:tr>
        <w:trPr>
          <w:trHeight w:val="237"/>
        </w:trPr>
        <w:tc>
          <w:tcPr>
            <w:tcW w:w="960" w:type="dxa"/>
            <w:vAlign w:val="bottom"/>
          </w:tcPr>
          <w:p>
            <w:pPr>
              <w:spacing w:after="0"/>
              <w:rPr>
                <w:sz w:val="20"/>
                <w:szCs w:val="20"/>
                <w:color w:val="auto"/>
              </w:rPr>
            </w:pPr>
          </w:p>
        </w:tc>
        <w:tc>
          <w:tcPr>
            <w:tcW w:w="1000" w:type="dxa"/>
            <w:vAlign w:val="bottom"/>
            <w:tcBorders>
              <w:top w:val="single" w:sz="8" w:color="0000FF"/>
            </w:tcBorders>
          </w:tcPr>
          <w:p>
            <w:pPr>
              <w:spacing w:after="0"/>
              <w:rPr>
                <w:sz w:val="20"/>
                <w:szCs w:val="20"/>
                <w:color w:val="auto"/>
              </w:rPr>
            </w:pPr>
          </w:p>
        </w:tc>
        <w:tc>
          <w:tcPr>
            <w:tcW w:w="1200" w:type="dxa"/>
            <w:vAlign w:val="bottom"/>
            <w:tcBorders>
              <w:top w:val="single" w:sz="8" w:color="0000FF"/>
            </w:tcBorders>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40" w:type="dxa"/>
            <w:vAlign w:val="bottom"/>
          </w:tcPr>
          <w:p>
            <w:pPr>
              <w:ind w:left="220"/>
              <w:spacing w:after="0"/>
              <w:rPr>
                <w:sz w:val="20"/>
                <w:szCs w:val="20"/>
                <w:color w:val="auto"/>
              </w:rPr>
            </w:pPr>
            <w:r>
              <w:rPr>
                <w:rFonts w:ascii="Arial" w:cs="Arial" w:eastAsia="Arial" w:hAnsi="Arial"/>
                <w:sz w:val="18"/>
                <w:szCs w:val="18"/>
                <w:color w:val="auto"/>
              </w:rPr>
              <w:t>March 9, 2017, Exhibit 4.1</w:t>
            </w:r>
          </w:p>
        </w:tc>
      </w:tr>
      <w:tr>
        <w:trPr>
          <w:trHeight w:val="351"/>
        </w:trPr>
        <w:tc>
          <w:tcPr>
            <w:tcW w:w="960" w:type="dxa"/>
            <w:vAlign w:val="bottom"/>
          </w:tcPr>
          <w:p>
            <w:pPr>
              <w:ind w:left="40"/>
              <w:spacing w:after="0"/>
              <w:rPr>
                <w:sz w:val="20"/>
                <w:szCs w:val="20"/>
                <w:color w:val="auto"/>
              </w:rPr>
            </w:pPr>
            <w:r>
              <w:rPr>
                <w:rFonts w:ascii="Arial" w:cs="Arial" w:eastAsia="Arial" w:hAnsi="Arial"/>
                <w:sz w:val="18"/>
                <w:szCs w:val="18"/>
                <w:color w:val="auto"/>
              </w:rPr>
              <w:t>4.13</w:t>
            </w:r>
          </w:p>
        </w:tc>
        <w:tc>
          <w:tcPr>
            <w:tcW w:w="5020" w:type="dxa"/>
            <w:vAlign w:val="bottom"/>
            <w:gridSpan w:val="11"/>
          </w:tcPr>
          <w:p>
            <w:pPr>
              <w:spacing w:after="0"/>
              <w:rPr>
                <w:rFonts w:ascii="Arial" w:cs="Arial" w:eastAsia="Arial" w:hAnsi="Arial"/>
                <w:sz w:val="18"/>
                <w:szCs w:val="18"/>
                <w:color w:val="0000FF"/>
              </w:rPr>
            </w:pPr>
            <w:hyperlink r:id="rId78">
              <w:r>
                <w:rPr>
                  <w:rFonts w:ascii="Arial" w:cs="Arial" w:eastAsia="Arial" w:hAnsi="Arial"/>
                  <w:sz w:val="18"/>
                  <w:szCs w:val="18"/>
                  <w:color w:val="0000FF"/>
                </w:rPr>
                <w:t>Form of 5.00% Note due 2044</w:t>
              </w:r>
            </w:hyperlink>
          </w:p>
        </w:tc>
        <w:tc>
          <w:tcPr>
            <w:tcW w:w="5440" w:type="dxa"/>
            <w:vAlign w:val="bottom"/>
          </w:tcPr>
          <w:p>
            <w:pPr>
              <w:ind w:left="220"/>
              <w:spacing w:after="0"/>
              <w:rPr>
                <w:sz w:val="20"/>
                <w:szCs w:val="20"/>
                <w:color w:val="auto"/>
              </w:rPr>
            </w:pPr>
            <w:r>
              <w:rPr>
                <w:rFonts w:ascii="Arial" w:cs="Arial" w:eastAsia="Arial" w:hAnsi="Arial"/>
                <w:sz w:val="18"/>
                <w:szCs w:val="18"/>
                <w:color w:val="auto"/>
                <w:w w:val="99"/>
              </w:rPr>
              <w:t>Incorporated by reference from the Registrant’s Form 8-K filed on</w:t>
            </w:r>
          </w:p>
        </w:tc>
      </w:tr>
      <w:tr>
        <w:trPr>
          <w:trHeight w:val="237"/>
        </w:trPr>
        <w:tc>
          <w:tcPr>
            <w:tcW w:w="960" w:type="dxa"/>
            <w:vAlign w:val="bottom"/>
          </w:tcPr>
          <w:p>
            <w:pPr>
              <w:spacing w:after="0"/>
              <w:rPr>
                <w:sz w:val="20"/>
                <w:szCs w:val="20"/>
                <w:color w:val="auto"/>
              </w:rPr>
            </w:pPr>
          </w:p>
        </w:tc>
        <w:tc>
          <w:tcPr>
            <w:tcW w:w="1000" w:type="dxa"/>
            <w:vAlign w:val="bottom"/>
            <w:tcBorders>
              <w:top w:val="single" w:sz="8" w:color="0000FF"/>
            </w:tcBorders>
          </w:tcPr>
          <w:p>
            <w:pPr>
              <w:spacing w:after="0"/>
              <w:rPr>
                <w:sz w:val="20"/>
                <w:szCs w:val="20"/>
                <w:color w:val="auto"/>
              </w:rPr>
            </w:pPr>
          </w:p>
        </w:tc>
        <w:tc>
          <w:tcPr>
            <w:tcW w:w="1200" w:type="dxa"/>
            <w:vAlign w:val="bottom"/>
            <w:tcBorders>
              <w:top w:val="single" w:sz="8" w:color="0000FF"/>
            </w:tcBorders>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40" w:type="dxa"/>
            <w:vAlign w:val="bottom"/>
          </w:tcPr>
          <w:p>
            <w:pPr>
              <w:ind w:left="220"/>
              <w:spacing w:after="0"/>
              <w:rPr>
                <w:sz w:val="20"/>
                <w:szCs w:val="20"/>
                <w:color w:val="auto"/>
              </w:rPr>
            </w:pPr>
            <w:r>
              <w:rPr>
                <w:rFonts w:ascii="Arial" w:cs="Arial" w:eastAsia="Arial" w:hAnsi="Arial"/>
                <w:sz w:val="18"/>
                <w:szCs w:val="18"/>
                <w:color w:val="auto"/>
              </w:rPr>
              <w:t>March 9, 2017, Exhibit 4.2</w:t>
            </w:r>
          </w:p>
        </w:tc>
      </w:tr>
      <w:tr>
        <w:trPr>
          <w:trHeight w:val="351"/>
        </w:trPr>
        <w:tc>
          <w:tcPr>
            <w:tcW w:w="960" w:type="dxa"/>
            <w:vAlign w:val="bottom"/>
          </w:tcPr>
          <w:p>
            <w:pPr>
              <w:ind w:left="40"/>
              <w:spacing w:after="0"/>
              <w:rPr>
                <w:sz w:val="20"/>
                <w:szCs w:val="20"/>
                <w:color w:val="auto"/>
              </w:rPr>
            </w:pPr>
            <w:r>
              <w:rPr>
                <w:rFonts w:ascii="Arial" w:cs="Arial" w:eastAsia="Arial" w:hAnsi="Arial"/>
                <w:sz w:val="18"/>
                <w:szCs w:val="18"/>
                <w:color w:val="auto"/>
              </w:rPr>
              <w:t>4.14</w:t>
            </w:r>
          </w:p>
        </w:tc>
        <w:tc>
          <w:tcPr>
            <w:tcW w:w="5020" w:type="dxa"/>
            <w:vAlign w:val="bottom"/>
            <w:gridSpan w:val="11"/>
          </w:tcPr>
          <w:p>
            <w:pPr>
              <w:spacing w:after="0"/>
              <w:rPr>
                <w:rFonts w:ascii="Arial" w:cs="Arial" w:eastAsia="Arial" w:hAnsi="Arial"/>
                <w:sz w:val="18"/>
                <w:szCs w:val="18"/>
                <w:color w:val="0000FF"/>
                <w:w w:val="98"/>
              </w:rPr>
            </w:pPr>
            <w:hyperlink r:id="rId79">
              <w:r>
                <w:rPr>
                  <w:rFonts w:ascii="Arial" w:cs="Arial" w:eastAsia="Arial" w:hAnsi="Arial"/>
                  <w:sz w:val="18"/>
                  <w:szCs w:val="18"/>
                  <w:color w:val="0000FF"/>
                  <w:w w:val="98"/>
                </w:rPr>
                <w:t>Registration Rights Agreement, dated as of December 12, 2013</w:t>
              </w:r>
            </w:hyperlink>
          </w:p>
        </w:tc>
        <w:tc>
          <w:tcPr>
            <w:tcW w:w="5440" w:type="dxa"/>
            <w:vAlign w:val="bottom"/>
          </w:tcPr>
          <w:p>
            <w:pPr>
              <w:ind w:left="220"/>
              <w:spacing w:after="0"/>
              <w:rPr>
                <w:sz w:val="20"/>
                <w:szCs w:val="20"/>
                <w:color w:val="auto"/>
              </w:rPr>
            </w:pPr>
            <w:r>
              <w:rPr>
                <w:rFonts w:ascii="Arial" w:cs="Arial" w:eastAsia="Arial" w:hAnsi="Arial"/>
                <w:sz w:val="18"/>
                <w:szCs w:val="18"/>
                <w:color w:val="auto"/>
                <w:w w:val="99"/>
              </w:rPr>
              <w:t>Incorporated by reference from the Registrant’s Form S-4 filed on</w:t>
            </w:r>
          </w:p>
        </w:tc>
      </w:tr>
      <w:tr>
        <w:trPr>
          <w:trHeight w:val="237"/>
        </w:trPr>
        <w:tc>
          <w:tcPr>
            <w:tcW w:w="960" w:type="dxa"/>
            <w:vAlign w:val="bottom"/>
          </w:tcPr>
          <w:p>
            <w:pPr>
              <w:spacing w:after="0"/>
              <w:rPr>
                <w:sz w:val="20"/>
                <w:szCs w:val="20"/>
                <w:color w:val="auto"/>
              </w:rPr>
            </w:pPr>
          </w:p>
        </w:tc>
        <w:tc>
          <w:tcPr>
            <w:tcW w:w="1000" w:type="dxa"/>
            <w:vAlign w:val="bottom"/>
            <w:tcBorders>
              <w:top w:val="single" w:sz="8" w:color="0000FF"/>
            </w:tcBorders>
          </w:tcPr>
          <w:p>
            <w:pPr>
              <w:spacing w:after="0"/>
              <w:rPr>
                <w:sz w:val="20"/>
                <w:szCs w:val="20"/>
                <w:color w:val="auto"/>
              </w:rPr>
            </w:pPr>
          </w:p>
        </w:tc>
        <w:tc>
          <w:tcPr>
            <w:tcW w:w="1200" w:type="dxa"/>
            <w:vAlign w:val="bottom"/>
            <w:tcBorders>
              <w:top w:val="single" w:sz="8" w:color="0000FF"/>
            </w:tcBorders>
          </w:tcPr>
          <w:p>
            <w:pPr>
              <w:spacing w:after="0"/>
              <w:rPr>
                <w:sz w:val="20"/>
                <w:szCs w:val="20"/>
                <w:color w:val="auto"/>
              </w:rPr>
            </w:pPr>
          </w:p>
        </w:tc>
        <w:tc>
          <w:tcPr>
            <w:tcW w:w="5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76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800" w:type="dxa"/>
            <w:vAlign w:val="bottom"/>
            <w:tcBorders>
              <w:top w:val="single" w:sz="8" w:color="0000FF"/>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40" w:type="dxa"/>
            <w:vAlign w:val="bottom"/>
          </w:tcPr>
          <w:p>
            <w:pPr>
              <w:ind w:left="220"/>
              <w:spacing w:after="0"/>
              <w:rPr>
                <w:sz w:val="20"/>
                <w:szCs w:val="20"/>
                <w:color w:val="auto"/>
              </w:rPr>
            </w:pPr>
            <w:r>
              <w:rPr>
                <w:rFonts w:ascii="Arial" w:cs="Arial" w:eastAsia="Arial" w:hAnsi="Arial"/>
                <w:sz w:val="18"/>
                <w:szCs w:val="18"/>
                <w:color w:val="auto"/>
              </w:rPr>
              <w:t>March 28, 2014, Exhibit 4.5</w:t>
            </w:r>
          </w:p>
        </w:tc>
      </w:tr>
      <w:tr>
        <w:trPr>
          <w:trHeight w:val="351"/>
        </w:trPr>
        <w:tc>
          <w:tcPr>
            <w:tcW w:w="960" w:type="dxa"/>
            <w:vAlign w:val="bottom"/>
          </w:tcPr>
          <w:p>
            <w:pPr>
              <w:ind w:left="40"/>
              <w:spacing w:after="0"/>
              <w:rPr>
                <w:sz w:val="20"/>
                <w:szCs w:val="20"/>
                <w:color w:val="auto"/>
              </w:rPr>
            </w:pPr>
            <w:r>
              <w:rPr>
                <w:rFonts w:ascii="Arial" w:cs="Arial" w:eastAsia="Arial" w:hAnsi="Arial"/>
                <w:sz w:val="18"/>
                <w:szCs w:val="18"/>
                <w:color w:val="auto"/>
              </w:rPr>
              <w:t>4.15*</w:t>
            </w:r>
          </w:p>
        </w:tc>
        <w:tc>
          <w:tcPr>
            <w:tcW w:w="5020" w:type="dxa"/>
            <w:vAlign w:val="bottom"/>
            <w:gridSpan w:val="11"/>
          </w:tcPr>
          <w:p>
            <w:pPr>
              <w:spacing w:after="0"/>
              <w:rPr>
                <w:rFonts w:ascii="Arial" w:cs="Arial" w:eastAsia="Arial" w:hAnsi="Arial"/>
                <w:sz w:val="18"/>
                <w:szCs w:val="18"/>
                <w:color w:val="0000FF"/>
              </w:rPr>
            </w:pPr>
            <w:hyperlink r:id="rId80">
              <w:r>
                <w:rPr>
                  <w:rFonts w:ascii="Arial" w:cs="Arial" w:eastAsia="Arial" w:hAnsi="Arial"/>
                  <w:sz w:val="18"/>
                  <w:szCs w:val="18"/>
                  <w:color w:val="0000FF"/>
                </w:rPr>
                <w:t>Trunk Club Newco, Inc. 2010 Equity Incentive Plan</w:t>
              </w:r>
            </w:hyperlink>
          </w:p>
        </w:tc>
        <w:tc>
          <w:tcPr>
            <w:tcW w:w="5440" w:type="dxa"/>
            <w:vAlign w:val="bottom"/>
          </w:tcPr>
          <w:p>
            <w:pPr>
              <w:ind w:left="220"/>
              <w:spacing w:after="0"/>
              <w:rPr>
                <w:sz w:val="20"/>
                <w:szCs w:val="20"/>
                <w:color w:val="auto"/>
              </w:rPr>
            </w:pPr>
            <w:r>
              <w:rPr>
                <w:rFonts w:ascii="Arial" w:cs="Arial" w:eastAsia="Arial" w:hAnsi="Arial"/>
                <w:sz w:val="18"/>
                <w:szCs w:val="18"/>
                <w:color w:val="auto"/>
                <w:w w:val="99"/>
              </w:rPr>
              <w:t>Incorporated by reference from the Registrant’s Form S-8 filed on</w:t>
            </w:r>
          </w:p>
        </w:tc>
      </w:tr>
      <w:tr>
        <w:trPr>
          <w:trHeight w:val="237"/>
        </w:trPr>
        <w:tc>
          <w:tcPr>
            <w:tcW w:w="960" w:type="dxa"/>
            <w:vAlign w:val="bottom"/>
          </w:tcPr>
          <w:p>
            <w:pPr>
              <w:spacing w:after="0"/>
              <w:rPr>
                <w:sz w:val="20"/>
                <w:szCs w:val="20"/>
                <w:color w:val="auto"/>
              </w:rPr>
            </w:pPr>
          </w:p>
        </w:tc>
        <w:tc>
          <w:tcPr>
            <w:tcW w:w="1000" w:type="dxa"/>
            <w:vAlign w:val="bottom"/>
            <w:tcBorders>
              <w:top w:val="single" w:sz="8" w:color="0000FF"/>
            </w:tcBorders>
          </w:tcPr>
          <w:p>
            <w:pPr>
              <w:spacing w:after="0"/>
              <w:rPr>
                <w:sz w:val="20"/>
                <w:szCs w:val="20"/>
                <w:color w:val="auto"/>
              </w:rPr>
            </w:pPr>
          </w:p>
        </w:tc>
        <w:tc>
          <w:tcPr>
            <w:tcW w:w="1200" w:type="dxa"/>
            <w:vAlign w:val="bottom"/>
            <w:tcBorders>
              <w:top w:val="single" w:sz="8" w:color="0000FF"/>
            </w:tcBorders>
          </w:tcPr>
          <w:p>
            <w:pPr>
              <w:spacing w:after="0"/>
              <w:rPr>
                <w:sz w:val="20"/>
                <w:szCs w:val="20"/>
                <w:color w:val="auto"/>
              </w:rPr>
            </w:pPr>
          </w:p>
        </w:tc>
        <w:tc>
          <w:tcPr>
            <w:tcW w:w="5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76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40" w:type="dxa"/>
            <w:vAlign w:val="bottom"/>
          </w:tcPr>
          <w:p>
            <w:pPr>
              <w:ind w:left="220"/>
              <w:spacing w:after="0"/>
              <w:rPr>
                <w:sz w:val="20"/>
                <w:szCs w:val="20"/>
                <w:color w:val="auto"/>
              </w:rPr>
            </w:pPr>
            <w:r>
              <w:rPr>
                <w:rFonts w:ascii="Arial" w:cs="Arial" w:eastAsia="Arial" w:hAnsi="Arial"/>
                <w:sz w:val="18"/>
                <w:szCs w:val="18"/>
                <w:color w:val="auto"/>
              </w:rPr>
              <w:t>August 27, 2014, Exhibit 4.1</w:t>
            </w:r>
          </w:p>
        </w:tc>
      </w:tr>
      <w:tr>
        <w:trPr>
          <w:trHeight w:val="351"/>
        </w:trPr>
        <w:tc>
          <w:tcPr>
            <w:tcW w:w="960" w:type="dxa"/>
            <w:vAlign w:val="bottom"/>
          </w:tcPr>
          <w:p>
            <w:pPr>
              <w:ind w:left="40"/>
              <w:spacing w:after="0"/>
              <w:rPr>
                <w:sz w:val="20"/>
                <w:szCs w:val="20"/>
                <w:color w:val="auto"/>
              </w:rPr>
            </w:pPr>
            <w:r>
              <w:rPr>
                <w:rFonts w:ascii="Arial" w:cs="Arial" w:eastAsia="Arial" w:hAnsi="Arial"/>
                <w:sz w:val="18"/>
                <w:szCs w:val="18"/>
                <w:color w:val="auto"/>
              </w:rPr>
              <w:t>10.1*</w:t>
            </w:r>
          </w:p>
        </w:tc>
        <w:tc>
          <w:tcPr>
            <w:tcW w:w="5020" w:type="dxa"/>
            <w:vAlign w:val="bottom"/>
            <w:gridSpan w:val="11"/>
          </w:tcPr>
          <w:p>
            <w:pPr>
              <w:spacing w:after="0"/>
              <w:rPr>
                <w:rFonts w:ascii="Arial" w:cs="Arial" w:eastAsia="Arial" w:hAnsi="Arial"/>
                <w:sz w:val="18"/>
                <w:szCs w:val="18"/>
                <w:color w:val="0000FF"/>
                <w:w w:val="94"/>
              </w:rPr>
            </w:pPr>
            <w:hyperlink r:id="rId81">
              <w:r>
                <w:rPr>
                  <w:rFonts w:ascii="Arial" w:cs="Arial" w:eastAsia="Arial" w:hAnsi="Arial"/>
                  <w:sz w:val="18"/>
                  <w:szCs w:val="18"/>
                  <w:color w:val="0000FF"/>
                  <w:w w:val="94"/>
                </w:rPr>
                <w:t>Nordstrom 401(k) Plan &amp; Profit Sharing, amended and restated on</w:t>
              </w:r>
            </w:hyperlink>
          </w:p>
        </w:tc>
        <w:tc>
          <w:tcPr>
            <w:tcW w:w="5440" w:type="dxa"/>
            <w:vAlign w:val="bottom"/>
          </w:tcPr>
          <w:p>
            <w:pPr>
              <w:ind w:left="220"/>
              <w:spacing w:after="0"/>
              <w:rPr>
                <w:sz w:val="20"/>
                <w:szCs w:val="20"/>
                <w:color w:val="auto"/>
              </w:rPr>
            </w:pPr>
            <w:r>
              <w:rPr>
                <w:rFonts w:ascii="Arial" w:cs="Arial" w:eastAsia="Arial" w:hAnsi="Arial"/>
                <w:sz w:val="18"/>
                <w:szCs w:val="18"/>
                <w:color w:val="auto"/>
                <w:w w:val="96"/>
              </w:rPr>
              <w:t>Incorporated by reference from the Registrant’s Quarterly Report on</w:t>
            </w:r>
          </w:p>
        </w:tc>
      </w:tr>
      <w:tr>
        <w:trPr>
          <w:trHeight w:val="196"/>
        </w:trPr>
        <w:tc>
          <w:tcPr>
            <w:tcW w:w="960" w:type="dxa"/>
            <w:vAlign w:val="bottom"/>
          </w:tcPr>
          <w:p>
            <w:pPr>
              <w:spacing w:after="0"/>
              <w:rPr>
                <w:sz w:val="17"/>
                <w:szCs w:val="17"/>
                <w:color w:val="auto"/>
              </w:rPr>
            </w:pPr>
          </w:p>
        </w:tc>
        <w:tc>
          <w:tcPr>
            <w:tcW w:w="4780" w:type="dxa"/>
            <w:vAlign w:val="bottom"/>
            <w:tcBorders>
              <w:top w:val="single" w:sz="8" w:color="0000FF"/>
            </w:tcBorders>
            <w:gridSpan w:val="10"/>
          </w:tcPr>
          <w:p>
            <w:pPr>
              <w:spacing w:after="0" w:line="196" w:lineRule="exact"/>
              <w:rPr>
                <w:rFonts w:ascii="Arial" w:cs="Arial" w:eastAsia="Arial" w:hAnsi="Arial"/>
                <w:sz w:val="18"/>
                <w:szCs w:val="18"/>
                <w:color w:val="0000FF"/>
              </w:rPr>
            </w:pPr>
            <w:hyperlink r:id="rId81">
              <w:r>
                <w:rPr>
                  <w:rFonts w:ascii="Arial" w:cs="Arial" w:eastAsia="Arial" w:hAnsi="Arial"/>
                  <w:sz w:val="18"/>
                  <w:szCs w:val="18"/>
                  <w:color w:val="0000FF"/>
                </w:rPr>
                <w:t>June 12, 2014</w:t>
              </w:r>
            </w:hyperlink>
          </w:p>
        </w:tc>
        <w:tc>
          <w:tcPr>
            <w:tcW w:w="240" w:type="dxa"/>
            <w:vAlign w:val="bottom"/>
          </w:tcPr>
          <w:p>
            <w:pPr>
              <w:spacing w:after="0"/>
              <w:rPr>
                <w:sz w:val="17"/>
                <w:szCs w:val="17"/>
                <w:color w:val="auto"/>
              </w:rPr>
            </w:pPr>
          </w:p>
        </w:tc>
        <w:tc>
          <w:tcPr>
            <w:tcW w:w="5440" w:type="dxa"/>
            <w:vAlign w:val="bottom"/>
          </w:tcPr>
          <w:p>
            <w:pPr>
              <w:ind w:left="220"/>
              <w:spacing w:after="0" w:line="196" w:lineRule="exact"/>
              <w:rPr>
                <w:sz w:val="20"/>
                <w:szCs w:val="20"/>
                <w:color w:val="auto"/>
              </w:rPr>
            </w:pPr>
            <w:r>
              <w:rPr>
                <w:rFonts w:ascii="Arial" w:cs="Arial" w:eastAsia="Arial" w:hAnsi="Arial"/>
                <w:sz w:val="18"/>
                <w:szCs w:val="18"/>
                <w:color w:val="auto"/>
              </w:rPr>
              <w:t>Form 10-Q for the quarter ended May 2, 2015, Exhibit 10.2</w:t>
            </w:r>
          </w:p>
        </w:tc>
      </w:tr>
      <w:tr>
        <w:trPr>
          <w:trHeight w:val="48"/>
        </w:trPr>
        <w:tc>
          <w:tcPr>
            <w:tcW w:w="960" w:type="dxa"/>
            <w:vAlign w:val="bottom"/>
            <w:tcBorders>
              <w:bottom w:val="single" w:sz="8" w:color="auto"/>
            </w:tcBorders>
          </w:tcPr>
          <w:p>
            <w:pPr>
              <w:spacing w:after="0"/>
              <w:rPr>
                <w:sz w:val="4"/>
                <w:szCs w:val="4"/>
                <w:color w:val="auto"/>
              </w:rPr>
            </w:pPr>
          </w:p>
        </w:tc>
        <w:tc>
          <w:tcPr>
            <w:tcW w:w="1000" w:type="dxa"/>
            <w:vAlign w:val="bottom"/>
            <w:tcBorders>
              <w:top w:val="single" w:sz="8" w:color="0000FF"/>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440" w:type="dxa"/>
            <w:vAlign w:val="bottom"/>
            <w:tcBorders>
              <w:bottom w:val="single" w:sz="8" w:color="auto"/>
            </w:tcBorders>
          </w:tcPr>
          <w:p>
            <w:pPr>
              <w:spacing w:after="0"/>
              <w:rPr>
                <w:sz w:val="4"/>
                <w:szCs w:val="4"/>
                <w:color w:val="auto"/>
              </w:rPr>
            </w:pPr>
          </w:p>
        </w:tc>
      </w:tr>
    </w:tbl>
    <w:p>
      <w:pPr>
        <w:spacing w:after="0" w:line="8" w:lineRule="exact"/>
        <w:rPr>
          <w:sz w:val="20"/>
          <w:szCs w:val="20"/>
          <w:color w:val="auto"/>
        </w:rPr>
      </w:pPr>
    </w:p>
    <w:p>
      <w:pPr>
        <w:ind w:left="40"/>
        <w:spacing w:after="0"/>
        <w:rPr>
          <w:sz w:val="20"/>
          <w:szCs w:val="20"/>
          <w:color w:val="auto"/>
        </w:rPr>
      </w:pPr>
      <w:r>
        <w:rPr>
          <w:rFonts w:ascii="Arial" w:cs="Arial" w:eastAsia="Arial" w:hAnsi="Arial"/>
          <w:sz w:val="14"/>
          <w:szCs w:val="14"/>
          <w:color w:val="auto"/>
        </w:rPr>
        <w:t>*This exhibit is a management contract, compensatory plan or arrangement</w:t>
      </w:r>
    </w:p>
    <w:p>
      <w:pPr>
        <w:sectPr>
          <w:pgSz w:w="11900" w:h="16838" w:orient="portrait"/>
          <w:cols w:equalWidth="0" w:num="1">
            <w:col w:w="11420"/>
          </w:cols>
          <w:pgMar w:left="240" w:top="126" w:right="239" w:bottom="1090" w:gutter="0" w:footer="0" w:header="0"/>
          <w:type w:val="continuous"/>
        </w:sect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20"/>
          </w:cols>
          <w:pgMar w:left="240" w:top="126" w:right="239" w:bottom="1090" w:gutter="0" w:footer="0" w:header="0"/>
          <w:type w:val="continuous"/>
        </w:sectPr>
      </w:pPr>
    </w:p>
    <w:bookmarkStart w:id="69" w:name="page70"/>
    <w:bookmarkEnd w:id="69"/>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360" w:type="dxa"/>
            <w:vAlign w:val="bottom"/>
            <w:gridSpan w:val="15"/>
          </w:tcPr>
          <w:p>
            <w:pPr>
              <w:ind w:left="500"/>
              <w:spacing w:after="0"/>
              <w:rPr>
                <w:sz w:val="20"/>
                <w:szCs w:val="20"/>
                <w:color w:val="auto"/>
              </w:rPr>
            </w:pPr>
            <w:r>
              <w:rPr>
                <w:rFonts w:ascii="Arial" w:cs="Arial" w:eastAsia="Arial" w:hAnsi="Arial"/>
                <w:sz w:val="18"/>
                <w:szCs w:val="18"/>
                <w:b w:val="1"/>
                <w:bCs w:val="1"/>
                <w:color w:val="auto"/>
              </w:rPr>
              <w:t>Exhibit</w:t>
            </w:r>
          </w:p>
        </w:tc>
        <w:tc>
          <w:tcPr>
            <w:tcW w:w="5340" w:type="dxa"/>
            <w:vAlign w:val="bottom"/>
          </w:tcPr>
          <w:p>
            <w:pPr>
              <w:ind w:left="2080"/>
              <w:spacing w:after="0"/>
              <w:rPr>
                <w:sz w:val="20"/>
                <w:szCs w:val="20"/>
                <w:color w:val="auto"/>
              </w:rPr>
            </w:pPr>
            <w:r>
              <w:rPr>
                <w:rFonts w:ascii="Arial" w:cs="Arial" w:eastAsia="Arial" w:hAnsi="Arial"/>
                <w:sz w:val="18"/>
                <w:szCs w:val="18"/>
                <w:b w:val="1"/>
                <w:bCs w:val="1"/>
                <w:color w:val="auto"/>
              </w:rPr>
              <w:t>Method of Filing</w:t>
            </w:r>
          </w:p>
        </w:tc>
      </w:tr>
      <w:tr>
        <w:trPr>
          <w:trHeight w:val="27"/>
        </w:trPr>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340" w:type="dxa"/>
            <w:vAlign w:val="bottom"/>
            <w:tcBorders>
              <w:bottom w:val="single" w:sz="8" w:color="auto"/>
            </w:tcBorders>
          </w:tcPr>
          <w:p>
            <w:pPr>
              <w:spacing w:after="0"/>
              <w:rPr>
                <w:sz w:val="2"/>
                <w:szCs w:val="2"/>
                <w:color w:val="auto"/>
              </w:rPr>
            </w:pPr>
          </w:p>
        </w:tc>
      </w:tr>
      <w:tr>
        <w:trPr>
          <w:trHeight w:val="196"/>
        </w:trPr>
        <w:tc>
          <w:tcPr>
            <w:tcW w:w="960" w:type="dxa"/>
            <w:vAlign w:val="bottom"/>
          </w:tcPr>
          <w:p>
            <w:pPr>
              <w:ind w:left="40"/>
              <w:spacing w:after="0" w:line="196" w:lineRule="exact"/>
              <w:rPr>
                <w:sz w:val="20"/>
                <w:szCs w:val="20"/>
                <w:color w:val="auto"/>
              </w:rPr>
            </w:pPr>
            <w:r>
              <w:rPr>
                <w:rFonts w:ascii="Arial" w:cs="Arial" w:eastAsia="Arial" w:hAnsi="Arial"/>
                <w:sz w:val="18"/>
                <w:szCs w:val="18"/>
                <w:color w:val="auto"/>
              </w:rPr>
              <w:t>10.2*</w:t>
            </w:r>
          </w:p>
        </w:tc>
        <w:tc>
          <w:tcPr>
            <w:tcW w:w="5120" w:type="dxa"/>
            <w:vAlign w:val="bottom"/>
            <w:gridSpan w:val="21"/>
          </w:tcPr>
          <w:p>
            <w:pPr>
              <w:spacing w:after="0" w:line="196" w:lineRule="exact"/>
              <w:rPr>
                <w:rFonts w:ascii="Arial" w:cs="Arial" w:eastAsia="Arial" w:hAnsi="Arial"/>
                <w:sz w:val="18"/>
                <w:szCs w:val="18"/>
                <w:color w:val="0000FF"/>
                <w:w w:val="97"/>
              </w:rPr>
            </w:pPr>
            <w:hyperlink r:id="rId82">
              <w:r>
                <w:rPr>
                  <w:rFonts w:ascii="Arial" w:cs="Arial" w:eastAsia="Arial" w:hAnsi="Arial"/>
                  <w:sz w:val="18"/>
                  <w:szCs w:val="18"/>
                  <w:color w:val="0000FF"/>
                  <w:w w:val="97"/>
                </w:rPr>
                <w:t>Amendment 2014-4 to the Nordstrom 401(k) Plan &amp; Profit Sharing</w:t>
              </w:r>
            </w:hyperlink>
          </w:p>
        </w:tc>
        <w:tc>
          <w:tcPr>
            <w:tcW w:w="5340" w:type="dxa"/>
            <w:vAlign w:val="bottom"/>
          </w:tcPr>
          <w:p>
            <w:pPr>
              <w:ind w:left="120"/>
              <w:spacing w:after="0" w:line="196" w:lineRule="exact"/>
              <w:rPr>
                <w:sz w:val="20"/>
                <w:szCs w:val="20"/>
                <w:color w:val="auto"/>
              </w:rPr>
            </w:pPr>
            <w:r>
              <w:rPr>
                <w:rFonts w:ascii="Arial" w:cs="Arial" w:eastAsia="Arial" w:hAnsi="Arial"/>
                <w:sz w:val="18"/>
                <w:szCs w:val="18"/>
                <w:color w:val="auto"/>
                <w:w w:val="96"/>
              </w:rPr>
              <w:t>Incorporated by reference from the Registrant’s Quarterly Report on</w:t>
            </w:r>
          </w:p>
        </w:tc>
      </w:tr>
      <w:tr>
        <w:trPr>
          <w:trHeight w:val="237"/>
        </w:trPr>
        <w:tc>
          <w:tcPr>
            <w:tcW w:w="960" w:type="dxa"/>
            <w:vAlign w:val="bottom"/>
          </w:tcPr>
          <w:p>
            <w:pPr>
              <w:spacing w:after="0"/>
              <w:rPr>
                <w:sz w:val="20"/>
                <w:szCs w:val="20"/>
                <w:color w:val="auto"/>
              </w:rPr>
            </w:pPr>
          </w:p>
        </w:tc>
        <w:tc>
          <w:tcPr>
            <w:tcW w:w="480" w:type="dxa"/>
            <w:vAlign w:val="bottom"/>
            <w:tcBorders>
              <w:top w:val="single" w:sz="8" w:color="0000FF"/>
            </w:tcBorders>
          </w:tcPr>
          <w:p>
            <w:pPr>
              <w:spacing w:after="0"/>
              <w:rPr>
                <w:sz w:val="20"/>
                <w:szCs w:val="20"/>
                <w:color w:val="auto"/>
              </w:rPr>
            </w:pPr>
          </w:p>
        </w:tc>
        <w:tc>
          <w:tcPr>
            <w:tcW w:w="3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560" w:type="dxa"/>
            <w:vAlign w:val="bottom"/>
            <w:tcBorders>
              <w:top w:val="single" w:sz="8" w:color="0000FF"/>
            </w:tcBorders>
          </w:tcPr>
          <w:p>
            <w:pPr>
              <w:spacing w:after="0"/>
              <w:rPr>
                <w:sz w:val="20"/>
                <w:szCs w:val="20"/>
                <w:color w:val="auto"/>
              </w:rPr>
            </w:pPr>
          </w:p>
        </w:tc>
        <w:tc>
          <w:tcPr>
            <w:tcW w:w="260" w:type="dxa"/>
            <w:vAlign w:val="bottom"/>
            <w:tcBorders>
              <w:top w:val="single" w:sz="8" w:color="0000FF"/>
            </w:tcBorders>
          </w:tcPr>
          <w:p>
            <w:pPr>
              <w:spacing w:after="0"/>
              <w:rPr>
                <w:sz w:val="20"/>
                <w:szCs w:val="20"/>
                <w:color w:val="auto"/>
              </w:rPr>
            </w:pPr>
          </w:p>
        </w:tc>
        <w:tc>
          <w:tcPr>
            <w:tcW w:w="960" w:type="dxa"/>
            <w:vAlign w:val="bottom"/>
            <w:tcBorders>
              <w:top w:val="single" w:sz="8" w:color="0000FF"/>
            </w:tcBorders>
          </w:tcPr>
          <w:p>
            <w:pPr>
              <w:spacing w:after="0"/>
              <w:rPr>
                <w:sz w:val="20"/>
                <w:szCs w:val="20"/>
                <w:color w:val="auto"/>
              </w:rPr>
            </w:pPr>
          </w:p>
        </w:tc>
        <w:tc>
          <w:tcPr>
            <w:tcW w:w="620" w:type="dxa"/>
            <w:vAlign w:val="bottom"/>
            <w:tcBorders>
              <w:top w:val="single" w:sz="8" w:color="0000FF"/>
            </w:tcBorders>
          </w:tcPr>
          <w:p>
            <w:pPr>
              <w:spacing w:after="0"/>
              <w:rPr>
                <w:sz w:val="20"/>
                <w:szCs w:val="20"/>
                <w:color w:val="auto"/>
              </w:rPr>
            </w:pPr>
          </w:p>
        </w:tc>
        <w:tc>
          <w:tcPr>
            <w:tcW w:w="80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340" w:type="dxa"/>
            <w:vAlign w:val="bottom"/>
          </w:tcPr>
          <w:p>
            <w:pPr>
              <w:ind w:left="120"/>
              <w:spacing w:after="0"/>
              <w:rPr>
                <w:sz w:val="20"/>
                <w:szCs w:val="20"/>
                <w:color w:val="auto"/>
              </w:rPr>
            </w:pPr>
            <w:r>
              <w:rPr>
                <w:rFonts w:ascii="Arial" w:cs="Arial" w:eastAsia="Arial" w:hAnsi="Arial"/>
                <w:sz w:val="18"/>
                <w:szCs w:val="18"/>
                <w:color w:val="auto"/>
              </w:rPr>
              <w:t>Form 10-Q for the quarter ended August 2, 2014, Exhibit 10.6</w:t>
            </w:r>
          </w:p>
        </w:tc>
      </w:tr>
      <w:tr>
        <w:trPr>
          <w:trHeight w:val="351"/>
        </w:trPr>
        <w:tc>
          <w:tcPr>
            <w:tcW w:w="960" w:type="dxa"/>
            <w:vAlign w:val="bottom"/>
          </w:tcPr>
          <w:p>
            <w:pPr>
              <w:ind w:left="40"/>
              <w:spacing w:after="0"/>
              <w:rPr>
                <w:sz w:val="20"/>
                <w:szCs w:val="20"/>
                <w:color w:val="auto"/>
              </w:rPr>
            </w:pPr>
            <w:r>
              <w:rPr>
                <w:rFonts w:ascii="Arial" w:cs="Arial" w:eastAsia="Arial" w:hAnsi="Arial"/>
                <w:sz w:val="18"/>
                <w:szCs w:val="18"/>
                <w:color w:val="auto"/>
              </w:rPr>
              <w:t>10.3*</w:t>
            </w:r>
          </w:p>
        </w:tc>
        <w:tc>
          <w:tcPr>
            <w:tcW w:w="5120" w:type="dxa"/>
            <w:vAlign w:val="bottom"/>
            <w:gridSpan w:val="21"/>
          </w:tcPr>
          <w:p>
            <w:pPr>
              <w:spacing w:after="0"/>
              <w:rPr>
                <w:rFonts w:ascii="Arial" w:cs="Arial" w:eastAsia="Arial" w:hAnsi="Arial"/>
                <w:sz w:val="18"/>
                <w:szCs w:val="18"/>
                <w:color w:val="0000FF"/>
                <w:w w:val="97"/>
              </w:rPr>
            </w:pPr>
            <w:hyperlink r:id="rId83">
              <w:r>
                <w:rPr>
                  <w:rFonts w:ascii="Arial" w:cs="Arial" w:eastAsia="Arial" w:hAnsi="Arial"/>
                  <w:sz w:val="18"/>
                  <w:szCs w:val="18"/>
                  <w:color w:val="0000FF"/>
                  <w:w w:val="97"/>
                </w:rPr>
                <w:t>Amendment 2014-5 to the Nordstrom 401(k) Plan &amp; Profit Sharing</w:t>
              </w:r>
            </w:hyperlink>
          </w:p>
        </w:tc>
        <w:tc>
          <w:tcPr>
            <w:tcW w:w="5340" w:type="dxa"/>
            <w:vAlign w:val="bottom"/>
          </w:tcPr>
          <w:p>
            <w:pPr>
              <w:ind w:left="120"/>
              <w:spacing w:after="0"/>
              <w:rPr>
                <w:sz w:val="20"/>
                <w:szCs w:val="20"/>
                <w:color w:val="auto"/>
              </w:rPr>
            </w:pPr>
            <w:r>
              <w:rPr>
                <w:rFonts w:ascii="Arial" w:cs="Arial" w:eastAsia="Arial" w:hAnsi="Arial"/>
                <w:sz w:val="18"/>
                <w:szCs w:val="18"/>
                <w:color w:val="auto"/>
                <w:w w:val="96"/>
              </w:rPr>
              <w:t>Incorporated by reference from the Registrant’s Quarterly Report on</w:t>
            </w:r>
          </w:p>
        </w:tc>
      </w:tr>
      <w:tr>
        <w:trPr>
          <w:trHeight w:val="237"/>
        </w:trPr>
        <w:tc>
          <w:tcPr>
            <w:tcW w:w="960" w:type="dxa"/>
            <w:vAlign w:val="bottom"/>
          </w:tcPr>
          <w:p>
            <w:pPr>
              <w:spacing w:after="0"/>
              <w:rPr>
                <w:sz w:val="20"/>
                <w:szCs w:val="20"/>
                <w:color w:val="auto"/>
              </w:rPr>
            </w:pPr>
          </w:p>
        </w:tc>
        <w:tc>
          <w:tcPr>
            <w:tcW w:w="480" w:type="dxa"/>
            <w:vAlign w:val="bottom"/>
            <w:tcBorders>
              <w:top w:val="single" w:sz="8" w:color="0000FF"/>
            </w:tcBorders>
          </w:tcPr>
          <w:p>
            <w:pPr>
              <w:spacing w:after="0"/>
              <w:rPr>
                <w:sz w:val="20"/>
                <w:szCs w:val="20"/>
                <w:color w:val="auto"/>
              </w:rPr>
            </w:pPr>
          </w:p>
        </w:tc>
        <w:tc>
          <w:tcPr>
            <w:tcW w:w="3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560" w:type="dxa"/>
            <w:vAlign w:val="bottom"/>
            <w:tcBorders>
              <w:top w:val="single" w:sz="8" w:color="0000FF"/>
            </w:tcBorders>
          </w:tcPr>
          <w:p>
            <w:pPr>
              <w:spacing w:after="0"/>
              <w:rPr>
                <w:sz w:val="20"/>
                <w:szCs w:val="20"/>
                <w:color w:val="auto"/>
              </w:rPr>
            </w:pPr>
          </w:p>
        </w:tc>
        <w:tc>
          <w:tcPr>
            <w:tcW w:w="260" w:type="dxa"/>
            <w:vAlign w:val="bottom"/>
            <w:tcBorders>
              <w:top w:val="single" w:sz="8" w:color="0000FF"/>
            </w:tcBorders>
          </w:tcPr>
          <w:p>
            <w:pPr>
              <w:spacing w:after="0"/>
              <w:rPr>
                <w:sz w:val="20"/>
                <w:szCs w:val="20"/>
                <w:color w:val="auto"/>
              </w:rPr>
            </w:pPr>
          </w:p>
        </w:tc>
        <w:tc>
          <w:tcPr>
            <w:tcW w:w="960" w:type="dxa"/>
            <w:vAlign w:val="bottom"/>
            <w:tcBorders>
              <w:top w:val="single" w:sz="8" w:color="0000FF"/>
            </w:tcBorders>
          </w:tcPr>
          <w:p>
            <w:pPr>
              <w:spacing w:after="0"/>
              <w:rPr>
                <w:sz w:val="20"/>
                <w:szCs w:val="20"/>
                <w:color w:val="auto"/>
              </w:rPr>
            </w:pPr>
          </w:p>
        </w:tc>
        <w:tc>
          <w:tcPr>
            <w:tcW w:w="620" w:type="dxa"/>
            <w:vAlign w:val="bottom"/>
            <w:tcBorders>
              <w:top w:val="single" w:sz="8" w:color="0000FF"/>
            </w:tcBorders>
          </w:tcPr>
          <w:p>
            <w:pPr>
              <w:spacing w:after="0"/>
              <w:rPr>
                <w:sz w:val="20"/>
                <w:szCs w:val="20"/>
                <w:color w:val="auto"/>
              </w:rPr>
            </w:pPr>
          </w:p>
        </w:tc>
        <w:tc>
          <w:tcPr>
            <w:tcW w:w="80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340" w:type="dxa"/>
            <w:vAlign w:val="bottom"/>
          </w:tcPr>
          <w:p>
            <w:pPr>
              <w:ind w:left="120"/>
              <w:spacing w:after="0"/>
              <w:rPr>
                <w:sz w:val="20"/>
                <w:szCs w:val="20"/>
                <w:color w:val="auto"/>
              </w:rPr>
            </w:pPr>
            <w:r>
              <w:rPr>
                <w:rFonts w:ascii="Arial" w:cs="Arial" w:eastAsia="Arial" w:hAnsi="Arial"/>
                <w:sz w:val="18"/>
                <w:szCs w:val="18"/>
                <w:color w:val="auto"/>
              </w:rPr>
              <w:t>Form 10-Q for the quarter ended November 1, 2014, Exhibit 10.2</w:t>
            </w:r>
          </w:p>
        </w:tc>
      </w:tr>
      <w:tr>
        <w:trPr>
          <w:trHeight w:val="351"/>
        </w:trPr>
        <w:tc>
          <w:tcPr>
            <w:tcW w:w="960" w:type="dxa"/>
            <w:vAlign w:val="bottom"/>
          </w:tcPr>
          <w:p>
            <w:pPr>
              <w:ind w:left="40"/>
              <w:spacing w:after="0"/>
              <w:rPr>
                <w:sz w:val="20"/>
                <w:szCs w:val="20"/>
                <w:color w:val="auto"/>
              </w:rPr>
            </w:pPr>
            <w:r>
              <w:rPr>
                <w:rFonts w:ascii="Arial" w:cs="Arial" w:eastAsia="Arial" w:hAnsi="Arial"/>
                <w:sz w:val="18"/>
                <w:szCs w:val="18"/>
                <w:color w:val="auto"/>
              </w:rPr>
              <w:t>10.4*</w:t>
            </w:r>
          </w:p>
        </w:tc>
        <w:tc>
          <w:tcPr>
            <w:tcW w:w="5120" w:type="dxa"/>
            <w:vAlign w:val="bottom"/>
            <w:gridSpan w:val="21"/>
          </w:tcPr>
          <w:p>
            <w:pPr>
              <w:spacing w:after="0"/>
              <w:rPr>
                <w:rFonts w:ascii="Arial" w:cs="Arial" w:eastAsia="Arial" w:hAnsi="Arial"/>
                <w:sz w:val="18"/>
                <w:szCs w:val="18"/>
                <w:color w:val="0000FF"/>
                <w:w w:val="97"/>
              </w:rPr>
            </w:pPr>
            <w:hyperlink r:id="rId84">
              <w:r>
                <w:rPr>
                  <w:rFonts w:ascii="Arial" w:cs="Arial" w:eastAsia="Arial" w:hAnsi="Arial"/>
                  <w:sz w:val="18"/>
                  <w:szCs w:val="18"/>
                  <w:color w:val="0000FF"/>
                  <w:w w:val="97"/>
                </w:rPr>
                <w:t>Amendment 2014-6 to the Nordstrom 401(k) Plan &amp; Profit Sharing</w:t>
              </w:r>
            </w:hyperlink>
          </w:p>
        </w:tc>
        <w:tc>
          <w:tcPr>
            <w:tcW w:w="5340" w:type="dxa"/>
            <w:vAlign w:val="bottom"/>
          </w:tcPr>
          <w:p>
            <w:pPr>
              <w:ind w:left="120"/>
              <w:spacing w:after="0"/>
              <w:rPr>
                <w:sz w:val="20"/>
                <w:szCs w:val="20"/>
                <w:color w:val="auto"/>
              </w:rPr>
            </w:pPr>
            <w:r>
              <w:rPr>
                <w:rFonts w:ascii="Arial" w:cs="Arial" w:eastAsia="Arial" w:hAnsi="Arial"/>
                <w:sz w:val="18"/>
                <w:szCs w:val="18"/>
                <w:color w:val="auto"/>
                <w:w w:val="96"/>
              </w:rPr>
              <w:t>Incorporated by reference from the Registrant’s Quarterly Report on</w:t>
            </w:r>
          </w:p>
        </w:tc>
      </w:tr>
      <w:tr>
        <w:trPr>
          <w:trHeight w:val="237"/>
        </w:trPr>
        <w:tc>
          <w:tcPr>
            <w:tcW w:w="960" w:type="dxa"/>
            <w:vAlign w:val="bottom"/>
          </w:tcPr>
          <w:p>
            <w:pPr>
              <w:spacing w:after="0"/>
              <w:rPr>
                <w:sz w:val="20"/>
                <w:szCs w:val="20"/>
                <w:color w:val="auto"/>
              </w:rPr>
            </w:pPr>
          </w:p>
        </w:tc>
        <w:tc>
          <w:tcPr>
            <w:tcW w:w="480" w:type="dxa"/>
            <w:vAlign w:val="bottom"/>
            <w:tcBorders>
              <w:top w:val="single" w:sz="8" w:color="0000FF"/>
            </w:tcBorders>
          </w:tcPr>
          <w:p>
            <w:pPr>
              <w:spacing w:after="0"/>
              <w:rPr>
                <w:sz w:val="20"/>
                <w:szCs w:val="20"/>
                <w:color w:val="auto"/>
              </w:rPr>
            </w:pPr>
          </w:p>
        </w:tc>
        <w:tc>
          <w:tcPr>
            <w:tcW w:w="3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560" w:type="dxa"/>
            <w:vAlign w:val="bottom"/>
            <w:tcBorders>
              <w:top w:val="single" w:sz="8" w:color="0000FF"/>
            </w:tcBorders>
          </w:tcPr>
          <w:p>
            <w:pPr>
              <w:spacing w:after="0"/>
              <w:rPr>
                <w:sz w:val="20"/>
                <w:szCs w:val="20"/>
                <w:color w:val="auto"/>
              </w:rPr>
            </w:pPr>
          </w:p>
        </w:tc>
        <w:tc>
          <w:tcPr>
            <w:tcW w:w="260" w:type="dxa"/>
            <w:vAlign w:val="bottom"/>
            <w:tcBorders>
              <w:top w:val="single" w:sz="8" w:color="0000FF"/>
            </w:tcBorders>
          </w:tcPr>
          <w:p>
            <w:pPr>
              <w:spacing w:after="0"/>
              <w:rPr>
                <w:sz w:val="20"/>
                <w:szCs w:val="20"/>
                <w:color w:val="auto"/>
              </w:rPr>
            </w:pPr>
          </w:p>
        </w:tc>
        <w:tc>
          <w:tcPr>
            <w:tcW w:w="960" w:type="dxa"/>
            <w:vAlign w:val="bottom"/>
            <w:tcBorders>
              <w:top w:val="single" w:sz="8" w:color="0000FF"/>
            </w:tcBorders>
          </w:tcPr>
          <w:p>
            <w:pPr>
              <w:spacing w:after="0"/>
              <w:rPr>
                <w:sz w:val="20"/>
                <w:szCs w:val="20"/>
                <w:color w:val="auto"/>
              </w:rPr>
            </w:pPr>
          </w:p>
        </w:tc>
        <w:tc>
          <w:tcPr>
            <w:tcW w:w="620" w:type="dxa"/>
            <w:vAlign w:val="bottom"/>
            <w:tcBorders>
              <w:top w:val="single" w:sz="8" w:color="0000FF"/>
            </w:tcBorders>
          </w:tcPr>
          <w:p>
            <w:pPr>
              <w:spacing w:after="0"/>
              <w:rPr>
                <w:sz w:val="20"/>
                <w:szCs w:val="20"/>
                <w:color w:val="auto"/>
              </w:rPr>
            </w:pPr>
          </w:p>
        </w:tc>
        <w:tc>
          <w:tcPr>
            <w:tcW w:w="80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340" w:type="dxa"/>
            <w:vAlign w:val="bottom"/>
          </w:tcPr>
          <w:p>
            <w:pPr>
              <w:ind w:left="120"/>
              <w:spacing w:after="0"/>
              <w:rPr>
                <w:sz w:val="20"/>
                <w:szCs w:val="20"/>
                <w:color w:val="auto"/>
              </w:rPr>
            </w:pPr>
            <w:r>
              <w:rPr>
                <w:rFonts w:ascii="Arial" w:cs="Arial" w:eastAsia="Arial" w:hAnsi="Arial"/>
                <w:sz w:val="18"/>
                <w:szCs w:val="18"/>
                <w:color w:val="auto"/>
              </w:rPr>
              <w:t>Form 10-Q for the quarter ended November 1, 2014, Exhibit 10.3</w:t>
            </w:r>
          </w:p>
        </w:tc>
      </w:tr>
      <w:tr>
        <w:trPr>
          <w:trHeight w:val="351"/>
        </w:trPr>
        <w:tc>
          <w:tcPr>
            <w:tcW w:w="960" w:type="dxa"/>
            <w:vAlign w:val="bottom"/>
          </w:tcPr>
          <w:p>
            <w:pPr>
              <w:ind w:left="40"/>
              <w:spacing w:after="0"/>
              <w:rPr>
                <w:sz w:val="20"/>
                <w:szCs w:val="20"/>
                <w:color w:val="auto"/>
              </w:rPr>
            </w:pPr>
            <w:r>
              <w:rPr>
                <w:rFonts w:ascii="Arial" w:cs="Arial" w:eastAsia="Arial" w:hAnsi="Arial"/>
                <w:sz w:val="18"/>
                <w:szCs w:val="18"/>
                <w:color w:val="auto"/>
              </w:rPr>
              <w:t>10.5*</w:t>
            </w:r>
          </w:p>
        </w:tc>
        <w:tc>
          <w:tcPr>
            <w:tcW w:w="5120" w:type="dxa"/>
            <w:vAlign w:val="bottom"/>
            <w:gridSpan w:val="21"/>
          </w:tcPr>
          <w:p>
            <w:pPr>
              <w:spacing w:after="0"/>
              <w:rPr>
                <w:rFonts w:ascii="Arial" w:cs="Arial" w:eastAsia="Arial" w:hAnsi="Arial"/>
                <w:sz w:val="18"/>
                <w:szCs w:val="18"/>
                <w:color w:val="0000FF"/>
                <w:w w:val="99"/>
              </w:rPr>
            </w:pPr>
            <w:hyperlink r:id="rId85">
              <w:r>
                <w:rPr>
                  <w:rFonts w:ascii="Arial" w:cs="Arial" w:eastAsia="Arial" w:hAnsi="Arial"/>
                  <w:sz w:val="18"/>
                  <w:szCs w:val="18"/>
                  <w:color w:val="0000FF"/>
                  <w:w w:val="99"/>
                </w:rPr>
                <w:t>Amended and Restated Nordstrom, Inc. Executive Management</w:t>
              </w:r>
            </w:hyperlink>
          </w:p>
        </w:tc>
        <w:tc>
          <w:tcPr>
            <w:tcW w:w="5340" w:type="dxa"/>
            <w:vAlign w:val="bottom"/>
          </w:tcPr>
          <w:p>
            <w:pPr>
              <w:ind w:left="120"/>
              <w:spacing w:after="0"/>
              <w:rPr>
                <w:sz w:val="20"/>
                <w:szCs w:val="20"/>
                <w:color w:val="auto"/>
              </w:rPr>
            </w:pPr>
            <w:r>
              <w:rPr>
                <w:rFonts w:ascii="Arial" w:cs="Arial" w:eastAsia="Arial" w:hAnsi="Arial"/>
                <w:sz w:val="18"/>
                <w:szCs w:val="18"/>
                <w:color w:val="auto"/>
                <w:w w:val="96"/>
              </w:rPr>
              <w:t>Incorporated by reference from the Registrant’s Form DEF 14A filed</w:t>
            </w:r>
          </w:p>
        </w:tc>
      </w:tr>
      <w:tr>
        <w:trPr>
          <w:trHeight w:val="196"/>
        </w:trPr>
        <w:tc>
          <w:tcPr>
            <w:tcW w:w="960" w:type="dxa"/>
            <w:vAlign w:val="bottom"/>
          </w:tcPr>
          <w:p>
            <w:pPr>
              <w:spacing w:after="0"/>
              <w:rPr>
                <w:sz w:val="17"/>
                <w:szCs w:val="17"/>
                <w:color w:val="auto"/>
              </w:rPr>
            </w:pPr>
          </w:p>
        </w:tc>
        <w:tc>
          <w:tcPr>
            <w:tcW w:w="84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89"/>
              </w:rPr>
            </w:pPr>
            <w:hyperlink r:id="rId85">
              <w:r>
                <w:rPr>
                  <w:rFonts w:ascii="Arial" w:cs="Arial" w:eastAsia="Arial" w:hAnsi="Arial"/>
                  <w:sz w:val="18"/>
                  <w:szCs w:val="18"/>
                  <w:color w:val="0000FF"/>
                  <w:w w:val="89"/>
                </w:rPr>
                <w:t>Bonus Plan</w:t>
              </w:r>
            </w:hyperlink>
          </w:p>
        </w:tc>
        <w:tc>
          <w:tcPr>
            <w:tcW w:w="3760" w:type="dxa"/>
            <w:vAlign w:val="bottom"/>
            <w:tcBorders>
              <w:top w:val="single" w:sz="8" w:color="0000FF"/>
            </w:tcBorders>
            <w:gridSpan w:val="12"/>
          </w:tcPr>
          <w:p>
            <w:pPr>
              <w:spacing w:after="0"/>
              <w:rPr>
                <w:sz w:val="17"/>
                <w:szCs w:val="17"/>
                <w:color w:val="auto"/>
              </w:rPr>
            </w:pPr>
          </w:p>
        </w:tc>
        <w:tc>
          <w:tcPr>
            <w:tcW w:w="520" w:type="dxa"/>
            <w:vAlign w:val="bottom"/>
            <w:gridSpan w:val="6"/>
          </w:tcPr>
          <w:p>
            <w:pPr>
              <w:spacing w:after="0"/>
              <w:rPr>
                <w:sz w:val="17"/>
                <w:szCs w:val="17"/>
                <w:color w:val="auto"/>
              </w:rPr>
            </w:pPr>
          </w:p>
        </w:tc>
        <w:tc>
          <w:tcPr>
            <w:tcW w:w="5340" w:type="dxa"/>
            <w:vAlign w:val="bottom"/>
          </w:tcPr>
          <w:p>
            <w:pPr>
              <w:ind w:left="120"/>
              <w:spacing w:after="0" w:line="196" w:lineRule="exact"/>
              <w:rPr>
                <w:sz w:val="20"/>
                <w:szCs w:val="20"/>
                <w:color w:val="auto"/>
              </w:rPr>
            </w:pPr>
            <w:r>
              <w:rPr>
                <w:rFonts w:ascii="Arial" w:cs="Arial" w:eastAsia="Arial" w:hAnsi="Arial"/>
                <w:sz w:val="18"/>
                <w:szCs w:val="18"/>
                <w:color w:val="auto"/>
              </w:rPr>
              <w:t>on March 30, 2012</w:t>
            </w:r>
          </w:p>
        </w:tc>
      </w:tr>
      <w:tr>
        <w:trPr>
          <w:trHeight w:val="372"/>
        </w:trPr>
        <w:tc>
          <w:tcPr>
            <w:tcW w:w="960" w:type="dxa"/>
            <w:vAlign w:val="bottom"/>
          </w:tcPr>
          <w:p>
            <w:pPr>
              <w:ind w:left="40"/>
              <w:spacing w:after="0"/>
              <w:rPr>
                <w:sz w:val="20"/>
                <w:szCs w:val="20"/>
                <w:color w:val="auto"/>
              </w:rPr>
            </w:pPr>
            <w:r>
              <w:rPr>
                <w:rFonts w:ascii="Arial" w:cs="Arial" w:eastAsia="Arial" w:hAnsi="Arial"/>
                <w:sz w:val="18"/>
                <w:szCs w:val="18"/>
                <w:color w:val="auto"/>
              </w:rPr>
              <w:t>10.6*</w:t>
            </w:r>
          </w:p>
        </w:tc>
        <w:tc>
          <w:tcPr>
            <w:tcW w:w="5120" w:type="dxa"/>
            <w:vAlign w:val="bottom"/>
            <w:gridSpan w:val="21"/>
          </w:tcPr>
          <w:p>
            <w:pPr>
              <w:spacing w:after="0"/>
              <w:rPr>
                <w:rFonts w:ascii="Arial" w:cs="Arial" w:eastAsia="Arial" w:hAnsi="Arial"/>
                <w:sz w:val="18"/>
                <w:szCs w:val="18"/>
                <w:color w:val="0000FF"/>
                <w:w w:val="99"/>
              </w:rPr>
            </w:pPr>
            <w:hyperlink r:id="rId86">
              <w:r>
                <w:rPr>
                  <w:rFonts w:ascii="Arial" w:cs="Arial" w:eastAsia="Arial" w:hAnsi="Arial"/>
                  <w:sz w:val="18"/>
                  <w:szCs w:val="18"/>
                  <w:color w:val="0000FF"/>
                  <w:w w:val="99"/>
                </w:rPr>
                <w:t>Amended and Restated Nordstrom, Inc. Executive Management</w:t>
              </w:r>
            </w:hyperlink>
          </w:p>
        </w:tc>
        <w:tc>
          <w:tcPr>
            <w:tcW w:w="5340" w:type="dxa"/>
            <w:vAlign w:val="bottom"/>
          </w:tcPr>
          <w:p>
            <w:pPr>
              <w:ind w:left="120"/>
              <w:spacing w:after="0"/>
              <w:rPr>
                <w:sz w:val="20"/>
                <w:szCs w:val="20"/>
                <w:color w:val="auto"/>
              </w:rPr>
            </w:pPr>
            <w:r>
              <w:rPr>
                <w:rFonts w:ascii="Arial" w:cs="Arial" w:eastAsia="Arial" w:hAnsi="Arial"/>
                <w:sz w:val="18"/>
                <w:szCs w:val="18"/>
                <w:color w:val="auto"/>
                <w:w w:val="96"/>
              </w:rPr>
              <w:t>Incorporated by reference from the Registrant’s Form DEF 14A filed</w:t>
            </w:r>
          </w:p>
        </w:tc>
      </w:tr>
      <w:tr>
        <w:trPr>
          <w:trHeight w:val="196"/>
        </w:trPr>
        <w:tc>
          <w:tcPr>
            <w:tcW w:w="960" w:type="dxa"/>
            <w:vAlign w:val="bottom"/>
          </w:tcPr>
          <w:p>
            <w:pPr>
              <w:spacing w:after="0"/>
              <w:rPr>
                <w:sz w:val="17"/>
                <w:szCs w:val="17"/>
                <w:color w:val="auto"/>
              </w:rPr>
            </w:pPr>
          </w:p>
        </w:tc>
        <w:tc>
          <w:tcPr>
            <w:tcW w:w="82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6"/>
              </w:rPr>
            </w:pPr>
            <w:hyperlink r:id="rId86">
              <w:r>
                <w:rPr>
                  <w:rFonts w:ascii="Arial" w:cs="Arial" w:eastAsia="Arial" w:hAnsi="Arial"/>
                  <w:sz w:val="18"/>
                  <w:szCs w:val="18"/>
                  <w:color w:val="0000FF"/>
                  <w:w w:val="86"/>
                </w:rPr>
                <w:t>Bonus Plan</w:t>
              </w:r>
            </w:hyperlink>
          </w:p>
        </w:tc>
        <w:tc>
          <w:tcPr>
            <w:tcW w:w="3780" w:type="dxa"/>
            <w:vAlign w:val="bottom"/>
            <w:tcBorders>
              <w:top w:val="single" w:sz="8" w:color="0000FF"/>
            </w:tcBorders>
            <w:gridSpan w:val="13"/>
          </w:tcPr>
          <w:p>
            <w:pPr>
              <w:spacing w:after="0"/>
              <w:rPr>
                <w:sz w:val="17"/>
                <w:szCs w:val="17"/>
                <w:color w:val="auto"/>
              </w:rPr>
            </w:pPr>
          </w:p>
        </w:tc>
        <w:tc>
          <w:tcPr>
            <w:tcW w:w="520" w:type="dxa"/>
            <w:vAlign w:val="bottom"/>
            <w:gridSpan w:val="6"/>
          </w:tcPr>
          <w:p>
            <w:pPr>
              <w:spacing w:after="0"/>
              <w:rPr>
                <w:sz w:val="17"/>
                <w:szCs w:val="17"/>
                <w:color w:val="auto"/>
              </w:rPr>
            </w:pPr>
          </w:p>
        </w:tc>
        <w:tc>
          <w:tcPr>
            <w:tcW w:w="5340" w:type="dxa"/>
            <w:vAlign w:val="bottom"/>
          </w:tcPr>
          <w:p>
            <w:pPr>
              <w:ind w:left="120"/>
              <w:spacing w:after="0" w:line="196" w:lineRule="exact"/>
              <w:rPr>
                <w:sz w:val="20"/>
                <w:szCs w:val="20"/>
                <w:color w:val="auto"/>
              </w:rPr>
            </w:pPr>
            <w:r>
              <w:rPr>
                <w:rFonts w:ascii="Arial" w:cs="Arial" w:eastAsia="Arial" w:hAnsi="Arial"/>
                <w:sz w:val="18"/>
                <w:szCs w:val="18"/>
                <w:color w:val="auto"/>
              </w:rPr>
              <w:t>on April 8, 2016</w:t>
            </w:r>
          </w:p>
        </w:tc>
      </w:tr>
      <w:tr>
        <w:trPr>
          <w:trHeight w:val="372"/>
        </w:trPr>
        <w:tc>
          <w:tcPr>
            <w:tcW w:w="960" w:type="dxa"/>
            <w:vAlign w:val="bottom"/>
          </w:tcPr>
          <w:p>
            <w:pPr>
              <w:ind w:left="40"/>
              <w:spacing w:after="0"/>
              <w:rPr>
                <w:sz w:val="20"/>
                <w:szCs w:val="20"/>
                <w:color w:val="auto"/>
              </w:rPr>
            </w:pPr>
            <w:r>
              <w:rPr>
                <w:rFonts w:ascii="Arial" w:cs="Arial" w:eastAsia="Arial" w:hAnsi="Arial"/>
                <w:sz w:val="18"/>
                <w:szCs w:val="18"/>
                <w:color w:val="auto"/>
              </w:rPr>
              <w:t>10.7*</w:t>
            </w:r>
          </w:p>
        </w:tc>
        <w:tc>
          <w:tcPr>
            <w:tcW w:w="4140" w:type="dxa"/>
            <w:vAlign w:val="bottom"/>
            <w:tcBorders>
              <w:bottom w:val="single" w:sz="8" w:color="0000FF"/>
            </w:tcBorders>
            <w:gridSpan w:val="9"/>
          </w:tcPr>
          <w:p>
            <w:pPr>
              <w:spacing w:after="0"/>
              <w:rPr>
                <w:rFonts w:ascii="Arial" w:cs="Arial" w:eastAsia="Arial" w:hAnsi="Arial"/>
                <w:sz w:val="18"/>
                <w:szCs w:val="18"/>
                <w:color w:val="0000FF"/>
                <w:w w:val="90"/>
              </w:rPr>
            </w:pPr>
            <w:hyperlink w:anchor="page77">
              <w:r>
                <w:rPr>
                  <w:rFonts w:ascii="Arial" w:cs="Arial" w:eastAsia="Arial" w:hAnsi="Arial"/>
                  <w:sz w:val="18"/>
                  <w:szCs w:val="18"/>
                  <w:color w:val="0000FF"/>
                  <w:w w:val="90"/>
                </w:rPr>
                <w:t>Nordstrom Executive Deferred Compensation Plan (2017</w:t>
              </w:r>
            </w:hyperlink>
          </w:p>
        </w:tc>
        <w:tc>
          <w:tcPr>
            <w:tcW w:w="980" w:type="dxa"/>
            <w:vAlign w:val="bottom"/>
            <w:gridSpan w:val="12"/>
          </w:tcPr>
          <w:p>
            <w:pPr>
              <w:spacing w:after="0"/>
              <w:rPr>
                <w:sz w:val="24"/>
                <w:szCs w:val="24"/>
                <w:color w:val="auto"/>
              </w:rPr>
            </w:pPr>
          </w:p>
        </w:tc>
        <w:tc>
          <w:tcPr>
            <w:tcW w:w="5340" w:type="dxa"/>
            <w:vAlign w:val="bottom"/>
          </w:tcPr>
          <w:p>
            <w:pPr>
              <w:ind w:left="120"/>
              <w:spacing w:after="0"/>
              <w:rPr>
                <w:sz w:val="20"/>
                <w:szCs w:val="20"/>
                <w:color w:val="auto"/>
              </w:rPr>
            </w:pPr>
            <w:r>
              <w:rPr>
                <w:rFonts w:ascii="Arial" w:cs="Arial" w:eastAsia="Arial" w:hAnsi="Arial"/>
                <w:sz w:val="18"/>
                <w:szCs w:val="18"/>
                <w:color w:val="auto"/>
              </w:rPr>
              <w:t>Filed herewith electronically</w:t>
            </w:r>
          </w:p>
        </w:tc>
      </w:tr>
      <w:tr>
        <w:trPr>
          <w:trHeight w:val="196"/>
        </w:trPr>
        <w:tc>
          <w:tcPr>
            <w:tcW w:w="960" w:type="dxa"/>
            <w:vAlign w:val="bottom"/>
          </w:tcPr>
          <w:p>
            <w:pPr>
              <w:spacing w:after="0"/>
              <w:rPr>
                <w:sz w:val="17"/>
                <w:szCs w:val="17"/>
                <w:color w:val="auto"/>
              </w:rPr>
            </w:pPr>
          </w:p>
        </w:tc>
        <w:tc>
          <w:tcPr>
            <w:tcW w:w="5120" w:type="dxa"/>
            <w:vAlign w:val="bottom"/>
            <w:gridSpan w:val="21"/>
          </w:tcPr>
          <w:p>
            <w:pPr>
              <w:spacing w:after="0" w:line="196" w:lineRule="exact"/>
              <w:rPr>
                <w:rFonts w:ascii="Arial" w:cs="Arial" w:eastAsia="Arial" w:hAnsi="Arial"/>
                <w:sz w:val="18"/>
                <w:szCs w:val="18"/>
                <w:color w:val="0000FF"/>
              </w:rPr>
            </w:pPr>
            <w:hyperlink w:anchor="page77">
              <w:r>
                <w:rPr>
                  <w:rFonts w:ascii="Arial" w:cs="Arial" w:eastAsia="Arial" w:hAnsi="Arial"/>
                  <w:sz w:val="18"/>
                  <w:szCs w:val="18"/>
                  <w:color w:val="0000FF"/>
                </w:rPr>
                <w:t>Restatement)</w:t>
              </w:r>
            </w:hyperlink>
          </w:p>
        </w:tc>
        <w:tc>
          <w:tcPr>
            <w:tcW w:w="534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r>
      <w:tr>
        <w:trPr>
          <w:trHeight w:val="372"/>
        </w:trPr>
        <w:tc>
          <w:tcPr>
            <w:tcW w:w="960" w:type="dxa"/>
            <w:vAlign w:val="bottom"/>
          </w:tcPr>
          <w:p>
            <w:pPr>
              <w:ind w:left="40"/>
              <w:spacing w:after="0"/>
              <w:rPr>
                <w:sz w:val="20"/>
                <w:szCs w:val="20"/>
                <w:color w:val="auto"/>
              </w:rPr>
            </w:pPr>
            <w:r>
              <w:rPr>
                <w:rFonts w:ascii="Arial" w:cs="Arial" w:eastAsia="Arial" w:hAnsi="Arial"/>
                <w:sz w:val="18"/>
                <w:szCs w:val="18"/>
                <w:color w:val="auto"/>
              </w:rPr>
              <w:t>10.8*</w:t>
            </w:r>
          </w:p>
        </w:tc>
        <w:tc>
          <w:tcPr>
            <w:tcW w:w="5120" w:type="dxa"/>
            <w:vAlign w:val="bottom"/>
            <w:gridSpan w:val="21"/>
          </w:tcPr>
          <w:p>
            <w:pPr>
              <w:spacing w:after="0"/>
              <w:rPr>
                <w:rFonts w:ascii="Arial" w:cs="Arial" w:eastAsia="Arial" w:hAnsi="Arial"/>
                <w:sz w:val="18"/>
                <w:szCs w:val="18"/>
                <w:color w:val="0000FF"/>
                <w:w w:val="93"/>
              </w:rPr>
            </w:pPr>
            <w:hyperlink r:id="rId87">
              <w:r>
                <w:rPr>
                  <w:rFonts w:ascii="Arial" w:cs="Arial" w:eastAsia="Arial" w:hAnsi="Arial"/>
                  <w:sz w:val="18"/>
                  <w:szCs w:val="18"/>
                  <w:color w:val="0000FF"/>
                  <w:w w:val="93"/>
                </w:rPr>
                <w:t>Nordstrom, Inc. Employee Stock Purchase Plan (2011 Restatement)</w:t>
              </w:r>
            </w:hyperlink>
          </w:p>
        </w:tc>
        <w:tc>
          <w:tcPr>
            <w:tcW w:w="5340" w:type="dxa"/>
            <w:vAlign w:val="bottom"/>
          </w:tcPr>
          <w:p>
            <w:pPr>
              <w:ind w:left="120"/>
              <w:spacing w:after="0"/>
              <w:rPr>
                <w:sz w:val="20"/>
                <w:szCs w:val="20"/>
                <w:color w:val="auto"/>
              </w:rPr>
            </w:pPr>
            <w:r>
              <w:rPr>
                <w:rFonts w:ascii="Arial" w:cs="Arial" w:eastAsia="Arial" w:hAnsi="Arial"/>
                <w:sz w:val="18"/>
                <w:szCs w:val="18"/>
                <w:color w:val="auto"/>
                <w:w w:val="92"/>
              </w:rPr>
              <w:t>Incorporated by reference to Appendix A to the Registrant’s Form DEF</w:t>
            </w:r>
          </w:p>
        </w:tc>
      </w:tr>
      <w:tr>
        <w:trPr>
          <w:trHeight w:val="237"/>
        </w:trPr>
        <w:tc>
          <w:tcPr>
            <w:tcW w:w="960" w:type="dxa"/>
            <w:vAlign w:val="bottom"/>
          </w:tcPr>
          <w:p>
            <w:pPr>
              <w:spacing w:after="0"/>
              <w:rPr>
                <w:sz w:val="20"/>
                <w:szCs w:val="20"/>
                <w:color w:val="auto"/>
              </w:rPr>
            </w:pPr>
          </w:p>
        </w:tc>
        <w:tc>
          <w:tcPr>
            <w:tcW w:w="480" w:type="dxa"/>
            <w:vAlign w:val="bottom"/>
            <w:tcBorders>
              <w:top w:val="single" w:sz="8" w:color="0000FF"/>
            </w:tcBorders>
          </w:tcPr>
          <w:p>
            <w:pPr>
              <w:spacing w:after="0"/>
              <w:rPr>
                <w:sz w:val="20"/>
                <w:szCs w:val="20"/>
                <w:color w:val="auto"/>
              </w:rPr>
            </w:pPr>
          </w:p>
        </w:tc>
        <w:tc>
          <w:tcPr>
            <w:tcW w:w="3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560" w:type="dxa"/>
            <w:vAlign w:val="bottom"/>
            <w:tcBorders>
              <w:top w:val="single" w:sz="8" w:color="0000FF"/>
            </w:tcBorders>
          </w:tcPr>
          <w:p>
            <w:pPr>
              <w:spacing w:after="0"/>
              <w:rPr>
                <w:sz w:val="20"/>
                <w:szCs w:val="20"/>
                <w:color w:val="auto"/>
              </w:rPr>
            </w:pPr>
          </w:p>
        </w:tc>
        <w:tc>
          <w:tcPr>
            <w:tcW w:w="260" w:type="dxa"/>
            <w:vAlign w:val="bottom"/>
            <w:tcBorders>
              <w:top w:val="single" w:sz="8" w:color="0000FF"/>
            </w:tcBorders>
          </w:tcPr>
          <w:p>
            <w:pPr>
              <w:spacing w:after="0"/>
              <w:rPr>
                <w:sz w:val="20"/>
                <w:szCs w:val="20"/>
                <w:color w:val="auto"/>
              </w:rPr>
            </w:pPr>
          </w:p>
        </w:tc>
        <w:tc>
          <w:tcPr>
            <w:tcW w:w="960" w:type="dxa"/>
            <w:vAlign w:val="bottom"/>
            <w:tcBorders>
              <w:top w:val="single" w:sz="8" w:color="0000FF"/>
            </w:tcBorders>
          </w:tcPr>
          <w:p>
            <w:pPr>
              <w:spacing w:after="0"/>
              <w:rPr>
                <w:sz w:val="20"/>
                <w:szCs w:val="20"/>
                <w:color w:val="auto"/>
              </w:rPr>
            </w:pPr>
          </w:p>
        </w:tc>
        <w:tc>
          <w:tcPr>
            <w:tcW w:w="620" w:type="dxa"/>
            <w:vAlign w:val="bottom"/>
            <w:tcBorders>
              <w:top w:val="single" w:sz="8" w:color="0000FF"/>
            </w:tcBorders>
          </w:tcPr>
          <w:p>
            <w:pPr>
              <w:spacing w:after="0"/>
              <w:rPr>
                <w:sz w:val="20"/>
                <w:szCs w:val="20"/>
                <w:color w:val="auto"/>
              </w:rPr>
            </w:pPr>
          </w:p>
        </w:tc>
        <w:tc>
          <w:tcPr>
            <w:tcW w:w="80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340" w:type="dxa"/>
            <w:vAlign w:val="bottom"/>
          </w:tcPr>
          <w:p>
            <w:pPr>
              <w:ind w:left="120"/>
              <w:spacing w:after="0"/>
              <w:rPr>
                <w:sz w:val="20"/>
                <w:szCs w:val="20"/>
                <w:color w:val="auto"/>
              </w:rPr>
            </w:pPr>
            <w:r>
              <w:rPr>
                <w:rFonts w:ascii="Arial" w:cs="Arial" w:eastAsia="Arial" w:hAnsi="Arial"/>
                <w:sz w:val="18"/>
                <w:szCs w:val="18"/>
                <w:color w:val="auto"/>
              </w:rPr>
              <w:t>14A filed on March 31, 2011</w:t>
            </w:r>
          </w:p>
        </w:tc>
      </w:tr>
      <w:tr>
        <w:trPr>
          <w:trHeight w:val="351"/>
        </w:trPr>
        <w:tc>
          <w:tcPr>
            <w:tcW w:w="960" w:type="dxa"/>
            <w:vAlign w:val="bottom"/>
          </w:tcPr>
          <w:p>
            <w:pPr>
              <w:ind w:left="40"/>
              <w:spacing w:after="0"/>
              <w:rPr>
                <w:sz w:val="20"/>
                <w:szCs w:val="20"/>
                <w:color w:val="auto"/>
              </w:rPr>
            </w:pPr>
            <w:r>
              <w:rPr>
                <w:rFonts w:ascii="Arial" w:cs="Arial" w:eastAsia="Arial" w:hAnsi="Arial"/>
                <w:sz w:val="18"/>
                <w:szCs w:val="18"/>
                <w:color w:val="auto"/>
              </w:rPr>
              <w:t>10.9*</w:t>
            </w:r>
          </w:p>
        </w:tc>
        <w:tc>
          <w:tcPr>
            <w:tcW w:w="5120" w:type="dxa"/>
            <w:vAlign w:val="bottom"/>
            <w:gridSpan w:val="21"/>
          </w:tcPr>
          <w:p>
            <w:pPr>
              <w:spacing w:after="0"/>
              <w:rPr>
                <w:rFonts w:ascii="Arial" w:cs="Arial" w:eastAsia="Arial" w:hAnsi="Arial"/>
                <w:sz w:val="18"/>
                <w:szCs w:val="18"/>
                <w:color w:val="0000FF"/>
                <w:w w:val="92"/>
              </w:rPr>
            </w:pPr>
            <w:hyperlink r:id="rId88">
              <w:r>
                <w:rPr>
                  <w:rFonts w:ascii="Arial" w:cs="Arial" w:eastAsia="Arial" w:hAnsi="Arial"/>
                  <w:sz w:val="18"/>
                  <w:szCs w:val="18"/>
                  <w:color w:val="0000FF"/>
                  <w:w w:val="92"/>
                </w:rPr>
                <w:t>Amendment 2016-1 to the Nordstrom, Inc. Employee Stock Purchase</w:t>
              </w:r>
            </w:hyperlink>
          </w:p>
        </w:tc>
        <w:tc>
          <w:tcPr>
            <w:tcW w:w="5340" w:type="dxa"/>
            <w:vAlign w:val="bottom"/>
          </w:tcPr>
          <w:p>
            <w:pPr>
              <w:ind w:left="120"/>
              <w:spacing w:after="0"/>
              <w:rPr>
                <w:sz w:val="20"/>
                <w:szCs w:val="20"/>
                <w:color w:val="auto"/>
              </w:rPr>
            </w:pPr>
            <w:r>
              <w:rPr>
                <w:rFonts w:ascii="Arial" w:cs="Arial" w:eastAsia="Arial" w:hAnsi="Arial"/>
                <w:sz w:val="18"/>
                <w:szCs w:val="18"/>
                <w:color w:val="auto"/>
                <w:w w:val="96"/>
              </w:rPr>
              <w:t>Incorporated by reference from the Registrant’s Quarterly Report on</w:t>
            </w:r>
          </w:p>
        </w:tc>
      </w:tr>
      <w:tr>
        <w:trPr>
          <w:trHeight w:val="196"/>
        </w:trPr>
        <w:tc>
          <w:tcPr>
            <w:tcW w:w="960" w:type="dxa"/>
            <w:vAlign w:val="bottom"/>
          </w:tcPr>
          <w:p>
            <w:pPr>
              <w:spacing w:after="0"/>
              <w:rPr>
                <w:sz w:val="17"/>
                <w:szCs w:val="17"/>
                <w:color w:val="auto"/>
              </w:rPr>
            </w:pPr>
          </w:p>
        </w:tc>
        <w:tc>
          <w:tcPr>
            <w:tcW w:w="5000" w:type="dxa"/>
            <w:vAlign w:val="bottom"/>
            <w:tcBorders>
              <w:top w:val="single" w:sz="8" w:color="0000FF"/>
            </w:tcBorders>
            <w:gridSpan w:val="20"/>
          </w:tcPr>
          <w:p>
            <w:pPr>
              <w:spacing w:after="0" w:line="196" w:lineRule="exact"/>
              <w:rPr>
                <w:rFonts w:ascii="Arial" w:cs="Arial" w:eastAsia="Arial" w:hAnsi="Arial"/>
                <w:sz w:val="18"/>
                <w:szCs w:val="18"/>
                <w:color w:val="0000FF"/>
              </w:rPr>
            </w:pPr>
            <w:hyperlink r:id="rId88">
              <w:r>
                <w:rPr>
                  <w:rFonts w:ascii="Arial" w:cs="Arial" w:eastAsia="Arial" w:hAnsi="Arial"/>
                  <w:sz w:val="18"/>
                  <w:szCs w:val="18"/>
                  <w:color w:val="0000FF"/>
                </w:rPr>
                <w:t>Plan (2011 Restatement)</w:t>
              </w:r>
            </w:hyperlink>
          </w:p>
        </w:tc>
        <w:tc>
          <w:tcPr>
            <w:tcW w:w="120" w:type="dxa"/>
            <w:vAlign w:val="bottom"/>
          </w:tcPr>
          <w:p>
            <w:pPr>
              <w:spacing w:after="0"/>
              <w:rPr>
                <w:sz w:val="17"/>
                <w:szCs w:val="17"/>
                <w:color w:val="auto"/>
              </w:rPr>
            </w:pPr>
          </w:p>
        </w:tc>
        <w:tc>
          <w:tcPr>
            <w:tcW w:w="5340" w:type="dxa"/>
            <w:vAlign w:val="bottom"/>
          </w:tcPr>
          <w:p>
            <w:pPr>
              <w:ind w:left="120"/>
              <w:spacing w:after="0" w:line="196" w:lineRule="exact"/>
              <w:rPr>
                <w:sz w:val="20"/>
                <w:szCs w:val="20"/>
                <w:color w:val="auto"/>
              </w:rPr>
            </w:pPr>
            <w:r>
              <w:rPr>
                <w:rFonts w:ascii="Arial" w:cs="Arial" w:eastAsia="Arial" w:hAnsi="Arial"/>
                <w:sz w:val="18"/>
                <w:szCs w:val="18"/>
                <w:color w:val="auto"/>
              </w:rPr>
              <w:t>Form 10-Q for the quarter ended July 30, 2016, Exhibit 10.1</w:t>
            </w:r>
          </w:p>
        </w:tc>
      </w:tr>
      <w:tr>
        <w:trPr>
          <w:trHeight w:val="20"/>
        </w:trPr>
        <w:tc>
          <w:tcPr>
            <w:tcW w:w="9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20" w:type="dxa"/>
            <w:vAlign w:val="bottom"/>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r>
      <w:tr>
        <w:trPr>
          <w:trHeight w:val="372"/>
        </w:trPr>
        <w:tc>
          <w:tcPr>
            <w:tcW w:w="960" w:type="dxa"/>
            <w:vAlign w:val="bottom"/>
          </w:tcPr>
          <w:p>
            <w:pPr>
              <w:ind w:left="40"/>
              <w:spacing w:after="0"/>
              <w:rPr>
                <w:sz w:val="20"/>
                <w:szCs w:val="20"/>
                <w:color w:val="auto"/>
              </w:rPr>
            </w:pPr>
            <w:r>
              <w:rPr>
                <w:rFonts w:ascii="Arial" w:cs="Arial" w:eastAsia="Arial" w:hAnsi="Arial"/>
                <w:sz w:val="18"/>
                <w:szCs w:val="18"/>
                <w:color w:val="auto"/>
              </w:rPr>
              <w:t>10.10*</w:t>
            </w:r>
          </w:p>
        </w:tc>
        <w:tc>
          <w:tcPr>
            <w:tcW w:w="5120" w:type="dxa"/>
            <w:vAlign w:val="bottom"/>
            <w:gridSpan w:val="21"/>
          </w:tcPr>
          <w:p>
            <w:pPr>
              <w:spacing w:after="0"/>
              <w:rPr>
                <w:rFonts w:ascii="Arial" w:cs="Arial" w:eastAsia="Arial" w:hAnsi="Arial"/>
                <w:sz w:val="18"/>
                <w:szCs w:val="18"/>
                <w:color w:val="0000FF"/>
              </w:rPr>
            </w:pPr>
            <w:hyperlink r:id="rId89">
              <w:r>
                <w:rPr>
                  <w:rFonts w:ascii="Arial" w:cs="Arial" w:eastAsia="Arial" w:hAnsi="Arial"/>
                  <w:sz w:val="18"/>
                  <w:szCs w:val="18"/>
                  <w:color w:val="0000FF"/>
                </w:rPr>
                <w:t>Form of Notice of 2005 Stock Option Grant and Stock Option</w:t>
              </w:r>
            </w:hyperlink>
          </w:p>
        </w:tc>
        <w:tc>
          <w:tcPr>
            <w:tcW w:w="5340" w:type="dxa"/>
            <w:vAlign w:val="bottom"/>
          </w:tcPr>
          <w:p>
            <w:pPr>
              <w:ind w:left="120"/>
              <w:spacing w:after="0"/>
              <w:rPr>
                <w:sz w:val="20"/>
                <w:szCs w:val="20"/>
                <w:color w:val="auto"/>
              </w:rPr>
            </w:pPr>
            <w:r>
              <w:rPr>
                <w:rFonts w:ascii="Arial" w:cs="Arial" w:eastAsia="Arial" w:hAnsi="Arial"/>
                <w:sz w:val="18"/>
                <w:szCs w:val="18"/>
                <w:color w:val="auto"/>
                <w:w w:val="99"/>
              </w:rPr>
              <w:t>Incorporated by reference from the Registrant’s Form 8-K filed on</w:t>
            </w:r>
          </w:p>
        </w:tc>
      </w:tr>
      <w:tr>
        <w:trPr>
          <w:trHeight w:val="20"/>
        </w:trPr>
        <w:tc>
          <w:tcPr>
            <w:tcW w:w="9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20" w:type="dxa"/>
            <w:vAlign w:val="bottom"/>
            <w:gridSpan w:val="4"/>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4720" w:type="dxa"/>
            <w:vAlign w:val="bottom"/>
            <w:tcBorders>
              <w:bottom w:val="single" w:sz="8" w:color="0000FF"/>
            </w:tcBorders>
            <w:gridSpan w:val="17"/>
          </w:tcPr>
          <w:p>
            <w:pPr>
              <w:spacing w:after="0" w:line="196" w:lineRule="exact"/>
              <w:rPr>
                <w:rFonts w:ascii="Arial" w:cs="Arial" w:eastAsia="Arial" w:hAnsi="Arial"/>
                <w:sz w:val="18"/>
                <w:szCs w:val="18"/>
                <w:color w:val="0000FF"/>
                <w:w w:val="91"/>
              </w:rPr>
            </w:pPr>
            <w:hyperlink r:id="rId89">
              <w:r>
                <w:rPr>
                  <w:rFonts w:ascii="Arial" w:cs="Arial" w:eastAsia="Arial" w:hAnsi="Arial"/>
                  <w:sz w:val="18"/>
                  <w:szCs w:val="18"/>
                  <w:color w:val="0000FF"/>
                  <w:w w:val="91"/>
                </w:rPr>
                <w:t>Agreement under the Nordstrom, Inc. 2004 Equity Incentive Plan</w:t>
              </w:r>
            </w:hyperlink>
          </w:p>
        </w:tc>
        <w:tc>
          <w:tcPr>
            <w:tcW w:w="400" w:type="dxa"/>
            <w:vAlign w:val="bottom"/>
            <w:gridSpan w:val="4"/>
          </w:tcPr>
          <w:p>
            <w:pPr>
              <w:spacing w:after="0"/>
              <w:rPr>
                <w:sz w:val="17"/>
                <w:szCs w:val="17"/>
                <w:color w:val="auto"/>
              </w:rPr>
            </w:pPr>
          </w:p>
        </w:tc>
        <w:tc>
          <w:tcPr>
            <w:tcW w:w="5340" w:type="dxa"/>
            <w:vAlign w:val="bottom"/>
          </w:tcPr>
          <w:p>
            <w:pPr>
              <w:ind w:left="120"/>
              <w:spacing w:after="0" w:line="196" w:lineRule="exact"/>
              <w:rPr>
                <w:sz w:val="20"/>
                <w:szCs w:val="20"/>
                <w:color w:val="auto"/>
              </w:rPr>
            </w:pPr>
            <w:r>
              <w:rPr>
                <w:rFonts w:ascii="Arial" w:cs="Arial" w:eastAsia="Arial" w:hAnsi="Arial"/>
                <w:sz w:val="18"/>
                <w:szCs w:val="18"/>
                <w:color w:val="auto"/>
              </w:rPr>
              <w:t>March 1, 2005, Exhibit 10.1</w:t>
            </w:r>
          </w:p>
        </w:tc>
      </w:tr>
      <w:tr>
        <w:trPr>
          <w:trHeight w:val="372"/>
        </w:trPr>
        <w:tc>
          <w:tcPr>
            <w:tcW w:w="960" w:type="dxa"/>
            <w:vAlign w:val="bottom"/>
          </w:tcPr>
          <w:p>
            <w:pPr>
              <w:ind w:left="40"/>
              <w:spacing w:after="0"/>
              <w:rPr>
                <w:sz w:val="20"/>
                <w:szCs w:val="20"/>
                <w:color w:val="auto"/>
              </w:rPr>
            </w:pPr>
            <w:r>
              <w:rPr>
                <w:rFonts w:ascii="Arial" w:cs="Arial" w:eastAsia="Arial" w:hAnsi="Arial"/>
                <w:sz w:val="18"/>
                <w:szCs w:val="18"/>
                <w:color w:val="auto"/>
              </w:rPr>
              <w:t>10.11*</w:t>
            </w:r>
          </w:p>
        </w:tc>
        <w:tc>
          <w:tcPr>
            <w:tcW w:w="5120" w:type="dxa"/>
            <w:vAlign w:val="bottom"/>
            <w:gridSpan w:val="21"/>
          </w:tcPr>
          <w:p>
            <w:pPr>
              <w:spacing w:after="0"/>
              <w:rPr>
                <w:rFonts w:ascii="Arial" w:cs="Arial" w:eastAsia="Arial" w:hAnsi="Arial"/>
                <w:sz w:val="18"/>
                <w:szCs w:val="18"/>
                <w:color w:val="0000FF"/>
              </w:rPr>
            </w:pPr>
            <w:hyperlink r:id="rId90">
              <w:r>
                <w:rPr>
                  <w:rFonts w:ascii="Arial" w:cs="Arial" w:eastAsia="Arial" w:hAnsi="Arial"/>
                  <w:sz w:val="18"/>
                  <w:szCs w:val="18"/>
                  <w:color w:val="0000FF"/>
                </w:rPr>
                <w:t>Form of Notice of 2006 Stock Option Grant and Stock Option</w:t>
              </w:r>
            </w:hyperlink>
          </w:p>
        </w:tc>
        <w:tc>
          <w:tcPr>
            <w:tcW w:w="5340" w:type="dxa"/>
            <w:vAlign w:val="bottom"/>
          </w:tcPr>
          <w:p>
            <w:pPr>
              <w:ind w:left="120"/>
              <w:spacing w:after="0"/>
              <w:rPr>
                <w:sz w:val="20"/>
                <w:szCs w:val="20"/>
                <w:color w:val="auto"/>
              </w:rPr>
            </w:pPr>
            <w:r>
              <w:rPr>
                <w:rFonts w:ascii="Arial" w:cs="Arial" w:eastAsia="Arial" w:hAnsi="Arial"/>
                <w:sz w:val="18"/>
                <w:szCs w:val="18"/>
                <w:color w:val="auto"/>
                <w:w w:val="99"/>
              </w:rPr>
              <w:t>Incorporated by reference from the Registrant’s Annual Report on</w:t>
            </w:r>
          </w:p>
        </w:tc>
      </w:tr>
      <w:tr>
        <w:trPr>
          <w:trHeight w:val="20"/>
        </w:trPr>
        <w:tc>
          <w:tcPr>
            <w:tcW w:w="9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20" w:type="dxa"/>
            <w:vAlign w:val="bottom"/>
            <w:gridSpan w:val="4"/>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4720" w:type="dxa"/>
            <w:vAlign w:val="bottom"/>
            <w:tcBorders>
              <w:bottom w:val="single" w:sz="8" w:color="0000FF"/>
            </w:tcBorders>
            <w:gridSpan w:val="17"/>
          </w:tcPr>
          <w:p>
            <w:pPr>
              <w:spacing w:after="0" w:line="196" w:lineRule="exact"/>
              <w:rPr>
                <w:rFonts w:ascii="Arial" w:cs="Arial" w:eastAsia="Arial" w:hAnsi="Arial"/>
                <w:sz w:val="18"/>
                <w:szCs w:val="18"/>
                <w:color w:val="0000FF"/>
                <w:w w:val="91"/>
              </w:rPr>
            </w:pPr>
            <w:hyperlink r:id="rId90">
              <w:r>
                <w:rPr>
                  <w:rFonts w:ascii="Arial" w:cs="Arial" w:eastAsia="Arial" w:hAnsi="Arial"/>
                  <w:sz w:val="18"/>
                  <w:szCs w:val="18"/>
                  <w:color w:val="0000FF"/>
                  <w:w w:val="91"/>
                </w:rPr>
                <w:t>Agreement under the Nordstrom, Inc. 2004 Equity Incentive Plan</w:t>
              </w:r>
            </w:hyperlink>
          </w:p>
        </w:tc>
        <w:tc>
          <w:tcPr>
            <w:tcW w:w="400" w:type="dxa"/>
            <w:vAlign w:val="bottom"/>
            <w:gridSpan w:val="4"/>
          </w:tcPr>
          <w:p>
            <w:pPr>
              <w:spacing w:after="0"/>
              <w:rPr>
                <w:sz w:val="17"/>
                <w:szCs w:val="17"/>
                <w:color w:val="auto"/>
              </w:rPr>
            </w:pPr>
          </w:p>
        </w:tc>
        <w:tc>
          <w:tcPr>
            <w:tcW w:w="5340" w:type="dxa"/>
            <w:vAlign w:val="bottom"/>
          </w:tcPr>
          <w:p>
            <w:pPr>
              <w:ind w:left="120"/>
              <w:spacing w:after="0" w:line="196" w:lineRule="exact"/>
              <w:rPr>
                <w:sz w:val="20"/>
                <w:szCs w:val="20"/>
                <w:color w:val="auto"/>
              </w:rPr>
            </w:pPr>
            <w:r>
              <w:rPr>
                <w:rFonts w:ascii="Arial" w:cs="Arial" w:eastAsia="Arial" w:hAnsi="Arial"/>
                <w:sz w:val="18"/>
                <w:szCs w:val="18"/>
                <w:color w:val="auto"/>
              </w:rPr>
              <w:t>Form 10-K for the year ended February 2, 2008, Exhibit 10.45</w:t>
            </w:r>
          </w:p>
        </w:tc>
      </w:tr>
      <w:tr>
        <w:trPr>
          <w:trHeight w:val="372"/>
        </w:trPr>
        <w:tc>
          <w:tcPr>
            <w:tcW w:w="960" w:type="dxa"/>
            <w:vAlign w:val="bottom"/>
          </w:tcPr>
          <w:p>
            <w:pPr>
              <w:ind w:left="40"/>
              <w:spacing w:after="0"/>
              <w:rPr>
                <w:sz w:val="20"/>
                <w:szCs w:val="20"/>
                <w:color w:val="auto"/>
              </w:rPr>
            </w:pPr>
            <w:r>
              <w:rPr>
                <w:rFonts w:ascii="Arial" w:cs="Arial" w:eastAsia="Arial" w:hAnsi="Arial"/>
                <w:sz w:val="18"/>
                <w:szCs w:val="18"/>
                <w:color w:val="auto"/>
              </w:rPr>
              <w:t>10.12*</w:t>
            </w:r>
          </w:p>
        </w:tc>
        <w:tc>
          <w:tcPr>
            <w:tcW w:w="5120" w:type="dxa"/>
            <w:vAlign w:val="bottom"/>
            <w:gridSpan w:val="21"/>
          </w:tcPr>
          <w:p>
            <w:pPr>
              <w:spacing w:after="0"/>
              <w:rPr>
                <w:rFonts w:ascii="Arial" w:cs="Arial" w:eastAsia="Arial" w:hAnsi="Arial"/>
                <w:sz w:val="18"/>
                <w:szCs w:val="18"/>
                <w:color w:val="0000FF"/>
                <w:w w:val="99"/>
              </w:rPr>
            </w:pPr>
            <w:hyperlink r:id="rId91">
              <w:r>
                <w:rPr>
                  <w:rFonts w:ascii="Arial" w:cs="Arial" w:eastAsia="Arial" w:hAnsi="Arial"/>
                  <w:sz w:val="18"/>
                  <w:szCs w:val="18"/>
                  <w:color w:val="0000FF"/>
                  <w:w w:val="99"/>
                </w:rPr>
                <w:t>2007 Stock Option Notice Award Agreement and Form of Notice</w:t>
              </w:r>
            </w:hyperlink>
          </w:p>
        </w:tc>
        <w:tc>
          <w:tcPr>
            <w:tcW w:w="5340" w:type="dxa"/>
            <w:vAlign w:val="bottom"/>
          </w:tcPr>
          <w:p>
            <w:pPr>
              <w:ind w:left="120"/>
              <w:spacing w:after="0"/>
              <w:rPr>
                <w:sz w:val="20"/>
                <w:szCs w:val="20"/>
                <w:color w:val="auto"/>
              </w:rPr>
            </w:pPr>
            <w:r>
              <w:rPr>
                <w:rFonts w:ascii="Arial" w:cs="Arial" w:eastAsia="Arial" w:hAnsi="Arial"/>
                <w:sz w:val="18"/>
                <w:szCs w:val="18"/>
                <w:color w:val="auto"/>
                <w:w w:val="99"/>
              </w:rPr>
              <w:t>Incorporated by reference from the Registrant’s Form 8-K filed on</w:t>
            </w:r>
          </w:p>
        </w:tc>
      </w:tr>
      <w:tr>
        <w:trPr>
          <w:trHeight w:val="237"/>
        </w:trPr>
        <w:tc>
          <w:tcPr>
            <w:tcW w:w="960" w:type="dxa"/>
            <w:vAlign w:val="bottom"/>
          </w:tcPr>
          <w:p>
            <w:pPr>
              <w:spacing w:after="0"/>
              <w:rPr>
                <w:sz w:val="20"/>
                <w:szCs w:val="20"/>
                <w:color w:val="auto"/>
              </w:rPr>
            </w:pPr>
          </w:p>
        </w:tc>
        <w:tc>
          <w:tcPr>
            <w:tcW w:w="480" w:type="dxa"/>
            <w:vAlign w:val="bottom"/>
            <w:tcBorders>
              <w:top w:val="single" w:sz="8" w:color="0000FF"/>
            </w:tcBorders>
          </w:tcPr>
          <w:p>
            <w:pPr>
              <w:spacing w:after="0"/>
              <w:rPr>
                <w:sz w:val="20"/>
                <w:szCs w:val="20"/>
                <w:color w:val="auto"/>
              </w:rPr>
            </w:pPr>
          </w:p>
        </w:tc>
        <w:tc>
          <w:tcPr>
            <w:tcW w:w="3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560" w:type="dxa"/>
            <w:vAlign w:val="bottom"/>
            <w:tcBorders>
              <w:top w:val="single" w:sz="8" w:color="0000FF"/>
            </w:tcBorders>
          </w:tcPr>
          <w:p>
            <w:pPr>
              <w:spacing w:after="0"/>
              <w:rPr>
                <w:sz w:val="20"/>
                <w:szCs w:val="20"/>
                <w:color w:val="auto"/>
              </w:rPr>
            </w:pPr>
          </w:p>
        </w:tc>
        <w:tc>
          <w:tcPr>
            <w:tcW w:w="260" w:type="dxa"/>
            <w:vAlign w:val="bottom"/>
            <w:tcBorders>
              <w:top w:val="single" w:sz="8" w:color="0000FF"/>
            </w:tcBorders>
          </w:tcPr>
          <w:p>
            <w:pPr>
              <w:spacing w:after="0"/>
              <w:rPr>
                <w:sz w:val="20"/>
                <w:szCs w:val="20"/>
                <w:color w:val="auto"/>
              </w:rPr>
            </w:pPr>
          </w:p>
        </w:tc>
        <w:tc>
          <w:tcPr>
            <w:tcW w:w="960" w:type="dxa"/>
            <w:vAlign w:val="bottom"/>
            <w:tcBorders>
              <w:top w:val="single" w:sz="8" w:color="0000FF"/>
            </w:tcBorders>
          </w:tcPr>
          <w:p>
            <w:pPr>
              <w:spacing w:after="0"/>
              <w:rPr>
                <w:sz w:val="20"/>
                <w:szCs w:val="20"/>
                <w:color w:val="auto"/>
              </w:rPr>
            </w:pPr>
          </w:p>
        </w:tc>
        <w:tc>
          <w:tcPr>
            <w:tcW w:w="620" w:type="dxa"/>
            <w:vAlign w:val="bottom"/>
            <w:tcBorders>
              <w:top w:val="single" w:sz="8" w:color="0000FF"/>
            </w:tcBorders>
          </w:tcPr>
          <w:p>
            <w:pPr>
              <w:spacing w:after="0"/>
              <w:rPr>
                <w:sz w:val="20"/>
                <w:szCs w:val="20"/>
                <w:color w:val="auto"/>
              </w:rPr>
            </w:pPr>
          </w:p>
        </w:tc>
        <w:tc>
          <w:tcPr>
            <w:tcW w:w="80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340" w:type="dxa"/>
            <w:vAlign w:val="bottom"/>
          </w:tcPr>
          <w:p>
            <w:pPr>
              <w:ind w:left="120"/>
              <w:spacing w:after="0"/>
              <w:rPr>
                <w:sz w:val="20"/>
                <w:szCs w:val="20"/>
                <w:color w:val="auto"/>
              </w:rPr>
            </w:pPr>
            <w:r>
              <w:rPr>
                <w:rFonts w:ascii="Arial" w:cs="Arial" w:eastAsia="Arial" w:hAnsi="Arial"/>
                <w:sz w:val="18"/>
                <w:szCs w:val="18"/>
                <w:color w:val="auto"/>
              </w:rPr>
              <w:t>February 26, 2007, Exhibit 10.1</w:t>
            </w:r>
          </w:p>
        </w:tc>
      </w:tr>
      <w:tr>
        <w:trPr>
          <w:trHeight w:val="351"/>
        </w:trPr>
        <w:tc>
          <w:tcPr>
            <w:tcW w:w="960" w:type="dxa"/>
            <w:vAlign w:val="bottom"/>
          </w:tcPr>
          <w:p>
            <w:pPr>
              <w:ind w:left="40"/>
              <w:spacing w:after="0"/>
              <w:rPr>
                <w:sz w:val="20"/>
                <w:szCs w:val="20"/>
                <w:color w:val="auto"/>
              </w:rPr>
            </w:pPr>
            <w:r>
              <w:rPr>
                <w:rFonts w:ascii="Arial" w:cs="Arial" w:eastAsia="Arial" w:hAnsi="Arial"/>
                <w:sz w:val="18"/>
                <w:szCs w:val="18"/>
                <w:color w:val="auto"/>
              </w:rPr>
              <w:t>10.13*</w:t>
            </w:r>
          </w:p>
        </w:tc>
        <w:tc>
          <w:tcPr>
            <w:tcW w:w="5120" w:type="dxa"/>
            <w:vAlign w:val="bottom"/>
            <w:gridSpan w:val="21"/>
          </w:tcPr>
          <w:p>
            <w:pPr>
              <w:spacing w:after="0"/>
              <w:rPr>
                <w:rFonts w:ascii="Arial" w:cs="Arial" w:eastAsia="Arial" w:hAnsi="Arial"/>
                <w:sz w:val="18"/>
                <w:szCs w:val="18"/>
                <w:color w:val="0000FF"/>
                <w:w w:val="99"/>
              </w:rPr>
            </w:pPr>
            <w:hyperlink r:id="rId92">
              <w:r>
                <w:rPr>
                  <w:rFonts w:ascii="Arial" w:cs="Arial" w:eastAsia="Arial" w:hAnsi="Arial"/>
                  <w:sz w:val="18"/>
                  <w:szCs w:val="18"/>
                  <w:color w:val="0000FF"/>
                  <w:w w:val="99"/>
                </w:rPr>
                <w:t>2008 Stock Option Notice Award Agreement and Form of Notice</w:t>
              </w:r>
            </w:hyperlink>
          </w:p>
        </w:tc>
        <w:tc>
          <w:tcPr>
            <w:tcW w:w="5340" w:type="dxa"/>
            <w:vAlign w:val="bottom"/>
          </w:tcPr>
          <w:p>
            <w:pPr>
              <w:ind w:left="120"/>
              <w:spacing w:after="0"/>
              <w:rPr>
                <w:sz w:val="20"/>
                <w:szCs w:val="20"/>
                <w:color w:val="auto"/>
              </w:rPr>
            </w:pPr>
            <w:r>
              <w:rPr>
                <w:rFonts w:ascii="Arial" w:cs="Arial" w:eastAsia="Arial" w:hAnsi="Arial"/>
                <w:sz w:val="18"/>
                <w:szCs w:val="18"/>
                <w:color w:val="auto"/>
                <w:w w:val="99"/>
              </w:rPr>
              <w:t>Incorporated by reference from the Registrant’s Form 8-K filed on</w:t>
            </w:r>
          </w:p>
        </w:tc>
      </w:tr>
      <w:tr>
        <w:trPr>
          <w:trHeight w:val="237"/>
        </w:trPr>
        <w:tc>
          <w:tcPr>
            <w:tcW w:w="960" w:type="dxa"/>
            <w:vAlign w:val="bottom"/>
          </w:tcPr>
          <w:p>
            <w:pPr>
              <w:spacing w:after="0"/>
              <w:rPr>
                <w:sz w:val="20"/>
                <w:szCs w:val="20"/>
                <w:color w:val="auto"/>
              </w:rPr>
            </w:pPr>
          </w:p>
        </w:tc>
        <w:tc>
          <w:tcPr>
            <w:tcW w:w="480" w:type="dxa"/>
            <w:vAlign w:val="bottom"/>
            <w:tcBorders>
              <w:top w:val="single" w:sz="8" w:color="0000FF"/>
            </w:tcBorders>
          </w:tcPr>
          <w:p>
            <w:pPr>
              <w:spacing w:after="0"/>
              <w:rPr>
                <w:sz w:val="20"/>
                <w:szCs w:val="20"/>
                <w:color w:val="auto"/>
              </w:rPr>
            </w:pPr>
          </w:p>
        </w:tc>
        <w:tc>
          <w:tcPr>
            <w:tcW w:w="3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560" w:type="dxa"/>
            <w:vAlign w:val="bottom"/>
            <w:tcBorders>
              <w:top w:val="single" w:sz="8" w:color="0000FF"/>
            </w:tcBorders>
          </w:tcPr>
          <w:p>
            <w:pPr>
              <w:spacing w:after="0"/>
              <w:rPr>
                <w:sz w:val="20"/>
                <w:szCs w:val="20"/>
                <w:color w:val="auto"/>
              </w:rPr>
            </w:pPr>
          </w:p>
        </w:tc>
        <w:tc>
          <w:tcPr>
            <w:tcW w:w="260" w:type="dxa"/>
            <w:vAlign w:val="bottom"/>
            <w:tcBorders>
              <w:top w:val="single" w:sz="8" w:color="0000FF"/>
            </w:tcBorders>
          </w:tcPr>
          <w:p>
            <w:pPr>
              <w:spacing w:after="0"/>
              <w:rPr>
                <w:sz w:val="20"/>
                <w:szCs w:val="20"/>
                <w:color w:val="auto"/>
              </w:rPr>
            </w:pPr>
          </w:p>
        </w:tc>
        <w:tc>
          <w:tcPr>
            <w:tcW w:w="960" w:type="dxa"/>
            <w:vAlign w:val="bottom"/>
            <w:tcBorders>
              <w:top w:val="single" w:sz="8" w:color="0000FF"/>
            </w:tcBorders>
          </w:tcPr>
          <w:p>
            <w:pPr>
              <w:spacing w:after="0"/>
              <w:rPr>
                <w:sz w:val="20"/>
                <w:szCs w:val="20"/>
                <w:color w:val="auto"/>
              </w:rPr>
            </w:pPr>
          </w:p>
        </w:tc>
        <w:tc>
          <w:tcPr>
            <w:tcW w:w="620" w:type="dxa"/>
            <w:vAlign w:val="bottom"/>
            <w:tcBorders>
              <w:top w:val="single" w:sz="8" w:color="0000FF"/>
            </w:tcBorders>
          </w:tcPr>
          <w:p>
            <w:pPr>
              <w:spacing w:after="0"/>
              <w:rPr>
                <w:sz w:val="20"/>
                <w:szCs w:val="20"/>
                <w:color w:val="auto"/>
              </w:rPr>
            </w:pPr>
          </w:p>
        </w:tc>
        <w:tc>
          <w:tcPr>
            <w:tcW w:w="80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340" w:type="dxa"/>
            <w:vAlign w:val="bottom"/>
          </w:tcPr>
          <w:p>
            <w:pPr>
              <w:ind w:left="120"/>
              <w:spacing w:after="0"/>
              <w:rPr>
                <w:sz w:val="20"/>
                <w:szCs w:val="20"/>
                <w:color w:val="auto"/>
              </w:rPr>
            </w:pPr>
            <w:r>
              <w:rPr>
                <w:rFonts w:ascii="Arial" w:cs="Arial" w:eastAsia="Arial" w:hAnsi="Arial"/>
                <w:sz w:val="18"/>
                <w:szCs w:val="18"/>
                <w:color w:val="auto"/>
              </w:rPr>
              <w:t>February 22, 2008, Exhibit 10.1</w:t>
            </w:r>
          </w:p>
        </w:tc>
      </w:tr>
      <w:tr>
        <w:trPr>
          <w:trHeight w:val="351"/>
        </w:trPr>
        <w:tc>
          <w:tcPr>
            <w:tcW w:w="960" w:type="dxa"/>
            <w:vAlign w:val="bottom"/>
          </w:tcPr>
          <w:p>
            <w:pPr>
              <w:ind w:left="40"/>
              <w:spacing w:after="0"/>
              <w:rPr>
                <w:sz w:val="20"/>
                <w:szCs w:val="20"/>
                <w:color w:val="auto"/>
              </w:rPr>
            </w:pPr>
            <w:r>
              <w:rPr>
                <w:rFonts w:ascii="Arial" w:cs="Arial" w:eastAsia="Arial" w:hAnsi="Arial"/>
                <w:sz w:val="18"/>
                <w:szCs w:val="18"/>
                <w:color w:val="auto"/>
              </w:rPr>
              <w:t>10.14*</w:t>
            </w:r>
          </w:p>
        </w:tc>
        <w:tc>
          <w:tcPr>
            <w:tcW w:w="5120" w:type="dxa"/>
            <w:vAlign w:val="bottom"/>
            <w:gridSpan w:val="21"/>
          </w:tcPr>
          <w:p>
            <w:pPr>
              <w:spacing w:after="0"/>
              <w:rPr>
                <w:rFonts w:ascii="Arial" w:cs="Arial" w:eastAsia="Arial" w:hAnsi="Arial"/>
                <w:sz w:val="18"/>
                <w:szCs w:val="18"/>
                <w:color w:val="0000FF"/>
              </w:rPr>
            </w:pPr>
            <w:hyperlink r:id="rId93">
              <w:r>
                <w:rPr>
                  <w:rFonts w:ascii="Arial" w:cs="Arial" w:eastAsia="Arial" w:hAnsi="Arial"/>
                  <w:sz w:val="18"/>
                  <w:szCs w:val="18"/>
                  <w:color w:val="0000FF"/>
                </w:rPr>
                <w:t>2009 Nonqualified Stock Option Grant Agreement and Form of</w:t>
              </w:r>
            </w:hyperlink>
          </w:p>
        </w:tc>
        <w:tc>
          <w:tcPr>
            <w:tcW w:w="5340" w:type="dxa"/>
            <w:vAlign w:val="bottom"/>
          </w:tcPr>
          <w:p>
            <w:pPr>
              <w:ind w:left="120"/>
              <w:spacing w:after="0"/>
              <w:rPr>
                <w:sz w:val="20"/>
                <w:szCs w:val="20"/>
                <w:color w:val="auto"/>
              </w:rPr>
            </w:pPr>
            <w:r>
              <w:rPr>
                <w:rFonts w:ascii="Arial" w:cs="Arial" w:eastAsia="Arial" w:hAnsi="Arial"/>
                <w:sz w:val="18"/>
                <w:szCs w:val="18"/>
                <w:color w:val="auto"/>
                <w:w w:val="99"/>
              </w:rPr>
              <w:t>Incorporated by reference from the Registrant’s Form 8-K filed on</w:t>
            </w:r>
          </w:p>
        </w:tc>
      </w:tr>
      <w:tr>
        <w:trPr>
          <w:trHeight w:val="196"/>
        </w:trPr>
        <w:tc>
          <w:tcPr>
            <w:tcW w:w="960" w:type="dxa"/>
            <w:vAlign w:val="bottom"/>
          </w:tcPr>
          <w:p>
            <w:pPr>
              <w:spacing w:after="0"/>
              <w:rPr>
                <w:sz w:val="17"/>
                <w:szCs w:val="17"/>
                <w:color w:val="auto"/>
              </w:rPr>
            </w:pPr>
          </w:p>
        </w:tc>
        <w:tc>
          <w:tcPr>
            <w:tcW w:w="48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0"/>
              </w:rPr>
            </w:pPr>
            <w:hyperlink r:id="rId93">
              <w:r>
                <w:rPr>
                  <w:rFonts w:ascii="Arial" w:cs="Arial" w:eastAsia="Arial" w:hAnsi="Arial"/>
                  <w:sz w:val="18"/>
                  <w:szCs w:val="18"/>
                  <w:color w:val="0000FF"/>
                  <w:w w:val="90"/>
                </w:rPr>
                <w:t>Notice</w:t>
              </w:r>
            </w:hyperlink>
          </w:p>
        </w:tc>
        <w:tc>
          <w:tcPr>
            <w:tcW w:w="4100" w:type="dxa"/>
            <w:vAlign w:val="bottom"/>
            <w:tcBorders>
              <w:top w:val="single" w:sz="8" w:color="0000FF"/>
            </w:tcBorders>
            <w:gridSpan w:val="13"/>
          </w:tcPr>
          <w:p>
            <w:pPr>
              <w:spacing w:after="0"/>
              <w:rPr>
                <w:sz w:val="17"/>
                <w:szCs w:val="17"/>
                <w:color w:val="auto"/>
              </w:rPr>
            </w:pPr>
          </w:p>
        </w:tc>
        <w:tc>
          <w:tcPr>
            <w:tcW w:w="540" w:type="dxa"/>
            <w:vAlign w:val="bottom"/>
            <w:gridSpan w:val="7"/>
          </w:tcPr>
          <w:p>
            <w:pPr>
              <w:spacing w:after="0"/>
              <w:rPr>
                <w:sz w:val="17"/>
                <w:szCs w:val="17"/>
                <w:color w:val="auto"/>
              </w:rPr>
            </w:pPr>
          </w:p>
        </w:tc>
        <w:tc>
          <w:tcPr>
            <w:tcW w:w="5340" w:type="dxa"/>
            <w:vAlign w:val="bottom"/>
          </w:tcPr>
          <w:p>
            <w:pPr>
              <w:ind w:left="120"/>
              <w:spacing w:after="0" w:line="196" w:lineRule="exact"/>
              <w:rPr>
                <w:sz w:val="20"/>
                <w:szCs w:val="20"/>
                <w:color w:val="auto"/>
              </w:rPr>
            </w:pPr>
            <w:r>
              <w:rPr>
                <w:rFonts w:ascii="Arial" w:cs="Arial" w:eastAsia="Arial" w:hAnsi="Arial"/>
                <w:sz w:val="18"/>
                <w:szCs w:val="18"/>
                <w:color w:val="auto"/>
              </w:rPr>
              <w:t>March 3, 2009, Exhibit 10.2</w:t>
            </w:r>
          </w:p>
        </w:tc>
      </w:tr>
      <w:tr>
        <w:trPr>
          <w:trHeight w:val="372"/>
        </w:trPr>
        <w:tc>
          <w:tcPr>
            <w:tcW w:w="960" w:type="dxa"/>
            <w:vAlign w:val="bottom"/>
          </w:tcPr>
          <w:p>
            <w:pPr>
              <w:ind w:left="40"/>
              <w:spacing w:after="0"/>
              <w:rPr>
                <w:sz w:val="20"/>
                <w:szCs w:val="20"/>
                <w:color w:val="auto"/>
              </w:rPr>
            </w:pPr>
            <w:r>
              <w:rPr>
                <w:rFonts w:ascii="Arial" w:cs="Arial" w:eastAsia="Arial" w:hAnsi="Arial"/>
                <w:sz w:val="18"/>
                <w:szCs w:val="18"/>
                <w:color w:val="auto"/>
              </w:rPr>
              <w:t>10.15*</w:t>
            </w:r>
          </w:p>
        </w:tc>
        <w:tc>
          <w:tcPr>
            <w:tcW w:w="5120" w:type="dxa"/>
            <w:vAlign w:val="bottom"/>
            <w:gridSpan w:val="21"/>
          </w:tcPr>
          <w:p>
            <w:pPr>
              <w:spacing w:after="0"/>
              <w:rPr>
                <w:rFonts w:ascii="Arial" w:cs="Arial" w:eastAsia="Arial" w:hAnsi="Arial"/>
                <w:sz w:val="18"/>
                <w:szCs w:val="18"/>
                <w:color w:val="0000FF"/>
              </w:rPr>
            </w:pPr>
            <w:hyperlink r:id="rId94">
              <w:r>
                <w:rPr>
                  <w:rFonts w:ascii="Arial" w:cs="Arial" w:eastAsia="Arial" w:hAnsi="Arial"/>
                  <w:sz w:val="18"/>
                  <w:szCs w:val="18"/>
                  <w:color w:val="0000FF"/>
                </w:rPr>
                <w:t>2010 Stock Option Award Agreement</w:t>
              </w:r>
            </w:hyperlink>
          </w:p>
        </w:tc>
        <w:tc>
          <w:tcPr>
            <w:tcW w:w="5340" w:type="dxa"/>
            <w:vAlign w:val="bottom"/>
          </w:tcPr>
          <w:p>
            <w:pPr>
              <w:ind w:left="120"/>
              <w:spacing w:after="0"/>
              <w:rPr>
                <w:sz w:val="20"/>
                <w:szCs w:val="20"/>
                <w:color w:val="auto"/>
              </w:rPr>
            </w:pPr>
            <w:r>
              <w:rPr>
                <w:rFonts w:ascii="Arial" w:cs="Arial" w:eastAsia="Arial" w:hAnsi="Arial"/>
                <w:sz w:val="18"/>
                <w:szCs w:val="18"/>
                <w:color w:val="auto"/>
                <w:w w:val="99"/>
              </w:rPr>
              <w:t>Incorporated by reference from the Registrant’s Form 8-K filed on</w:t>
            </w:r>
          </w:p>
        </w:tc>
      </w:tr>
      <w:tr>
        <w:trPr>
          <w:trHeight w:val="237"/>
        </w:trPr>
        <w:tc>
          <w:tcPr>
            <w:tcW w:w="960" w:type="dxa"/>
            <w:vAlign w:val="bottom"/>
          </w:tcPr>
          <w:p>
            <w:pPr>
              <w:spacing w:after="0"/>
              <w:rPr>
                <w:sz w:val="20"/>
                <w:szCs w:val="20"/>
                <w:color w:val="auto"/>
              </w:rPr>
            </w:pPr>
          </w:p>
        </w:tc>
        <w:tc>
          <w:tcPr>
            <w:tcW w:w="480" w:type="dxa"/>
            <w:vAlign w:val="bottom"/>
            <w:tcBorders>
              <w:top w:val="single" w:sz="8" w:color="0000FF"/>
            </w:tcBorders>
          </w:tcPr>
          <w:p>
            <w:pPr>
              <w:spacing w:after="0"/>
              <w:rPr>
                <w:sz w:val="20"/>
                <w:szCs w:val="20"/>
                <w:color w:val="auto"/>
              </w:rPr>
            </w:pPr>
          </w:p>
        </w:tc>
        <w:tc>
          <w:tcPr>
            <w:tcW w:w="3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560" w:type="dxa"/>
            <w:vAlign w:val="bottom"/>
            <w:tcBorders>
              <w:top w:val="single" w:sz="8" w:color="0000FF"/>
            </w:tcBorders>
          </w:tcPr>
          <w:p>
            <w:pPr>
              <w:spacing w:after="0"/>
              <w:rPr>
                <w:sz w:val="20"/>
                <w:szCs w:val="20"/>
                <w:color w:val="auto"/>
              </w:rPr>
            </w:pPr>
          </w:p>
        </w:tc>
        <w:tc>
          <w:tcPr>
            <w:tcW w:w="260" w:type="dxa"/>
            <w:vAlign w:val="bottom"/>
            <w:tcBorders>
              <w:top w:val="single" w:sz="8" w:color="0000FF"/>
            </w:tcBorders>
          </w:tcPr>
          <w:p>
            <w:pPr>
              <w:spacing w:after="0"/>
              <w:rPr>
                <w:sz w:val="20"/>
                <w:szCs w:val="20"/>
                <w:color w:val="auto"/>
              </w:rPr>
            </w:pPr>
          </w:p>
        </w:tc>
        <w:tc>
          <w:tcPr>
            <w:tcW w:w="960" w:type="dxa"/>
            <w:vAlign w:val="bottom"/>
            <w:tcBorders>
              <w:top w:val="single" w:sz="8" w:color="0000FF"/>
            </w:tcBorders>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340" w:type="dxa"/>
            <w:vAlign w:val="bottom"/>
          </w:tcPr>
          <w:p>
            <w:pPr>
              <w:ind w:left="120"/>
              <w:spacing w:after="0"/>
              <w:rPr>
                <w:sz w:val="20"/>
                <w:szCs w:val="20"/>
                <w:color w:val="auto"/>
              </w:rPr>
            </w:pPr>
            <w:r>
              <w:rPr>
                <w:rFonts w:ascii="Arial" w:cs="Arial" w:eastAsia="Arial" w:hAnsi="Arial"/>
                <w:sz w:val="18"/>
                <w:szCs w:val="18"/>
                <w:color w:val="auto"/>
              </w:rPr>
              <w:t>November 24, 2009, Exhibit 10.1</w:t>
            </w:r>
          </w:p>
        </w:tc>
      </w:tr>
      <w:tr>
        <w:trPr>
          <w:trHeight w:val="351"/>
        </w:trPr>
        <w:tc>
          <w:tcPr>
            <w:tcW w:w="960" w:type="dxa"/>
            <w:vAlign w:val="bottom"/>
          </w:tcPr>
          <w:p>
            <w:pPr>
              <w:ind w:left="40"/>
              <w:spacing w:after="0"/>
              <w:rPr>
                <w:sz w:val="20"/>
                <w:szCs w:val="20"/>
                <w:color w:val="auto"/>
              </w:rPr>
            </w:pPr>
            <w:r>
              <w:rPr>
                <w:rFonts w:ascii="Arial" w:cs="Arial" w:eastAsia="Arial" w:hAnsi="Arial"/>
                <w:sz w:val="18"/>
                <w:szCs w:val="18"/>
                <w:color w:val="auto"/>
              </w:rPr>
              <w:t>10.16*</w:t>
            </w:r>
          </w:p>
        </w:tc>
        <w:tc>
          <w:tcPr>
            <w:tcW w:w="5120" w:type="dxa"/>
            <w:vAlign w:val="bottom"/>
            <w:gridSpan w:val="21"/>
          </w:tcPr>
          <w:p>
            <w:pPr>
              <w:spacing w:after="0"/>
              <w:rPr>
                <w:rFonts w:ascii="Arial" w:cs="Arial" w:eastAsia="Arial" w:hAnsi="Arial"/>
                <w:sz w:val="18"/>
                <w:szCs w:val="18"/>
                <w:color w:val="0000FF"/>
              </w:rPr>
            </w:pPr>
            <w:hyperlink r:id="rId95">
              <w:r>
                <w:rPr>
                  <w:rFonts w:ascii="Arial" w:cs="Arial" w:eastAsia="Arial" w:hAnsi="Arial"/>
                  <w:sz w:val="18"/>
                  <w:szCs w:val="18"/>
                  <w:color w:val="0000FF"/>
                </w:rPr>
                <w:t>Form of 2011 Stock Option Award Agreement</w:t>
              </w:r>
            </w:hyperlink>
          </w:p>
        </w:tc>
        <w:tc>
          <w:tcPr>
            <w:tcW w:w="5340" w:type="dxa"/>
            <w:vAlign w:val="bottom"/>
          </w:tcPr>
          <w:p>
            <w:pPr>
              <w:ind w:left="120"/>
              <w:spacing w:after="0"/>
              <w:rPr>
                <w:sz w:val="20"/>
                <w:szCs w:val="20"/>
                <w:color w:val="auto"/>
              </w:rPr>
            </w:pPr>
            <w:r>
              <w:rPr>
                <w:rFonts w:ascii="Arial" w:cs="Arial" w:eastAsia="Arial" w:hAnsi="Arial"/>
                <w:sz w:val="18"/>
                <w:szCs w:val="18"/>
                <w:color w:val="auto"/>
                <w:w w:val="99"/>
              </w:rPr>
              <w:t>Incorporated by reference from the Registrant’s Form 8-K filed on</w:t>
            </w:r>
          </w:p>
        </w:tc>
      </w:tr>
      <w:tr>
        <w:trPr>
          <w:trHeight w:val="237"/>
        </w:trPr>
        <w:tc>
          <w:tcPr>
            <w:tcW w:w="960" w:type="dxa"/>
            <w:vAlign w:val="bottom"/>
          </w:tcPr>
          <w:p>
            <w:pPr>
              <w:spacing w:after="0"/>
              <w:rPr>
                <w:sz w:val="20"/>
                <w:szCs w:val="20"/>
                <w:color w:val="auto"/>
              </w:rPr>
            </w:pPr>
          </w:p>
        </w:tc>
        <w:tc>
          <w:tcPr>
            <w:tcW w:w="480" w:type="dxa"/>
            <w:vAlign w:val="bottom"/>
            <w:tcBorders>
              <w:top w:val="single" w:sz="8" w:color="0000FF"/>
            </w:tcBorders>
          </w:tcPr>
          <w:p>
            <w:pPr>
              <w:spacing w:after="0"/>
              <w:rPr>
                <w:sz w:val="20"/>
                <w:szCs w:val="20"/>
                <w:color w:val="auto"/>
              </w:rPr>
            </w:pPr>
          </w:p>
        </w:tc>
        <w:tc>
          <w:tcPr>
            <w:tcW w:w="3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560" w:type="dxa"/>
            <w:vAlign w:val="bottom"/>
            <w:tcBorders>
              <w:top w:val="single" w:sz="8" w:color="0000FF"/>
            </w:tcBorders>
          </w:tcPr>
          <w:p>
            <w:pPr>
              <w:spacing w:after="0"/>
              <w:rPr>
                <w:sz w:val="20"/>
                <w:szCs w:val="20"/>
                <w:color w:val="auto"/>
              </w:rPr>
            </w:pPr>
          </w:p>
        </w:tc>
        <w:tc>
          <w:tcPr>
            <w:tcW w:w="260" w:type="dxa"/>
            <w:vAlign w:val="bottom"/>
            <w:tcBorders>
              <w:top w:val="single" w:sz="8" w:color="0000FF"/>
            </w:tcBorders>
          </w:tcPr>
          <w:p>
            <w:pPr>
              <w:spacing w:after="0"/>
              <w:rPr>
                <w:sz w:val="20"/>
                <w:szCs w:val="20"/>
                <w:color w:val="auto"/>
              </w:rPr>
            </w:pPr>
          </w:p>
        </w:tc>
        <w:tc>
          <w:tcPr>
            <w:tcW w:w="960" w:type="dxa"/>
            <w:vAlign w:val="bottom"/>
            <w:tcBorders>
              <w:top w:val="single" w:sz="8" w:color="0000FF"/>
            </w:tcBorders>
          </w:tcPr>
          <w:p>
            <w:pPr>
              <w:spacing w:after="0"/>
              <w:rPr>
                <w:sz w:val="20"/>
                <w:szCs w:val="20"/>
                <w:color w:val="auto"/>
              </w:rPr>
            </w:pPr>
          </w:p>
        </w:tc>
        <w:tc>
          <w:tcPr>
            <w:tcW w:w="620" w:type="dxa"/>
            <w:vAlign w:val="bottom"/>
            <w:tcBorders>
              <w:top w:val="single" w:sz="8" w:color="0000FF"/>
            </w:tcBorders>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340" w:type="dxa"/>
            <w:vAlign w:val="bottom"/>
          </w:tcPr>
          <w:p>
            <w:pPr>
              <w:ind w:left="120"/>
              <w:spacing w:after="0"/>
              <w:rPr>
                <w:sz w:val="20"/>
                <w:szCs w:val="20"/>
                <w:color w:val="auto"/>
              </w:rPr>
            </w:pPr>
            <w:r>
              <w:rPr>
                <w:rFonts w:ascii="Arial" w:cs="Arial" w:eastAsia="Arial" w:hAnsi="Arial"/>
                <w:sz w:val="18"/>
                <w:szCs w:val="18"/>
                <w:color w:val="auto"/>
              </w:rPr>
              <w:t>November 19, 2010, Exhibit 10.1</w:t>
            </w:r>
          </w:p>
        </w:tc>
      </w:tr>
      <w:tr>
        <w:trPr>
          <w:trHeight w:val="351"/>
        </w:trPr>
        <w:tc>
          <w:tcPr>
            <w:tcW w:w="960" w:type="dxa"/>
            <w:vAlign w:val="bottom"/>
          </w:tcPr>
          <w:p>
            <w:pPr>
              <w:ind w:left="40"/>
              <w:spacing w:after="0"/>
              <w:rPr>
                <w:sz w:val="20"/>
                <w:szCs w:val="20"/>
                <w:color w:val="auto"/>
              </w:rPr>
            </w:pPr>
            <w:r>
              <w:rPr>
                <w:rFonts w:ascii="Arial" w:cs="Arial" w:eastAsia="Arial" w:hAnsi="Arial"/>
                <w:sz w:val="18"/>
                <w:szCs w:val="18"/>
                <w:color w:val="auto"/>
              </w:rPr>
              <w:t>10.17*</w:t>
            </w:r>
          </w:p>
        </w:tc>
        <w:tc>
          <w:tcPr>
            <w:tcW w:w="5120" w:type="dxa"/>
            <w:vAlign w:val="bottom"/>
            <w:gridSpan w:val="21"/>
          </w:tcPr>
          <w:p>
            <w:pPr>
              <w:spacing w:after="0"/>
              <w:rPr>
                <w:rFonts w:ascii="Arial" w:cs="Arial" w:eastAsia="Arial" w:hAnsi="Arial"/>
                <w:sz w:val="18"/>
                <w:szCs w:val="18"/>
                <w:color w:val="0000FF"/>
              </w:rPr>
            </w:pPr>
            <w:hyperlink r:id="rId96">
              <w:r>
                <w:rPr>
                  <w:rFonts w:ascii="Arial" w:cs="Arial" w:eastAsia="Arial" w:hAnsi="Arial"/>
                  <w:sz w:val="18"/>
                  <w:szCs w:val="18"/>
                  <w:color w:val="0000FF"/>
                </w:rPr>
                <w:t>Form of 2012 Nonqualified Stock Option Grant Agreement</w:t>
              </w:r>
            </w:hyperlink>
          </w:p>
        </w:tc>
        <w:tc>
          <w:tcPr>
            <w:tcW w:w="5340" w:type="dxa"/>
            <w:vAlign w:val="bottom"/>
          </w:tcPr>
          <w:p>
            <w:pPr>
              <w:ind w:left="120"/>
              <w:spacing w:after="0"/>
              <w:rPr>
                <w:sz w:val="20"/>
                <w:szCs w:val="20"/>
                <w:color w:val="auto"/>
              </w:rPr>
            </w:pPr>
            <w:r>
              <w:rPr>
                <w:rFonts w:ascii="Arial" w:cs="Arial" w:eastAsia="Arial" w:hAnsi="Arial"/>
                <w:sz w:val="18"/>
                <w:szCs w:val="18"/>
                <w:color w:val="auto"/>
                <w:w w:val="99"/>
              </w:rPr>
              <w:t>Incorporated by reference from the Registrant’s Form 8-K filed on</w:t>
            </w:r>
          </w:p>
        </w:tc>
      </w:tr>
      <w:tr>
        <w:trPr>
          <w:trHeight w:val="237"/>
        </w:trPr>
        <w:tc>
          <w:tcPr>
            <w:tcW w:w="960" w:type="dxa"/>
            <w:vAlign w:val="bottom"/>
          </w:tcPr>
          <w:p>
            <w:pPr>
              <w:spacing w:after="0"/>
              <w:rPr>
                <w:sz w:val="20"/>
                <w:szCs w:val="20"/>
                <w:color w:val="auto"/>
              </w:rPr>
            </w:pPr>
          </w:p>
        </w:tc>
        <w:tc>
          <w:tcPr>
            <w:tcW w:w="480" w:type="dxa"/>
            <w:vAlign w:val="bottom"/>
            <w:tcBorders>
              <w:top w:val="single" w:sz="8" w:color="0000FF"/>
            </w:tcBorders>
          </w:tcPr>
          <w:p>
            <w:pPr>
              <w:spacing w:after="0"/>
              <w:rPr>
                <w:sz w:val="20"/>
                <w:szCs w:val="20"/>
                <w:color w:val="auto"/>
              </w:rPr>
            </w:pPr>
          </w:p>
        </w:tc>
        <w:tc>
          <w:tcPr>
            <w:tcW w:w="3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560" w:type="dxa"/>
            <w:vAlign w:val="bottom"/>
            <w:tcBorders>
              <w:top w:val="single" w:sz="8" w:color="0000FF"/>
            </w:tcBorders>
          </w:tcPr>
          <w:p>
            <w:pPr>
              <w:spacing w:after="0"/>
              <w:rPr>
                <w:sz w:val="20"/>
                <w:szCs w:val="20"/>
                <w:color w:val="auto"/>
              </w:rPr>
            </w:pPr>
          </w:p>
        </w:tc>
        <w:tc>
          <w:tcPr>
            <w:tcW w:w="260" w:type="dxa"/>
            <w:vAlign w:val="bottom"/>
            <w:tcBorders>
              <w:top w:val="single" w:sz="8" w:color="0000FF"/>
            </w:tcBorders>
          </w:tcPr>
          <w:p>
            <w:pPr>
              <w:spacing w:after="0"/>
              <w:rPr>
                <w:sz w:val="20"/>
                <w:szCs w:val="20"/>
                <w:color w:val="auto"/>
              </w:rPr>
            </w:pPr>
          </w:p>
        </w:tc>
        <w:tc>
          <w:tcPr>
            <w:tcW w:w="960" w:type="dxa"/>
            <w:vAlign w:val="bottom"/>
            <w:tcBorders>
              <w:top w:val="single" w:sz="8" w:color="0000FF"/>
            </w:tcBorders>
          </w:tcPr>
          <w:p>
            <w:pPr>
              <w:spacing w:after="0"/>
              <w:rPr>
                <w:sz w:val="20"/>
                <w:szCs w:val="20"/>
                <w:color w:val="auto"/>
              </w:rPr>
            </w:pPr>
          </w:p>
        </w:tc>
        <w:tc>
          <w:tcPr>
            <w:tcW w:w="620" w:type="dxa"/>
            <w:vAlign w:val="bottom"/>
            <w:tcBorders>
              <w:top w:val="single" w:sz="8" w:color="0000FF"/>
            </w:tcBorders>
          </w:tcPr>
          <w:p>
            <w:pPr>
              <w:spacing w:after="0"/>
              <w:rPr>
                <w:sz w:val="20"/>
                <w:szCs w:val="20"/>
                <w:color w:val="auto"/>
              </w:rPr>
            </w:pPr>
          </w:p>
        </w:tc>
        <w:tc>
          <w:tcPr>
            <w:tcW w:w="80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340" w:type="dxa"/>
            <w:vAlign w:val="bottom"/>
          </w:tcPr>
          <w:p>
            <w:pPr>
              <w:ind w:left="120"/>
              <w:spacing w:after="0"/>
              <w:rPr>
                <w:sz w:val="20"/>
                <w:szCs w:val="20"/>
                <w:color w:val="auto"/>
              </w:rPr>
            </w:pPr>
            <w:r>
              <w:rPr>
                <w:rFonts w:ascii="Arial" w:cs="Arial" w:eastAsia="Arial" w:hAnsi="Arial"/>
                <w:sz w:val="18"/>
                <w:szCs w:val="18"/>
                <w:color w:val="auto"/>
              </w:rPr>
              <w:t>November 18, 2011, Exhibit 10.1</w:t>
            </w:r>
          </w:p>
        </w:tc>
      </w:tr>
      <w:tr>
        <w:trPr>
          <w:trHeight w:val="351"/>
        </w:trPr>
        <w:tc>
          <w:tcPr>
            <w:tcW w:w="960" w:type="dxa"/>
            <w:vAlign w:val="bottom"/>
          </w:tcPr>
          <w:p>
            <w:pPr>
              <w:ind w:left="40"/>
              <w:spacing w:after="0"/>
              <w:rPr>
                <w:sz w:val="20"/>
                <w:szCs w:val="20"/>
                <w:color w:val="auto"/>
              </w:rPr>
            </w:pPr>
            <w:r>
              <w:rPr>
                <w:rFonts w:ascii="Arial" w:cs="Arial" w:eastAsia="Arial" w:hAnsi="Arial"/>
                <w:sz w:val="18"/>
                <w:szCs w:val="18"/>
                <w:color w:val="auto"/>
              </w:rPr>
              <w:t>10.18*</w:t>
            </w:r>
          </w:p>
        </w:tc>
        <w:tc>
          <w:tcPr>
            <w:tcW w:w="5120" w:type="dxa"/>
            <w:vAlign w:val="bottom"/>
            <w:gridSpan w:val="21"/>
          </w:tcPr>
          <w:p>
            <w:pPr>
              <w:spacing w:after="0"/>
              <w:rPr>
                <w:rFonts w:ascii="Arial" w:cs="Arial" w:eastAsia="Arial" w:hAnsi="Arial"/>
                <w:sz w:val="18"/>
                <w:szCs w:val="18"/>
                <w:color w:val="0000FF"/>
              </w:rPr>
            </w:pPr>
            <w:hyperlink r:id="rId97">
              <w:r>
                <w:rPr>
                  <w:rFonts w:ascii="Arial" w:cs="Arial" w:eastAsia="Arial" w:hAnsi="Arial"/>
                  <w:sz w:val="18"/>
                  <w:szCs w:val="18"/>
                  <w:color w:val="0000FF"/>
                </w:rPr>
                <w:t>Form of 2013 Nonqualified Stock Option Grant Agreement</w:t>
              </w:r>
            </w:hyperlink>
          </w:p>
        </w:tc>
        <w:tc>
          <w:tcPr>
            <w:tcW w:w="5340" w:type="dxa"/>
            <w:vAlign w:val="bottom"/>
          </w:tcPr>
          <w:p>
            <w:pPr>
              <w:ind w:left="120"/>
              <w:spacing w:after="0"/>
              <w:rPr>
                <w:sz w:val="20"/>
                <w:szCs w:val="20"/>
                <w:color w:val="auto"/>
              </w:rPr>
            </w:pPr>
            <w:r>
              <w:rPr>
                <w:rFonts w:ascii="Arial" w:cs="Arial" w:eastAsia="Arial" w:hAnsi="Arial"/>
                <w:sz w:val="18"/>
                <w:szCs w:val="18"/>
                <w:color w:val="auto"/>
                <w:w w:val="99"/>
              </w:rPr>
              <w:t>Incorporated by reference from the Registrant’s Form 8-K filed on</w:t>
            </w:r>
          </w:p>
        </w:tc>
      </w:tr>
      <w:tr>
        <w:trPr>
          <w:trHeight w:val="237"/>
        </w:trPr>
        <w:tc>
          <w:tcPr>
            <w:tcW w:w="960" w:type="dxa"/>
            <w:vAlign w:val="bottom"/>
          </w:tcPr>
          <w:p>
            <w:pPr>
              <w:spacing w:after="0"/>
              <w:rPr>
                <w:sz w:val="20"/>
                <w:szCs w:val="20"/>
                <w:color w:val="auto"/>
              </w:rPr>
            </w:pPr>
          </w:p>
        </w:tc>
        <w:tc>
          <w:tcPr>
            <w:tcW w:w="480" w:type="dxa"/>
            <w:vAlign w:val="bottom"/>
            <w:tcBorders>
              <w:top w:val="single" w:sz="8" w:color="0000FF"/>
            </w:tcBorders>
          </w:tcPr>
          <w:p>
            <w:pPr>
              <w:spacing w:after="0"/>
              <w:rPr>
                <w:sz w:val="20"/>
                <w:szCs w:val="20"/>
                <w:color w:val="auto"/>
              </w:rPr>
            </w:pPr>
          </w:p>
        </w:tc>
        <w:tc>
          <w:tcPr>
            <w:tcW w:w="3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560" w:type="dxa"/>
            <w:vAlign w:val="bottom"/>
            <w:tcBorders>
              <w:top w:val="single" w:sz="8" w:color="0000FF"/>
            </w:tcBorders>
          </w:tcPr>
          <w:p>
            <w:pPr>
              <w:spacing w:after="0"/>
              <w:rPr>
                <w:sz w:val="20"/>
                <w:szCs w:val="20"/>
                <w:color w:val="auto"/>
              </w:rPr>
            </w:pPr>
          </w:p>
        </w:tc>
        <w:tc>
          <w:tcPr>
            <w:tcW w:w="260" w:type="dxa"/>
            <w:vAlign w:val="bottom"/>
            <w:tcBorders>
              <w:top w:val="single" w:sz="8" w:color="0000FF"/>
            </w:tcBorders>
          </w:tcPr>
          <w:p>
            <w:pPr>
              <w:spacing w:after="0"/>
              <w:rPr>
                <w:sz w:val="20"/>
                <w:szCs w:val="20"/>
                <w:color w:val="auto"/>
              </w:rPr>
            </w:pPr>
          </w:p>
        </w:tc>
        <w:tc>
          <w:tcPr>
            <w:tcW w:w="960" w:type="dxa"/>
            <w:vAlign w:val="bottom"/>
            <w:tcBorders>
              <w:top w:val="single" w:sz="8" w:color="0000FF"/>
            </w:tcBorders>
          </w:tcPr>
          <w:p>
            <w:pPr>
              <w:spacing w:after="0"/>
              <w:rPr>
                <w:sz w:val="20"/>
                <w:szCs w:val="20"/>
                <w:color w:val="auto"/>
              </w:rPr>
            </w:pPr>
          </w:p>
        </w:tc>
        <w:tc>
          <w:tcPr>
            <w:tcW w:w="620" w:type="dxa"/>
            <w:vAlign w:val="bottom"/>
            <w:tcBorders>
              <w:top w:val="single" w:sz="8" w:color="0000FF"/>
            </w:tcBorders>
          </w:tcPr>
          <w:p>
            <w:pPr>
              <w:spacing w:after="0"/>
              <w:rPr>
                <w:sz w:val="20"/>
                <w:szCs w:val="20"/>
                <w:color w:val="auto"/>
              </w:rPr>
            </w:pPr>
          </w:p>
        </w:tc>
        <w:tc>
          <w:tcPr>
            <w:tcW w:w="80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340" w:type="dxa"/>
            <w:vAlign w:val="bottom"/>
          </w:tcPr>
          <w:p>
            <w:pPr>
              <w:ind w:left="120"/>
              <w:spacing w:after="0"/>
              <w:rPr>
                <w:sz w:val="20"/>
                <w:szCs w:val="20"/>
                <w:color w:val="auto"/>
              </w:rPr>
            </w:pPr>
            <w:r>
              <w:rPr>
                <w:rFonts w:ascii="Arial" w:cs="Arial" w:eastAsia="Arial" w:hAnsi="Arial"/>
                <w:sz w:val="18"/>
                <w:szCs w:val="18"/>
                <w:color w:val="auto"/>
              </w:rPr>
              <w:t>November 14, 2012, Exhibit 10.1</w:t>
            </w:r>
          </w:p>
        </w:tc>
      </w:tr>
      <w:tr>
        <w:trPr>
          <w:trHeight w:val="351"/>
        </w:trPr>
        <w:tc>
          <w:tcPr>
            <w:tcW w:w="960" w:type="dxa"/>
            <w:vAlign w:val="bottom"/>
          </w:tcPr>
          <w:p>
            <w:pPr>
              <w:ind w:left="40"/>
              <w:spacing w:after="0"/>
              <w:rPr>
                <w:sz w:val="20"/>
                <w:szCs w:val="20"/>
                <w:color w:val="auto"/>
              </w:rPr>
            </w:pPr>
            <w:r>
              <w:rPr>
                <w:rFonts w:ascii="Arial" w:cs="Arial" w:eastAsia="Arial" w:hAnsi="Arial"/>
                <w:sz w:val="18"/>
                <w:szCs w:val="18"/>
                <w:color w:val="auto"/>
              </w:rPr>
              <w:t>10.19*</w:t>
            </w:r>
          </w:p>
        </w:tc>
        <w:tc>
          <w:tcPr>
            <w:tcW w:w="5120" w:type="dxa"/>
            <w:vAlign w:val="bottom"/>
            <w:gridSpan w:val="21"/>
          </w:tcPr>
          <w:p>
            <w:pPr>
              <w:spacing w:after="0"/>
              <w:rPr>
                <w:rFonts w:ascii="Arial" w:cs="Arial" w:eastAsia="Arial" w:hAnsi="Arial"/>
                <w:sz w:val="18"/>
                <w:szCs w:val="18"/>
                <w:color w:val="0000FF"/>
              </w:rPr>
            </w:pPr>
            <w:hyperlink r:id="rId98">
              <w:r>
                <w:rPr>
                  <w:rFonts w:ascii="Arial" w:cs="Arial" w:eastAsia="Arial" w:hAnsi="Arial"/>
                  <w:sz w:val="18"/>
                  <w:szCs w:val="18"/>
                  <w:color w:val="0000FF"/>
                </w:rPr>
                <w:t>Form of 2014 Nonqualified Stock Option Grant Agreement</w:t>
              </w:r>
            </w:hyperlink>
          </w:p>
        </w:tc>
        <w:tc>
          <w:tcPr>
            <w:tcW w:w="5340" w:type="dxa"/>
            <w:vAlign w:val="bottom"/>
          </w:tcPr>
          <w:p>
            <w:pPr>
              <w:ind w:left="120"/>
              <w:spacing w:after="0"/>
              <w:rPr>
                <w:sz w:val="20"/>
                <w:szCs w:val="20"/>
                <w:color w:val="auto"/>
              </w:rPr>
            </w:pPr>
            <w:r>
              <w:rPr>
                <w:rFonts w:ascii="Arial" w:cs="Arial" w:eastAsia="Arial" w:hAnsi="Arial"/>
                <w:sz w:val="18"/>
                <w:szCs w:val="18"/>
                <w:color w:val="auto"/>
                <w:w w:val="99"/>
              </w:rPr>
              <w:t>Incorporated by reference from the Registrant’s Form 8-K filed on</w:t>
            </w:r>
          </w:p>
        </w:tc>
      </w:tr>
      <w:tr>
        <w:trPr>
          <w:trHeight w:val="237"/>
        </w:trPr>
        <w:tc>
          <w:tcPr>
            <w:tcW w:w="960" w:type="dxa"/>
            <w:vAlign w:val="bottom"/>
          </w:tcPr>
          <w:p>
            <w:pPr>
              <w:spacing w:after="0"/>
              <w:rPr>
                <w:sz w:val="20"/>
                <w:szCs w:val="20"/>
                <w:color w:val="auto"/>
              </w:rPr>
            </w:pPr>
          </w:p>
        </w:tc>
        <w:tc>
          <w:tcPr>
            <w:tcW w:w="480" w:type="dxa"/>
            <w:vAlign w:val="bottom"/>
            <w:tcBorders>
              <w:top w:val="single" w:sz="8" w:color="0000FF"/>
            </w:tcBorders>
          </w:tcPr>
          <w:p>
            <w:pPr>
              <w:spacing w:after="0"/>
              <w:rPr>
                <w:sz w:val="20"/>
                <w:szCs w:val="20"/>
                <w:color w:val="auto"/>
              </w:rPr>
            </w:pPr>
          </w:p>
        </w:tc>
        <w:tc>
          <w:tcPr>
            <w:tcW w:w="3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560" w:type="dxa"/>
            <w:vAlign w:val="bottom"/>
            <w:tcBorders>
              <w:top w:val="single" w:sz="8" w:color="0000FF"/>
            </w:tcBorders>
          </w:tcPr>
          <w:p>
            <w:pPr>
              <w:spacing w:after="0"/>
              <w:rPr>
                <w:sz w:val="20"/>
                <w:szCs w:val="20"/>
                <w:color w:val="auto"/>
              </w:rPr>
            </w:pPr>
          </w:p>
        </w:tc>
        <w:tc>
          <w:tcPr>
            <w:tcW w:w="260" w:type="dxa"/>
            <w:vAlign w:val="bottom"/>
            <w:tcBorders>
              <w:top w:val="single" w:sz="8" w:color="0000FF"/>
            </w:tcBorders>
          </w:tcPr>
          <w:p>
            <w:pPr>
              <w:spacing w:after="0"/>
              <w:rPr>
                <w:sz w:val="20"/>
                <w:szCs w:val="20"/>
                <w:color w:val="auto"/>
              </w:rPr>
            </w:pPr>
          </w:p>
        </w:tc>
        <w:tc>
          <w:tcPr>
            <w:tcW w:w="960" w:type="dxa"/>
            <w:vAlign w:val="bottom"/>
            <w:tcBorders>
              <w:top w:val="single" w:sz="8" w:color="0000FF"/>
            </w:tcBorders>
          </w:tcPr>
          <w:p>
            <w:pPr>
              <w:spacing w:after="0"/>
              <w:rPr>
                <w:sz w:val="20"/>
                <w:szCs w:val="20"/>
                <w:color w:val="auto"/>
              </w:rPr>
            </w:pPr>
          </w:p>
        </w:tc>
        <w:tc>
          <w:tcPr>
            <w:tcW w:w="620" w:type="dxa"/>
            <w:vAlign w:val="bottom"/>
            <w:tcBorders>
              <w:top w:val="single" w:sz="8" w:color="0000FF"/>
            </w:tcBorders>
          </w:tcPr>
          <w:p>
            <w:pPr>
              <w:spacing w:after="0"/>
              <w:rPr>
                <w:sz w:val="20"/>
                <w:szCs w:val="20"/>
                <w:color w:val="auto"/>
              </w:rPr>
            </w:pPr>
          </w:p>
        </w:tc>
        <w:tc>
          <w:tcPr>
            <w:tcW w:w="80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340" w:type="dxa"/>
            <w:vAlign w:val="bottom"/>
          </w:tcPr>
          <w:p>
            <w:pPr>
              <w:ind w:left="120"/>
              <w:spacing w:after="0"/>
              <w:rPr>
                <w:sz w:val="20"/>
                <w:szCs w:val="20"/>
                <w:color w:val="auto"/>
              </w:rPr>
            </w:pPr>
            <w:r>
              <w:rPr>
                <w:rFonts w:ascii="Arial" w:cs="Arial" w:eastAsia="Arial" w:hAnsi="Arial"/>
                <w:sz w:val="18"/>
                <w:szCs w:val="18"/>
                <w:color w:val="auto"/>
              </w:rPr>
              <w:t>March 4, 2014, Exhibit 10.1</w:t>
            </w:r>
          </w:p>
        </w:tc>
      </w:tr>
      <w:tr>
        <w:trPr>
          <w:trHeight w:val="351"/>
        </w:trPr>
        <w:tc>
          <w:tcPr>
            <w:tcW w:w="960" w:type="dxa"/>
            <w:vAlign w:val="bottom"/>
          </w:tcPr>
          <w:p>
            <w:pPr>
              <w:ind w:left="40"/>
              <w:spacing w:after="0"/>
              <w:rPr>
                <w:sz w:val="20"/>
                <w:szCs w:val="20"/>
                <w:color w:val="auto"/>
              </w:rPr>
            </w:pPr>
            <w:r>
              <w:rPr>
                <w:rFonts w:ascii="Arial" w:cs="Arial" w:eastAsia="Arial" w:hAnsi="Arial"/>
                <w:sz w:val="18"/>
                <w:szCs w:val="18"/>
                <w:color w:val="auto"/>
              </w:rPr>
              <w:t>10.20*</w:t>
            </w:r>
          </w:p>
        </w:tc>
        <w:tc>
          <w:tcPr>
            <w:tcW w:w="5120" w:type="dxa"/>
            <w:vAlign w:val="bottom"/>
            <w:gridSpan w:val="21"/>
          </w:tcPr>
          <w:p>
            <w:pPr>
              <w:spacing w:after="0"/>
              <w:rPr>
                <w:rFonts w:ascii="Arial" w:cs="Arial" w:eastAsia="Arial" w:hAnsi="Arial"/>
                <w:sz w:val="18"/>
                <w:szCs w:val="18"/>
                <w:color w:val="0000FF"/>
              </w:rPr>
            </w:pPr>
            <w:hyperlink r:id="rId99">
              <w:r>
                <w:rPr>
                  <w:rFonts w:ascii="Arial" w:cs="Arial" w:eastAsia="Arial" w:hAnsi="Arial"/>
                  <w:sz w:val="18"/>
                  <w:szCs w:val="18"/>
                  <w:color w:val="0000FF"/>
                </w:rPr>
                <w:t>Form of the 2015 Nonqualified Stock Option Grant Agreement</w:t>
              </w:r>
            </w:hyperlink>
          </w:p>
        </w:tc>
        <w:tc>
          <w:tcPr>
            <w:tcW w:w="5340" w:type="dxa"/>
            <w:vAlign w:val="bottom"/>
          </w:tcPr>
          <w:p>
            <w:pPr>
              <w:ind w:left="120"/>
              <w:spacing w:after="0"/>
              <w:rPr>
                <w:sz w:val="20"/>
                <w:szCs w:val="20"/>
                <w:color w:val="auto"/>
              </w:rPr>
            </w:pPr>
            <w:r>
              <w:rPr>
                <w:rFonts w:ascii="Arial" w:cs="Arial" w:eastAsia="Arial" w:hAnsi="Arial"/>
                <w:sz w:val="18"/>
                <w:szCs w:val="18"/>
                <w:color w:val="auto"/>
                <w:w w:val="99"/>
              </w:rPr>
              <w:t>Incorporated by reference from the Registrant’s Form 8-K filed on</w:t>
            </w:r>
          </w:p>
        </w:tc>
      </w:tr>
      <w:tr>
        <w:trPr>
          <w:trHeight w:val="237"/>
        </w:trPr>
        <w:tc>
          <w:tcPr>
            <w:tcW w:w="960" w:type="dxa"/>
            <w:vAlign w:val="bottom"/>
          </w:tcPr>
          <w:p>
            <w:pPr>
              <w:spacing w:after="0"/>
              <w:rPr>
                <w:sz w:val="20"/>
                <w:szCs w:val="20"/>
                <w:color w:val="auto"/>
              </w:rPr>
            </w:pPr>
          </w:p>
        </w:tc>
        <w:tc>
          <w:tcPr>
            <w:tcW w:w="480" w:type="dxa"/>
            <w:vAlign w:val="bottom"/>
            <w:tcBorders>
              <w:top w:val="single" w:sz="8" w:color="0000FF"/>
            </w:tcBorders>
          </w:tcPr>
          <w:p>
            <w:pPr>
              <w:spacing w:after="0"/>
              <w:rPr>
                <w:sz w:val="20"/>
                <w:szCs w:val="20"/>
                <w:color w:val="auto"/>
              </w:rPr>
            </w:pPr>
          </w:p>
        </w:tc>
        <w:tc>
          <w:tcPr>
            <w:tcW w:w="3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560" w:type="dxa"/>
            <w:vAlign w:val="bottom"/>
            <w:tcBorders>
              <w:top w:val="single" w:sz="8" w:color="0000FF"/>
            </w:tcBorders>
          </w:tcPr>
          <w:p>
            <w:pPr>
              <w:spacing w:after="0"/>
              <w:rPr>
                <w:sz w:val="20"/>
                <w:szCs w:val="20"/>
                <w:color w:val="auto"/>
              </w:rPr>
            </w:pPr>
          </w:p>
        </w:tc>
        <w:tc>
          <w:tcPr>
            <w:tcW w:w="260" w:type="dxa"/>
            <w:vAlign w:val="bottom"/>
            <w:tcBorders>
              <w:top w:val="single" w:sz="8" w:color="0000FF"/>
            </w:tcBorders>
          </w:tcPr>
          <w:p>
            <w:pPr>
              <w:spacing w:after="0"/>
              <w:rPr>
                <w:sz w:val="20"/>
                <w:szCs w:val="20"/>
                <w:color w:val="auto"/>
              </w:rPr>
            </w:pPr>
          </w:p>
        </w:tc>
        <w:tc>
          <w:tcPr>
            <w:tcW w:w="960" w:type="dxa"/>
            <w:vAlign w:val="bottom"/>
            <w:tcBorders>
              <w:top w:val="single" w:sz="8" w:color="0000FF"/>
            </w:tcBorders>
          </w:tcPr>
          <w:p>
            <w:pPr>
              <w:spacing w:after="0"/>
              <w:rPr>
                <w:sz w:val="20"/>
                <w:szCs w:val="20"/>
                <w:color w:val="auto"/>
              </w:rPr>
            </w:pPr>
          </w:p>
        </w:tc>
        <w:tc>
          <w:tcPr>
            <w:tcW w:w="620" w:type="dxa"/>
            <w:vAlign w:val="bottom"/>
            <w:tcBorders>
              <w:top w:val="single" w:sz="8" w:color="0000FF"/>
            </w:tcBorders>
          </w:tcPr>
          <w:p>
            <w:pPr>
              <w:spacing w:after="0"/>
              <w:rPr>
                <w:sz w:val="20"/>
                <w:szCs w:val="20"/>
                <w:color w:val="auto"/>
              </w:rPr>
            </w:pPr>
          </w:p>
        </w:tc>
        <w:tc>
          <w:tcPr>
            <w:tcW w:w="80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340" w:type="dxa"/>
            <w:vAlign w:val="bottom"/>
          </w:tcPr>
          <w:p>
            <w:pPr>
              <w:ind w:left="120"/>
              <w:spacing w:after="0"/>
              <w:rPr>
                <w:sz w:val="20"/>
                <w:szCs w:val="20"/>
                <w:color w:val="auto"/>
              </w:rPr>
            </w:pPr>
            <w:r>
              <w:rPr>
                <w:rFonts w:ascii="Arial" w:cs="Arial" w:eastAsia="Arial" w:hAnsi="Arial"/>
                <w:sz w:val="18"/>
                <w:szCs w:val="18"/>
                <w:color w:val="auto"/>
              </w:rPr>
              <w:t>February 19, 2015, Exhibit 10.1</w:t>
            </w:r>
          </w:p>
        </w:tc>
      </w:tr>
      <w:tr>
        <w:trPr>
          <w:trHeight w:val="351"/>
        </w:trPr>
        <w:tc>
          <w:tcPr>
            <w:tcW w:w="960" w:type="dxa"/>
            <w:vAlign w:val="bottom"/>
          </w:tcPr>
          <w:p>
            <w:pPr>
              <w:ind w:left="40"/>
              <w:spacing w:after="0"/>
              <w:rPr>
                <w:sz w:val="20"/>
                <w:szCs w:val="20"/>
                <w:color w:val="auto"/>
              </w:rPr>
            </w:pPr>
            <w:r>
              <w:rPr>
                <w:rFonts w:ascii="Arial" w:cs="Arial" w:eastAsia="Arial" w:hAnsi="Arial"/>
                <w:sz w:val="18"/>
                <w:szCs w:val="18"/>
                <w:color w:val="auto"/>
              </w:rPr>
              <w:t>10.21*</w:t>
            </w:r>
          </w:p>
        </w:tc>
        <w:tc>
          <w:tcPr>
            <w:tcW w:w="5120" w:type="dxa"/>
            <w:vAlign w:val="bottom"/>
            <w:gridSpan w:val="21"/>
          </w:tcPr>
          <w:p>
            <w:pPr>
              <w:spacing w:after="0"/>
              <w:rPr>
                <w:rFonts w:ascii="Arial" w:cs="Arial" w:eastAsia="Arial" w:hAnsi="Arial"/>
                <w:sz w:val="18"/>
                <w:szCs w:val="18"/>
                <w:color w:val="0000FF"/>
              </w:rPr>
            </w:pPr>
            <w:hyperlink r:id="rId100">
              <w:r>
                <w:rPr>
                  <w:rFonts w:ascii="Arial" w:cs="Arial" w:eastAsia="Arial" w:hAnsi="Arial"/>
                  <w:sz w:val="18"/>
                  <w:szCs w:val="18"/>
                  <w:color w:val="0000FF"/>
                </w:rPr>
                <w:t>Form of the 2016 Nonqualified Stock Option Grant Agreement</w:t>
              </w:r>
            </w:hyperlink>
          </w:p>
        </w:tc>
        <w:tc>
          <w:tcPr>
            <w:tcW w:w="5340" w:type="dxa"/>
            <w:vAlign w:val="bottom"/>
          </w:tcPr>
          <w:p>
            <w:pPr>
              <w:ind w:left="120"/>
              <w:spacing w:after="0"/>
              <w:rPr>
                <w:sz w:val="20"/>
                <w:szCs w:val="20"/>
                <w:color w:val="auto"/>
              </w:rPr>
            </w:pPr>
            <w:r>
              <w:rPr>
                <w:rFonts w:ascii="Arial" w:cs="Arial" w:eastAsia="Arial" w:hAnsi="Arial"/>
                <w:sz w:val="18"/>
                <w:szCs w:val="18"/>
                <w:color w:val="auto"/>
                <w:w w:val="99"/>
              </w:rPr>
              <w:t>Incorporated by reference from the Registrant’s Form 8-K filed on</w:t>
            </w:r>
          </w:p>
        </w:tc>
      </w:tr>
      <w:tr>
        <w:trPr>
          <w:trHeight w:val="237"/>
        </w:trPr>
        <w:tc>
          <w:tcPr>
            <w:tcW w:w="960" w:type="dxa"/>
            <w:vAlign w:val="bottom"/>
          </w:tcPr>
          <w:p>
            <w:pPr>
              <w:spacing w:after="0"/>
              <w:rPr>
                <w:sz w:val="20"/>
                <w:szCs w:val="20"/>
                <w:color w:val="auto"/>
              </w:rPr>
            </w:pPr>
          </w:p>
        </w:tc>
        <w:tc>
          <w:tcPr>
            <w:tcW w:w="480" w:type="dxa"/>
            <w:vAlign w:val="bottom"/>
            <w:tcBorders>
              <w:top w:val="single" w:sz="8" w:color="0000FF"/>
            </w:tcBorders>
          </w:tcPr>
          <w:p>
            <w:pPr>
              <w:spacing w:after="0"/>
              <w:rPr>
                <w:sz w:val="20"/>
                <w:szCs w:val="20"/>
                <w:color w:val="auto"/>
              </w:rPr>
            </w:pPr>
          </w:p>
        </w:tc>
        <w:tc>
          <w:tcPr>
            <w:tcW w:w="3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560" w:type="dxa"/>
            <w:vAlign w:val="bottom"/>
            <w:tcBorders>
              <w:top w:val="single" w:sz="8" w:color="0000FF"/>
            </w:tcBorders>
          </w:tcPr>
          <w:p>
            <w:pPr>
              <w:spacing w:after="0"/>
              <w:rPr>
                <w:sz w:val="20"/>
                <w:szCs w:val="20"/>
                <w:color w:val="auto"/>
              </w:rPr>
            </w:pPr>
          </w:p>
        </w:tc>
        <w:tc>
          <w:tcPr>
            <w:tcW w:w="260" w:type="dxa"/>
            <w:vAlign w:val="bottom"/>
            <w:tcBorders>
              <w:top w:val="single" w:sz="8" w:color="0000FF"/>
            </w:tcBorders>
          </w:tcPr>
          <w:p>
            <w:pPr>
              <w:spacing w:after="0"/>
              <w:rPr>
                <w:sz w:val="20"/>
                <w:szCs w:val="20"/>
                <w:color w:val="auto"/>
              </w:rPr>
            </w:pPr>
          </w:p>
        </w:tc>
        <w:tc>
          <w:tcPr>
            <w:tcW w:w="960" w:type="dxa"/>
            <w:vAlign w:val="bottom"/>
            <w:tcBorders>
              <w:top w:val="single" w:sz="8" w:color="0000FF"/>
            </w:tcBorders>
          </w:tcPr>
          <w:p>
            <w:pPr>
              <w:spacing w:after="0"/>
              <w:rPr>
                <w:sz w:val="20"/>
                <w:szCs w:val="20"/>
                <w:color w:val="auto"/>
              </w:rPr>
            </w:pPr>
          </w:p>
        </w:tc>
        <w:tc>
          <w:tcPr>
            <w:tcW w:w="620" w:type="dxa"/>
            <w:vAlign w:val="bottom"/>
            <w:tcBorders>
              <w:top w:val="single" w:sz="8" w:color="0000FF"/>
            </w:tcBorders>
          </w:tcPr>
          <w:p>
            <w:pPr>
              <w:spacing w:after="0"/>
              <w:rPr>
                <w:sz w:val="20"/>
                <w:szCs w:val="20"/>
                <w:color w:val="auto"/>
              </w:rPr>
            </w:pPr>
          </w:p>
        </w:tc>
        <w:tc>
          <w:tcPr>
            <w:tcW w:w="80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340" w:type="dxa"/>
            <w:vAlign w:val="bottom"/>
          </w:tcPr>
          <w:p>
            <w:pPr>
              <w:ind w:left="120"/>
              <w:spacing w:after="0"/>
              <w:rPr>
                <w:sz w:val="20"/>
                <w:szCs w:val="20"/>
                <w:color w:val="auto"/>
              </w:rPr>
            </w:pPr>
            <w:r>
              <w:rPr>
                <w:rFonts w:ascii="Arial" w:cs="Arial" w:eastAsia="Arial" w:hAnsi="Arial"/>
                <w:sz w:val="18"/>
                <w:szCs w:val="18"/>
                <w:color w:val="auto"/>
              </w:rPr>
              <w:t>March 1, 2016, Exhibit 10.1</w:t>
            </w:r>
          </w:p>
        </w:tc>
      </w:tr>
      <w:tr>
        <w:trPr>
          <w:trHeight w:val="351"/>
        </w:trPr>
        <w:tc>
          <w:tcPr>
            <w:tcW w:w="960" w:type="dxa"/>
            <w:vAlign w:val="bottom"/>
          </w:tcPr>
          <w:p>
            <w:pPr>
              <w:ind w:left="40"/>
              <w:spacing w:after="0"/>
              <w:rPr>
                <w:sz w:val="20"/>
                <w:szCs w:val="20"/>
                <w:color w:val="auto"/>
              </w:rPr>
            </w:pPr>
            <w:r>
              <w:rPr>
                <w:rFonts w:ascii="Arial" w:cs="Arial" w:eastAsia="Arial" w:hAnsi="Arial"/>
                <w:sz w:val="18"/>
                <w:szCs w:val="18"/>
                <w:color w:val="auto"/>
              </w:rPr>
              <w:t>10.22*</w:t>
            </w:r>
          </w:p>
        </w:tc>
        <w:tc>
          <w:tcPr>
            <w:tcW w:w="5120" w:type="dxa"/>
            <w:vAlign w:val="bottom"/>
            <w:gridSpan w:val="21"/>
          </w:tcPr>
          <w:p>
            <w:pPr>
              <w:spacing w:after="0"/>
              <w:rPr>
                <w:rFonts w:ascii="Arial" w:cs="Arial" w:eastAsia="Arial" w:hAnsi="Arial"/>
                <w:sz w:val="18"/>
                <w:szCs w:val="18"/>
                <w:color w:val="0000FF"/>
              </w:rPr>
            </w:pPr>
            <w:hyperlink r:id="rId101">
              <w:r>
                <w:rPr>
                  <w:rFonts w:ascii="Arial" w:cs="Arial" w:eastAsia="Arial" w:hAnsi="Arial"/>
                  <w:sz w:val="18"/>
                  <w:szCs w:val="18"/>
                  <w:color w:val="0000FF"/>
                </w:rPr>
                <w:t>Form of 2016 Nonqualified Stock Option Grant Agreement,</w:t>
              </w:r>
            </w:hyperlink>
          </w:p>
        </w:tc>
        <w:tc>
          <w:tcPr>
            <w:tcW w:w="5340" w:type="dxa"/>
            <w:vAlign w:val="bottom"/>
          </w:tcPr>
          <w:p>
            <w:pPr>
              <w:ind w:left="120"/>
              <w:spacing w:after="0"/>
              <w:rPr>
                <w:sz w:val="20"/>
                <w:szCs w:val="20"/>
                <w:color w:val="auto"/>
              </w:rPr>
            </w:pPr>
            <w:r>
              <w:rPr>
                <w:rFonts w:ascii="Arial" w:cs="Arial" w:eastAsia="Arial" w:hAnsi="Arial"/>
                <w:sz w:val="18"/>
                <w:szCs w:val="18"/>
                <w:color w:val="auto"/>
                <w:w w:val="96"/>
              </w:rPr>
              <w:t>Incorporated by reference from the Registrant’s Quarterly Report on</w:t>
            </w:r>
          </w:p>
        </w:tc>
      </w:tr>
      <w:tr>
        <w:trPr>
          <w:trHeight w:val="196"/>
        </w:trPr>
        <w:tc>
          <w:tcPr>
            <w:tcW w:w="960" w:type="dxa"/>
            <w:vAlign w:val="bottom"/>
          </w:tcPr>
          <w:p>
            <w:pPr>
              <w:spacing w:after="0"/>
              <w:rPr>
                <w:sz w:val="17"/>
                <w:szCs w:val="17"/>
                <w:color w:val="auto"/>
              </w:rPr>
            </w:pPr>
          </w:p>
        </w:tc>
        <w:tc>
          <w:tcPr>
            <w:tcW w:w="4320" w:type="dxa"/>
            <w:vAlign w:val="bottom"/>
            <w:tcBorders>
              <w:top w:val="single" w:sz="8" w:color="0000FF"/>
            </w:tcBorders>
            <w:gridSpan w:val="11"/>
          </w:tcPr>
          <w:p>
            <w:pPr>
              <w:spacing w:after="0" w:line="196" w:lineRule="exact"/>
              <w:rPr>
                <w:rFonts w:ascii="Arial" w:cs="Arial" w:eastAsia="Arial" w:hAnsi="Arial"/>
                <w:sz w:val="18"/>
                <w:szCs w:val="18"/>
                <w:color w:val="0000FF"/>
              </w:rPr>
            </w:pPr>
            <w:hyperlink r:id="rId101">
              <w:r>
                <w:rPr>
                  <w:rFonts w:ascii="Arial" w:cs="Arial" w:eastAsia="Arial" w:hAnsi="Arial"/>
                  <w:sz w:val="18"/>
                  <w:szCs w:val="18"/>
                  <w:color w:val="0000FF"/>
                </w:rPr>
                <w:t>Supplemental Award</w:t>
              </w:r>
            </w:hyperlink>
          </w:p>
        </w:tc>
        <w:tc>
          <w:tcPr>
            <w:tcW w:w="800" w:type="dxa"/>
            <w:vAlign w:val="bottom"/>
            <w:gridSpan w:val="10"/>
          </w:tcPr>
          <w:p>
            <w:pPr>
              <w:spacing w:after="0"/>
              <w:rPr>
                <w:sz w:val="17"/>
                <w:szCs w:val="17"/>
                <w:color w:val="auto"/>
              </w:rPr>
            </w:pPr>
          </w:p>
        </w:tc>
        <w:tc>
          <w:tcPr>
            <w:tcW w:w="5340" w:type="dxa"/>
            <w:vAlign w:val="bottom"/>
          </w:tcPr>
          <w:p>
            <w:pPr>
              <w:ind w:left="120"/>
              <w:spacing w:after="0" w:line="196" w:lineRule="exact"/>
              <w:rPr>
                <w:sz w:val="20"/>
                <w:szCs w:val="20"/>
                <w:color w:val="auto"/>
              </w:rPr>
            </w:pPr>
            <w:r>
              <w:rPr>
                <w:rFonts w:ascii="Arial" w:cs="Arial" w:eastAsia="Arial" w:hAnsi="Arial"/>
                <w:sz w:val="18"/>
                <w:szCs w:val="18"/>
                <w:color w:val="auto"/>
              </w:rPr>
              <w:t>Form 10-Q for the quarter ended July 30, 2016, Exhibit 10.2</w:t>
            </w:r>
          </w:p>
        </w:tc>
      </w:tr>
      <w:tr>
        <w:trPr>
          <w:trHeight w:val="48"/>
        </w:trPr>
        <w:tc>
          <w:tcPr>
            <w:tcW w:w="960" w:type="dxa"/>
            <w:vAlign w:val="bottom"/>
            <w:tcBorders>
              <w:bottom w:val="single" w:sz="8" w:color="auto"/>
            </w:tcBorders>
          </w:tcPr>
          <w:p>
            <w:pPr>
              <w:spacing w:after="0"/>
              <w:rPr>
                <w:sz w:val="4"/>
                <w:szCs w:val="4"/>
                <w:color w:val="auto"/>
              </w:rPr>
            </w:pPr>
          </w:p>
        </w:tc>
        <w:tc>
          <w:tcPr>
            <w:tcW w:w="480" w:type="dxa"/>
            <w:vAlign w:val="bottom"/>
            <w:tcBorders>
              <w:top w:val="single" w:sz="8" w:color="0000FF"/>
              <w:bottom w:val="single" w:sz="8" w:color="auto"/>
            </w:tcBorders>
          </w:tcPr>
          <w:p>
            <w:pPr>
              <w:spacing w:after="0"/>
              <w:rPr>
                <w:sz w:val="4"/>
                <w:szCs w:val="4"/>
                <w:color w:val="auto"/>
              </w:rPr>
            </w:pPr>
          </w:p>
        </w:tc>
        <w:tc>
          <w:tcPr>
            <w:tcW w:w="34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560" w:type="dxa"/>
            <w:vAlign w:val="bottom"/>
            <w:tcBorders>
              <w:top w:val="single" w:sz="8" w:color="0000FF"/>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340" w:type="dxa"/>
            <w:vAlign w:val="bottom"/>
            <w:tcBorders>
              <w:bottom w:val="single" w:sz="8" w:color="auto"/>
            </w:tcBorders>
          </w:tcPr>
          <w:p>
            <w:pPr>
              <w:spacing w:after="0"/>
              <w:rPr>
                <w:sz w:val="4"/>
                <w:szCs w:val="4"/>
                <w:color w:val="auto"/>
              </w:rPr>
            </w:pPr>
          </w:p>
        </w:tc>
      </w:tr>
    </w:tbl>
    <w:p>
      <w:pPr>
        <w:spacing w:after="0" w:line="8" w:lineRule="exact"/>
        <w:rPr>
          <w:sz w:val="20"/>
          <w:szCs w:val="20"/>
          <w:color w:val="auto"/>
        </w:rPr>
      </w:pPr>
    </w:p>
    <w:p>
      <w:pPr>
        <w:ind w:left="40"/>
        <w:spacing w:after="0"/>
        <w:rPr>
          <w:sz w:val="20"/>
          <w:szCs w:val="20"/>
          <w:color w:val="auto"/>
        </w:rPr>
      </w:pPr>
      <w:r>
        <w:rPr>
          <w:rFonts w:ascii="Arial" w:cs="Arial" w:eastAsia="Arial" w:hAnsi="Arial"/>
          <w:sz w:val="14"/>
          <w:szCs w:val="14"/>
          <w:color w:val="auto"/>
        </w:rPr>
        <w:t>*This exhibit is a management contract, compensatory plan or arrangement</w:t>
      </w:r>
    </w:p>
    <w:p>
      <w:pPr>
        <w:sectPr>
          <w:pgSz w:w="11900" w:h="16838" w:orient="portrait"/>
          <w:cols w:equalWidth="0" w:num="1">
            <w:col w:w="11420"/>
          </w:cols>
          <w:pgMar w:left="240" w:top="126" w:right="23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ind w:left="9580"/>
        <w:spacing w:after="0"/>
        <w:rPr>
          <w:sz w:val="20"/>
          <w:szCs w:val="20"/>
          <w:color w:val="auto"/>
        </w:rPr>
      </w:pPr>
      <w:r>
        <w:rPr>
          <w:rFonts w:ascii="Arial" w:cs="Arial" w:eastAsia="Arial" w:hAnsi="Arial"/>
          <w:sz w:val="11"/>
          <w:szCs w:val="11"/>
          <w:color w:val="auto"/>
        </w:rPr>
        <w:t xml:space="preserve">Nordstrom, Inc. and subsidiaries </w:t>
      </w:r>
      <w:r>
        <w:rPr>
          <w:rFonts w:ascii="Arial" w:cs="Arial" w:eastAsia="Arial" w:hAnsi="Arial"/>
          <w:sz w:val="14"/>
          <w:szCs w:val="14"/>
          <w:color w:val="auto"/>
        </w:rPr>
        <w:t>69</w:t>
      </w:r>
    </w:p>
    <w:p>
      <w:pPr>
        <w:sectPr>
          <w:pgSz w:w="11900" w:h="16838" w:orient="portrait"/>
          <w:cols w:equalWidth="0" w:num="1">
            <w:col w:w="11420"/>
          </w:cols>
          <w:pgMar w:left="240" w:top="126" w:right="239" w:bottom="1440" w:gutter="0" w:footer="0" w:header="0"/>
          <w:type w:val="continuous"/>
        </w:sectPr>
      </w:pPr>
    </w:p>
    <w:bookmarkStart w:id="70" w:name="page71"/>
    <w:bookmarkEnd w:id="70"/>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120" w:type="dxa"/>
            <w:vAlign w:val="bottom"/>
            <w:gridSpan w:val="15"/>
          </w:tcPr>
          <w:p>
            <w:pPr>
              <w:ind w:left="300"/>
              <w:spacing w:after="0"/>
              <w:rPr>
                <w:sz w:val="20"/>
                <w:szCs w:val="20"/>
                <w:color w:val="auto"/>
              </w:rPr>
            </w:pPr>
            <w:r>
              <w:rPr>
                <w:rFonts w:ascii="Arial" w:cs="Arial" w:eastAsia="Arial" w:hAnsi="Arial"/>
                <w:sz w:val="18"/>
                <w:szCs w:val="18"/>
                <w:b w:val="1"/>
                <w:bCs w:val="1"/>
                <w:color w:val="auto"/>
              </w:rPr>
              <w:t>Exhibit</w:t>
            </w:r>
          </w:p>
        </w:tc>
        <w:tc>
          <w:tcPr>
            <w:tcW w:w="5380" w:type="dxa"/>
            <w:vAlign w:val="bottom"/>
          </w:tcPr>
          <w:p>
            <w:pPr>
              <w:ind w:left="2120"/>
              <w:spacing w:after="0"/>
              <w:rPr>
                <w:sz w:val="20"/>
                <w:szCs w:val="20"/>
                <w:color w:val="auto"/>
              </w:rPr>
            </w:pPr>
            <w:r>
              <w:rPr>
                <w:rFonts w:ascii="Arial" w:cs="Arial" w:eastAsia="Arial" w:hAnsi="Arial"/>
                <w:sz w:val="18"/>
                <w:szCs w:val="18"/>
                <w:b w:val="1"/>
                <w:bCs w:val="1"/>
                <w:color w:val="auto"/>
              </w:rPr>
              <w:t>Method of Filing</w:t>
            </w:r>
          </w:p>
        </w:tc>
      </w:tr>
      <w:tr>
        <w:trPr>
          <w:trHeight w:val="27"/>
        </w:trPr>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380" w:type="dxa"/>
            <w:vAlign w:val="bottom"/>
            <w:tcBorders>
              <w:bottom w:val="single" w:sz="8" w:color="auto"/>
            </w:tcBorders>
          </w:tcPr>
          <w:p>
            <w:pPr>
              <w:spacing w:after="0"/>
              <w:rPr>
                <w:sz w:val="2"/>
                <w:szCs w:val="2"/>
                <w:color w:val="auto"/>
              </w:rPr>
            </w:pPr>
          </w:p>
        </w:tc>
      </w:tr>
      <w:tr>
        <w:trPr>
          <w:trHeight w:val="196"/>
        </w:trPr>
        <w:tc>
          <w:tcPr>
            <w:tcW w:w="960" w:type="dxa"/>
            <w:vAlign w:val="bottom"/>
          </w:tcPr>
          <w:p>
            <w:pPr>
              <w:jc w:val="right"/>
              <w:ind w:right="330"/>
              <w:spacing w:after="0" w:line="196" w:lineRule="exact"/>
              <w:rPr>
                <w:sz w:val="20"/>
                <w:szCs w:val="20"/>
                <w:color w:val="auto"/>
              </w:rPr>
            </w:pPr>
            <w:r>
              <w:rPr>
                <w:rFonts w:ascii="Arial" w:cs="Arial" w:eastAsia="Arial" w:hAnsi="Arial"/>
                <w:sz w:val="18"/>
                <w:szCs w:val="18"/>
                <w:color w:val="auto"/>
                <w:w w:val="99"/>
              </w:rPr>
              <w:t>10.23*</w:t>
            </w:r>
          </w:p>
        </w:tc>
        <w:tc>
          <w:tcPr>
            <w:tcW w:w="5080" w:type="dxa"/>
            <w:vAlign w:val="bottom"/>
            <w:gridSpan w:val="21"/>
          </w:tcPr>
          <w:p>
            <w:pPr>
              <w:spacing w:after="0" w:line="196" w:lineRule="exact"/>
              <w:rPr>
                <w:rFonts w:ascii="Arial" w:cs="Arial" w:eastAsia="Arial" w:hAnsi="Arial"/>
                <w:sz w:val="18"/>
                <w:szCs w:val="18"/>
                <w:color w:val="0000FF"/>
              </w:rPr>
            </w:pPr>
            <w:hyperlink r:id="rId102">
              <w:r>
                <w:rPr>
                  <w:rFonts w:ascii="Arial" w:cs="Arial" w:eastAsia="Arial" w:hAnsi="Arial"/>
                  <w:sz w:val="18"/>
                  <w:szCs w:val="18"/>
                  <w:color w:val="0000FF"/>
                </w:rPr>
                <w:t>Form of the 2017 Nonqualified Stock Option Grant Agreement</w:t>
              </w:r>
            </w:hyperlink>
          </w:p>
        </w:tc>
        <w:tc>
          <w:tcPr>
            <w:tcW w:w="5380" w:type="dxa"/>
            <w:vAlign w:val="bottom"/>
          </w:tcPr>
          <w:p>
            <w:pPr>
              <w:ind w:left="160"/>
              <w:spacing w:after="0" w:line="196" w:lineRule="exact"/>
              <w:rPr>
                <w:sz w:val="20"/>
                <w:szCs w:val="20"/>
                <w:color w:val="auto"/>
              </w:rPr>
            </w:pPr>
            <w:r>
              <w:rPr>
                <w:rFonts w:ascii="Arial" w:cs="Arial" w:eastAsia="Arial" w:hAnsi="Arial"/>
                <w:sz w:val="18"/>
                <w:szCs w:val="18"/>
                <w:color w:val="auto"/>
                <w:w w:val="99"/>
              </w:rPr>
              <w:t>Incorporated by reference from the Registrant’s Form 8-K filed on</w:t>
            </w:r>
          </w:p>
        </w:tc>
      </w:tr>
      <w:tr>
        <w:trPr>
          <w:trHeight w:val="237"/>
        </w:trPr>
        <w:tc>
          <w:tcPr>
            <w:tcW w:w="96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4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380" w:type="dxa"/>
            <w:vAlign w:val="bottom"/>
            <w:tcBorders>
              <w:top w:val="single" w:sz="8" w:color="0000FF"/>
            </w:tcBorders>
          </w:tcPr>
          <w:p>
            <w:pPr>
              <w:spacing w:after="0"/>
              <w:rPr>
                <w:sz w:val="20"/>
                <w:szCs w:val="20"/>
                <w:color w:val="auto"/>
              </w:rPr>
            </w:pPr>
          </w:p>
        </w:tc>
        <w:tc>
          <w:tcPr>
            <w:tcW w:w="640" w:type="dxa"/>
            <w:vAlign w:val="bottom"/>
            <w:tcBorders>
              <w:top w:val="single" w:sz="8" w:color="0000FF"/>
            </w:tcBorders>
          </w:tcPr>
          <w:p>
            <w:pPr>
              <w:spacing w:after="0"/>
              <w:rPr>
                <w:sz w:val="20"/>
                <w:szCs w:val="20"/>
                <w:color w:val="auto"/>
              </w:rPr>
            </w:pPr>
          </w:p>
        </w:tc>
        <w:tc>
          <w:tcPr>
            <w:tcW w:w="1180" w:type="dxa"/>
            <w:vAlign w:val="bottom"/>
            <w:tcBorders>
              <w:top w:val="single" w:sz="8" w:color="0000FF"/>
            </w:tcBorders>
          </w:tcPr>
          <w:p>
            <w:pPr>
              <w:spacing w:after="0"/>
              <w:rPr>
                <w:sz w:val="20"/>
                <w:szCs w:val="20"/>
                <w:color w:val="auto"/>
              </w:rPr>
            </w:pPr>
          </w:p>
        </w:tc>
        <w:tc>
          <w:tcPr>
            <w:tcW w:w="480" w:type="dxa"/>
            <w:vAlign w:val="bottom"/>
            <w:tcBorders>
              <w:top w:val="single" w:sz="8" w:color="0000FF"/>
            </w:tcBorders>
          </w:tcPr>
          <w:p>
            <w:pPr>
              <w:spacing w:after="0"/>
              <w:rPr>
                <w:sz w:val="20"/>
                <w:szCs w:val="20"/>
                <w:color w:val="auto"/>
              </w:rPr>
            </w:pPr>
          </w:p>
        </w:tc>
        <w:tc>
          <w:tcPr>
            <w:tcW w:w="5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380" w:type="dxa"/>
            <w:vAlign w:val="bottom"/>
          </w:tcPr>
          <w:p>
            <w:pPr>
              <w:ind w:left="160"/>
              <w:spacing w:after="0"/>
              <w:rPr>
                <w:sz w:val="20"/>
                <w:szCs w:val="20"/>
                <w:color w:val="auto"/>
              </w:rPr>
            </w:pPr>
            <w:r>
              <w:rPr>
                <w:rFonts w:ascii="Arial" w:cs="Arial" w:eastAsia="Arial" w:hAnsi="Arial"/>
                <w:sz w:val="18"/>
                <w:szCs w:val="18"/>
                <w:color w:val="auto"/>
              </w:rPr>
              <w:t>February 23, 2017, Exhibit 10.1</w:t>
            </w:r>
          </w:p>
        </w:tc>
      </w:tr>
      <w:tr>
        <w:trPr>
          <w:trHeight w:val="351"/>
        </w:trPr>
        <w:tc>
          <w:tcPr>
            <w:tcW w:w="960" w:type="dxa"/>
            <w:vAlign w:val="bottom"/>
          </w:tcPr>
          <w:p>
            <w:pPr>
              <w:jc w:val="right"/>
              <w:ind w:right="330"/>
              <w:spacing w:after="0"/>
              <w:rPr>
                <w:sz w:val="20"/>
                <w:szCs w:val="20"/>
                <w:color w:val="auto"/>
              </w:rPr>
            </w:pPr>
            <w:r>
              <w:rPr>
                <w:rFonts w:ascii="Arial" w:cs="Arial" w:eastAsia="Arial" w:hAnsi="Arial"/>
                <w:sz w:val="18"/>
                <w:szCs w:val="18"/>
                <w:color w:val="auto"/>
                <w:w w:val="99"/>
              </w:rPr>
              <w:t>10.24*</w:t>
            </w:r>
          </w:p>
        </w:tc>
        <w:tc>
          <w:tcPr>
            <w:tcW w:w="5080" w:type="dxa"/>
            <w:vAlign w:val="bottom"/>
            <w:gridSpan w:val="21"/>
          </w:tcPr>
          <w:p>
            <w:pPr>
              <w:spacing w:after="0"/>
              <w:rPr>
                <w:rFonts w:ascii="Arial" w:cs="Arial" w:eastAsia="Arial" w:hAnsi="Arial"/>
                <w:sz w:val="18"/>
                <w:szCs w:val="18"/>
                <w:color w:val="0000FF"/>
              </w:rPr>
            </w:pPr>
            <w:hyperlink r:id="rId103">
              <w:r>
                <w:rPr>
                  <w:rFonts w:ascii="Arial" w:cs="Arial" w:eastAsia="Arial" w:hAnsi="Arial"/>
                  <w:sz w:val="18"/>
                  <w:szCs w:val="18"/>
                  <w:color w:val="0000FF"/>
                </w:rPr>
                <w:t>2004 Equity Incentive Plan</w:t>
              </w:r>
            </w:hyperlink>
          </w:p>
        </w:tc>
        <w:tc>
          <w:tcPr>
            <w:tcW w:w="5380" w:type="dxa"/>
            <w:vAlign w:val="bottom"/>
          </w:tcPr>
          <w:p>
            <w:pPr>
              <w:ind w:left="160"/>
              <w:spacing w:after="0"/>
              <w:rPr>
                <w:sz w:val="20"/>
                <w:szCs w:val="20"/>
                <w:color w:val="auto"/>
              </w:rPr>
            </w:pPr>
            <w:r>
              <w:rPr>
                <w:rFonts w:ascii="Arial" w:cs="Arial" w:eastAsia="Arial" w:hAnsi="Arial"/>
                <w:sz w:val="18"/>
                <w:szCs w:val="18"/>
                <w:color w:val="auto"/>
              </w:rPr>
              <w:t>Incorporated by reference from the Registrant’s definitive proxy</w:t>
            </w:r>
          </w:p>
        </w:tc>
      </w:tr>
      <w:tr>
        <w:trPr>
          <w:trHeight w:val="237"/>
        </w:trPr>
        <w:tc>
          <w:tcPr>
            <w:tcW w:w="96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4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380" w:type="dxa"/>
            <w:vAlign w:val="bottom"/>
            <w:tcBorders>
              <w:top w:val="single" w:sz="8" w:color="0000FF"/>
            </w:tcBorders>
          </w:tcPr>
          <w:p>
            <w:pPr>
              <w:spacing w:after="0"/>
              <w:rPr>
                <w:sz w:val="20"/>
                <w:szCs w:val="20"/>
                <w:color w:val="auto"/>
              </w:rPr>
            </w:pPr>
          </w:p>
        </w:tc>
        <w:tc>
          <w:tcPr>
            <w:tcW w:w="640" w:type="dxa"/>
            <w:vAlign w:val="bottom"/>
            <w:tcBorders>
              <w:top w:val="single" w:sz="8" w:color="0000FF"/>
            </w:tcBorders>
          </w:tcPr>
          <w:p>
            <w:pPr>
              <w:spacing w:after="0"/>
              <w:rPr>
                <w:sz w:val="20"/>
                <w:szCs w:val="20"/>
                <w:color w:val="auto"/>
              </w:rPr>
            </w:pPr>
          </w:p>
        </w:tc>
        <w:tc>
          <w:tcPr>
            <w:tcW w:w="1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380" w:type="dxa"/>
            <w:vAlign w:val="bottom"/>
          </w:tcPr>
          <w:p>
            <w:pPr>
              <w:ind w:left="160"/>
              <w:spacing w:after="0"/>
              <w:rPr>
                <w:sz w:val="20"/>
                <w:szCs w:val="20"/>
                <w:color w:val="auto"/>
              </w:rPr>
            </w:pPr>
            <w:r>
              <w:rPr>
                <w:rFonts w:ascii="Arial" w:cs="Arial" w:eastAsia="Arial" w:hAnsi="Arial"/>
                <w:sz w:val="18"/>
                <w:szCs w:val="18"/>
                <w:color w:val="auto"/>
              </w:rPr>
              <w:t>statement filed with the Commission on April 15, 2004</w:t>
            </w:r>
          </w:p>
        </w:tc>
      </w:tr>
      <w:tr>
        <w:trPr>
          <w:trHeight w:val="351"/>
        </w:trPr>
        <w:tc>
          <w:tcPr>
            <w:tcW w:w="960" w:type="dxa"/>
            <w:vAlign w:val="bottom"/>
          </w:tcPr>
          <w:p>
            <w:pPr>
              <w:jc w:val="right"/>
              <w:ind w:right="330"/>
              <w:spacing w:after="0"/>
              <w:rPr>
                <w:sz w:val="20"/>
                <w:szCs w:val="20"/>
                <w:color w:val="auto"/>
              </w:rPr>
            </w:pPr>
            <w:r>
              <w:rPr>
                <w:rFonts w:ascii="Arial" w:cs="Arial" w:eastAsia="Arial" w:hAnsi="Arial"/>
                <w:sz w:val="18"/>
                <w:szCs w:val="18"/>
                <w:color w:val="auto"/>
                <w:w w:val="99"/>
              </w:rPr>
              <w:t>10.25*</w:t>
            </w:r>
          </w:p>
        </w:tc>
        <w:tc>
          <w:tcPr>
            <w:tcW w:w="5080" w:type="dxa"/>
            <w:vAlign w:val="bottom"/>
            <w:gridSpan w:val="21"/>
          </w:tcPr>
          <w:p>
            <w:pPr>
              <w:spacing w:after="0"/>
              <w:rPr>
                <w:rFonts w:ascii="Arial" w:cs="Arial" w:eastAsia="Arial" w:hAnsi="Arial"/>
                <w:sz w:val="18"/>
                <w:szCs w:val="18"/>
                <w:color w:val="0000FF"/>
              </w:rPr>
            </w:pPr>
            <w:hyperlink r:id="rId104">
              <w:r>
                <w:rPr>
                  <w:rFonts w:ascii="Arial" w:cs="Arial" w:eastAsia="Arial" w:hAnsi="Arial"/>
                  <w:sz w:val="18"/>
                  <w:szCs w:val="18"/>
                  <w:color w:val="0000FF"/>
                </w:rPr>
                <w:t>Nordstrom, Inc. 2004 Equity Incentive Plan (2007 Amendment)</w:t>
              </w:r>
            </w:hyperlink>
          </w:p>
        </w:tc>
        <w:tc>
          <w:tcPr>
            <w:tcW w:w="5380" w:type="dxa"/>
            <w:vAlign w:val="bottom"/>
          </w:tcPr>
          <w:p>
            <w:pPr>
              <w:ind w:left="160"/>
              <w:spacing w:after="0"/>
              <w:rPr>
                <w:sz w:val="20"/>
                <w:szCs w:val="20"/>
                <w:color w:val="auto"/>
              </w:rPr>
            </w:pPr>
            <w:r>
              <w:rPr>
                <w:rFonts w:ascii="Arial" w:cs="Arial" w:eastAsia="Arial" w:hAnsi="Arial"/>
                <w:sz w:val="18"/>
                <w:szCs w:val="18"/>
                <w:color w:val="auto"/>
                <w:w w:val="99"/>
              </w:rPr>
              <w:t>Incorporated by reference from the Registrant’s Form 8-K filed on</w:t>
            </w:r>
          </w:p>
        </w:tc>
      </w:tr>
      <w:tr>
        <w:trPr>
          <w:trHeight w:val="237"/>
        </w:trPr>
        <w:tc>
          <w:tcPr>
            <w:tcW w:w="96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4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380" w:type="dxa"/>
            <w:vAlign w:val="bottom"/>
            <w:tcBorders>
              <w:top w:val="single" w:sz="8" w:color="0000FF"/>
            </w:tcBorders>
          </w:tcPr>
          <w:p>
            <w:pPr>
              <w:spacing w:after="0"/>
              <w:rPr>
                <w:sz w:val="20"/>
                <w:szCs w:val="20"/>
                <w:color w:val="auto"/>
              </w:rPr>
            </w:pPr>
          </w:p>
        </w:tc>
        <w:tc>
          <w:tcPr>
            <w:tcW w:w="640" w:type="dxa"/>
            <w:vAlign w:val="bottom"/>
            <w:tcBorders>
              <w:top w:val="single" w:sz="8" w:color="0000FF"/>
            </w:tcBorders>
          </w:tcPr>
          <w:p>
            <w:pPr>
              <w:spacing w:after="0"/>
              <w:rPr>
                <w:sz w:val="20"/>
                <w:szCs w:val="20"/>
                <w:color w:val="auto"/>
              </w:rPr>
            </w:pPr>
          </w:p>
        </w:tc>
        <w:tc>
          <w:tcPr>
            <w:tcW w:w="1180" w:type="dxa"/>
            <w:vAlign w:val="bottom"/>
            <w:tcBorders>
              <w:top w:val="single" w:sz="8" w:color="0000FF"/>
            </w:tcBorders>
          </w:tcPr>
          <w:p>
            <w:pPr>
              <w:spacing w:after="0"/>
              <w:rPr>
                <w:sz w:val="20"/>
                <w:szCs w:val="20"/>
                <w:color w:val="auto"/>
              </w:rPr>
            </w:pPr>
          </w:p>
        </w:tc>
        <w:tc>
          <w:tcPr>
            <w:tcW w:w="480" w:type="dxa"/>
            <w:vAlign w:val="bottom"/>
            <w:tcBorders>
              <w:top w:val="single" w:sz="8" w:color="0000FF"/>
            </w:tcBorders>
          </w:tcPr>
          <w:p>
            <w:pPr>
              <w:spacing w:after="0"/>
              <w:rPr>
                <w:sz w:val="20"/>
                <w:szCs w:val="20"/>
                <w:color w:val="auto"/>
              </w:rPr>
            </w:pPr>
          </w:p>
        </w:tc>
        <w:tc>
          <w:tcPr>
            <w:tcW w:w="5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380" w:type="dxa"/>
            <w:vAlign w:val="bottom"/>
          </w:tcPr>
          <w:p>
            <w:pPr>
              <w:ind w:left="160"/>
              <w:spacing w:after="0"/>
              <w:rPr>
                <w:sz w:val="20"/>
                <w:szCs w:val="20"/>
                <w:color w:val="auto"/>
              </w:rPr>
            </w:pPr>
            <w:r>
              <w:rPr>
                <w:rFonts w:ascii="Arial" w:cs="Arial" w:eastAsia="Arial" w:hAnsi="Arial"/>
                <w:sz w:val="18"/>
                <w:szCs w:val="18"/>
                <w:color w:val="auto"/>
              </w:rPr>
              <w:t>November 19, 2007, Exhibit 10.44</w:t>
            </w:r>
          </w:p>
        </w:tc>
      </w:tr>
      <w:tr>
        <w:trPr>
          <w:trHeight w:val="351"/>
        </w:trPr>
        <w:tc>
          <w:tcPr>
            <w:tcW w:w="960" w:type="dxa"/>
            <w:vAlign w:val="bottom"/>
          </w:tcPr>
          <w:p>
            <w:pPr>
              <w:jc w:val="right"/>
              <w:ind w:right="330"/>
              <w:spacing w:after="0"/>
              <w:rPr>
                <w:sz w:val="20"/>
                <w:szCs w:val="20"/>
                <w:color w:val="auto"/>
              </w:rPr>
            </w:pPr>
            <w:r>
              <w:rPr>
                <w:rFonts w:ascii="Arial" w:cs="Arial" w:eastAsia="Arial" w:hAnsi="Arial"/>
                <w:sz w:val="18"/>
                <w:szCs w:val="18"/>
                <w:color w:val="auto"/>
                <w:w w:val="99"/>
              </w:rPr>
              <w:t>10.26*</w:t>
            </w:r>
          </w:p>
        </w:tc>
        <w:tc>
          <w:tcPr>
            <w:tcW w:w="5080" w:type="dxa"/>
            <w:vAlign w:val="bottom"/>
            <w:gridSpan w:val="21"/>
          </w:tcPr>
          <w:p>
            <w:pPr>
              <w:spacing w:after="0"/>
              <w:rPr>
                <w:rFonts w:ascii="Arial" w:cs="Arial" w:eastAsia="Arial" w:hAnsi="Arial"/>
                <w:sz w:val="18"/>
                <w:szCs w:val="18"/>
                <w:color w:val="0000FF"/>
              </w:rPr>
            </w:pPr>
            <w:hyperlink r:id="rId105">
              <w:r>
                <w:rPr>
                  <w:rFonts w:ascii="Arial" w:cs="Arial" w:eastAsia="Arial" w:hAnsi="Arial"/>
                  <w:sz w:val="18"/>
                  <w:szCs w:val="18"/>
                  <w:color w:val="0000FF"/>
                </w:rPr>
                <w:t>Nordstrom, Inc. 2004 Equity Incentive Plan (2008 Amendment)</w:t>
              </w:r>
            </w:hyperlink>
          </w:p>
        </w:tc>
        <w:tc>
          <w:tcPr>
            <w:tcW w:w="5380" w:type="dxa"/>
            <w:vAlign w:val="bottom"/>
          </w:tcPr>
          <w:p>
            <w:pPr>
              <w:ind w:left="160"/>
              <w:spacing w:after="0"/>
              <w:rPr>
                <w:sz w:val="20"/>
                <w:szCs w:val="20"/>
                <w:color w:val="auto"/>
              </w:rPr>
            </w:pPr>
            <w:r>
              <w:rPr>
                <w:rFonts w:ascii="Arial" w:cs="Arial" w:eastAsia="Arial" w:hAnsi="Arial"/>
                <w:sz w:val="18"/>
                <w:szCs w:val="18"/>
                <w:color w:val="auto"/>
                <w:w w:val="99"/>
              </w:rPr>
              <w:t>Incorporated by reference from the Registrant’s Form 8-K filed on</w:t>
            </w:r>
          </w:p>
        </w:tc>
      </w:tr>
      <w:tr>
        <w:trPr>
          <w:trHeight w:val="237"/>
        </w:trPr>
        <w:tc>
          <w:tcPr>
            <w:tcW w:w="96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4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380" w:type="dxa"/>
            <w:vAlign w:val="bottom"/>
            <w:tcBorders>
              <w:top w:val="single" w:sz="8" w:color="0000FF"/>
            </w:tcBorders>
          </w:tcPr>
          <w:p>
            <w:pPr>
              <w:spacing w:after="0"/>
              <w:rPr>
                <w:sz w:val="20"/>
                <w:szCs w:val="20"/>
                <w:color w:val="auto"/>
              </w:rPr>
            </w:pPr>
          </w:p>
        </w:tc>
        <w:tc>
          <w:tcPr>
            <w:tcW w:w="640" w:type="dxa"/>
            <w:vAlign w:val="bottom"/>
            <w:tcBorders>
              <w:top w:val="single" w:sz="8" w:color="0000FF"/>
            </w:tcBorders>
          </w:tcPr>
          <w:p>
            <w:pPr>
              <w:spacing w:after="0"/>
              <w:rPr>
                <w:sz w:val="20"/>
                <w:szCs w:val="20"/>
                <w:color w:val="auto"/>
              </w:rPr>
            </w:pPr>
          </w:p>
        </w:tc>
        <w:tc>
          <w:tcPr>
            <w:tcW w:w="1180" w:type="dxa"/>
            <w:vAlign w:val="bottom"/>
            <w:tcBorders>
              <w:top w:val="single" w:sz="8" w:color="0000FF"/>
            </w:tcBorders>
          </w:tcPr>
          <w:p>
            <w:pPr>
              <w:spacing w:after="0"/>
              <w:rPr>
                <w:sz w:val="20"/>
                <w:szCs w:val="20"/>
                <w:color w:val="auto"/>
              </w:rPr>
            </w:pPr>
          </w:p>
        </w:tc>
        <w:tc>
          <w:tcPr>
            <w:tcW w:w="480" w:type="dxa"/>
            <w:vAlign w:val="bottom"/>
            <w:tcBorders>
              <w:top w:val="single" w:sz="8" w:color="0000FF"/>
            </w:tcBorders>
          </w:tcPr>
          <w:p>
            <w:pPr>
              <w:spacing w:after="0"/>
              <w:rPr>
                <w:sz w:val="20"/>
                <w:szCs w:val="20"/>
                <w:color w:val="auto"/>
              </w:rPr>
            </w:pPr>
          </w:p>
        </w:tc>
        <w:tc>
          <w:tcPr>
            <w:tcW w:w="5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380" w:type="dxa"/>
            <w:vAlign w:val="bottom"/>
          </w:tcPr>
          <w:p>
            <w:pPr>
              <w:ind w:left="160"/>
              <w:spacing w:after="0"/>
              <w:rPr>
                <w:sz w:val="20"/>
                <w:szCs w:val="20"/>
                <w:color w:val="auto"/>
              </w:rPr>
            </w:pPr>
            <w:r>
              <w:rPr>
                <w:rFonts w:ascii="Arial" w:cs="Arial" w:eastAsia="Arial" w:hAnsi="Arial"/>
                <w:sz w:val="18"/>
                <w:szCs w:val="18"/>
                <w:color w:val="auto"/>
              </w:rPr>
              <w:t>November 24, 2008, Exhibit 10.1</w:t>
            </w:r>
          </w:p>
        </w:tc>
      </w:tr>
      <w:tr>
        <w:trPr>
          <w:trHeight w:val="351"/>
        </w:trPr>
        <w:tc>
          <w:tcPr>
            <w:tcW w:w="960" w:type="dxa"/>
            <w:vAlign w:val="bottom"/>
          </w:tcPr>
          <w:p>
            <w:pPr>
              <w:jc w:val="right"/>
              <w:ind w:right="330"/>
              <w:spacing w:after="0"/>
              <w:rPr>
                <w:sz w:val="20"/>
                <w:szCs w:val="20"/>
                <w:color w:val="auto"/>
              </w:rPr>
            </w:pPr>
            <w:r>
              <w:rPr>
                <w:rFonts w:ascii="Arial" w:cs="Arial" w:eastAsia="Arial" w:hAnsi="Arial"/>
                <w:sz w:val="18"/>
                <w:szCs w:val="18"/>
                <w:color w:val="auto"/>
                <w:w w:val="99"/>
              </w:rPr>
              <w:t>10.27*</w:t>
            </w:r>
          </w:p>
        </w:tc>
        <w:tc>
          <w:tcPr>
            <w:tcW w:w="5080" w:type="dxa"/>
            <w:vAlign w:val="bottom"/>
            <w:gridSpan w:val="21"/>
          </w:tcPr>
          <w:p>
            <w:pPr>
              <w:spacing w:after="0"/>
              <w:rPr>
                <w:rFonts w:ascii="Arial" w:cs="Arial" w:eastAsia="Arial" w:hAnsi="Arial"/>
                <w:sz w:val="18"/>
                <w:szCs w:val="18"/>
                <w:color w:val="0000FF"/>
              </w:rPr>
            </w:pPr>
            <w:hyperlink r:id="rId106">
              <w:r>
                <w:rPr>
                  <w:rFonts w:ascii="Arial" w:cs="Arial" w:eastAsia="Arial" w:hAnsi="Arial"/>
                  <w:sz w:val="18"/>
                  <w:szCs w:val="18"/>
                  <w:color w:val="0000FF"/>
                </w:rPr>
                <w:t>Nordstrom, Inc. 2010 Equity Incentive Plan</w:t>
              </w:r>
            </w:hyperlink>
          </w:p>
        </w:tc>
        <w:tc>
          <w:tcPr>
            <w:tcW w:w="5380" w:type="dxa"/>
            <w:vAlign w:val="bottom"/>
          </w:tcPr>
          <w:p>
            <w:pPr>
              <w:ind w:left="160"/>
              <w:spacing w:after="0"/>
              <w:rPr>
                <w:sz w:val="20"/>
                <w:szCs w:val="20"/>
                <w:color w:val="auto"/>
              </w:rPr>
            </w:pPr>
            <w:r>
              <w:rPr>
                <w:rFonts w:ascii="Arial" w:cs="Arial" w:eastAsia="Arial" w:hAnsi="Arial"/>
                <w:sz w:val="18"/>
                <w:szCs w:val="18"/>
                <w:color w:val="auto"/>
                <w:w w:val="92"/>
              </w:rPr>
              <w:t>Incorporated by reference to Appendix A to the Registrant’s Form DEF</w:t>
            </w:r>
          </w:p>
        </w:tc>
      </w:tr>
      <w:tr>
        <w:trPr>
          <w:trHeight w:val="237"/>
        </w:trPr>
        <w:tc>
          <w:tcPr>
            <w:tcW w:w="96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4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380" w:type="dxa"/>
            <w:vAlign w:val="bottom"/>
            <w:tcBorders>
              <w:top w:val="single" w:sz="8" w:color="0000FF"/>
            </w:tcBorders>
          </w:tcPr>
          <w:p>
            <w:pPr>
              <w:spacing w:after="0"/>
              <w:rPr>
                <w:sz w:val="20"/>
                <w:szCs w:val="20"/>
                <w:color w:val="auto"/>
              </w:rPr>
            </w:pPr>
          </w:p>
        </w:tc>
        <w:tc>
          <w:tcPr>
            <w:tcW w:w="640" w:type="dxa"/>
            <w:vAlign w:val="bottom"/>
            <w:tcBorders>
              <w:top w:val="single" w:sz="8" w:color="0000FF"/>
            </w:tcBorders>
          </w:tcPr>
          <w:p>
            <w:pPr>
              <w:spacing w:after="0"/>
              <w:rPr>
                <w:sz w:val="20"/>
                <w:szCs w:val="20"/>
                <w:color w:val="auto"/>
              </w:rPr>
            </w:pPr>
          </w:p>
        </w:tc>
        <w:tc>
          <w:tcPr>
            <w:tcW w:w="1180" w:type="dxa"/>
            <w:vAlign w:val="bottom"/>
            <w:tcBorders>
              <w:top w:val="single" w:sz="8" w:color="0000FF"/>
            </w:tcBorders>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380" w:type="dxa"/>
            <w:vAlign w:val="bottom"/>
          </w:tcPr>
          <w:p>
            <w:pPr>
              <w:ind w:left="160"/>
              <w:spacing w:after="0"/>
              <w:rPr>
                <w:sz w:val="20"/>
                <w:szCs w:val="20"/>
                <w:color w:val="auto"/>
              </w:rPr>
            </w:pPr>
            <w:r>
              <w:rPr>
                <w:rFonts w:ascii="Arial" w:cs="Arial" w:eastAsia="Arial" w:hAnsi="Arial"/>
                <w:sz w:val="18"/>
                <w:szCs w:val="18"/>
                <w:color w:val="auto"/>
              </w:rPr>
              <w:t>14A filed on April 8, 2010</w:t>
            </w:r>
          </w:p>
        </w:tc>
      </w:tr>
      <w:tr>
        <w:trPr>
          <w:trHeight w:val="351"/>
        </w:trPr>
        <w:tc>
          <w:tcPr>
            <w:tcW w:w="960" w:type="dxa"/>
            <w:vAlign w:val="bottom"/>
          </w:tcPr>
          <w:p>
            <w:pPr>
              <w:jc w:val="right"/>
              <w:ind w:right="330"/>
              <w:spacing w:after="0"/>
              <w:rPr>
                <w:sz w:val="20"/>
                <w:szCs w:val="20"/>
                <w:color w:val="auto"/>
              </w:rPr>
            </w:pPr>
            <w:r>
              <w:rPr>
                <w:rFonts w:ascii="Arial" w:cs="Arial" w:eastAsia="Arial" w:hAnsi="Arial"/>
                <w:sz w:val="18"/>
                <w:szCs w:val="18"/>
                <w:color w:val="auto"/>
                <w:w w:val="99"/>
              </w:rPr>
              <w:t>10.28*</w:t>
            </w:r>
          </w:p>
        </w:tc>
        <w:tc>
          <w:tcPr>
            <w:tcW w:w="5080" w:type="dxa"/>
            <w:vAlign w:val="bottom"/>
            <w:gridSpan w:val="21"/>
          </w:tcPr>
          <w:p>
            <w:pPr>
              <w:spacing w:after="0"/>
              <w:rPr>
                <w:rFonts w:ascii="Arial" w:cs="Arial" w:eastAsia="Arial" w:hAnsi="Arial"/>
                <w:sz w:val="18"/>
                <w:szCs w:val="18"/>
                <w:color w:val="0000FF"/>
                <w:w w:val="91"/>
              </w:rPr>
            </w:pPr>
            <w:hyperlink r:id="rId107">
              <w:r>
                <w:rPr>
                  <w:rFonts w:ascii="Arial" w:cs="Arial" w:eastAsia="Arial" w:hAnsi="Arial"/>
                  <w:sz w:val="18"/>
                  <w:szCs w:val="18"/>
                  <w:color w:val="0000FF"/>
                  <w:w w:val="91"/>
                </w:rPr>
                <w:t>Nordstrom, Inc. 2010 Equity Incentive Plan as amended February 27,</w:t>
              </w:r>
            </w:hyperlink>
          </w:p>
        </w:tc>
        <w:tc>
          <w:tcPr>
            <w:tcW w:w="5380" w:type="dxa"/>
            <w:vAlign w:val="bottom"/>
          </w:tcPr>
          <w:p>
            <w:pPr>
              <w:ind w:left="160"/>
              <w:spacing w:after="0"/>
              <w:rPr>
                <w:sz w:val="20"/>
                <w:szCs w:val="20"/>
                <w:color w:val="auto"/>
              </w:rPr>
            </w:pPr>
            <w:r>
              <w:rPr>
                <w:rFonts w:ascii="Arial" w:cs="Arial" w:eastAsia="Arial" w:hAnsi="Arial"/>
                <w:sz w:val="18"/>
                <w:szCs w:val="18"/>
                <w:color w:val="auto"/>
                <w:w w:val="92"/>
              </w:rPr>
              <w:t>Incorporated by reference to Appendix A to the Registrant’s Form DEF</w:t>
            </w:r>
          </w:p>
        </w:tc>
      </w:tr>
      <w:tr>
        <w:trPr>
          <w:trHeight w:val="196"/>
        </w:trPr>
        <w:tc>
          <w:tcPr>
            <w:tcW w:w="960" w:type="dxa"/>
            <w:vAlign w:val="bottom"/>
          </w:tcPr>
          <w:p>
            <w:pPr>
              <w:spacing w:after="0"/>
              <w:rPr>
                <w:sz w:val="17"/>
                <w:szCs w:val="17"/>
                <w:color w:val="auto"/>
              </w:rPr>
            </w:pPr>
          </w:p>
        </w:tc>
        <w:tc>
          <w:tcPr>
            <w:tcW w:w="36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4"/>
              </w:rPr>
            </w:pPr>
            <w:hyperlink r:id="rId107">
              <w:r>
                <w:rPr>
                  <w:rFonts w:ascii="Arial" w:cs="Arial" w:eastAsia="Arial" w:hAnsi="Arial"/>
                  <w:sz w:val="18"/>
                  <w:szCs w:val="18"/>
                  <w:color w:val="0000FF"/>
                  <w:w w:val="84"/>
                </w:rPr>
                <w:t>2013</w:t>
              </w:r>
            </w:hyperlink>
          </w:p>
        </w:tc>
        <w:tc>
          <w:tcPr>
            <w:tcW w:w="44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1180" w:type="dxa"/>
            <w:vAlign w:val="bottom"/>
            <w:tcBorders>
              <w:top w:val="single" w:sz="8" w:color="0000FF"/>
            </w:tcBorders>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5380" w:type="dxa"/>
            <w:vAlign w:val="bottom"/>
          </w:tcPr>
          <w:p>
            <w:pPr>
              <w:ind w:left="160"/>
              <w:spacing w:after="0" w:line="196" w:lineRule="exact"/>
              <w:rPr>
                <w:sz w:val="20"/>
                <w:szCs w:val="20"/>
                <w:color w:val="auto"/>
              </w:rPr>
            </w:pPr>
            <w:r>
              <w:rPr>
                <w:rFonts w:ascii="Arial" w:cs="Arial" w:eastAsia="Arial" w:hAnsi="Arial"/>
                <w:sz w:val="18"/>
                <w:szCs w:val="18"/>
                <w:color w:val="auto"/>
              </w:rPr>
              <w:t>14A filed on April 1, 2013</w:t>
            </w:r>
          </w:p>
        </w:tc>
      </w:tr>
      <w:tr>
        <w:trPr>
          <w:trHeight w:val="372"/>
        </w:trPr>
        <w:tc>
          <w:tcPr>
            <w:tcW w:w="960" w:type="dxa"/>
            <w:vAlign w:val="bottom"/>
          </w:tcPr>
          <w:p>
            <w:pPr>
              <w:jc w:val="right"/>
              <w:ind w:right="330"/>
              <w:spacing w:after="0"/>
              <w:rPr>
                <w:sz w:val="20"/>
                <w:szCs w:val="20"/>
                <w:color w:val="auto"/>
              </w:rPr>
            </w:pPr>
            <w:r>
              <w:rPr>
                <w:rFonts w:ascii="Arial" w:cs="Arial" w:eastAsia="Arial" w:hAnsi="Arial"/>
                <w:sz w:val="18"/>
                <w:szCs w:val="18"/>
                <w:color w:val="auto"/>
                <w:w w:val="99"/>
              </w:rPr>
              <w:t>10.29*</w:t>
            </w:r>
          </w:p>
        </w:tc>
        <w:tc>
          <w:tcPr>
            <w:tcW w:w="5080" w:type="dxa"/>
            <w:vAlign w:val="bottom"/>
            <w:gridSpan w:val="21"/>
          </w:tcPr>
          <w:p>
            <w:pPr>
              <w:spacing w:after="0"/>
              <w:rPr>
                <w:rFonts w:ascii="Arial" w:cs="Arial" w:eastAsia="Arial" w:hAnsi="Arial"/>
                <w:sz w:val="18"/>
                <w:szCs w:val="18"/>
                <w:color w:val="0000FF"/>
                <w:w w:val="91"/>
              </w:rPr>
            </w:pPr>
            <w:hyperlink r:id="rId108">
              <w:r>
                <w:rPr>
                  <w:rFonts w:ascii="Arial" w:cs="Arial" w:eastAsia="Arial" w:hAnsi="Arial"/>
                  <w:sz w:val="18"/>
                  <w:szCs w:val="18"/>
                  <w:color w:val="0000FF"/>
                  <w:w w:val="91"/>
                </w:rPr>
                <w:t>Nordstrom, Inc. 2010 Equity Incentive Plan as amended and restated</w:t>
              </w:r>
            </w:hyperlink>
          </w:p>
        </w:tc>
        <w:tc>
          <w:tcPr>
            <w:tcW w:w="5380" w:type="dxa"/>
            <w:vAlign w:val="bottom"/>
          </w:tcPr>
          <w:p>
            <w:pPr>
              <w:ind w:left="160"/>
              <w:spacing w:after="0"/>
              <w:rPr>
                <w:sz w:val="20"/>
                <w:szCs w:val="20"/>
                <w:color w:val="auto"/>
              </w:rPr>
            </w:pPr>
            <w:r>
              <w:rPr>
                <w:rFonts w:ascii="Arial" w:cs="Arial" w:eastAsia="Arial" w:hAnsi="Arial"/>
                <w:sz w:val="18"/>
                <w:szCs w:val="18"/>
                <w:color w:val="auto"/>
                <w:w w:val="99"/>
              </w:rPr>
              <w:t>Incorporated by reference from the Registrant’s Form 8-K filed on</w:t>
            </w:r>
          </w:p>
        </w:tc>
      </w:tr>
      <w:tr>
        <w:trPr>
          <w:trHeight w:val="196"/>
        </w:trPr>
        <w:tc>
          <w:tcPr>
            <w:tcW w:w="960" w:type="dxa"/>
            <w:vAlign w:val="bottom"/>
          </w:tcPr>
          <w:p>
            <w:pPr>
              <w:spacing w:after="0"/>
              <w:rPr>
                <w:sz w:val="17"/>
                <w:szCs w:val="17"/>
                <w:color w:val="auto"/>
              </w:rPr>
            </w:pPr>
          </w:p>
        </w:tc>
        <w:tc>
          <w:tcPr>
            <w:tcW w:w="132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88"/>
              </w:rPr>
            </w:pPr>
            <w:hyperlink r:id="rId108">
              <w:r>
                <w:rPr>
                  <w:rFonts w:ascii="Arial" w:cs="Arial" w:eastAsia="Arial" w:hAnsi="Arial"/>
                  <w:sz w:val="18"/>
                  <w:szCs w:val="18"/>
                  <w:color w:val="0000FF"/>
                  <w:w w:val="88"/>
                </w:rPr>
                <w:t>February 26, 2014</w:t>
              </w:r>
            </w:hyperlink>
          </w:p>
        </w:tc>
        <w:tc>
          <w:tcPr>
            <w:tcW w:w="3620" w:type="dxa"/>
            <w:vAlign w:val="bottom"/>
            <w:tcBorders>
              <w:top w:val="single" w:sz="8" w:color="0000FF"/>
            </w:tcBorders>
            <w:gridSpan w:val="14"/>
          </w:tcPr>
          <w:p>
            <w:pPr>
              <w:spacing w:after="0"/>
              <w:rPr>
                <w:sz w:val="17"/>
                <w:szCs w:val="17"/>
                <w:color w:val="auto"/>
              </w:rPr>
            </w:pPr>
          </w:p>
        </w:tc>
        <w:tc>
          <w:tcPr>
            <w:tcW w:w="140" w:type="dxa"/>
            <w:vAlign w:val="bottom"/>
            <w:gridSpan w:val="2"/>
          </w:tcPr>
          <w:p>
            <w:pPr>
              <w:spacing w:after="0"/>
              <w:rPr>
                <w:sz w:val="17"/>
                <w:szCs w:val="17"/>
                <w:color w:val="auto"/>
              </w:rPr>
            </w:pPr>
          </w:p>
        </w:tc>
        <w:tc>
          <w:tcPr>
            <w:tcW w:w="5380" w:type="dxa"/>
            <w:vAlign w:val="bottom"/>
          </w:tcPr>
          <w:p>
            <w:pPr>
              <w:ind w:left="160"/>
              <w:spacing w:after="0" w:line="196" w:lineRule="exact"/>
              <w:rPr>
                <w:sz w:val="20"/>
                <w:szCs w:val="20"/>
                <w:color w:val="auto"/>
              </w:rPr>
            </w:pPr>
            <w:r>
              <w:rPr>
                <w:rFonts w:ascii="Arial" w:cs="Arial" w:eastAsia="Arial" w:hAnsi="Arial"/>
                <w:sz w:val="18"/>
                <w:szCs w:val="18"/>
                <w:color w:val="auto"/>
              </w:rPr>
              <w:t>March 4, 2014, Exhibit 10.4</w:t>
            </w:r>
          </w:p>
        </w:tc>
      </w:tr>
      <w:tr>
        <w:trPr>
          <w:trHeight w:val="372"/>
        </w:trPr>
        <w:tc>
          <w:tcPr>
            <w:tcW w:w="960" w:type="dxa"/>
            <w:vAlign w:val="bottom"/>
          </w:tcPr>
          <w:p>
            <w:pPr>
              <w:jc w:val="right"/>
              <w:ind w:right="330"/>
              <w:spacing w:after="0"/>
              <w:rPr>
                <w:sz w:val="20"/>
                <w:szCs w:val="20"/>
                <w:color w:val="auto"/>
              </w:rPr>
            </w:pPr>
            <w:r>
              <w:rPr>
                <w:rFonts w:ascii="Arial" w:cs="Arial" w:eastAsia="Arial" w:hAnsi="Arial"/>
                <w:sz w:val="18"/>
                <w:szCs w:val="18"/>
                <w:color w:val="auto"/>
                <w:w w:val="99"/>
              </w:rPr>
              <w:t>10.30*</w:t>
            </w:r>
          </w:p>
        </w:tc>
        <w:tc>
          <w:tcPr>
            <w:tcW w:w="5080" w:type="dxa"/>
            <w:vAlign w:val="bottom"/>
            <w:gridSpan w:val="21"/>
          </w:tcPr>
          <w:p>
            <w:pPr>
              <w:spacing w:after="0"/>
              <w:rPr>
                <w:rFonts w:ascii="Arial" w:cs="Arial" w:eastAsia="Arial" w:hAnsi="Arial"/>
                <w:sz w:val="18"/>
                <w:szCs w:val="18"/>
                <w:color w:val="0000FF"/>
                <w:w w:val="91"/>
              </w:rPr>
            </w:pPr>
            <w:hyperlink r:id="rId109">
              <w:r>
                <w:rPr>
                  <w:rFonts w:ascii="Arial" w:cs="Arial" w:eastAsia="Arial" w:hAnsi="Arial"/>
                  <w:sz w:val="18"/>
                  <w:szCs w:val="18"/>
                  <w:color w:val="0000FF"/>
                  <w:w w:val="91"/>
                </w:rPr>
                <w:t>Nordstrom, Inc. 2010 Equity Incentive Plan as amended and restated</w:t>
              </w:r>
            </w:hyperlink>
          </w:p>
        </w:tc>
        <w:tc>
          <w:tcPr>
            <w:tcW w:w="5380" w:type="dxa"/>
            <w:vAlign w:val="bottom"/>
          </w:tcPr>
          <w:p>
            <w:pPr>
              <w:ind w:left="160"/>
              <w:spacing w:after="0"/>
              <w:rPr>
                <w:sz w:val="20"/>
                <w:szCs w:val="20"/>
                <w:color w:val="auto"/>
              </w:rPr>
            </w:pPr>
            <w:r>
              <w:rPr>
                <w:rFonts w:ascii="Arial" w:cs="Arial" w:eastAsia="Arial" w:hAnsi="Arial"/>
                <w:sz w:val="18"/>
                <w:szCs w:val="18"/>
                <w:color w:val="auto"/>
                <w:w w:val="92"/>
              </w:rPr>
              <w:t>Incorporated by reference to Appendix A to the Registrant’s Form DEF</w:t>
            </w:r>
          </w:p>
        </w:tc>
      </w:tr>
      <w:tr>
        <w:trPr>
          <w:trHeight w:val="196"/>
        </w:trPr>
        <w:tc>
          <w:tcPr>
            <w:tcW w:w="960" w:type="dxa"/>
            <w:vAlign w:val="bottom"/>
          </w:tcPr>
          <w:p>
            <w:pPr>
              <w:spacing w:after="0"/>
              <w:rPr>
                <w:sz w:val="17"/>
                <w:szCs w:val="17"/>
                <w:color w:val="auto"/>
              </w:rPr>
            </w:pPr>
          </w:p>
        </w:tc>
        <w:tc>
          <w:tcPr>
            <w:tcW w:w="132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88"/>
              </w:rPr>
            </w:pPr>
            <w:hyperlink r:id="rId109">
              <w:r>
                <w:rPr>
                  <w:rFonts w:ascii="Arial" w:cs="Arial" w:eastAsia="Arial" w:hAnsi="Arial"/>
                  <w:sz w:val="18"/>
                  <w:szCs w:val="18"/>
                  <w:color w:val="0000FF"/>
                  <w:w w:val="88"/>
                </w:rPr>
                <w:t>February 16, 2017</w:t>
              </w:r>
            </w:hyperlink>
          </w:p>
        </w:tc>
        <w:tc>
          <w:tcPr>
            <w:tcW w:w="3620" w:type="dxa"/>
            <w:vAlign w:val="bottom"/>
            <w:tcBorders>
              <w:top w:val="single" w:sz="8" w:color="0000FF"/>
            </w:tcBorders>
            <w:gridSpan w:val="14"/>
          </w:tcPr>
          <w:p>
            <w:pPr>
              <w:spacing w:after="0"/>
              <w:rPr>
                <w:sz w:val="17"/>
                <w:szCs w:val="17"/>
                <w:color w:val="auto"/>
              </w:rPr>
            </w:pPr>
          </w:p>
        </w:tc>
        <w:tc>
          <w:tcPr>
            <w:tcW w:w="140" w:type="dxa"/>
            <w:vAlign w:val="bottom"/>
            <w:gridSpan w:val="2"/>
          </w:tcPr>
          <w:p>
            <w:pPr>
              <w:spacing w:after="0"/>
              <w:rPr>
                <w:sz w:val="17"/>
                <w:szCs w:val="17"/>
                <w:color w:val="auto"/>
              </w:rPr>
            </w:pPr>
          </w:p>
        </w:tc>
        <w:tc>
          <w:tcPr>
            <w:tcW w:w="5380" w:type="dxa"/>
            <w:vAlign w:val="bottom"/>
          </w:tcPr>
          <w:p>
            <w:pPr>
              <w:ind w:left="160"/>
              <w:spacing w:after="0" w:line="196" w:lineRule="exact"/>
              <w:rPr>
                <w:sz w:val="20"/>
                <w:szCs w:val="20"/>
                <w:color w:val="auto"/>
              </w:rPr>
            </w:pPr>
            <w:r>
              <w:rPr>
                <w:rFonts w:ascii="Arial" w:cs="Arial" w:eastAsia="Arial" w:hAnsi="Arial"/>
                <w:sz w:val="18"/>
                <w:szCs w:val="18"/>
                <w:color w:val="auto"/>
              </w:rPr>
              <w:t>14A filed on April 5, 2017</w:t>
            </w:r>
          </w:p>
        </w:tc>
      </w:tr>
      <w:tr>
        <w:trPr>
          <w:trHeight w:val="372"/>
        </w:trPr>
        <w:tc>
          <w:tcPr>
            <w:tcW w:w="960" w:type="dxa"/>
            <w:vAlign w:val="bottom"/>
          </w:tcPr>
          <w:p>
            <w:pPr>
              <w:jc w:val="right"/>
              <w:ind w:right="330"/>
              <w:spacing w:after="0"/>
              <w:rPr>
                <w:sz w:val="20"/>
                <w:szCs w:val="20"/>
                <w:color w:val="auto"/>
              </w:rPr>
            </w:pPr>
            <w:r>
              <w:rPr>
                <w:rFonts w:ascii="Arial" w:cs="Arial" w:eastAsia="Arial" w:hAnsi="Arial"/>
                <w:sz w:val="18"/>
                <w:szCs w:val="18"/>
                <w:color w:val="auto"/>
                <w:w w:val="99"/>
              </w:rPr>
              <w:t>10.31*</w:t>
            </w:r>
          </w:p>
        </w:tc>
        <w:tc>
          <w:tcPr>
            <w:tcW w:w="5080" w:type="dxa"/>
            <w:vAlign w:val="bottom"/>
            <w:tcBorders>
              <w:bottom w:val="single" w:sz="8" w:color="0000FF"/>
            </w:tcBorders>
            <w:gridSpan w:val="21"/>
          </w:tcPr>
          <w:p>
            <w:pPr>
              <w:spacing w:after="0"/>
              <w:rPr>
                <w:rFonts w:ascii="Arial" w:cs="Arial" w:eastAsia="Arial" w:hAnsi="Arial"/>
                <w:sz w:val="18"/>
                <w:szCs w:val="18"/>
                <w:color w:val="0000FF"/>
                <w:w w:val="90"/>
              </w:rPr>
            </w:pPr>
            <w:hyperlink r:id="rId110">
              <w:r>
                <w:rPr>
                  <w:rFonts w:ascii="Arial" w:cs="Arial" w:eastAsia="Arial" w:hAnsi="Arial"/>
                  <w:sz w:val="18"/>
                  <w:szCs w:val="18"/>
                  <w:color w:val="0000FF"/>
                  <w:w w:val="90"/>
                </w:rPr>
                <w:t>Nordstrom, Inc. Leadership Separation Plan (Effective March 1, 2005)</w:t>
              </w:r>
            </w:hyperlink>
          </w:p>
        </w:tc>
        <w:tc>
          <w:tcPr>
            <w:tcW w:w="5380" w:type="dxa"/>
            <w:vAlign w:val="bottom"/>
          </w:tcPr>
          <w:p>
            <w:pPr>
              <w:ind w:left="160"/>
              <w:spacing w:after="0"/>
              <w:rPr>
                <w:sz w:val="20"/>
                <w:szCs w:val="20"/>
                <w:color w:val="auto"/>
              </w:rPr>
            </w:pPr>
            <w:r>
              <w:rPr>
                <w:rFonts w:ascii="Arial" w:cs="Arial" w:eastAsia="Arial" w:hAnsi="Arial"/>
                <w:sz w:val="18"/>
                <w:szCs w:val="18"/>
                <w:color w:val="auto"/>
                <w:w w:val="99"/>
              </w:rPr>
              <w:t>Incorporated by reference from the Registrant’s Annual Report on</w:t>
            </w:r>
          </w:p>
        </w:tc>
      </w:tr>
      <w:tr>
        <w:trPr>
          <w:trHeight w:val="237"/>
        </w:trPr>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380" w:type="dxa"/>
            <w:vAlign w:val="bottom"/>
          </w:tcPr>
          <w:p>
            <w:pPr>
              <w:ind w:left="160"/>
              <w:spacing w:after="0"/>
              <w:rPr>
                <w:sz w:val="20"/>
                <w:szCs w:val="20"/>
                <w:color w:val="auto"/>
              </w:rPr>
            </w:pPr>
            <w:r>
              <w:rPr>
                <w:rFonts w:ascii="Arial" w:cs="Arial" w:eastAsia="Arial" w:hAnsi="Arial"/>
                <w:sz w:val="18"/>
                <w:szCs w:val="18"/>
                <w:color w:val="auto"/>
              </w:rPr>
              <w:t>Form 10-K for the year ended January 29, 2005, Exhibit 10.43</w:t>
            </w:r>
          </w:p>
        </w:tc>
      </w:tr>
      <w:tr>
        <w:trPr>
          <w:trHeight w:val="351"/>
        </w:trPr>
        <w:tc>
          <w:tcPr>
            <w:tcW w:w="960" w:type="dxa"/>
            <w:vAlign w:val="bottom"/>
          </w:tcPr>
          <w:p>
            <w:pPr>
              <w:jc w:val="right"/>
              <w:ind w:right="330"/>
              <w:spacing w:after="0"/>
              <w:rPr>
                <w:sz w:val="20"/>
                <w:szCs w:val="20"/>
                <w:color w:val="auto"/>
              </w:rPr>
            </w:pPr>
            <w:r>
              <w:rPr>
                <w:rFonts w:ascii="Arial" w:cs="Arial" w:eastAsia="Arial" w:hAnsi="Arial"/>
                <w:sz w:val="18"/>
                <w:szCs w:val="18"/>
                <w:color w:val="auto"/>
                <w:w w:val="99"/>
              </w:rPr>
              <w:t>10.32*</w:t>
            </w:r>
          </w:p>
        </w:tc>
        <w:tc>
          <w:tcPr>
            <w:tcW w:w="4740" w:type="dxa"/>
            <w:vAlign w:val="bottom"/>
            <w:tcBorders>
              <w:bottom w:val="single" w:sz="8" w:color="0000FF"/>
            </w:tcBorders>
            <w:gridSpan w:val="18"/>
          </w:tcPr>
          <w:p>
            <w:pPr>
              <w:spacing w:after="0"/>
              <w:rPr>
                <w:rFonts w:ascii="Arial" w:cs="Arial" w:eastAsia="Arial" w:hAnsi="Arial"/>
                <w:sz w:val="18"/>
                <w:szCs w:val="18"/>
                <w:color w:val="0000FF"/>
                <w:w w:val="90"/>
              </w:rPr>
            </w:pPr>
            <w:hyperlink r:id="rId111">
              <w:r>
                <w:rPr>
                  <w:rFonts w:ascii="Arial" w:cs="Arial" w:eastAsia="Arial" w:hAnsi="Arial"/>
                  <w:sz w:val="18"/>
                  <w:szCs w:val="18"/>
                  <w:color w:val="0000FF"/>
                  <w:w w:val="90"/>
                </w:rPr>
                <w:t>Amendment 2006-1 to the Nordstrom, Inc. Leadership Separation</w:t>
              </w:r>
            </w:hyperlink>
          </w:p>
        </w:tc>
        <w:tc>
          <w:tcPr>
            <w:tcW w:w="340" w:type="dxa"/>
            <w:vAlign w:val="bottom"/>
            <w:gridSpan w:val="3"/>
          </w:tcPr>
          <w:p>
            <w:pPr>
              <w:spacing w:after="0"/>
              <w:rPr>
                <w:sz w:val="24"/>
                <w:szCs w:val="24"/>
                <w:color w:val="auto"/>
              </w:rPr>
            </w:pPr>
          </w:p>
        </w:tc>
        <w:tc>
          <w:tcPr>
            <w:tcW w:w="5380" w:type="dxa"/>
            <w:vAlign w:val="bottom"/>
          </w:tcPr>
          <w:p>
            <w:pPr>
              <w:ind w:left="160"/>
              <w:spacing w:after="0"/>
              <w:rPr>
                <w:sz w:val="20"/>
                <w:szCs w:val="20"/>
                <w:color w:val="auto"/>
              </w:rPr>
            </w:pPr>
            <w:r>
              <w:rPr>
                <w:rFonts w:ascii="Arial" w:cs="Arial" w:eastAsia="Arial" w:hAnsi="Arial"/>
                <w:sz w:val="18"/>
                <w:szCs w:val="18"/>
                <w:color w:val="auto"/>
                <w:w w:val="99"/>
              </w:rPr>
              <w:t>Incorporated by reference from the Registrant’s Annual Report on</w:t>
            </w:r>
          </w:p>
        </w:tc>
      </w:tr>
      <w:tr>
        <w:trPr>
          <w:trHeight w:val="196"/>
        </w:trPr>
        <w:tc>
          <w:tcPr>
            <w:tcW w:w="960" w:type="dxa"/>
            <w:vAlign w:val="bottom"/>
          </w:tcPr>
          <w:p>
            <w:pPr>
              <w:spacing w:after="0"/>
              <w:rPr>
                <w:sz w:val="17"/>
                <w:szCs w:val="17"/>
                <w:color w:val="auto"/>
              </w:rPr>
            </w:pPr>
          </w:p>
        </w:tc>
        <w:tc>
          <w:tcPr>
            <w:tcW w:w="320" w:type="dxa"/>
            <w:vAlign w:val="bottom"/>
            <w:tcBorders>
              <w:bottom w:val="single" w:sz="8" w:color="0000FF"/>
            </w:tcBorders>
          </w:tcPr>
          <w:p>
            <w:pPr>
              <w:spacing w:after="0" w:line="196" w:lineRule="exact"/>
              <w:rPr>
                <w:rFonts w:ascii="Arial" w:cs="Arial" w:eastAsia="Arial" w:hAnsi="Arial"/>
                <w:sz w:val="18"/>
                <w:szCs w:val="18"/>
                <w:color w:val="0000FF"/>
                <w:w w:val="83"/>
              </w:rPr>
            </w:pPr>
            <w:hyperlink r:id="rId111">
              <w:r>
                <w:rPr>
                  <w:rFonts w:ascii="Arial" w:cs="Arial" w:eastAsia="Arial" w:hAnsi="Arial"/>
                  <w:sz w:val="18"/>
                  <w:szCs w:val="18"/>
                  <w:color w:val="0000FF"/>
                  <w:w w:val="83"/>
                </w:rPr>
                <w:t>Plan</w:t>
              </w:r>
            </w:hyperlink>
          </w:p>
        </w:tc>
        <w:tc>
          <w:tcPr>
            <w:tcW w:w="4760" w:type="dxa"/>
            <w:vAlign w:val="bottom"/>
            <w:gridSpan w:val="20"/>
          </w:tcPr>
          <w:p>
            <w:pPr>
              <w:spacing w:after="0"/>
              <w:rPr>
                <w:sz w:val="17"/>
                <w:szCs w:val="17"/>
                <w:color w:val="auto"/>
              </w:rPr>
            </w:pPr>
          </w:p>
        </w:tc>
        <w:tc>
          <w:tcPr>
            <w:tcW w:w="5380" w:type="dxa"/>
            <w:vAlign w:val="bottom"/>
          </w:tcPr>
          <w:p>
            <w:pPr>
              <w:ind w:left="160"/>
              <w:spacing w:after="0" w:line="196" w:lineRule="exact"/>
              <w:rPr>
                <w:sz w:val="20"/>
                <w:szCs w:val="20"/>
                <w:color w:val="auto"/>
              </w:rPr>
            </w:pPr>
            <w:r>
              <w:rPr>
                <w:rFonts w:ascii="Arial" w:cs="Arial" w:eastAsia="Arial" w:hAnsi="Arial"/>
                <w:sz w:val="18"/>
                <w:szCs w:val="18"/>
                <w:color w:val="auto"/>
              </w:rPr>
              <w:t>Form 10-K for the year ended February 2, 2008, Exhibit 10.56</w:t>
            </w:r>
          </w:p>
        </w:tc>
      </w:tr>
      <w:tr>
        <w:trPr>
          <w:trHeight w:val="372"/>
        </w:trPr>
        <w:tc>
          <w:tcPr>
            <w:tcW w:w="960" w:type="dxa"/>
            <w:vAlign w:val="bottom"/>
          </w:tcPr>
          <w:p>
            <w:pPr>
              <w:jc w:val="right"/>
              <w:ind w:right="330"/>
              <w:spacing w:after="0"/>
              <w:rPr>
                <w:sz w:val="20"/>
                <w:szCs w:val="20"/>
                <w:color w:val="auto"/>
              </w:rPr>
            </w:pPr>
            <w:r>
              <w:rPr>
                <w:rFonts w:ascii="Arial" w:cs="Arial" w:eastAsia="Arial" w:hAnsi="Arial"/>
                <w:sz w:val="18"/>
                <w:szCs w:val="18"/>
                <w:color w:val="auto"/>
                <w:w w:val="99"/>
              </w:rPr>
              <w:t>10.33*</w:t>
            </w:r>
          </w:p>
        </w:tc>
        <w:tc>
          <w:tcPr>
            <w:tcW w:w="5080" w:type="dxa"/>
            <w:vAlign w:val="bottom"/>
            <w:gridSpan w:val="21"/>
          </w:tcPr>
          <w:p>
            <w:pPr>
              <w:spacing w:after="0"/>
              <w:rPr>
                <w:rFonts w:ascii="Arial" w:cs="Arial" w:eastAsia="Arial" w:hAnsi="Arial"/>
                <w:sz w:val="18"/>
                <w:szCs w:val="18"/>
                <w:color w:val="0000FF"/>
                <w:w w:val="97"/>
              </w:rPr>
            </w:pPr>
            <w:hyperlink r:id="rId112">
              <w:r>
                <w:rPr>
                  <w:rFonts w:ascii="Arial" w:cs="Arial" w:eastAsia="Arial" w:hAnsi="Arial"/>
                  <w:sz w:val="18"/>
                  <w:szCs w:val="18"/>
                  <w:color w:val="0000FF"/>
                  <w:w w:val="97"/>
                </w:rPr>
                <w:t>Amendment 2008-1, Nordstrom, Inc. Leadership Separation Plan</w:t>
              </w:r>
            </w:hyperlink>
          </w:p>
        </w:tc>
        <w:tc>
          <w:tcPr>
            <w:tcW w:w="5380" w:type="dxa"/>
            <w:vAlign w:val="bottom"/>
          </w:tcPr>
          <w:p>
            <w:pPr>
              <w:ind w:left="160"/>
              <w:spacing w:after="0"/>
              <w:rPr>
                <w:sz w:val="20"/>
                <w:szCs w:val="20"/>
                <w:color w:val="auto"/>
              </w:rPr>
            </w:pPr>
            <w:r>
              <w:rPr>
                <w:rFonts w:ascii="Arial" w:cs="Arial" w:eastAsia="Arial" w:hAnsi="Arial"/>
                <w:sz w:val="18"/>
                <w:szCs w:val="18"/>
                <w:color w:val="auto"/>
                <w:w w:val="99"/>
              </w:rPr>
              <w:t>Incorporated by reference from the Registrant’s Form 8-K filed on</w:t>
            </w:r>
          </w:p>
        </w:tc>
      </w:tr>
      <w:tr>
        <w:trPr>
          <w:trHeight w:val="237"/>
        </w:trPr>
        <w:tc>
          <w:tcPr>
            <w:tcW w:w="96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4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380" w:type="dxa"/>
            <w:vAlign w:val="bottom"/>
            <w:tcBorders>
              <w:top w:val="single" w:sz="8" w:color="0000FF"/>
            </w:tcBorders>
          </w:tcPr>
          <w:p>
            <w:pPr>
              <w:spacing w:after="0"/>
              <w:rPr>
                <w:sz w:val="20"/>
                <w:szCs w:val="20"/>
                <w:color w:val="auto"/>
              </w:rPr>
            </w:pPr>
          </w:p>
        </w:tc>
        <w:tc>
          <w:tcPr>
            <w:tcW w:w="640" w:type="dxa"/>
            <w:vAlign w:val="bottom"/>
            <w:tcBorders>
              <w:top w:val="single" w:sz="8" w:color="0000FF"/>
            </w:tcBorders>
          </w:tcPr>
          <w:p>
            <w:pPr>
              <w:spacing w:after="0"/>
              <w:rPr>
                <w:sz w:val="20"/>
                <w:szCs w:val="20"/>
                <w:color w:val="auto"/>
              </w:rPr>
            </w:pPr>
          </w:p>
        </w:tc>
        <w:tc>
          <w:tcPr>
            <w:tcW w:w="1180" w:type="dxa"/>
            <w:vAlign w:val="bottom"/>
            <w:tcBorders>
              <w:top w:val="single" w:sz="8" w:color="0000FF"/>
            </w:tcBorders>
          </w:tcPr>
          <w:p>
            <w:pPr>
              <w:spacing w:after="0"/>
              <w:rPr>
                <w:sz w:val="20"/>
                <w:szCs w:val="20"/>
                <w:color w:val="auto"/>
              </w:rPr>
            </w:pPr>
          </w:p>
        </w:tc>
        <w:tc>
          <w:tcPr>
            <w:tcW w:w="480" w:type="dxa"/>
            <w:vAlign w:val="bottom"/>
            <w:tcBorders>
              <w:top w:val="single" w:sz="8" w:color="0000FF"/>
            </w:tcBorders>
          </w:tcPr>
          <w:p>
            <w:pPr>
              <w:spacing w:after="0"/>
              <w:rPr>
                <w:sz w:val="20"/>
                <w:szCs w:val="20"/>
                <w:color w:val="auto"/>
              </w:rPr>
            </w:pPr>
          </w:p>
        </w:tc>
        <w:tc>
          <w:tcPr>
            <w:tcW w:w="5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380" w:type="dxa"/>
            <w:vAlign w:val="bottom"/>
          </w:tcPr>
          <w:p>
            <w:pPr>
              <w:ind w:left="160"/>
              <w:spacing w:after="0"/>
              <w:rPr>
                <w:sz w:val="20"/>
                <w:szCs w:val="20"/>
                <w:color w:val="auto"/>
              </w:rPr>
            </w:pPr>
            <w:r>
              <w:rPr>
                <w:rFonts w:ascii="Arial" w:cs="Arial" w:eastAsia="Arial" w:hAnsi="Arial"/>
                <w:sz w:val="18"/>
                <w:szCs w:val="18"/>
                <w:color w:val="auto"/>
              </w:rPr>
              <w:t>November 24, 2008, Exhibit 10.3</w:t>
            </w:r>
          </w:p>
        </w:tc>
      </w:tr>
      <w:tr>
        <w:trPr>
          <w:trHeight w:val="351"/>
        </w:trPr>
        <w:tc>
          <w:tcPr>
            <w:tcW w:w="960" w:type="dxa"/>
            <w:vAlign w:val="bottom"/>
          </w:tcPr>
          <w:p>
            <w:pPr>
              <w:jc w:val="right"/>
              <w:ind w:right="330"/>
              <w:spacing w:after="0"/>
              <w:rPr>
                <w:sz w:val="20"/>
                <w:szCs w:val="20"/>
                <w:color w:val="auto"/>
              </w:rPr>
            </w:pPr>
            <w:r>
              <w:rPr>
                <w:rFonts w:ascii="Arial" w:cs="Arial" w:eastAsia="Arial" w:hAnsi="Arial"/>
                <w:sz w:val="18"/>
                <w:szCs w:val="18"/>
                <w:color w:val="auto"/>
                <w:w w:val="99"/>
              </w:rPr>
              <w:t>10.34*</w:t>
            </w:r>
          </w:p>
        </w:tc>
        <w:tc>
          <w:tcPr>
            <w:tcW w:w="5080" w:type="dxa"/>
            <w:vAlign w:val="bottom"/>
            <w:gridSpan w:val="21"/>
          </w:tcPr>
          <w:p>
            <w:pPr>
              <w:spacing w:after="0"/>
              <w:rPr>
                <w:rFonts w:ascii="Arial" w:cs="Arial" w:eastAsia="Arial" w:hAnsi="Arial"/>
                <w:sz w:val="18"/>
                <w:szCs w:val="18"/>
                <w:color w:val="0000FF"/>
                <w:w w:val="96"/>
              </w:rPr>
            </w:pPr>
            <w:hyperlink r:id="rId113">
              <w:r>
                <w:rPr>
                  <w:rFonts w:ascii="Arial" w:cs="Arial" w:eastAsia="Arial" w:hAnsi="Arial"/>
                  <w:sz w:val="18"/>
                  <w:szCs w:val="18"/>
                  <w:color w:val="0000FF"/>
                  <w:w w:val="96"/>
                </w:rPr>
                <w:t>Amendment 2011-1 to the Nordstrom Leadership Separation Plan</w:t>
              </w:r>
            </w:hyperlink>
          </w:p>
        </w:tc>
        <w:tc>
          <w:tcPr>
            <w:tcW w:w="5380" w:type="dxa"/>
            <w:vAlign w:val="bottom"/>
          </w:tcPr>
          <w:p>
            <w:pPr>
              <w:ind w:left="160"/>
              <w:spacing w:after="0"/>
              <w:rPr>
                <w:sz w:val="20"/>
                <w:szCs w:val="20"/>
                <w:color w:val="auto"/>
              </w:rPr>
            </w:pPr>
            <w:r>
              <w:rPr>
                <w:rFonts w:ascii="Arial" w:cs="Arial" w:eastAsia="Arial" w:hAnsi="Arial"/>
                <w:sz w:val="18"/>
                <w:szCs w:val="18"/>
                <w:color w:val="auto"/>
                <w:w w:val="99"/>
              </w:rPr>
              <w:t>Incorporated by reference from the Registrant’s Form 8-K filed on</w:t>
            </w:r>
          </w:p>
        </w:tc>
      </w:tr>
      <w:tr>
        <w:trPr>
          <w:trHeight w:val="237"/>
        </w:trPr>
        <w:tc>
          <w:tcPr>
            <w:tcW w:w="96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4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380" w:type="dxa"/>
            <w:vAlign w:val="bottom"/>
            <w:tcBorders>
              <w:top w:val="single" w:sz="8" w:color="0000FF"/>
            </w:tcBorders>
          </w:tcPr>
          <w:p>
            <w:pPr>
              <w:spacing w:after="0"/>
              <w:rPr>
                <w:sz w:val="20"/>
                <w:szCs w:val="20"/>
                <w:color w:val="auto"/>
              </w:rPr>
            </w:pPr>
          </w:p>
        </w:tc>
        <w:tc>
          <w:tcPr>
            <w:tcW w:w="640" w:type="dxa"/>
            <w:vAlign w:val="bottom"/>
            <w:tcBorders>
              <w:top w:val="single" w:sz="8" w:color="0000FF"/>
            </w:tcBorders>
          </w:tcPr>
          <w:p>
            <w:pPr>
              <w:spacing w:after="0"/>
              <w:rPr>
                <w:sz w:val="20"/>
                <w:szCs w:val="20"/>
                <w:color w:val="auto"/>
              </w:rPr>
            </w:pPr>
          </w:p>
        </w:tc>
        <w:tc>
          <w:tcPr>
            <w:tcW w:w="1180" w:type="dxa"/>
            <w:vAlign w:val="bottom"/>
            <w:tcBorders>
              <w:top w:val="single" w:sz="8" w:color="0000FF"/>
            </w:tcBorders>
          </w:tcPr>
          <w:p>
            <w:pPr>
              <w:spacing w:after="0"/>
              <w:rPr>
                <w:sz w:val="20"/>
                <w:szCs w:val="20"/>
                <w:color w:val="auto"/>
              </w:rPr>
            </w:pPr>
          </w:p>
        </w:tc>
        <w:tc>
          <w:tcPr>
            <w:tcW w:w="480" w:type="dxa"/>
            <w:vAlign w:val="bottom"/>
            <w:tcBorders>
              <w:top w:val="single" w:sz="8" w:color="0000FF"/>
            </w:tcBorders>
          </w:tcPr>
          <w:p>
            <w:pPr>
              <w:spacing w:after="0"/>
              <w:rPr>
                <w:sz w:val="20"/>
                <w:szCs w:val="20"/>
                <w:color w:val="auto"/>
              </w:rPr>
            </w:pPr>
          </w:p>
        </w:tc>
        <w:tc>
          <w:tcPr>
            <w:tcW w:w="5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380" w:type="dxa"/>
            <w:vAlign w:val="bottom"/>
          </w:tcPr>
          <w:p>
            <w:pPr>
              <w:ind w:left="160"/>
              <w:spacing w:after="0"/>
              <w:rPr>
                <w:sz w:val="20"/>
                <w:szCs w:val="20"/>
                <w:color w:val="auto"/>
              </w:rPr>
            </w:pPr>
            <w:r>
              <w:rPr>
                <w:rFonts w:ascii="Arial" w:cs="Arial" w:eastAsia="Arial" w:hAnsi="Arial"/>
                <w:sz w:val="18"/>
                <w:szCs w:val="18"/>
                <w:color w:val="auto"/>
              </w:rPr>
              <w:t>August 25, 2011, Exhibit 10.1</w:t>
            </w:r>
          </w:p>
        </w:tc>
      </w:tr>
      <w:tr>
        <w:trPr>
          <w:trHeight w:val="351"/>
        </w:trPr>
        <w:tc>
          <w:tcPr>
            <w:tcW w:w="960" w:type="dxa"/>
            <w:vAlign w:val="bottom"/>
          </w:tcPr>
          <w:p>
            <w:pPr>
              <w:jc w:val="right"/>
              <w:ind w:right="330"/>
              <w:spacing w:after="0"/>
              <w:rPr>
                <w:sz w:val="20"/>
                <w:szCs w:val="20"/>
                <w:color w:val="auto"/>
              </w:rPr>
            </w:pPr>
            <w:r>
              <w:rPr>
                <w:rFonts w:ascii="Arial" w:cs="Arial" w:eastAsia="Arial" w:hAnsi="Arial"/>
                <w:sz w:val="18"/>
                <w:szCs w:val="18"/>
                <w:color w:val="auto"/>
                <w:w w:val="99"/>
              </w:rPr>
              <w:t>10.35*</w:t>
            </w:r>
          </w:p>
        </w:tc>
        <w:tc>
          <w:tcPr>
            <w:tcW w:w="5080" w:type="dxa"/>
            <w:vAlign w:val="bottom"/>
            <w:gridSpan w:val="21"/>
          </w:tcPr>
          <w:p>
            <w:pPr>
              <w:spacing w:after="0"/>
              <w:rPr>
                <w:rFonts w:ascii="Arial" w:cs="Arial" w:eastAsia="Arial" w:hAnsi="Arial"/>
                <w:sz w:val="18"/>
                <w:szCs w:val="18"/>
                <w:color w:val="0000FF"/>
                <w:w w:val="96"/>
              </w:rPr>
            </w:pPr>
            <w:hyperlink r:id="rId114">
              <w:r>
                <w:rPr>
                  <w:rFonts w:ascii="Arial" w:cs="Arial" w:eastAsia="Arial" w:hAnsi="Arial"/>
                  <w:sz w:val="18"/>
                  <w:szCs w:val="18"/>
                  <w:color w:val="0000FF"/>
                  <w:w w:val="96"/>
                </w:rPr>
                <w:t>Amendment 2013-1 to the Nordstrom Leadership Separation Plan</w:t>
              </w:r>
            </w:hyperlink>
          </w:p>
        </w:tc>
        <w:tc>
          <w:tcPr>
            <w:tcW w:w="5380" w:type="dxa"/>
            <w:vAlign w:val="bottom"/>
          </w:tcPr>
          <w:p>
            <w:pPr>
              <w:ind w:left="160"/>
              <w:spacing w:after="0"/>
              <w:rPr>
                <w:sz w:val="20"/>
                <w:szCs w:val="20"/>
                <w:color w:val="auto"/>
              </w:rPr>
            </w:pPr>
            <w:r>
              <w:rPr>
                <w:rFonts w:ascii="Arial" w:cs="Arial" w:eastAsia="Arial" w:hAnsi="Arial"/>
                <w:sz w:val="18"/>
                <w:szCs w:val="18"/>
                <w:color w:val="auto"/>
                <w:w w:val="99"/>
              </w:rPr>
              <w:t>Incorporated by reference from the Registrant’s Form 8-K filed on</w:t>
            </w:r>
          </w:p>
        </w:tc>
      </w:tr>
      <w:tr>
        <w:trPr>
          <w:trHeight w:val="237"/>
        </w:trPr>
        <w:tc>
          <w:tcPr>
            <w:tcW w:w="96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4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380" w:type="dxa"/>
            <w:vAlign w:val="bottom"/>
            <w:tcBorders>
              <w:top w:val="single" w:sz="8" w:color="0000FF"/>
            </w:tcBorders>
          </w:tcPr>
          <w:p>
            <w:pPr>
              <w:spacing w:after="0"/>
              <w:rPr>
                <w:sz w:val="20"/>
                <w:szCs w:val="20"/>
                <w:color w:val="auto"/>
              </w:rPr>
            </w:pPr>
          </w:p>
        </w:tc>
        <w:tc>
          <w:tcPr>
            <w:tcW w:w="640" w:type="dxa"/>
            <w:vAlign w:val="bottom"/>
            <w:tcBorders>
              <w:top w:val="single" w:sz="8" w:color="0000FF"/>
            </w:tcBorders>
          </w:tcPr>
          <w:p>
            <w:pPr>
              <w:spacing w:after="0"/>
              <w:rPr>
                <w:sz w:val="20"/>
                <w:szCs w:val="20"/>
                <w:color w:val="auto"/>
              </w:rPr>
            </w:pPr>
          </w:p>
        </w:tc>
        <w:tc>
          <w:tcPr>
            <w:tcW w:w="1180" w:type="dxa"/>
            <w:vAlign w:val="bottom"/>
            <w:tcBorders>
              <w:top w:val="single" w:sz="8" w:color="0000FF"/>
            </w:tcBorders>
          </w:tcPr>
          <w:p>
            <w:pPr>
              <w:spacing w:after="0"/>
              <w:rPr>
                <w:sz w:val="20"/>
                <w:szCs w:val="20"/>
                <w:color w:val="auto"/>
              </w:rPr>
            </w:pPr>
          </w:p>
        </w:tc>
        <w:tc>
          <w:tcPr>
            <w:tcW w:w="480" w:type="dxa"/>
            <w:vAlign w:val="bottom"/>
            <w:tcBorders>
              <w:top w:val="single" w:sz="8" w:color="0000FF"/>
            </w:tcBorders>
          </w:tcPr>
          <w:p>
            <w:pPr>
              <w:spacing w:after="0"/>
              <w:rPr>
                <w:sz w:val="20"/>
                <w:szCs w:val="20"/>
                <w:color w:val="auto"/>
              </w:rPr>
            </w:pPr>
          </w:p>
        </w:tc>
        <w:tc>
          <w:tcPr>
            <w:tcW w:w="5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380" w:type="dxa"/>
            <w:vAlign w:val="bottom"/>
          </w:tcPr>
          <w:p>
            <w:pPr>
              <w:ind w:left="160"/>
              <w:spacing w:after="0"/>
              <w:rPr>
                <w:sz w:val="20"/>
                <w:szCs w:val="20"/>
                <w:color w:val="auto"/>
              </w:rPr>
            </w:pPr>
            <w:r>
              <w:rPr>
                <w:rFonts w:ascii="Arial" w:cs="Arial" w:eastAsia="Arial" w:hAnsi="Arial"/>
                <w:sz w:val="18"/>
                <w:szCs w:val="18"/>
                <w:color w:val="auto"/>
              </w:rPr>
              <w:t>March 5, 2013, Exhibit 10.1</w:t>
            </w:r>
          </w:p>
        </w:tc>
      </w:tr>
      <w:tr>
        <w:trPr>
          <w:trHeight w:val="351"/>
        </w:trPr>
        <w:tc>
          <w:tcPr>
            <w:tcW w:w="960" w:type="dxa"/>
            <w:vAlign w:val="bottom"/>
          </w:tcPr>
          <w:p>
            <w:pPr>
              <w:jc w:val="right"/>
              <w:ind w:right="330"/>
              <w:spacing w:after="0"/>
              <w:rPr>
                <w:sz w:val="20"/>
                <w:szCs w:val="20"/>
                <w:color w:val="auto"/>
              </w:rPr>
            </w:pPr>
            <w:r>
              <w:rPr>
                <w:rFonts w:ascii="Arial" w:cs="Arial" w:eastAsia="Arial" w:hAnsi="Arial"/>
                <w:sz w:val="18"/>
                <w:szCs w:val="18"/>
                <w:color w:val="auto"/>
                <w:w w:val="99"/>
              </w:rPr>
              <w:t>10.36*</w:t>
            </w:r>
          </w:p>
        </w:tc>
        <w:tc>
          <w:tcPr>
            <w:tcW w:w="5080" w:type="dxa"/>
            <w:vAlign w:val="bottom"/>
            <w:gridSpan w:val="21"/>
          </w:tcPr>
          <w:p>
            <w:pPr>
              <w:spacing w:after="0"/>
              <w:rPr>
                <w:rFonts w:ascii="Arial" w:cs="Arial" w:eastAsia="Arial" w:hAnsi="Arial"/>
                <w:sz w:val="18"/>
                <w:szCs w:val="18"/>
                <w:color w:val="0000FF"/>
              </w:rPr>
            </w:pPr>
            <w:hyperlink r:id="rId115">
              <w:r>
                <w:rPr>
                  <w:rFonts w:ascii="Arial" w:cs="Arial" w:eastAsia="Arial" w:hAnsi="Arial"/>
                  <w:sz w:val="18"/>
                  <w:szCs w:val="18"/>
                  <w:color w:val="0000FF"/>
                </w:rPr>
                <w:t>Amendment 2016-1 to Nordstrom Leadership Separation Plan</w:t>
              </w:r>
            </w:hyperlink>
          </w:p>
        </w:tc>
        <w:tc>
          <w:tcPr>
            <w:tcW w:w="5380" w:type="dxa"/>
            <w:vAlign w:val="bottom"/>
          </w:tcPr>
          <w:p>
            <w:pPr>
              <w:ind w:left="160"/>
              <w:spacing w:after="0"/>
              <w:rPr>
                <w:sz w:val="20"/>
                <w:szCs w:val="20"/>
                <w:color w:val="auto"/>
              </w:rPr>
            </w:pPr>
            <w:r>
              <w:rPr>
                <w:rFonts w:ascii="Arial" w:cs="Arial" w:eastAsia="Arial" w:hAnsi="Arial"/>
                <w:sz w:val="18"/>
                <w:szCs w:val="18"/>
                <w:color w:val="auto"/>
                <w:w w:val="99"/>
              </w:rPr>
              <w:t>Incorporated by reference from the Registrant’s Form 8-K filed on</w:t>
            </w:r>
          </w:p>
        </w:tc>
      </w:tr>
      <w:tr>
        <w:trPr>
          <w:trHeight w:val="237"/>
        </w:trPr>
        <w:tc>
          <w:tcPr>
            <w:tcW w:w="96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4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380" w:type="dxa"/>
            <w:vAlign w:val="bottom"/>
            <w:tcBorders>
              <w:top w:val="single" w:sz="8" w:color="0000FF"/>
            </w:tcBorders>
          </w:tcPr>
          <w:p>
            <w:pPr>
              <w:spacing w:after="0"/>
              <w:rPr>
                <w:sz w:val="20"/>
                <w:szCs w:val="20"/>
                <w:color w:val="auto"/>
              </w:rPr>
            </w:pPr>
          </w:p>
        </w:tc>
        <w:tc>
          <w:tcPr>
            <w:tcW w:w="640" w:type="dxa"/>
            <w:vAlign w:val="bottom"/>
            <w:tcBorders>
              <w:top w:val="single" w:sz="8" w:color="0000FF"/>
            </w:tcBorders>
          </w:tcPr>
          <w:p>
            <w:pPr>
              <w:spacing w:after="0"/>
              <w:rPr>
                <w:sz w:val="20"/>
                <w:szCs w:val="20"/>
                <w:color w:val="auto"/>
              </w:rPr>
            </w:pPr>
          </w:p>
        </w:tc>
        <w:tc>
          <w:tcPr>
            <w:tcW w:w="1180" w:type="dxa"/>
            <w:vAlign w:val="bottom"/>
            <w:tcBorders>
              <w:top w:val="single" w:sz="8" w:color="0000FF"/>
            </w:tcBorders>
          </w:tcPr>
          <w:p>
            <w:pPr>
              <w:spacing w:after="0"/>
              <w:rPr>
                <w:sz w:val="20"/>
                <w:szCs w:val="20"/>
                <w:color w:val="auto"/>
              </w:rPr>
            </w:pPr>
          </w:p>
        </w:tc>
        <w:tc>
          <w:tcPr>
            <w:tcW w:w="480" w:type="dxa"/>
            <w:vAlign w:val="bottom"/>
            <w:tcBorders>
              <w:top w:val="single" w:sz="8" w:color="0000FF"/>
            </w:tcBorders>
          </w:tcPr>
          <w:p>
            <w:pPr>
              <w:spacing w:after="0"/>
              <w:rPr>
                <w:sz w:val="20"/>
                <w:szCs w:val="20"/>
                <w:color w:val="auto"/>
              </w:rPr>
            </w:pPr>
          </w:p>
        </w:tc>
        <w:tc>
          <w:tcPr>
            <w:tcW w:w="5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380" w:type="dxa"/>
            <w:vAlign w:val="bottom"/>
          </w:tcPr>
          <w:p>
            <w:pPr>
              <w:ind w:left="160"/>
              <w:spacing w:after="0"/>
              <w:rPr>
                <w:sz w:val="20"/>
                <w:szCs w:val="20"/>
                <w:color w:val="auto"/>
              </w:rPr>
            </w:pPr>
            <w:r>
              <w:rPr>
                <w:rFonts w:ascii="Arial" w:cs="Arial" w:eastAsia="Arial" w:hAnsi="Arial"/>
                <w:sz w:val="18"/>
                <w:szCs w:val="18"/>
                <w:color w:val="auto"/>
              </w:rPr>
              <w:t>March 1, 2016, Exhibit 10.4</w:t>
            </w:r>
          </w:p>
        </w:tc>
      </w:tr>
      <w:tr>
        <w:trPr>
          <w:trHeight w:val="351"/>
        </w:trPr>
        <w:tc>
          <w:tcPr>
            <w:tcW w:w="960" w:type="dxa"/>
            <w:vAlign w:val="bottom"/>
          </w:tcPr>
          <w:p>
            <w:pPr>
              <w:jc w:val="right"/>
              <w:ind w:right="330"/>
              <w:spacing w:after="0"/>
              <w:rPr>
                <w:sz w:val="20"/>
                <w:szCs w:val="20"/>
                <w:color w:val="auto"/>
              </w:rPr>
            </w:pPr>
            <w:r>
              <w:rPr>
                <w:rFonts w:ascii="Arial" w:cs="Arial" w:eastAsia="Arial" w:hAnsi="Arial"/>
                <w:sz w:val="18"/>
                <w:szCs w:val="18"/>
                <w:color w:val="auto"/>
                <w:w w:val="99"/>
              </w:rPr>
              <w:t>10.37*</w:t>
            </w:r>
          </w:p>
        </w:tc>
        <w:tc>
          <w:tcPr>
            <w:tcW w:w="5080" w:type="dxa"/>
            <w:vAlign w:val="bottom"/>
            <w:gridSpan w:val="21"/>
          </w:tcPr>
          <w:p>
            <w:pPr>
              <w:spacing w:after="0"/>
              <w:rPr>
                <w:rFonts w:ascii="Arial" w:cs="Arial" w:eastAsia="Arial" w:hAnsi="Arial"/>
                <w:sz w:val="18"/>
                <w:szCs w:val="18"/>
                <w:color w:val="0000FF"/>
              </w:rPr>
            </w:pPr>
            <w:hyperlink r:id="rId116">
              <w:r>
                <w:rPr>
                  <w:rFonts w:ascii="Arial" w:cs="Arial" w:eastAsia="Arial" w:hAnsi="Arial"/>
                  <w:sz w:val="18"/>
                  <w:szCs w:val="18"/>
                  <w:color w:val="0000FF"/>
                </w:rPr>
                <w:t>Form of 2011 Performance Share Unit Award Agreement</w:t>
              </w:r>
            </w:hyperlink>
          </w:p>
        </w:tc>
        <w:tc>
          <w:tcPr>
            <w:tcW w:w="5380" w:type="dxa"/>
            <w:vAlign w:val="bottom"/>
          </w:tcPr>
          <w:p>
            <w:pPr>
              <w:ind w:left="160"/>
              <w:spacing w:after="0"/>
              <w:rPr>
                <w:sz w:val="20"/>
                <w:szCs w:val="20"/>
                <w:color w:val="auto"/>
              </w:rPr>
            </w:pPr>
            <w:r>
              <w:rPr>
                <w:rFonts w:ascii="Arial" w:cs="Arial" w:eastAsia="Arial" w:hAnsi="Arial"/>
                <w:sz w:val="18"/>
                <w:szCs w:val="18"/>
                <w:color w:val="auto"/>
                <w:w w:val="99"/>
              </w:rPr>
              <w:t>Incorporated by reference from the Registrant’s Form 8-K filed on</w:t>
            </w:r>
          </w:p>
        </w:tc>
      </w:tr>
      <w:tr>
        <w:trPr>
          <w:trHeight w:val="237"/>
        </w:trPr>
        <w:tc>
          <w:tcPr>
            <w:tcW w:w="96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4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380" w:type="dxa"/>
            <w:vAlign w:val="bottom"/>
            <w:tcBorders>
              <w:top w:val="single" w:sz="8" w:color="0000FF"/>
            </w:tcBorders>
          </w:tcPr>
          <w:p>
            <w:pPr>
              <w:spacing w:after="0"/>
              <w:rPr>
                <w:sz w:val="20"/>
                <w:szCs w:val="20"/>
                <w:color w:val="auto"/>
              </w:rPr>
            </w:pPr>
          </w:p>
        </w:tc>
        <w:tc>
          <w:tcPr>
            <w:tcW w:w="640" w:type="dxa"/>
            <w:vAlign w:val="bottom"/>
            <w:tcBorders>
              <w:top w:val="single" w:sz="8" w:color="0000FF"/>
            </w:tcBorders>
          </w:tcPr>
          <w:p>
            <w:pPr>
              <w:spacing w:after="0"/>
              <w:rPr>
                <w:sz w:val="20"/>
                <w:szCs w:val="20"/>
                <w:color w:val="auto"/>
              </w:rPr>
            </w:pPr>
          </w:p>
        </w:tc>
        <w:tc>
          <w:tcPr>
            <w:tcW w:w="1180" w:type="dxa"/>
            <w:vAlign w:val="bottom"/>
            <w:tcBorders>
              <w:top w:val="single" w:sz="8" w:color="0000FF"/>
            </w:tcBorders>
          </w:tcPr>
          <w:p>
            <w:pPr>
              <w:spacing w:after="0"/>
              <w:rPr>
                <w:sz w:val="20"/>
                <w:szCs w:val="20"/>
                <w:color w:val="auto"/>
              </w:rPr>
            </w:pPr>
          </w:p>
        </w:tc>
        <w:tc>
          <w:tcPr>
            <w:tcW w:w="480" w:type="dxa"/>
            <w:vAlign w:val="bottom"/>
            <w:tcBorders>
              <w:top w:val="single" w:sz="8" w:color="0000FF"/>
            </w:tcBorders>
          </w:tcPr>
          <w:p>
            <w:pPr>
              <w:spacing w:after="0"/>
              <w:rPr>
                <w:sz w:val="20"/>
                <w:szCs w:val="20"/>
                <w:color w:val="auto"/>
              </w:rPr>
            </w:pPr>
          </w:p>
        </w:tc>
        <w:tc>
          <w:tcPr>
            <w:tcW w:w="50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380" w:type="dxa"/>
            <w:vAlign w:val="bottom"/>
          </w:tcPr>
          <w:p>
            <w:pPr>
              <w:ind w:left="160"/>
              <w:spacing w:after="0"/>
              <w:rPr>
                <w:sz w:val="20"/>
                <w:szCs w:val="20"/>
                <w:color w:val="auto"/>
              </w:rPr>
            </w:pPr>
            <w:r>
              <w:rPr>
                <w:rFonts w:ascii="Arial" w:cs="Arial" w:eastAsia="Arial" w:hAnsi="Arial"/>
                <w:sz w:val="18"/>
                <w:szCs w:val="18"/>
                <w:color w:val="auto"/>
              </w:rPr>
              <w:t>November 19, 2010, Exhibit 10.2</w:t>
            </w:r>
          </w:p>
        </w:tc>
      </w:tr>
      <w:tr>
        <w:trPr>
          <w:trHeight w:val="351"/>
        </w:trPr>
        <w:tc>
          <w:tcPr>
            <w:tcW w:w="960" w:type="dxa"/>
            <w:vAlign w:val="bottom"/>
          </w:tcPr>
          <w:p>
            <w:pPr>
              <w:jc w:val="right"/>
              <w:ind w:right="330"/>
              <w:spacing w:after="0"/>
              <w:rPr>
                <w:sz w:val="20"/>
                <w:szCs w:val="20"/>
                <w:color w:val="auto"/>
              </w:rPr>
            </w:pPr>
            <w:r>
              <w:rPr>
                <w:rFonts w:ascii="Arial" w:cs="Arial" w:eastAsia="Arial" w:hAnsi="Arial"/>
                <w:sz w:val="18"/>
                <w:szCs w:val="18"/>
                <w:color w:val="auto"/>
                <w:w w:val="99"/>
              </w:rPr>
              <w:t>10.38*</w:t>
            </w:r>
          </w:p>
        </w:tc>
        <w:tc>
          <w:tcPr>
            <w:tcW w:w="5080" w:type="dxa"/>
            <w:vAlign w:val="bottom"/>
            <w:gridSpan w:val="21"/>
          </w:tcPr>
          <w:p>
            <w:pPr>
              <w:spacing w:after="0"/>
              <w:rPr>
                <w:rFonts w:ascii="Arial" w:cs="Arial" w:eastAsia="Arial" w:hAnsi="Arial"/>
                <w:sz w:val="18"/>
                <w:szCs w:val="18"/>
                <w:color w:val="0000FF"/>
              </w:rPr>
            </w:pPr>
            <w:hyperlink r:id="rId117">
              <w:r>
                <w:rPr>
                  <w:rFonts w:ascii="Arial" w:cs="Arial" w:eastAsia="Arial" w:hAnsi="Arial"/>
                  <w:sz w:val="18"/>
                  <w:szCs w:val="18"/>
                  <w:color w:val="0000FF"/>
                </w:rPr>
                <w:t>Form of 2012 Performance Share Unit Agreement</w:t>
              </w:r>
            </w:hyperlink>
          </w:p>
        </w:tc>
        <w:tc>
          <w:tcPr>
            <w:tcW w:w="5380" w:type="dxa"/>
            <w:vAlign w:val="bottom"/>
          </w:tcPr>
          <w:p>
            <w:pPr>
              <w:ind w:left="160"/>
              <w:spacing w:after="0"/>
              <w:rPr>
                <w:sz w:val="20"/>
                <w:szCs w:val="20"/>
                <w:color w:val="auto"/>
              </w:rPr>
            </w:pPr>
            <w:r>
              <w:rPr>
                <w:rFonts w:ascii="Arial" w:cs="Arial" w:eastAsia="Arial" w:hAnsi="Arial"/>
                <w:sz w:val="18"/>
                <w:szCs w:val="18"/>
                <w:color w:val="auto"/>
                <w:w w:val="99"/>
              </w:rPr>
              <w:t>Incorporated by reference from the Registrant’s Form 8-K filed on</w:t>
            </w:r>
          </w:p>
        </w:tc>
      </w:tr>
      <w:tr>
        <w:trPr>
          <w:trHeight w:val="237"/>
        </w:trPr>
        <w:tc>
          <w:tcPr>
            <w:tcW w:w="96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4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380" w:type="dxa"/>
            <w:vAlign w:val="bottom"/>
            <w:tcBorders>
              <w:top w:val="single" w:sz="8" w:color="0000FF"/>
            </w:tcBorders>
          </w:tcPr>
          <w:p>
            <w:pPr>
              <w:spacing w:after="0"/>
              <w:rPr>
                <w:sz w:val="20"/>
                <w:szCs w:val="20"/>
                <w:color w:val="auto"/>
              </w:rPr>
            </w:pPr>
          </w:p>
        </w:tc>
        <w:tc>
          <w:tcPr>
            <w:tcW w:w="640" w:type="dxa"/>
            <w:vAlign w:val="bottom"/>
            <w:tcBorders>
              <w:top w:val="single" w:sz="8" w:color="0000FF"/>
            </w:tcBorders>
          </w:tcPr>
          <w:p>
            <w:pPr>
              <w:spacing w:after="0"/>
              <w:rPr>
                <w:sz w:val="20"/>
                <w:szCs w:val="20"/>
                <w:color w:val="auto"/>
              </w:rPr>
            </w:pPr>
          </w:p>
        </w:tc>
        <w:tc>
          <w:tcPr>
            <w:tcW w:w="1180" w:type="dxa"/>
            <w:vAlign w:val="bottom"/>
            <w:tcBorders>
              <w:top w:val="single" w:sz="8" w:color="0000FF"/>
            </w:tcBorders>
          </w:tcPr>
          <w:p>
            <w:pPr>
              <w:spacing w:after="0"/>
              <w:rPr>
                <w:sz w:val="20"/>
                <w:szCs w:val="20"/>
                <w:color w:val="auto"/>
              </w:rPr>
            </w:pPr>
          </w:p>
        </w:tc>
        <w:tc>
          <w:tcPr>
            <w:tcW w:w="480" w:type="dxa"/>
            <w:vAlign w:val="bottom"/>
            <w:tcBorders>
              <w:top w:val="single" w:sz="8" w:color="0000FF"/>
            </w:tcBorders>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380" w:type="dxa"/>
            <w:vAlign w:val="bottom"/>
          </w:tcPr>
          <w:p>
            <w:pPr>
              <w:ind w:left="160"/>
              <w:spacing w:after="0"/>
              <w:rPr>
                <w:sz w:val="20"/>
                <w:szCs w:val="20"/>
                <w:color w:val="auto"/>
              </w:rPr>
            </w:pPr>
            <w:r>
              <w:rPr>
                <w:rFonts w:ascii="Arial" w:cs="Arial" w:eastAsia="Arial" w:hAnsi="Arial"/>
                <w:sz w:val="18"/>
                <w:szCs w:val="18"/>
                <w:color w:val="auto"/>
              </w:rPr>
              <w:t>November 18, 2011, Exhibit 10.2</w:t>
            </w:r>
          </w:p>
        </w:tc>
      </w:tr>
      <w:tr>
        <w:trPr>
          <w:trHeight w:val="351"/>
        </w:trPr>
        <w:tc>
          <w:tcPr>
            <w:tcW w:w="960" w:type="dxa"/>
            <w:vAlign w:val="bottom"/>
          </w:tcPr>
          <w:p>
            <w:pPr>
              <w:jc w:val="right"/>
              <w:ind w:right="330"/>
              <w:spacing w:after="0"/>
              <w:rPr>
                <w:sz w:val="20"/>
                <w:szCs w:val="20"/>
                <w:color w:val="auto"/>
              </w:rPr>
            </w:pPr>
            <w:r>
              <w:rPr>
                <w:rFonts w:ascii="Arial" w:cs="Arial" w:eastAsia="Arial" w:hAnsi="Arial"/>
                <w:sz w:val="18"/>
                <w:szCs w:val="18"/>
                <w:color w:val="auto"/>
                <w:w w:val="99"/>
              </w:rPr>
              <w:t>10.39*</w:t>
            </w:r>
          </w:p>
        </w:tc>
        <w:tc>
          <w:tcPr>
            <w:tcW w:w="5080" w:type="dxa"/>
            <w:vAlign w:val="bottom"/>
            <w:gridSpan w:val="21"/>
          </w:tcPr>
          <w:p>
            <w:pPr>
              <w:spacing w:after="0"/>
              <w:rPr>
                <w:rFonts w:ascii="Arial" w:cs="Arial" w:eastAsia="Arial" w:hAnsi="Arial"/>
                <w:sz w:val="18"/>
                <w:szCs w:val="18"/>
                <w:color w:val="0000FF"/>
              </w:rPr>
            </w:pPr>
            <w:hyperlink r:id="rId118">
              <w:r>
                <w:rPr>
                  <w:rFonts w:ascii="Arial" w:cs="Arial" w:eastAsia="Arial" w:hAnsi="Arial"/>
                  <w:sz w:val="18"/>
                  <w:szCs w:val="18"/>
                  <w:color w:val="0000FF"/>
                </w:rPr>
                <w:t>Form of 2013 Performance Share Unit Award Agreement</w:t>
              </w:r>
            </w:hyperlink>
          </w:p>
        </w:tc>
        <w:tc>
          <w:tcPr>
            <w:tcW w:w="5380" w:type="dxa"/>
            <w:vAlign w:val="bottom"/>
          </w:tcPr>
          <w:p>
            <w:pPr>
              <w:ind w:left="160"/>
              <w:spacing w:after="0"/>
              <w:rPr>
                <w:sz w:val="20"/>
                <w:szCs w:val="20"/>
                <w:color w:val="auto"/>
              </w:rPr>
            </w:pPr>
            <w:r>
              <w:rPr>
                <w:rFonts w:ascii="Arial" w:cs="Arial" w:eastAsia="Arial" w:hAnsi="Arial"/>
                <w:sz w:val="18"/>
                <w:szCs w:val="18"/>
                <w:color w:val="auto"/>
                <w:w w:val="99"/>
              </w:rPr>
              <w:t>Incorporated by reference from the Registrant’s Form 8-K filed on</w:t>
            </w:r>
          </w:p>
        </w:tc>
      </w:tr>
      <w:tr>
        <w:trPr>
          <w:trHeight w:val="237"/>
        </w:trPr>
        <w:tc>
          <w:tcPr>
            <w:tcW w:w="96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4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380" w:type="dxa"/>
            <w:vAlign w:val="bottom"/>
            <w:tcBorders>
              <w:top w:val="single" w:sz="8" w:color="0000FF"/>
            </w:tcBorders>
          </w:tcPr>
          <w:p>
            <w:pPr>
              <w:spacing w:after="0"/>
              <w:rPr>
                <w:sz w:val="20"/>
                <w:szCs w:val="20"/>
                <w:color w:val="auto"/>
              </w:rPr>
            </w:pPr>
          </w:p>
        </w:tc>
        <w:tc>
          <w:tcPr>
            <w:tcW w:w="640" w:type="dxa"/>
            <w:vAlign w:val="bottom"/>
            <w:tcBorders>
              <w:top w:val="single" w:sz="8" w:color="0000FF"/>
            </w:tcBorders>
          </w:tcPr>
          <w:p>
            <w:pPr>
              <w:spacing w:after="0"/>
              <w:rPr>
                <w:sz w:val="20"/>
                <w:szCs w:val="20"/>
                <w:color w:val="auto"/>
              </w:rPr>
            </w:pPr>
          </w:p>
        </w:tc>
        <w:tc>
          <w:tcPr>
            <w:tcW w:w="1180" w:type="dxa"/>
            <w:vAlign w:val="bottom"/>
            <w:tcBorders>
              <w:top w:val="single" w:sz="8" w:color="0000FF"/>
            </w:tcBorders>
          </w:tcPr>
          <w:p>
            <w:pPr>
              <w:spacing w:after="0"/>
              <w:rPr>
                <w:sz w:val="20"/>
                <w:szCs w:val="20"/>
                <w:color w:val="auto"/>
              </w:rPr>
            </w:pPr>
          </w:p>
        </w:tc>
        <w:tc>
          <w:tcPr>
            <w:tcW w:w="480" w:type="dxa"/>
            <w:vAlign w:val="bottom"/>
            <w:tcBorders>
              <w:top w:val="single" w:sz="8" w:color="0000FF"/>
            </w:tcBorders>
          </w:tcPr>
          <w:p>
            <w:pPr>
              <w:spacing w:after="0"/>
              <w:rPr>
                <w:sz w:val="20"/>
                <w:szCs w:val="20"/>
                <w:color w:val="auto"/>
              </w:rPr>
            </w:pPr>
          </w:p>
        </w:tc>
        <w:tc>
          <w:tcPr>
            <w:tcW w:w="5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380" w:type="dxa"/>
            <w:vAlign w:val="bottom"/>
          </w:tcPr>
          <w:p>
            <w:pPr>
              <w:ind w:left="160"/>
              <w:spacing w:after="0"/>
              <w:rPr>
                <w:sz w:val="20"/>
                <w:szCs w:val="20"/>
                <w:color w:val="auto"/>
              </w:rPr>
            </w:pPr>
            <w:r>
              <w:rPr>
                <w:rFonts w:ascii="Arial" w:cs="Arial" w:eastAsia="Arial" w:hAnsi="Arial"/>
                <w:sz w:val="18"/>
                <w:szCs w:val="18"/>
                <w:color w:val="auto"/>
              </w:rPr>
              <w:t>November 14, 2012, Exhibit 10.2</w:t>
            </w:r>
          </w:p>
        </w:tc>
      </w:tr>
      <w:tr>
        <w:trPr>
          <w:trHeight w:val="351"/>
        </w:trPr>
        <w:tc>
          <w:tcPr>
            <w:tcW w:w="960" w:type="dxa"/>
            <w:vAlign w:val="bottom"/>
          </w:tcPr>
          <w:p>
            <w:pPr>
              <w:jc w:val="right"/>
              <w:ind w:right="330"/>
              <w:spacing w:after="0"/>
              <w:rPr>
                <w:sz w:val="20"/>
                <w:szCs w:val="20"/>
                <w:color w:val="auto"/>
              </w:rPr>
            </w:pPr>
            <w:r>
              <w:rPr>
                <w:rFonts w:ascii="Arial" w:cs="Arial" w:eastAsia="Arial" w:hAnsi="Arial"/>
                <w:sz w:val="18"/>
                <w:szCs w:val="18"/>
                <w:color w:val="auto"/>
                <w:w w:val="99"/>
              </w:rPr>
              <w:t>10.40*</w:t>
            </w:r>
          </w:p>
        </w:tc>
        <w:tc>
          <w:tcPr>
            <w:tcW w:w="5080" w:type="dxa"/>
            <w:vAlign w:val="bottom"/>
            <w:gridSpan w:val="21"/>
          </w:tcPr>
          <w:p>
            <w:pPr>
              <w:spacing w:after="0"/>
              <w:rPr>
                <w:rFonts w:ascii="Arial" w:cs="Arial" w:eastAsia="Arial" w:hAnsi="Arial"/>
                <w:sz w:val="18"/>
                <w:szCs w:val="18"/>
                <w:color w:val="0000FF"/>
              </w:rPr>
            </w:pPr>
            <w:hyperlink r:id="rId119">
              <w:r>
                <w:rPr>
                  <w:rFonts w:ascii="Arial" w:cs="Arial" w:eastAsia="Arial" w:hAnsi="Arial"/>
                  <w:sz w:val="18"/>
                  <w:szCs w:val="18"/>
                  <w:color w:val="0000FF"/>
                </w:rPr>
                <w:t>Form of 2014 Performance Share Unit Award Agreement</w:t>
              </w:r>
            </w:hyperlink>
          </w:p>
        </w:tc>
        <w:tc>
          <w:tcPr>
            <w:tcW w:w="5380" w:type="dxa"/>
            <w:vAlign w:val="bottom"/>
          </w:tcPr>
          <w:p>
            <w:pPr>
              <w:ind w:left="160"/>
              <w:spacing w:after="0"/>
              <w:rPr>
                <w:sz w:val="20"/>
                <w:szCs w:val="20"/>
                <w:color w:val="auto"/>
              </w:rPr>
            </w:pPr>
            <w:r>
              <w:rPr>
                <w:rFonts w:ascii="Arial" w:cs="Arial" w:eastAsia="Arial" w:hAnsi="Arial"/>
                <w:sz w:val="18"/>
                <w:szCs w:val="18"/>
                <w:color w:val="auto"/>
                <w:w w:val="99"/>
              </w:rPr>
              <w:t>Incorporated by reference from the Registrant’s Form 8-K filed on</w:t>
            </w:r>
          </w:p>
        </w:tc>
      </w:tr>
      <w:tr>
        <w:trPr>
          <w:trHeight w:val="237"/>
        </w:trPr>
        <w:tc>
          <w:tcPr>
            <w:tcW w:w="96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4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380" w:type="dxa"/>
            <w:vAlign w:val="bottom"/>
            <w:tcBorders>
              <w:top w:val="single" w:sz="8" w:color="0000FF"/>
            </w:tcBorders>
          </w:tcPr>
          <w:p>
            <w:pPr>
              <w:spacing w:after="0"/>
              <w:rPr>
                <w:sz w:val="20"/>
                <w:szCs w:val="20"/>
                <w:color w:val="auto"/>
              </w:rPr>
            </w:pPr>
          </w:p>
        </w:tc>
        <w:tc>
          <w:tcPr>
            <w:tcW w:w="640" w:type="dxa"/>
            <w:vAlign w:val="bottom"/>
            <w:tcBorders>
              <w:top w:val="single" w:sz="8" w:color="0000FF"/>
            </w:tcBorders>
          </w:tcPr>
          <w:p>
            <w:pPr>
              <w:spacing w:after="0"/>
              <w:rPr>
                <w:sz w:val="20"/>
                <w:szCs w:val="20"/>
                <w:color w:val="auto"/>
              </w:rPr>
            </w:pPr>
          </w:p>
        </w:tc>
        <w:tc>
          <w:tcPr>
            <w:tcW w:w="1180" w:type="dxa"/>
            <w:vAlign w:val="bottom"/>
            <w:tcBorders>
              <w:top w:val="single" w:sz="8" w:color="0000FF"/>
            </w:tcBorders>
          </w:tcPr>
          <w:p>
            <w:pPr>
              <w:spacing w:after="0"/>
              <w:rPr>
                <w:sz w:val="20"/>
                <w:szCs w:val="20"/>
                <w:color w:val="auto"/>
              </w:rPr>
            </w:pPr>
          </w:p>
        </w:tc>
        <w:tc>
          <w:tcPr>
            <w:tcW w:w="480" w:type="dxa"/>
            <w:vAlign w:val="bottom"/>
            <w:tcBorders>
              <w:top w:val="single" w:sz="8" w:color="0000FF"/>
            </w:tcBorders>
          </w:tcPr>
          <w:p>
            <w:pPr>
              <w:spacing w:after="0"/>
              <w:rPr>
                <w:sz w:val="20"/>
                <w:szCs w:val="20"/>
                <w:color w:val="auto"/>
              </w:rPr>
            </w:pPr>
          </w:p>
        </w:tc>
        <w:tc>
          <w:tcPr>
            <w:tcW w:w="5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380" w:type="dxa"/>
            <w:vAlign w:val="bottom"/>
          </w:tcPr>
          <w:p>
            <w:pPr>
              <w:ind w:left="160"/>
              <w:spacing w:after="0"/>
              <w:rPr>
                <w:sz w:val="20"/>
                <w:szCs w:val="20"/>
                <w:color w:val="auto"/>
              </w:rPr>
            </w:pPr>
            <w:r>
              <w:rPr>
                <w:rFonts w:ascii="Arial" w:cs="Arial" w:eastAsia="Arial" w:hAnsi="Arial"/>
                <w:sz w:val="18"/>
                <w:szCs w:val="18"/>
                <w:color w:val="auto"/>
              </w:rPr>
              <w:t>March 4, 2014, Exhibit 10.3</w:t>
            </w:r>
          </w:p>
        </w:tc>
      </w:tr>
      <w:tr>
        <w:trPr>
          <w:trHeight w:val="351"/>
        </w:trPr>
        <w:tc>
          <w:tcPr>
            <w:tcW w:w="960" w:type="dxa"/>
            <w:vAlign w:val="bottom"/>
          </w:tcPr>
          <w:p>
            <w:pPr>
              <w:jc w:val="right"/>
              <w:ind w:right="330"/>
              <w:spacing w:after="0"/>
              <w:rPr>
                <w:sz w:val="20"/>
                <w:szCs w:val="20"/>
                <w:color w:val="auto"/>
              </w:rPr>
            </w:pPr>
            <w:r>
              <w:rPr>
                <w:rFonts w:ascii="Arial" w:cs="Arial" w:eastAsia="Arial" w:hAnsi="Arial"/>
                <w:sz w:val="18"/>
                <w:szCs w:val="18"/>
                <w:color w:val="auto"/>
                <w:w w:val="99"/>
              </w:rPr>
              <w:t>10.41*</w:t>
            </w:r>
          </w:p>
        </w:tc>
        <w:tc>
          <w:tcPr>
            <w:tcW w:w="5080" w:type="dxa"/>
            <w:vAlign w:val="bottom"/>
            <w:gridSpan w:val="21"/>
          </w:tcPr>
          <w:p>
            <w:pPr>
              <w:spacing w:after="0"/>
              <w:rPr>
                <w:rFonts w:ascii="Arial" w:cs="Arial" w:eastAsia="Arial" w:hAnsi="Arial"/>
                <w:sz w:val="18"/>
                <w:szCs w:val="18"/>
                <w:color w:val="0000FF"/>
              </w:rPr>
            </w:pPr>
            <w:hyperlink r:id="rId120">
              <w:r>
                <w:rPr>
                  <w:rFonts w:ascii="Arial" w:cs="Arial" w:eastAsia="Arial" w:hAnsi="Arial"/>
                  <w:sz w:val="18"/>
                  <w:szCs w:val="18"/>
                  <w:color w:val="0000FF"/>
                </w:rPr>
                <w:t>Form of the 2015 Performance Share Unit Award Agreement</w:t>
              </w:r>
            </w:hyperlink>
          </w:p>
        </w:tc>
        <w:tc>
          <w:tcPr>
            <w:tcW w:w="5380" w:type="dxa"/>
            <w:vAlign w:val="bottom"/>
          </w:tcPr>
          <w:p>
            <w:pPr>
              <w:ind w:left="160"/>
              <w:spacing w:after="0"/>
              <w:rPr>
                <w:sz w:val="20"/>
                <w:szCs w:val="20"/>
                <w:color w:val="auto"/>
              </w:rPr>
            </w:pPr>
            <w:r>
              <w:rPr>
                <w:rFonts w:ascii="Arial" w:cs="Arial" w:eastAsia="Arial" w:hAnsi="Arial"/>
                <w:sz w:val="18"/>
                <w:szCs w:val="18"/>
                <w:color w:val="auto"/>
                <w:w w:val="99"/>
              </w:rPr>
              <w:t>Incorporated by reference from the Registrant’s Form 8-K filed on</w:t>
            </w:r>
          </w:p>
        </w:tc>
      </w:tr>
      <w:tr>
        <w:trPr>
          <w:trHeight w:val="237"/>
        </w:trPr>
        <w:tc>
          <w:tcPr>
            <w:tcW w:w="96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4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380" w:type="dxa"/>
            <w:vAlign w:val="bottom"/>
            <w:tcBorders>
              <w:top w:val="single" w:sz="8" w:color="0000FF"/>
            </w:tcBorders>
          </w:tcPr>
          <w:p>
            <w:pPr>
              <w:spacing w:after="0"/>
              <w:rPr>
                <w:sz w:val="20"/>
                <w:szCs w:val="20"/>
                <w:color w:val="auto"/>
              </w:rPr>
            </w:pPr>
          </w:p>
        </w:tc>
        <w:tc>
          <w:tcPr>
            <w:tcW w:w="640" w:type="dxa"/>
            <w:vAlign w:val="bottom"/>
            <w:tcBorders>
              <w:top w:val="single" w:sz="8" w:color="0000FF"/>
            </w:tcBorders>
          </w:tcPr>
          <w:p>
            <w:pPr>
              <w:spacing w:after="0"/>
              <w:rPr>
                <w:sz w:val="20"/>
                <w:szCs w:val="20"/>
                <w:color w:val="auto"/>
              </w:rPr>
            </w:pPr>
          </w:p>
        </w:tc>
        <w:tc>
          <w:tcPr>
            <w:tcW w:w="1180" w:type="dxa"/>
            <w:vAlign w:val="bottom"/>
            <w:tcBorders>
              <w:top w:val="single" w:sz="8" w:color="0000FF"/>
            </w:tcBorders>
          </w:tcPr>
          <w:p>
            <w:pPr>
              <w:spacing w:after="0"/>
              <w:rPr>
                <w:sz w:val="20"/>
                <w:szCs w:val="20"/>
                <w:color w:val="auto"/>
              </w:rPr>
            </w:pPr>
          </w:p>
        </w:tc>
        <w:tc>
          <w:tcPr>
            <w:tcW w:w="480" w:type="dxa"/>
            <w:vAlign w:val="bottom"/>
            <w:tcBorders>
              <w:top w:val="single" w:sz="8" w:color="0000FF"/>
            </w:tcBorders>
          </w:tcPr>
          <w:p>
            <w:pPr>
              <w:spacing w:after="0"/>
              <w:rPr>
                <w:sz w:val="20"/>
                <w:szCs w:val="20"/>
                <w:color w:val="auto"/>
              </w:rPr>
            </w:pPr>
          </w:p>
        </w:tc>
        <w:tc>
          <w:tcPr>
            <w:tcW w:w="5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380" w:type="dxa"/>
            <w:vAlign w:val="bottom"/>
          </w:tcPr>
          <w:p>
            <w:pPr>
              <w:ind w:left="160"/>
              <w:spacing w:after="0"/>
              <w:rPr>
                <w:sz w:val="20"/>
                <w:szCs w:val="20"/>
                <w:color w:val="auto"/>
              </w:rPr>
            </w:pPr>
            <w:r>
              <w:rPr>
                <w:rFonts w:ascii="Arial" w:cs="Arial" w:eastAsia="Arial" w:hAnsi="Arial"/>
                <w:sz w:val="18"/>
                <w:szCs w:val="18"/>
                <w:color w:val="auto"/>
              </w:rPr>
              <w:t>February 19, 2015, Exhibit 10.3</w:t>
            </w:r>
          </w:p>
        </w:tc>
      </w:tr>
      <w:tr>
        <w:trPr>
          <w:trHeight w:val="351"/>
        </w:trPr>
        <w:tc>
          <w:tcPr>
            <w:tcW w:w="960" w:type="dxa"/>
            <w:vAlign w:val="bottom"/>
          </w:tcPr>
          <w:p>
            <w:pPr>
              <w:jc w:val="right"/>
              <w:ind w:right="330"/>
              <w:spacing w:after="0"/>
              <w:rPr>
                <w:sz w:val="20"/>
                <w:szCs w:val="20"/>
                <w:color w:val="auto"/>
              </w:rPr>
            </w:pPr>
            <w:r>
              <w:rPr>
                <w:rFonts w:ascii="Arial" w:cs="Arial" w:eastAsia="Arial" w:hAnsi="Arial"/>
                <w:sz w:val="18"/>
                <w:szCs w:val="18"/>
                <w:color w:val="auto"/>
                <w:w w:val="99"/>
              </w:rPr>
              <w:t>10.42*</w:t>
            </w:r>
          </w:p>
        </w:tc>
        <w:tc>
          <w:tcPr>
            <w:tcW w:w="5080" w:type="dxa"/>
            <w:vAlign w:val="bottom"/>
            <w:gridSpan w:val="21"/>
          </w:tcPr>
          <w:p>
            <w:pPr>
              <w:spacing w:after="0"/>
              <w:rPr>
                <w:rFonts w:ascii="Arial" w:cs="Arial" w:eastAsia="Arial" w:hAnsi="Arial"/>
                <w:sz w:val="18"/>
                <w:szCs w:val="18"/>
                <w:color w:val="0000FF"/>
              </w:rPr>
            </w:pPr>
            <w:hyperlink r:id="rId121">
              <w:r>
                <w:rPr>
                  <w:rFonts w:ascii="Arial" w:cs="Arial" w:eastAsia="Arial" w:hAnsi="Arial"/>
                  <w:sz w:val="18"/>
                  <w:szCs w:val="18"/>
                  <w:color w:val="0000FF"/>
                </w:rPr>
                <w:t>Form of the 2016 Performance Share Unit Award Agreement</w:t>
              </w:r>
            </w:hyperlink>
          </w:p>
        </w:tc>
        <w:tc>
          <w:tcPr>
            <w:tcW w:w="5380" w:type="dxa"/>
            <w:vAlign w:val="bottom"/>
          </w:tcPr>
          <w:p>
            <w:pPr>
              <w:ind w:left="160"/>
              <w:spacing w:after="0"/>
              <w:rPr>
                <w:sz w:val="20"/>
                <w:szCs w:val="20"/>
                <w:color w:val="auto"/>
              </w:rPr>
            </w:pPr>
            <w:r>
              <w:rPr>
                <w:rFonts w:ascii="Arial" w:cs="Arial" w:eastAsia="Arial" w:hAnsi="Arial"/>
                <w:sz w:val="18"/>
                <w:szCs w:val="18"/>
                <w:color w:val="auto"/>
                <w:w w:val="99"/>
              </w:rPr>
              <w:t>Incorporated by reference from the Registrant’s Form 8-K filed on</w:t>
            </w:r>
          </w:p>
        </w:tc>
      </w:tr>
      <w:tr>
        <w:trPr>
          <w:trHeight w:val="237"/>
        </w:trPr>
        <w:tc>
          <w:tcPr>
            <w:tcW w:w="96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4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380" w:type="dxa"/>
            <w:vAlign w:val="bottom"/>
            <w:tcBorders>
              <w:top w:val="single" w:sz="8" w:color="0000FF"/>
            </w:tcBorders>
          </w:tcPr>
          <w:p>
            <w:pPr>
              <w:spacing w:after="0"/>
              <w:rPr>
                <w:sz w:val="20"/>
                <w:szCs w:val="20"/>
                <w:color w:val="auto"/>
              </w:rPr>
            </w:pPr>
          </w:p>
        </w:tc>
        <w:tc>
          <w:tcPr>
            <w:tcW w:w="640" w:type="dxa"/>
            <w:vAlign w:val="bottom"/>
            <w:tcBorders>
              <w:top w:val="single" w:sz="8" w:color="0000FF"/>
            </w:tcBorders>
          </w:tcPr>
          <w:p>
            <w:pPr>
              <w:spacing w:after="0"/>
              <w:rPr>
                <w:sz w:val="20"/>
                <w:szCs w:val="20"/>
                <w:color w:val="auto"/>
              </w:rPr>
            </w:pPr>
          </w:p>
        </w:tc>
        <w:tc>
          <w:tcPr>
            <w:tcW w:w="1180" w:type="dxa"/>
            <w:vAlign w:val="bottom"/>
            <w:tcBorders>
              <w:top w:val="single" w:sz="8" w:color="0000FF"/>
            </w:tcBorders>
          </w:tcPr>
          <w:p>
            <w:pPr>
              <w:spacing w:after="0"/>
              <w:rPr>
                <w:sz w:val="20"/>
                <w:szCs w:val="20"/>
                <w:color w:val="auto"/>
              </w:rPr>
            </w:pPr>
          </w:p>
        </w:tc>
        <w:tc>
          <w:tcPr>
            <w:tcW w:w="480" w:type="dxa"/>
            <w:vAlign w:val="bottom"/>
            <w:tcBorders>
              <w:top w:val="single" w:sz="8" w:color="0000FF"/>
            </w:tcBorders>
          </w:tcPr>
          <w:p>
            <w:pPr>
              <w:spacing w:after="0"/>
              <w:rPr>
                <w:sz w:val="20"/>
                <w:szCs w:val="20"/>
                <w:color w:val="auto"/>
              </w:rPr>
            </w:pPr>
          </w:p>
        </w:tc>
        <w:tc>
          <w:tcPr>
            <w:tcW w:w="5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380" w:type="dxa"/>
            <w:vAlign w:val="bottom"/>
          </w:tcPr>
          <w:p>
            <w:pPr>
              <w:ind w:left="160"/>
              <w:spacing w:after="0"/>
              <w:rPr>
                <w:sz w:val="20"/>
                <w:szCs w:val="20"/>
                <w:color w:val="auto"/>
              </w:rPr>
            </w:pPr>
            <w:r>
              <w:rPr>
                <w:rFonts w:ascii="Arial" w:cs="Arial" w:eastAsia="Arial" w:hAnsi="Arial"/>
                <w:sz w:val="18"/>
                <w:szCs w:val="18"/>
                <w:color w:val="auto"/>
              </w:rPr>
              <w:t>March 1, 2016, Exhibit 10.3</w:t>
            </w:r>
          </w:p>
        </w:tc>
      </w:tr>
      <w:tr>
        <w:trPr>
          <w:trHeight w:val="351"/>
        </w:trPr>
        <w:tc>
          <w:tcPr>
            <w:tcW w:w="960" w:type="dxa"/>
            <w:vAlign w:val="bottom"/>
          </w:tcPr>
          <w:p>
            <w:pPr>
              <w:jc w:val="right"/>
              <w:ind w:right="330"/>
              <w:spacing w:after="0"/>
              <w:rPr>
                <w:sz w:val="20"/>
                <w:szCs w:val="20"/>
                <w:color w:val="auto"/>
              </w:rPr>
            </w:pPr>
            <w:r>
              <w:rPr>
                <w:rFonts w:ascii="Arial" w:cs="Arial" w:eastAsia="Arial" w:hAnsi="Arial"/>
                <w:sz w:val="18"/>
                <w:szCs w:val="18"/>
                <w:color w:val="auto"/>
                <w:w w:val="99"/>
              </w:rPr>
              <w:t>10.43*</w:t>
            </w:r>
          </w:p>
        </w:tc>
        <w:tc>
          <w:tcPr>
            <w:tcW w:w="5080" w:type="dxa"/>
            <w:vAlign w:val="bottom"/>
            <w:gridSpan w:val="21"/>
          </w:tcPr>
          <w:p>
            <w:pPr>
              <w:spacing w:after="0"/>
              <w:rPr>
                <w:rFonts w:ascii="Arial" w:cs="Arial" w:eastAsia="Arial" w:hAnsi="Arial"/>
                <w:sz w:val="18"/>
                <w:szCs w:val="18"/>
                <w:color w:val="0000FF"/>
              </w:rPr>
            </w:pPr>
            <w:hyperlink r:id="rId122">
              <w:r>
                <w:rPr>
                  <w:rFonts w:ascii="Arial" w:cs="Arial" w:eastAsia="Arial" w:hAnsi="Arial"/>
                  <w:sz w:val="18"/>
                  <w:szCs w:val="18"/>
                  <w:color w:val="0000FF"/>
                </w:rPr>
                <w:t>Form of the 2017 Performance Share Unit Notice and Award</w:t>
              </w:r>
            </w:hyperlink>
          </w:p>
        </w:tc>
        <w:tc>
          <w:tcPr>
            <w:tcW w:w="5380" w:type="dxa"/>
            <w:vAlign w:val="bottom"/>
          </w:tcPr>
          <w:p>
            <w:pPr>
              <w:ind w:left="160"/>
              <w:spacing w:after="0"/>
              <w:rPr>
                <w:sz w:val="20"/>
                <w:szCs w:val="20"/>
                <w:color w:val="auto"/>
              </w:rPr>
            </w:pPr>
            <w:r>
              <w:rPr>
                <w:rFonts w:ascii="Arial" w:cs="Arial" w:eastAsia="Arial" w:hAnsi="Arial"/>
                <w:sz w:val="18"/>
                <w:szCs w:val="18"/>
                <w:color w:val="auto"/>
                <w:w w:val="99"/>
              </w:rPr>
              <w:t>Incorporated by reference from the Registrant’s Form 8-K filed on</w:t>
            </w:r>
          </w:p>
        </w:tc>
      </w:tr>
      <w:tr>
        <w:trPr>
          <w:trHeight w:val="196"/>
        </w:trPr>
        <w:tc>
          <w:tcPr>
            <w:tcW w:w="960" w:type="dxa"/>
            <w:vAlign w:val="bottom"/>
          </w:tcPr>
          <w:p>
            <w:pPr>
              <w:spacing w:after="0"/>
              <w:rPr>
                <w:sz w:val="17"/>
                <w:szCs w:val="17"/>
                <w:color w:val="auto"/>
              </w:rPr>
            </w:pPr>
          </w:p>
        </w:tc>
        <w:tc>
          <w:tcPr>
            <w:tcW w:w="80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88"/>
              </w:rPr>
            </w:pPr>
            <w:hyperlink r:id="rId122">
              <w:r>
                <w:rPr>
                  <w:rFonts w:ascii="Arial" w:cs="Arial" w:eastAsia="Arial" w:hAnsi="Arial"/>
                  <w:sz w:val="18"/>
                  <w:szCs w:val="18"/>
                  <w:color w:val="0000FF"/>
                  <w:w w:val="88"/>
                </w:rPr>
                <w:t>Agreement</w:t>
              </w:r>
            </w:hyperlink>
          </w:p>
        </w:tc>
        <w:tc>
          <w:tcPr>
            <w:tcW w:w="3580" w:type="dxa"/>
            <w:vAlign w:val="bottom"/>
            <w:tcBorders>
              <w:top w:val="single" w:sz="8" w:color="0000FF"/>
            </w:tcBorders>
            <w:gridSpan w:val="9"/>
          </w:tcPr>
          <w:p>
            <w:pPr>
              <w:spacing w:after="0"/>
              <w:rPr>
                <w:sz w:val="17"/>
                <w:szCs w:val="17"/>
                <w:color w:val="auto"/>
              </w:rPr>
            </w:pPr>
          </w:p>
        </w:tc>
        <w:tc>
          <w:tcPr>
            <w:tcW w:w="700" w:type="dxa"/>
            <w:vAlign w:val="bottom"/>
            <w:gridSpan w:val="9"/>
          </w:tcPr>
          <w:p>
            <w:pPr>
              <w:spacing w:after="0"/>
              <w:rPr>
                <w:sz w:val="17"/>
                <w:szCs w:val="17"/>
                <w:color w:val="auto"/>
              </w:rPr>
            </w:pPr>
          </w:p>
        </w:tc>
        <w:tc>
          <w:tcPr>
            <w:tcW w:w="5380" w:type="dxa"/>
            <w:vAlign w:val="bottom"/>
          </w:tcPr>
          <w:p>
            <w:pPr>
              <w:ind w:left="160"/>
              <w:spacing w:after="0" w:line="196" w:lineRule="exact"/>
              <w:rPr>
                <w:sz w:val="20"/>
                <w:szCs w:val="20"/>
                <w:color w:val="auto"/>
              </w:rPr>
            </w:pPr>
            <w:r>
              <w:rPr>
                <w:rFonts w:ascii="Arial" w:cs="Arial" w:eastAsia="Arial" w:hAnsi="Arial"/>
                <w:sz w:val="18"/>
                <w:szCs w:val="18"/>
                <w:color w:val="auto"/>
              </w:rPr>
              <w:t>February 23, 2017, Exhibit 10.3</w:t>
            </w:r>
          </w:p>
        </w:tc>
      </w:tr>
      <w:tr>
        <w:trPr>
          <w:trHeight w:val="372"/>
        </w:trPr>
        <w:tc>
          <w:tcPr>
            <w:tcW w:w="960" w:type="dxa"/>
            <w:vAlign w:val="bottom"/>
          </w:tcPr>
          <w:p>
            <w:pPr>
              <w:jc w:val="right"/>
              <w:ind w:right="330"/>
              <w:spacing w:after="0"/>
              <w:rPr>
                <w:sz w:val="20"/>
                <w:szCs w:val="20"/>
                <w:color w:val="auto"/>
              </w:rPr>
            </w:pPr>
            <w:r>
              <w:rPr>
                <w:rFonts w:ascii="Arial" w:cs="Arial" w:eastAsia="Arial" w:hAnsi="Arial"/>
                <w:sz w:val="18"/>
                <w:szCs w:val="18"/>
                <w:color w:val="auto"/>
                <w:w w:val="99"/>
              </w:rPr>
              <w:t>10.44*</w:t>
            </w:r>
          </w:p>
        </w:tc>
        <w:tc>
          <w:tcPr>
            <w:tcW w:w="5080" w:type="dxa"/>
            <w:vAlign w:val="bottom"/>
            <w:gridSpan w:val="21"/>
          </w:tcPr>
          <w:p>
            <w:pPr>
              <w:spacing w:after="0"/>
              <w:rPr>
                <w:rFonts w:ascii="Arial" w:cs="Arial" w:eastAsia="Arial" w:hAnsi="Arial"/>
                <w:sz w:val="18"/>
                <w:szCs w:val="18"/>
                <w:color w:val="0000FF"/>
              </w:rPr>
            </w:pPr>
            <w:hyperlink r:id="rId123">
              <w:r>
                <w:rPr>
                  <w:rFonts w:ascii="Arial" w:cs="Arial" w:eastAsia="Arial" w:hAnsi="Arial"/>
                  <w:sz w:val="18"/>
                  <w:szCs w:val="18"/>
                  <w:color w:val="0000FF"/>
                </w:rPr>
                <w:t>Nordstrom Supplemental Executive Retirement Plan (2008</w:t>
              </w:r>
            </w:hyperlink>
          </w:p>
        </w:tc>
        <w:tc>
          <w:tcPr>
            <w:tcW w:w="5380" w:type="dxa"/>
            <w:vAlign w:val="bottom"/>
          </w:tcPr>
          <w:p>
            <w:pPr>
              <w:ind w:left="160"/>
              <w:spacing w:after="0"/>
              <w:rPr>
                <w:sz w:val="20"/>
                <w:szCs w:val="20"/>
                <w:color w:val="auto"/>
              </w:rPr>
            </w:pPr>
            <w:r>
              <w:rPr>
                <w:rFonts w:ascii="Arial" w:cs="Arial" w:eastAsia="Arial" w:hAnsi="Arial"/>
                <w:sz w:val="18"/>
                <w:szCs w:val="18"/>
                <w:color w:val="auto"/>
                <w:w w:val="99"/>
              </w:rPr>
              <w:t>Incorporated by reference from the Registrant’s Form 8-K filed on</w:t>
            </w:r>
          </w:p>
        </w:tc>
      </w:tr>
      <w:tr>
        <w:trPr>
          <w:trHeight w:val="196"/>
        </w:trPr>
        <w:tc>
          <w:tcPr>
            <w:tcW w:w="960" w:type="dxa"/>
            <w:vAlign w:val="bottom"/>
          </w:tcPr>
          <w:p>
            <w:pPr>
              <w:spacing w:after="0"/>
              <w:rPr>
                <w:sz w:val="17"/>
                <w:szCs w:val="17"/>
                <w:color w:val="auto"/>
              </w:rPr>
            </w:pPr>
          </w:p>
        </w:tc>
        <w:tc>
          <w:tcPr>
            <w:tcW w:w="4240" w:type="dxa"/>
            <w:vAlign w:val="bottom"/>
            <w:tcBorders>
              <w:top w:val="single" w:sz="8" w:color="0000FF"/>
            </w:tcBorders>
            <w:gridSpan w:val="11"/>
          </w:tcPr>
          <w:p>
            <w:pPr>
              <w:spacing w:after="0" w:line="196" w:lineRule="exact"/>
              <w:rPr>
                <w:rFonts w:ascii="Arial" w:cs="Arial" w:eastAsia="Arial" w:hAnsi="Arial"/>
                <w:sz w:val="18"/>
                <w:szCs w:val="18"/>
                <w:color w:val="0000FF"/>
              </w:rPr>
            </w:pPr>
            <w:hyperlink r:id="rId123">
              <w:r>
                <w:rPr>
                  <w:rFonts w:ascii="Arial" w:cs="Arial" w:eastAsia="Arial" w:hAnsi="Arial"/>
                  <w:sz w:val="18"/>
                  <w:szCs w:val="18"/>
                  <w:color w:val="0000FF"/>
                </w:rPr>
                <w:t>Restatement)</w:t>
              </w:r>
            </w:hyperlink>
          </w:p>
        </w:tc>
        <w:tc>
          <w:tcPr>
            <w:tcW w:w="840" w:type="dxa"/>
            <w:vAlign w:val="bottom"/>
            <w:gridSpan w:val="10"/>
          </w:tcPr>
          <w:p>
            <w:pPr>
              <w:spacing w:after="0"/>
              <w:rPr>
                <w:sz w:val="17"/>
                <w:szCs w:val="17"/>
                <w:color w:val="auto"/>
              </w:rPr>
            </w:pPr>
          </w:p>
        </w:tc>
        <w:tc>
          <w:tcPr>
            <w:tcW w:w="5380" w:type="dxa"/>
            <w:vAlign w:val="bottom"/>
          </w:tcPr>
          <w:p>
            <w:pPr>
              <w:ind w:left="160"/>
              <w:spacing w:after="0" w:line="196" w:lineRule="exact"/>
              <w:rPr>
                <w:sz w:val="20"/>
                <w:szCs w:val="20"/>
                <w:color w:val="auto"/>
              </w:rPr>
            </w:pPr>
            <w:r>
              <w:rPr>
                <w:rFonts w:ascii="Arial" w:cs="Arial" w:eastAsia="Arial" w:hAnsi="Arial"/>
                <w:sz w:val="18"/>
                <w:szCs w:val="18"/>
                <w:color w:val="auto"/>
              </w:rPr>
              <w:t>November 24, 2008, Exhibit 10.4</w:t>
            </w:r>
          </w:p>
        </w:tc>
      </w:tr>
      <w:tr>
        <w:trPr>
          <w:trHeight w:val="48"/>
        </w:trPr>
        <w:tc>
          <w:tcPr>
            <w:tcW w:w="960" w:type="dxa"/>
            <w:vAlign w:val="bottom"/>
            <w:tcBorders>
              <w:bottom w:val="single" w:sz="8" w:color="auto"/>
            </w:tcBorders>
          </w:tcPr>
          <w:p>
            <w:pPr>
              <w:spacing w:after="0"/>
              <w:rPr>
                <w:sz w:val="4"/>
                <w:szCs w:val="4"/>
                <w:color w:val="auto"/>
              </w:rPr>
            </w:pPr>
          </w:p>
        </w:tc>
        <w:tc>
          <w:tcPr>
            <w:tcW w:w="320" w:type="dxa"/>
            <w:vAlign w:val="bottom"/>
            <w:tcBorders>
              <w:top w:val="single" w:sz="8" w:color="0000FF"/>
              <w:bottom w:val="single" w:sz="8" w:color="auto"/>
            </w:tcBorders>
          </w:tcPr>
          <w:p>
            <w:pPr>
              <w:spacing w:after="0"/>
              <w:rPr>
                <w:sz w:val="4"/>
                <w:szCs w:val="4"/>
                <w:color w:val="auto"/>
              </w:rPr>
            </w:pPr>
          </w:p>
        </w:tc>
        <w:tc>
          <w:tcPr>
            <w:tcW w:w="40" w:type="dxa"/>
            <w:vAlign w:val="bottom"/>
            <w:tcBorders>
              <w:top w:val="single" w:sz="8" w:color="0000FF"/>
              <w:bottom w:val="single" w:sz="8" w:color="auto"/>
            </w:tcBorders>
          </w:tcPr>
          <w:p>
            <w:pPr>
              <w:spacing w:after="0"/>
              <w:rPr>
                <w:sz w:val="4"/>
                <w:szCs w:val="4"/>
                <w:color w:val="auto"/>
              </w:rPr>
            </w:pPr>
          </w:p>
        </w:tc>
        <w:tc>
          <w:tcPr>
            <w:tcW w:w="440" w:type="dxa"/>
            <w:vAlign w:val="bottom"/>
            <w:tcBorders>
              <w:top w:val="single" w:sz="8" w:color="0000FF"/>
              <w:bottom w:val="single" w:sz="8" w:color="auto"/>
            </w:tcBorders>
          </w:tcPr>
          <w:p>
            <w:pPr>
              <w:spacing w:after="0"/>
              <w:rPr>
                <w:sz w:val="4"/>
                <w:szCs w:val="4"/>
                <w:color w:val="auto"/>
              </w:rPr>
            </w:pPr>
          </w:p>
        </w:tc>
        <w:tc>
          <w:tcPr>
            <w:tcW w:w="140" w:type="dxa"/>
            <w:vAlign w:val="bottom"/>
            <w:tcBorders>
              <w:top w:val="single" w:sz="8" w:color="0000FF"/>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380" w:type="dxa"/>
            <w:vAlign w:val="bottom"/>
            <w:tcBorders>
              <w:bottom w:val="single" w:sz="8" w:color="auto"/>
            </w:tcBorders>
          </w:tcPr>
          <w:p>
            <w:pPr>
              <w:spacing w:after="0"/>
              <w:rPr>
                <w:sz w:val="4"/>
                <w:szCs w:val="4"/>
                <w:color w:val="auto"/>
              </w:rPr>
            </w:pPr>
          </w:p>
        </w:tc>
      </w:tr>
    </w:tbl>
    <w:p>
      <w:pPr>
        <w:spacing w:after="0" w:line="8" w:lineRule="exact"/>
        <w:rPr>
          <w:sz w:val="20"/>
          <w:szCs w:val="20"/>
          <w:color w:val="auto"/>
        </w:rPr>
      </w:pPr>
    </w:p>
    <w:p>
      <w:pPr>
        <w:ind w:left="40"/>
        <w:spacing w:after="0"/>
        <w:rPr>
          <w:sz w:val="20"/>
          <w:szCs w:val="20"/>
          <w:color w:val="auto"/>
        </w:rPr>
      </w:pPr>
      <w:r>
        <w:rPr>
          <w:rFonts w:ascii="Arial" w:cs="Arial" w:eastAsia="Arial" w:hAnsi="Arial"/>
          <w:sz w:val="14"/>
          <w:szCs w:val="14"/>
          <w:color w:val="auto"/>
        </w:rPr>
        <w:t>*This exhibit is a management contract, compensatory plan or arrangement</w:t>
      </w:r>
    </w:p>
    <w:p>
      <w:pPr>
        <w:sectPr>
          <w:pgSz w:w="11900" w:h="16838" w:orient="portrait"/>
          <w:cols w:equalWidth="0" w:num="1">
            <w:col w:w="11420"/>
          </w:cols>
          <w:pgMar w:left="240" w:top="126" w:right="239" w:bottom="807" w:gutter="0" w:footer="0" w:header="0"/>
        </w:sect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420"/>
          </w:cols>
          <w:pgMar w:left="240" w:top="126" w:right="239" w:bottom="807" w:gutter="0" w:footer="0" w:header="0"/>
          <w:type w:val="continuous"/>
        </w:sectPr>
      </w:pPr>
    </w:p>
    <w:bookmarkStart w:id="71" w:name="page72"/>
    <w:bookmarkEnd w:id="71"/>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40" w:type="dxa"/>
            <w:vAlign w:val="bottom"/>
            <w:gridSpan w:val="14"/>
          </w:tcPr>
          <w:p>
            <w:pPr>
              <w:ind w:left="140"/>
              <w:spacing w:after="0"/>
              <w:rPr>
                <w:sz w:val="20"/>
                <w:szCs w:val="20"/>
                <w:color w:val="auto"/>
              </w:rPr>
            </w:pPr>
            <w:r>
              <w:rPr>
                <w:rFonts w:ascii="Arial" w:cs="Arial" w:eastAsia="Arial" w:hAnsi="Arial"/>
                <w:sz w:val="18"/>
                <w:szCs w:val="18"/>
                <w:b w:val="1"/>
                <w:bCs w:val="1"/>
                <w:color w:val="auto"/>
              </w:rPr>
              <w:t>Exhibit</w:t>
            </w:r>
          </w:p>
        </w:tc>
        <w:tc>
          <w:tcPr>
            <w:tcW w:w="5300" w:type="dxa"/>
            <w:vAlign w:val="bottom"/>
          </w:tcPr>
          <w:p>
            <w:pPr>
              <w:ind w:left="2040"/>
              <w:spacing w:after="0"/>
              <w:rPr>
                <w:sz w:val="20"/>
                <w:szCs w:val="20"/>
                <w:color w:val="auto"/>
              </w:rPr>
            </w:pPr>
            <w:r>
              <w:rPr>
                <w:rFonts w:ascii="Arial" w:cs="Arial" w:eastAsia="Arial" w:hAnsi="Arial"/>
                <w:sz w:val="18"/>
                <w:szCs w:val="18"/>
                <w:b w:val="1"/>
                <w:bCs w:val="1"/>
                <w:color w:val="auto"/>
              </w:rPr>
              <w:t>Method of Filing</w:t>
            </w:r>
          </w:p>
        </w:tc>
      </w:tr>
      <w:tr>
        <w:trPr>
          <w:trHeight w:val="27"/>
        </w:trPr>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300" w:type="dxa"/>
            <w:vAlign w:val="bottom"/>
            <w:tcBorders>
              <w:bottom w:val="single" w:sz="8" w:color="auto"/>
            </w:tcBorders>
          </w:tcPr>
          <w:p>
            <w:pPr>
              <w:spacing w:after="0"/>
              <w:rPr>
                <w:sz w:val="2"/>
                <w:szCs w:val="2"/>
                <w:color w:val="auto"/>
              </w:rPr>
            </w:pPr>
          </w:p>
        </w:tc>
      </w:tr>
      <w:tr>
        <w:trPr>
          <w:trHeight w:val="196"/>
        </w:trPr>
        <w:tc>
          <w:tcPr>
            <w:tcW w:w="960" w:type="dxa"/>
            <w:vAlign w:val="bottom"/>
          </w:tcPr>
          <w:p>
            <w:pPr>
              <w:ind w:left="40"/>
              <w:spacing w:after="0" w:line="196" w:lineRule="exact"/>
              <w:rPr>
                <w:sz w:val="20"/>
                <w:szCs w:val="20"/>
                <w:color w:val="auto"/>
              </w:rPr>
            </w:pPr>
            <w:r>
              <w:rPr>
                <w:rFonts w:ascii="Arial" w:cs="Arial" w:eastAsia="Arial" w:hAnsi="Arial"/>
                <w:sz w:val="18"/>
                <w:szCs w:val="18"/>
                <w:color w:val="auto"/>
              </w:rPr>
              <w:t>10.45*</w:t>
            </w:r>
          </w:p>
        </w:tc>
        <w:tc>
          <w:tcPr>
            <w:tcW w:w="4520" w:type="dxa"/>
            <w:vAlign w:val="bottom"/>
            <w:tcBorders>
              <w:bottom w:val="single" w:sz="8" w:color="0000FF"/>
            </w:tcBorders>
            <w:gridSpan w:val="13"/>
          </w:tcPr>
          <w:p>
            <w:pPr>
              <w:spacing w:after="0" w:line="196" w:lineRule="exact"/>
              <w:rPr>
                <w:rFonts w:ascii="Arial" w:cs="Arial" w:eastAsia="Arial" w:hAnsi="Arial"/>
                <w:sz w:val="18"/>
                <w:szCs w:val="18"/>
                <w:color w:val="0000FF"/>
                <w:w w:val="90"/>
              </w:rPr>
            </w:pPr>
            <w:hyperlink r:id="rId124">
              <w:r>
                <w:rPr>
                  <w:rFonts w:ascii="Arial" w:cs="Arial" w:eastAsia="Arial" w:hAnsi="Arial"/>
                  <w:sz w:val="18"/>
                  <w:szCs w:val="18"/>
                  <w:color w:val="0000FF"/>
                  <w:w w:val="90"/>
                </w:rPr>
                <w:t>Amendment 2009-1 to the Nordstrom Supplemental Executive</w:t>
              </w:r>
            </w:hyperlink>
          </w:p>
        </w:tc>
        <w:tc>
          <w:tcPr>
            <w:tcW w:w="640" w:type="dxa"/>
            <w:vAlign w:val="bottom"/>
            <w:gridSpan w:val="7"/>
          </w:tcPr>
          <w:p>
            <w:pPr>
              <w:spacing w:after="0"/>
              <w:rPr>
                <w:sz w:val="17"/>
                <w:szCs w:val="17"/>
                <w:color w:val="auto"/>
              </w:rPr>
            </w:pPr>
          </w:p>
        </w:tc>
        <w:tc>
          <w:tcPr>
            <w:tcW w:w="5300" w:type="dxa"/>
            <w:vAlign w:val="bottom"/>
          </w:tcPr>
          <w:p>
            <w:pPr>
              <w:ind w:left="80"/>
              <w:spacing w:after="0" w:line="196" w:lineRule="exact"/>
              <w:rPr>
                <w:sz w:val="20"/>
                <w:szCs w:val="20"/>
                <w:color w:val="auto"/>
              </w:rPr>
            </w:pPr>
            <w:r>
              <w:rPr>
                <w:rFonts w:ascii="Arial" w:cs="Arial" w:eastAsia="Arial" w:hAnsi="Arial"/>
                <w:sz w:val="18"/>
                <w:szCs w:val="18"/>
                <w:color w:val="auto"/>
                <w:w w:val="99"/>
              </w:rPr>
              <w:t>Incorporated by reference from the Registrant’s Form 8-K filed on</w:t>
            </w:r>
          </w:p>
        </w:tc>
      </w:tr>
      <w:tr>
        <w:trPr>
          <w:trHeight w:val="196"/>
        </w:trPr>
        <w:tc>
          <w:tcPr>
            <w:tcW w:w="960" w:type="dxa"/>
            <w:vAlign w:val="bottom"/>
          </w:tcPr>
          <w:p>
            <w:pPr>
              <w:spacing w:after="0"/>
              <w:rPr>
                <w:sz w:val="17"/>
                <w:szCs w:val="17"/>
                <w:color w:val="auto"/>
              </w:rPr>
            </w:pPr>
          </w:p>
        </w:tc>
        <w:tc>
          <w:tcPr>
            <w:tcW w:w="1160" w:type="dxa"/>
            <w:vAlign w:val="bottom"/>
            <w:tcBorders>
              <w:bottom w:val="single" w:sz="8" w:color="0000FF"/>
            </w:tcBorders>
            <w:gridSpan w:val="3"/>
          </w:tcPr>
          <w:p>
            <w:pPr>
              <w:spacing w:after="0" w:line="196" w:lineRule="exact"/>
              <w:rPr>
                <w:rFonts w:ascii="Arial" w:cs="Arial" w:eastAsia="Arial" w:hAnsi="Arial"/>
                <w:sz w:val="18"/>
                <w:szCs w:val="18"/>
                <w:color w:val="0000FF"/>
                <w:w w:val="88"/>
              </w:rPr>
            </w:pPr>
            <w:hyperlink r:id="rId124">
              <w:r>
                <w:rPr>
                  <w:rFonts w:ascii="Arial" w:cs="Arial" w:eastAsia="Arial" w:hAnsi="Arial"/>
                  <w:sz w:val="18"/>
                  <w:szCs w:val="18"/>
                  <w:color w:val="0000FF"/>
                  <w:w w:val="88"/>
                </w:rPr>
                <w:t>Retirement Plan</w:t>
              </w:r>
            </w:hyperlink>
          </w:p>
        </w:tc>
        <w:tc>
          <w:tcPr>
            <w:tcW w:w="4000" w:type="dxa"/>
            <w:vAlign w:val="bottom"/>
            <w:gridSpan w:val="17"/>
          </w:tcPr>
          <w:p>
            <w:pPr>
              <w:spacing w:after="0"/>
              <w:rPr>
                <w:sz w:val="17"/>
                <w:szCs w:val="17"/>
                <w:color w:val="auto"/>
              </w:rPr>
            </w:pPr>
          </w:p>
        </w:tc>
        <w:tc>
          <w:tcPr>
            <w:tcW w:w="5300" w:type="dxa"/>
            <w:vAlign w:val="bottom"/>
          </w:tcPr>
          <w:p>
            <w:pPr>
              <w:ind w:left="80"/>
              <w:spacing w:after="0" w:line="196" w:lineRule="exact"/>
              <w:rPr>
                <w:sz w:val="20"/>
                <w:szCs w:val="20"/>
                <w:color w:val="auto"/>
              </w:rPr>
            </w:pPr>
            <w:r>
              <w:rPr>
                <w:rFonts w:ascii="Arial" w:cs="Arial" w:eastAsia="Arial" w:hAnsi="Arial"/>
                <w:sz w:val="18"/>
                <w:szCs w:val="18"/>
                <w:color w:val="auto"/>
              </w:rPr>
              <w:t>March 3, 2009, Exhibit 10.4</w:t>
            </w:r>
          </w:p>
        </w:tc>
      </w:tr>
      <w:tr>
        <w:trPr>
          <w:trHeight w:val="372"/>
        </w:trPr>
        <w:tc>
          <w:tcPr>
            <w:tcW w:w="960" w:type="dxa"/>
            <w:vAlign w:val="bottom"/>
          </w:tcPr>
          <w:p>
            <w:pPr>
              <w:ind w:left="40"/>
              <w:spacing w:after="0"/>
              <w:rPr>
                <w:sz w:val="20"/>
                <w:szCs w:val="20"/>
                <w:color w:val="auto"/>
              </w:rPr>
            </w:pPr>
            <w:r>
              <w:rPr>
                <w:rFonts w:ascii="Arial" w:cs="Arial" w:eastAsia="Arial" w:hAnsi="Arial"/>
                <w:sz w:val="18"/>
                <w:szCs w:val="18"/>
                <w:color w:val="auto"/>
              </w:rPr>
              <w:t>10.46*</w:t>
            </w:r>
          </w:p>
        </w:tc>
        <w:tc>
          <w:tcPr>
            <w:tcW w:w="4520" w:type="dxa"/>
            <w:vAlign w:val="bottom"/>
            <w:tcBorders>
              <w:bottom w:val="single" w:sz="8" w:color="0000FF"/>
            </w:tcBorders>
            <w:gridSpan w:val="13"/>
          </w:tcPr>
          <w:p>
            <w:pPr>
              <w:spacing w:after="0"/>
              <w:rPr>
                <w:rFonts w:ascii="Arial" w:cs="Arial" w:eastAsia="Arial" w:hAnsi="Arial"/>
                <w:sz w:val="18"/>
                <w:szCs w:val="18"/>
                <w:color w:val="0000FF"/>
                <w:w w:val="90"/>
              </w:rPr>
            </w:pPr>
            <w:hyperlink r:id="rId125">
              <w:r>
                <w:rPr>
                  <w:rFonts w:ascii="Arial" w:cs="Arial" w:eastAsia="Arial" w:hAnsi="Arial"/>
                  <w:sz w:val="18"/>
                  <w:szCs w:val="18"/>
                  <w:color w:val="0000FF"/>
                  <w:w w:val="90"/>
                </w:rPr>
                <w:t>Amendment 2014-1 to the Nordstrom Supplemental Executive</w:t>
              </w:r>
            </w:hyperlink>
          </w:p>
        </w:tc>
        <w:tc>
          <w:tcPr>
            <w:tcW w:w="640" w:type="dxa"/>
            <w:vAlign w:val="bottom"/>
            <w:gridSpan w:val="7"/>
          </w:tcPr>
          <w:p>
            <w:pPr>
              <w:spacing w:after="0"/>
              <w:rPr>
                <w:sz w:val="24"/>
                <w:szCs w:val="24"/>
                <w:color w:val="auto"/>
              </w:rPr>
            </w:pPr>
          </w:p>
        </w:tc>
        <w:tc>
          <w:tcPr>
            <w:tcW w:w="5300" w:type="dxa"/>
            <w:vAlign w:val="bottom"/>
          </w:tcPr>
          <w:p>
            <w:pPr>
              <w:ind w:left="80"/>
              <w:spacing w:after="0"/>
              <w:rPr>
                <w:sz w:val="20"/>
                <w:szCs w:val="20"/>
                <w:color w:val="auto"/>
              </w:rPr>
            </w:pPr>
            <w:r>
              <w:rPr>
                <w:rFonts w:ascii="Arial" w:cs="Arial" w:eastAsia="Arial" w:hAnsi="Arial"/>
                <w:sz w:val="18"/>
                <w:szCs w:val="18"/>
                <w:color w:val="auto"/>
                <w:w w:val="99"/>
              </w:rPr>
              <w:t>Incorporated by reference from the Registrant’s Form 8-K filed on</w:t>
            </w:r>
          </w:p>
        </w:tc>
      </w:tr>
      <w:tr>
        <w:trPr>
          <w:trHeight w:val="196"/>
        </w:trPr>
        <w:tc>
          <w:tcPr>
            <w:tcW w:w="960" w:type="dxa"/>
            <w:vAlign w:val="bottom"/>
          </w:tcPr>
          <w:p>
            <w:pPr>
              <w:spacing w:after="0"/>
              <w:rPr>
                <w:sz w:val="17"/>
                <w:szCs w:val="17"/>
                <w:color w:val="auto"/>
              </w:rPr>
            </w:pPr>
          </w:p>
        </w:tc>
        <w:tc>
          <w:tcPr>
            <w:tcW w:w="1160" w:type="dxa"/>
            <w:vAlign w:val="bottom"/>
            <w:tcBorders>
              <w:bottom w:val="single" w:sz="8" w:color="0000FF"/>
            </w:tcBorders>
            <w:gridSpan w:val="3"/>
          </w:tcPr>
          <w:p>
            <w:pPr>
              <w:spacing w:after="0" w:line="196" w:lineRule="exact"/>
              <w:rPr>
                <w:rFonts w:ascii="Arial" w:cs="Arial" w:eastAsia="Arial" w:hAnsi="Arial"/>
                <w:sz w:val="18"/>
                <w:szCs w:val="18"/>
                <w:color w:val="0000FF"/>
                <w:w w:val="88"/>
              </w:rPr>
            </w:pPr>
            <w:hyperlink r:id="rId125">
              <w:r>
                <w:rPr>
                  <w:rFonts w:ascii="Arial" w:cs="Arial" w:eastAsia="Arial" w:hAnsi="Arial"/>
                  <w:sz w:val="18"/>
                  <w:szCs w:val="18"/>
                  <w:color w:val="0000FF"/>
                  <w:w w:val="88"/>
                </w:rPr>
                <w:t>Retirement Plan</w:t>
              </w:r>
            </w:hyperlink>
          </w:p>
        </w:tc>
        <w:tc>
          <w:tcPr>
            <w:tcW w:w="4000" w:type="dxa"/>
            <w:vAlign w:val="bottom"/>
            <w:gridSpan w:val="17"/>
          </w:tcPr>
          <w:p>
            <w:pPr>
              <w:spacing w:after="0"/>
              <w:rPr>
                <w:sz w:val="17"/>
                <w:szCs w:val="17"/>
                <w:color w:val="auto"/>
              </w:rPr>
            </w:pPr>
          </w:p>
        </w:tc>
        <w:tc>
          <w:tcPr>
            <w:tcW w:w="5300" w:type="dxa"/>
            <w:vAlign w:val="bottom"/>
          </w:tcPr>
          <w:p>
            <w:pPr>
              <w:ind w:left="80"/>
              <w:spacing w:after="0" w:line="196" w:lineRule="exact"/>
              <w:rPr>
                <w:sz w:val="20"/>
                <w:szCs w:val="20"/>
                <w:color w:val="auto"/>
              </w:rPr>
            </w:pPr>
            <w:r>
              <w:rPr>
                <w:rFonts w:ascii="Arial" w:cs="Arial" w:eastAsia="Arial" w:hAnsi="Arial"/>
                <w:sz w:val="18"/>
                <w:szCs w:val="18"/>
                <w:color w:val="auto"/>
              </w:rPr>
              <w:t>August 25, 2014, Exhibit 10.1</w:t>
            </w:r>
          </w:p>
        </w:tc>
      </w:tr>
      <w:tr>
        <w:trPr>
          <w:trHeight w:val="372"/>
        </w:trPr>
        <w:tc>
          <w:tcPr>
            <w:tcW w:w="960" w:type="dxa"/>
            <w:vAlign w:val="bottom"/>
          </w:tcPr>
          <w:p>
            <w:pPr>
              <w:ind w:left="40"/>
              <w:spacing w:after="0"/>
              <w:rPr>
                <w:sz w:val="20"/>
                <w:szCs w:val="20"/>
                <w:color w:val="auto"/>
              </w:rPr>
            </w:pPr>
            <w:r>
              <w:rPr>
                <w:rFonts w:ascii="Arial" w:cs="Arial" w:eastAsia="Arial" w:hAnsi="Arial"/>
                <w:sz w:val="18"/>
                <w:szCs w:val="18"/>
                <w:color w:val="auto"/>
              </w:rPr>
              <w:t>10.47*</w:t>
            </w:r>
          </w:p>
        </w:tc>
        <w:tc>
          <w:tcPr>
            <w:tcW w:w="4520" w:type="dxa"/>
            <w:vAlign w:val="bottom"/>
            <w:tcBorders>
              <w:bottom w:val="single" w:sz="8" w:color="0000FF"/>
            </w:tcBorders>
            <w:gridSpan w:val="13"/>
          </w:tcPr>
          <w:p>
            <w:pPr>
              <w:spacing w:after="0"/>
              <w:rPr>
                <w:rFonts w:ascii="Arial" w:cs="Arial" w:eastAsia="Arial" w:hAnsi="Arial"/>
                <w:sz w:val="18"/>
                <w:szCs w:val="18"/>
                <w:color w:val="0000FF"/>
                <w:w w:val="90"/>
              </w:rPr>
            </w:pPr>
            <w:hyperlink r:id="rId126">
              <w:r>
                <w:rPr>
                  <w:rFonts w:ascii="Arial" w:cs="Arial" w:eastAsia="Arial" w:hAnsi="Arial"/>
                  <w:sz w:val="18"/>
                  <w:szCs w:val="18"/>
                  <w:color w:val="0000FF"/>
                  <w:w w:val="90"/>
                </w:rPr>
                <w:t>Amendment 2014-2 to the Nordstrom Supplemental Executive</w:t>
              </w:r>
            </w:hyperlink>
          </w:p>
        </w:tc>
        <w:tc>
          <w:tcPr>
            <w:tcW w:w="640" w:type="dxa"/>
            <w:vAlign w:val="bottom"/>
            <w:gridSpan w:val="7"/>
          </w:tcPr>
          <w:p>
            <w:pPr>
              <w:spacing w:after="0"/>
              <w:rPr>
                <w:sz w:val="24"/>
                <w:szCs w:val="24"/>
                <w:color w:val="auto"/>
              </w:rPr>
            </w:pPr>
          </w:p>
        </w:tc>
        <w:tc>
          <w:tcPr>
            <w:tcW w:w="5300" w:type="dxa"/>
            <w:vAlign w:val="bottom"/>
          </w:tcPr>
          <w:p>
            <w:pPr>
              <w:ind w:left="80"/>
              <w:spacing w:after="0"/>
              <w:rPr>
                <w:sz w:val="20"/>
                <w:szCs w:val="20"/>
                <w:color w:val="auto"/>
              </w:rPr>
            </w:pPr>
            <w:r>
              <w:rPr>
                <w:rFonts w:ascii="Arial" w:cs="Arial" w:eastAsia="Arial" w:hAnsi="Arial"/>
                <w:sz w:val="18"/>
                <w:szCs w:val="18"/>
                <w:color w:val="auto"/>
                <w:w w:val="99"/>
              </w:rPr>
              <w:t>Incorporated by reference from the Registrant’s Form 8-K filed on</w:t>
            </w:r>
          </w:p>
        </w:tc>
      </w:tr>
      <w:tr>
        <w:trPr>
          <w:trHeight w:val="196"/>
        </w:trPr>
        <w:tc>
          <w:tcPr>
            <w:tcW w:w="960" w:type="dxa"/>
            <w:vAlign w:val="bottom"/>
          </w:tcPr>
          <w:p>
            <w:pPr>
              <w:spacing w:after="0"/>
              <w:rPr>
                <w:sz w:val="17"/>
                <w:szCs w:val="17"/>
                <w:color w:val="auto"/>
              </w:rPr>
            </w:pPr>
          </w:p>
        </w:tc>
        <w:tc>
          <w:tcPr>
            <w:tcW w:w="1160" w:type="dxa"/>
            <w:vAlign w:val="bottom"/>
            <w:tcBorders>
              <w:bottom w:val="single" w:sz="8" w:color="0000FF"/>
            </w:tcBorders>
            <w:gridSpan w:val="3"/>
          </w:tcPr>
          <w:p>
            <w:pPr>
              <w:spacing w:after="0" w:line="196" w:lineRule="exact"/>
              <w:rPr>
                <w:rFonts w:ascii="Arial" w:cs="Arial" w:eastAsia="Arial" w:hAnsi="Arial"/>
                <w:sz w:val="18"/>
                <w:szCs w:val="18"/>
                <w:color w:val="0000FF"/>
                <w:w w:val="88"/>
              </w:rPr>
            </w:pPr>
            <w:hyperlink r:id="rId126">
              <w:r>
                <w:rPr>
                  <w:rFonts w:ascii="Arial" w:cs="Arial" w:eastAsia="Arial" w:hAnsi="Arial"/>
                  <w:sz w:val="18"/>
                  <w:szCs w:val="18"/>
                  <w:color w:val="0000FF"/>
                  <w:w w:val="88"/>
                </w:rPr>
                <w:t>Retirement Plan</w:t>
              </w:r>
            </w:hyperlink>
          </w:p>
        </w:tc>
        <w:tc>
          <w:tcPr>
            <w:tcW w:w="4000" w:type="dxa"/>
            <w:vAlign w:val="bottom"/>
            <w:gridSpan w:val="17"/>
          </w:tcPr>
          <w:p>
            <w:pPr>
              <w:spacing w:after="0"/>
              <w:rPr>
                <w:sz w:val="17"/>
                <w:szCs w:val="17"/>
                <w:color w:val="auto"/>
              </w:rPr>
            </w:pPr>
          </w:p>
        </w:tc>
        <w:tc>
          <w:tcPr>
            <w:tcW w:w="5300" w:type="dxa"/>
            <w:vAlign w:val="bottom"/>
          </w:tcPr>
          <w:p>
            <w:pPr>
              <w:ind w:left="80"/>
              <w:spacing w:after="0" w:line="196" w:lineRule="exact"/>
              <w:rPr>
                <w:sz w:val="20"/>
                <w:szCs w:val="20"/>
                <w:color w:val="auto"/>
              </w:rPr>
            </w:pPr>
            <w:r>
              <w:rPr>
                <w:rFonts w:ascii="Arial" w:cs="Arial" w:eastAsia="Arial" w:hAnsi="Arial"/>
                <w:sz w:val="18"/>
                <w:szCs w:val="18"/>
                <w:color w:val="auto"/>
              </w:rPr>
              <w:t>August 25, 2014, Exhibit 10.2</w:t>
            </w:r>
          </w:p>
        </w:tc>
      </w:tr>
      <w:tr>
        <w:trPr>
          <w:trHeight w:val="372"/>
        </w:trPr>
        <w:tc>
          <w:tcPr>
            <w:tcW w:w="960" w:type="dxa"/>
            <w:vAlign w:val="bottom"/>
          </w:tcPr>
          <w:p>
            <w:pPr>
              <w:ind w:left="40"/>
              <w:spacing w:after="0"/>
              <w:rPr>
                <w:sz w:val="20"/>
                <w:szCs w:val="20"/>
                <w:color w:val="auto"/>
              </w:rPr>
            </w:pPr>
            <w:r>
              <w:rPr>
                <w:rFonts w:ascii="Arial" w:cs="Arial" w:eastAsia="Arial" w:hAnsi="Arial"/>
                <w:sz w:val="18"/>
                <w:szCs w:val="18"/>
                <w:color w:val="auto"/>
              </w:rPr>
              <w:t>10.48</w:t>
            </w:r>
          </w:p>
        </w:tc>
        <w:tc>
          <w:tcPr>
            <w:tcW w:w="5160" w:type="dxa"/>
            <w:vAlign w:val="bottom"/>
            <w:gridSpan w:val="20"/>
          </w:tcPr>
          <w:p>
            <w:pPr>
              <w:spacing w:after="0"/>
              <w:rPr>
                <w:rFonts w:ascii="Arial" w:cs="Arial" w:eastAsia="Arial" w:hAnsi="Arial"/>
                <w:sz w:val="18"/>
                <w:szCs w:val="18"/>
                <w:color w:val="0000FF"/>
                <w:w w:val="91"/>
              </w:rPr>
            </w:pPr>
            <w:hyperlink w:anchor="page112">
              <w:r>
                <w:rPr>
                  <w:rFonts w:ascii="Arial" w:cs="Arial" w:eastAsia="Arial" w:hAnsi="Arial"/>
                  <w:sz w:val="18"/>
                  <w:szCs w:val="18"/>
                  <w:color w:val="0000FF"/>
                  <w:w w:val="91"/>
                </w:rPr>
                <w:t>Nordstrom Directors Deferred Compensation Plan (2017 Restatement)</w:t>
              </w:r>
            </w:hyperlink>
          </w:p>
        </w:tc>
        <w:tc>
          <w:tcPr>
            <w:tcW w:w="5300" w:type="dxa"/>
            <w:vAlign w:val="bottom"/>
          </w:tcPr>
          <w:p>
            <w:pPr>
              <w:ind w:left="80"/>
              <w:spacing w:after="0"/>
              <w:rPr>
                <w:sz w:val="20"/>
                <w:szCs w:val="20"/>
                <w:color w:val="auto"/>
              </w:rPr>
            </w:pPr>
            <w:r>
              <w:rPr>
                <w:rFonts w:ascii="Arial" w:cs="Arial" w:eastAsia="Arial" w:hAnsi="Arial"/>
                <w:sz w:val="18"/>
                <w:szCs w:val="18"/>
                <w:color w:val="auto"/>
              </w:rPr>
              <w:t>Filed herewith electronically</w:t>
            </w:r>
          </w:p>
        </w:tc>
      </w:tr>
      <w:tr>
        <w:trPr>
          <w:trHeight w:val="372"/>
        </w:trPr>
        <w:tc>
          <w:tcPr>
            <w:tcW w:w="960" w:type="dxa"/>
            <w:vAlign w:val="bottom"/>
          </w:tcPr>
          <w:p>
            <w:pPr>
              <w:ind w:left="40"/>
              <w:spacing w:after="0"/>
              <w:rPr>
                <w:sz w:val="20"/>
                <w:szCs w:val="20"/>
                <w:color w:val="auto"/>
              </w:rPr>
            </w:pPr>
            <w:r>
              <w:rPr>
                <w:rFonts w:ascii="Arial" w:cs="Arial" w:eastAsia="Arial" w:hAnsi="Arial"/>
                <w:sz w:val="18"/>
                <w:szCs w:val="18"/>
                <w:color w:val="auto"/>
              </w:rPr>
              <w:t>10.49</w:t>
            </w:r>
          </w:p>
        </w:tc>
        <w:tc>
          <w:tcPr>
            <w:tcW w:w="5080" w:type="dxa"/>
            <w:vAlign w:val="bottom"/>
            <w:tcBorders>
              <w:top w:val="single" w:sz="8" w:color="0000FF"/>
            </w:tcBorders>
            <w:gridSpan w:val="19"/>
          </w:tcPr>
          <w:p>
            <w:pPr>
              <w:spacing w:after="0"/>
              <w:rPr>
                <w:rFonts w:ascii="Arial" w:cs="Arial" w:eastAsia="Arial" w:hAnsi="Arial"/>
                <w:sz w:val="18"/>
                <w:szCs w:val="18"/>
                <w:color w:val="0000FF"/>
              </w:rPr>
            </w:pPr>
            <w:hyperlink r:id="rId127">
              <w:r>
                <w:rPr>
                  <w:rFonts w:ascii="Arial" w:cs="Arial" w:eastAsia="Arial" w:hAnsi="Arial"/>
                  <w:sz w:val="18"/>
                  <w:szCs w:val="18"/>
                  <w:color w:val="0000FF"/>
                </w:rPr>
                <w:t>2009 Form of Independent Director Indemnification Agreement</w:t>
              </w:r>
            </w:hyperlink>
          </w:p>
        </w:tc>
        <w:tc>
          <w:tcPr>
            <w:tcW w:w="80" w:type="dxa"/>
            <w:vAlign w:val="bottom"/>
          </w:tcPr>
          <w:p>
            <w:pPr>
              <w:spacing w:after="0"/>
              <w:rPr>
                <w:sz w:val="24"/>
                <w:szCs w:val="24"/>
                <w:color w:val="auto"/>
              </w:rPr>
            </w:pPr>
          </w:p>
        </w:tc>
        <w:tc>
          <w:tcPr>
            <w:tcW w:w="5300" w:type="dxa"/>
            <w:vAlign w:val="bottom"/>
          </w:tcPr>
          <w:p>
            <w:pPr>
              <w:ind w:left="80"/>
              <w:spacing w:after="0"/>
              <w:rPr>
                <w:sz w:val="20"/>
                <w:szCs w:val="20"/>
                <w:color w:val="auto"/>
              </w:rPr>
            </w:pPr>
            <w:r>
              <w:rPr>
                <w:rFonts w:ascii="Arial" w:cs="Arial" w:eastAsia="Arial" w:hAnsi="Arial"/>
                <w:sz w:val="18"/>
                <w:szCs w:val="18"/>
                <w:color w:val="auto"/>
                <w:w w:val="99"/>
              </w:rPr>
              <w:t>Incorporated by reference from the Registrant’s Form 8-K filed on</w:t>
            </w:r>
          </w:p>
        </w:tc>
      </w:tr>
      <w:tr>
        <w:trPr>
          <w:trHeight w:val="237"/>
        </w:trPr>
        <w:tc>
          <w:tcPr>
            <w:tcW w:w="960" w:type="dxa"/>
            <w:vAlign w:val="bottom"/>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70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480" w:type="dxa"/>
            <w:vAlign w:val="bottom"/>
            <w:tcBorders>
              <w:top w:val="single" w:sz="8" w:color="0000FF"/>
            </w:tcBorders>
          </w:tcPr>
          <w:p>
            <w:pPr>
              <w:spacing w:after="0"/>
              <w:rPr>
                <w:sz w:val="20"/>
                <w:szCs w:val="20"/>
                <w:color w:val="auto"/>
              </w:rPr>
            </w:pPr>
          </w:p>
        </w:tc>
        <w:tc>
          <w:tcPr>
            <w:tcW w:w="1300" w:type="dxa"/>
            <w:vAlign w:val="bottom"/>
            <w:tcBorders>
              <w:top w:val="single" w:sz="8" w:color="0000FF"/>
            </w:tcBorders>
          </w:tcPr>
          <w:p>
            <w:pPr>
              <w:spacing w:after="0"/>
              <w:rPr>
                <w:sz w:val="20"/>
                <w:szCs w:val="20"/>
                <w:color w:val="auto"/>
              </w:rPr>
            </w:pPr>
          </w:p>
        </w:tc>
        <w:tc>
          <w:tcPr>
            <w:tcW w:w="5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60" w:type="dxa"/>
            <w:vAlign w:val="bottom"/>
            <w:tcBorders>
              <w:top w:val="single" w:sz="8" w:color="0000FF"/>
            </w:tcBorders>
          </w:tcPr>
          <w:p>
            <w:pPr>
              <w:spacing w:after="0"/>
              <w:rPr>
                <w:sz w:val="20"/>
                <w:szCs w:val="20"/>
                <w:color w:val="auto"/>
              </w:rPr>
            </w:pPr>
          </w:p>
        </w:tc>
        <w:tc>
          <w:tcPr>
            <w:tcW w:w="28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300" w:type="dxa"/>
            <w:vAlign w:val="bottom"/>
          </w:tcPr>
          <w:p>
            <w:pPr>
              <w:ind w:left="80"/>
              <w:spacing w:after="0"/>
              <w:rPr>
                <w:sz w:val="20"/>
                <w:szCs w:val="20"/>
                <w:color w:val="auto"/>
              </w:rPr>
            </w:pPr>
            <w:r>
              <w:rPr>
                <w:rFonts w:ascii="Arial" w:cs="Arial" w:eastAsia="Arial" w:hAnsi="Arial"/>
                <w:sz w:val="18"/>
                <w:szCs w:val="18"/>
                <w:color w:val="auto"/>
              </w:rPr>
              <w:t>March 3, 2009, Exhibit 10.1</w:t>
            </w:r>
          </w:p>
        </w:tc>
      </w:tr>
      <w:tr>
        <w:trPr>
          <w:trHeight w:val="351"/>
        </w:trPr>
        <w:tc>
          <w:tcPr>
            <w:tcW w:w="960" w:type="dxa"/>
            <w:vAlign w:val="bottom"/>
          </w:tcPr>
          <w:p>
            <w:pPr>
              <w:ind w:left="40"/>
              <w:spacing w:after="0"/>
              <w:rPr>
                <w:sz w:val="20"/>
                <w:szCs w:val="20"/>
                <w:color w:val="auto"/>
              </w:rPr>
            </w:pPr>
            <w:r>
              <w:rPr>
                <w:rFonts w:ascii="Arial" w:cs="Arial" w:eastAsia="Arial" w:hAnsi="Arial"/>
                <w:sz w:val="18"/>
                <w:szCs w:val="18"/>
                <w:color w:val="auto"/>
              </w:rPr>
              <w:t>10.50</w:t>
            </w:r>
          </w:p>
        </w:tc>
        <w:tc>
          <w:tcPr>
            <w:tcW w:w="5160" w:type="dxa"/>
            <w:vAlign w:val="bottom"/>
            <w:gridSpan w:val="20"/>
          </w:tcPr>
          <w:p>
            <w:pPr>
              <w:spacing w:after="0"/>
              <w:rPr>
                <w:rFonts w:ascii="Arial" w:cs="Arial" w:eastAsia="Arial" w:hAnsi="Arial"/>
                <w:sz w:val="18"/>
                <w:szCs w:val="18"/>
                <w:color w:val="0000FF"/>
              </w:rPr>
            </w:pPr>
            <w:hyperlink r:id="rId128">
              <w:r>
                <w:rPr>
                  <w:rFonts w:ascii="Arial" w:cs="Arial" w:eastAsia="Arial" w:hAnsi="Arial"/>
                  <w:sz w:val="18"/>
                  <w:szCs w:val="18"/>
                  <w:color w:val="0000FF"/>
                </w:rPr>
                <w:t>2010 Form of Independent Director Indemnification Agreement</w:t>
              </w:r>
            </w:hyperlink>
          </w:p>
        </w:tc>
        <w:tc>
          <w:tcPr>
            <w:tcW w:w="5300" w:type="dxa"/>
            <w:vAlign w:val="bottom"/>
          </w:tcPr>
          <w:p>
            <w:pPr>
              <w:ind w:left="80"/>
              <w:spacing w:after="0"/>
              <w:rPr>
                <w:sz w:val="20"/>
                <w:szCs w:val="20"/>
                <w:color w:val="auto"/>
              </w:rPr>
            </w:pPr>
            <w:r>
              <w:rPr>
                <w:rFonts w:ascii="Arial" w:cs="Arial" w:eastAsia="Arial" w:hAnsi="Arial"/>
                <w:sz w:val="18"/>
                <w:szCs w:val="18"/>
                <w:color w:val="auto"/>
                <w:w w:val="99"/>
              </w:rPr>
              <w:t>Incorporated by reference from the Registrant’s Annual Report on</w:t>
            </w:r>
          </w:p>
        </w:tc>
      </w:tr>
      <w:tr>
        <w:trPr>
          <w:trHeight w:val="237"/>
        </w:trPr>
        <w:tc>
          <w:tcPr>
            <w:tcW w:w="960" w:type="dxa"/>
            <w:vAlign w:val="bottom"/>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70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480" w:type="dxa"/>
            <w:vAlign w:val="bottom"/>
            <w:tcBorders>
              <w:top w:val="single" w:sz="8" w:color="0000FF"/>
            </w:tcBorders>
          </w:tcPr>
          <w:p>
            <w:pPr>
              <w:spacing w:after="0"/>
              <w:rPr>
                <w:sz w:val="20"/>
                <w:szCs w:val="20"/>
                <w:color w:val="auto"/>
              </w:rPr>
            </w:pPr>
          </w:p>
        </w:tc>
        <w:tc>
          <w:tcPr>
            <w:tcW w:w="1300" w:type="dxa"/>
            <w:vAlign w:val="bottom"/>
            <w:tcBorders>
              <w:top w:val="single" w:sz="8" w:color="0000FF"/>
            </w:tcBorders>
          </w:tcPr>
          <w:p>
            <w:pPr>
              <w:spacing w:after="0"/>
              <w:rPr>
                <w:sz w:val="20"/>
                <w:szCs w:val="20"/>
                <w:color w:val="auto"/>
              </w:rPr>
            </w:pPr>
          </w:p>
        </w:tc>
        <w:tc>
          <w:tcPr>
            <w:tcW w:w="5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60" w:type="dxa"/>
            <w:vAlign w:val="bottom"/>
            <w:tcBorders>
              <w:top w:val="single" w:sz="8" w:color="0000FF"/>
            </w:tcBorders>
          </w:tcPr>
          <w:p>
            <w:pPr>
              <w:spacing w:after="0"/>
              <w:rPr>
                <w:sz w:val="20"/>
                <w:szCs w:val="20"/>
                <w:color w:val="auto"/>
              </w:rPr>
            </w:pPr>
          </w:p>
        </w:tc>
        <w:tc>
          <w:tcPr>
            <w:tcW w:w="28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300" w:type="dxa"/>
            <w:vAlign w:val="bottom"/>
          </w:tcPr>
          <w:p>
            <w:pPr>
              <w:ind w:left="80"/>
              <w:spacing w:after="0"/>
              <w:rPr>
                <w:sz w:val="20"/>
                <w:szCs w:val="20"/>
                <w:color w:val="auto"/>
              </w:rPr>
            </w:pPr>
            <w:r>
              <w:rPr>
                <w:rFonts w:ascii="Arial" w:cs="Arial" w:eastAsia="Arial" w:hAnsi="Arial"/>
                <w:sz w:val="18"/>
                <w:szCs w:val="18"/>
                <w:color w:val="auto"/>
              </w:rPr>
              <w:t>Form 10-K for the year ended January 29, 2011, Exhibit 10.78</w:t>
            </w:r>
          </w:p>
        </w:tc>
      </w:tr>
      <w:tr>
        <w:trPr>
          <w:trHeight w:val="351"/>
        </w:trPr>
        <w:tc>
          <w:tcPr>
            <w:tcW w:w="960" w:type="dxa"/>
            <w:vAlign w:val="bottom"/>
          </w:tcPr>
          <w:p>
            <w:pPr>
              <w:ind w:left="40"/>
              <w:spacing w:after="0"/>
              <w:rPr>
                <w:sz w:val="20"/>
                <w:szCs w:val="20"/>
                <w:color w:val="auto"/>
              </w:rPr>
            </w:pPr>
            <w:r>
              <w:rPr>
                <w:rFonts w:ascii="Arial" w:cs="Arial" w:eastAsia="Arial" w:hAnsi="Arial"/>
                <w:sz w:val="18"/>
                <w:szCs w:val="18"/>
                <w:color w:val="auto"/>
              </w:rPr>
              <w:t>10.51</w:t>
            </w:r>
          </w:p>
        </w:tc>
        <w:tc>
          <w:tcPr>
            <w:tcW w:w="5160" w:type="dxa"/>
            <w:vAlign w:val="bottom"/>
            <w:gridSpan w:val="20"/>
          </w:tcPr>
          <w:p>
            <w:pPr>
              <w:spacing w:after="0"/>
              <w:rPr>
                <w:rFonts w:ascii="Arial" w:cs="Arial" w:eastAsia="Arial" w:hAnsi="Arial"/>
                <w:sz w:val="18"/>
                <w:szCs w:val="18"/>
                <w:color w:val="0000FF"/>
              </w:rPr>
            </w:pPr>
            <w:hyperlink r:id="rId129">
              <w:r>
                <w:rPr>
                  <w:rFonts w:ascii="Arial" w:cs="Arial" w:eastAsia="Arial" w:hAnsi="Arial"/>
                  <w:sz w:val="18"/>
                  <w:szCs w:val="18"/>
                  <w:color w:val="0000FF"/>
                </w:rPr>
                <w:t>The 2002 Nonemployee Director Stock Incentive Plan</w:t>
              </w:r>
            </w:hyperlink>
          </w:p>
        </w:tc>
        <w:tc>
          <w:tcPr>
            <w:tcW w:w="5300" w:type="dxa"/>
            <w:vAlign w:val="bottom"/>
          </w:tcPr>
          <w:p>
            <w:pPr>
              <w:ind w:left="80"/>
              <w:spacing w:after="0"/>
              <w:rPr>
                <w:sz w:val="20"/>
                <w:szCs w:val="20"/>
                <w:color w:val="auto"/>
              </w:rPr>
            </w:pPr>
            <w:r>
              <w:rPr>
                <w:rFonts w:ascii="Arial" w:cs="Arial" w:eastAsia="Arial" w:hAnsi="Arial"/>
                <w:sz w:val="18"/>
                <w:szCs w:val="18"/>
                <w:color w:val="auto"/>
                <w:w w:val="96"/>
              </w:rPr>
              <w:t>Incorporated by reference from the Registrant’s Quarterly Report on</w:t>
            </w:r>
          </w:p>
        </w:tc>
      </w:tr>
      <w:tr>
        <w:trPr>
          <w:trHeight w:val="237"/>
        </w:trPr>
        <w:tc>
          <w:tcPr>
            <w:tcW w:w="960" w:type="dxa"/>
            <w:vAlign w:val="bottom"/>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70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480" w:type="dxa"/>
            <w:vAlign w:val="bottom"/>
            <w:tcBorders>
              <w:top w:val="single" w:sz="8" w:color="0000FF"/>
            </w:tcBorders>
          </w:tcPr>
          <w:p>
            <w:pPr>
              <w:spacing w:after="0"/>
              <w:rPr>
                <w:sz w:val="20"/>
                <w:szCs w:val="20"/>
                <w:color w:val="auto"/>
              </w:rPr>
            </w:pPr>
          </w:p>
        </w:tc>
        <w:tc>
          <w:tcPr>
            <w:tcW w:w="1300" w:type="dxa"/>
            <w:vAlign w:val="bottom"/>
            <w:tcBorders>
              <w:top w:val="single" w:sz="8" w:color="0000FF"/>
            </w:tcBorders>
          </w:tcPr>
          <w:p>
            <w:pPr>
              <w:spacing w:after="0"/>
              <w:rPr>
                <w:sz w:val="20"/>
                <w:szCs w:val="20"/>
                <w:color w:val="auto"/>
              </w:rPr>
            </w:pPr>
          </w:p>
        </w:tc>
        <w:tc>
          <w:tcPr>
            <w:tcW w:w="50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300" w:type="dxa"/>
            <w:vAlign w:val="bottom"/>
          </w:tcPr>
          <w:p>
            <w:pPr>
              <w:ind w:left="80"/>
              <w:spacing w:after="0"/>
              <w:rPr>
                <w:sz w:val="20"/>
                <w:szCs w:val="20"/>
                <w:color w:val="auto"/>
              </w:rPr>
            </w:pPr>
            <w:r>
              <w:rPr>
                <w:rFonts w:ascii="Arial" w:cs="Arial" w:eastAsia="Arial" w:hAnsi="Arial"/>
                <w:sz w:val="18"/>
                <w:szCs w:val="18"/>
                <w:color w:val="auto"/>
              </w:rPr>
              <w:t>Form 10-Q for the quarter ended July 31, 2002, Exhibit 10.1</w:t>
            </w:r>
          </w:p>
        </w:tc>
      </w:tr>
      <w:tr>
        <w:trPr>
          <w:trHeight w:val="351"/>
        </w:trPr>
        <w:tc>
          <w:tcPr>
            <w:tcW w:w="960" w:type="dxa"/>
            <w:vAlign w:val="bottom"/>
          </w:tcPr>
          <w:p>
            <w:pPr>
              <w:ind w:left="40"/>
              <w:spacing w:after="0"/>
              <w:rPr>
                <w:sz w:val="20"/>
                <w:szCs w:val="20"/>
                <w:color w:val="auto"/>
              </w:rPr>
            </w:pPr>
            <w:r>
              <w:rPr>
                <w:rFonts w:ascii="Arial" w:cs="Arial" w:eastAsia="Arial" w:hAnsi="Arial"/>
                <w:sz w:val="18"/>
                <w:szCs w:val="18"/>
                <w:color w:val="auto"/>
              </w:rPr>
              <w:t>10.52</w:t>
            </w:r>
          </w:p>
        </w:tc>
        <w:tc>
          <w:tcPr>
            <w:tcW w:w="4780" w:type="dxa"/>
            <w:vAlign w:val="bottom"/>
            <w:tcBorders>
              <w:bottom w:val="single" w:sz="8" w:color="0000FF"/>
            </w:tcBorders>
            <w:gridSpan w:val="16"/>
          </w:tcPr>
          <w:p>
            <w:pPr>
              <w:spacing w:after="0"/>
              <w:rPr>
                <w:rFonts w:ascii="Arial" w:cs="Arial" w:eastAsia="Arial" w:hAnsi="Arial"/>
                <w:sz w:val="18"/>
                <w:szCs w:val="18"/>
                <w:color w:val="0000FF"/>
                <w:w w:val="91"/>
              </w:rPr>
            </w:pPr>
            <w:hyperlink r:id="rId130">
              <w:r>
                <w:rPr>
                  <w:rFonts w:ascii="Arial" w:cs="Arial" w:eastAsia="Arial" w:hAnsi="Arial"/>
                  <w:sz w:val="18"/>
                  <w:szCs w:val="18"/>
                  <w:color w:val="0000FF"/>
                  <w:w w:val="91"/>
                </w:rPr>
                <w:t>Nordstrom, Inc. 2002 Nonemployee Director Stock Incentive Plan</w:t>
              </w:r>
            </w:hyperlink>
          </w:p>
        </w:tc>
        <w:tc>
          <w:tcPr>
            <w:tcW w:w="380" w:type="dxa"/>
            <w:vAlign w:val="bottom"/>
            <w:gridSpan w:val="4"/>
          </w:tcPr>
          <w:p>
            <w:pPr>
              <w:spacing w:after="0"/>
              <w:rPr>
                <w:sz w:val="24"/>
                <w:szCs w:val="24"/>
                <w:color w:val="auto"/>
              </w:rPr>
            </w:pPr>
          </w:p>
        </w:tc>
        <w:tc>
          <w:tcPr>
            <w:tcW w:w="5300" w:type="dxa"/>
            <w:vAlign w:val="bottom"/>
          </w:tcPr>
          <w:p>
            <w:pPr>
              <w:ind w:left="80"/>
              <w:spacing w:after="0"/>
              <w:rPr>
                <w:sz w:val="20"/>
                <w:szCs w:val="20"/>
                <w:color w:val="auto"/>
              </w:rPr>
            </w:pPr>
            <w:r>
              <w:rPr>
                <w:rFonts w:ascii="Arial" w:cs="Arial" w:eastAsia="Arial" w:hAnsi="Arial"/>
                <w:sz w:val="18"/>
                <w:szCs w:val="18"/>
                <w:color w:val="auto"/>
                <w:w w:val="99"/>
              </w:rPr>
              <w:t>Incorporated by reference from the Registrant’s Form 8-K filed on</w:t>
            </w:r>
          </w:p>
        </w:tc>
      </w:tr>
      <w:tr>
        <w:trPr>
          <w:trHeight w:val="196"/>
        </w:trPr>
        <w:tc>
          <w:tcPr>
            <w:tcW w:w="960" w:type="dxa"/>
            <w:vAlign w:val="bottom"/>
          </w:tcPr>
          <w:p>
            <w:pPr>
              <w:spacing w:after="0"/>
              <w:rPr>
                <w:sz w:val="17"/>
                <w:szCs w:val="17"/>
                <w:color w:val="auto"/>
              </w:rPr>
            </w:pPr>
          </w:p>
        </w:tc>
        <w:tc>
          <w:tcPr>
            <w:tcW w:w="5160" w:type="dxa"/>
            <w:vAlign w:val="bottom"/>
            <w:gridSpan w:val="20"/>
          </w:tcPr>
          <w:p>
            <w:pPr>
              <w:spacing w:after="0" w:line="196" w:lineRule="exact"/>
              <w:rPr>
                <w:rFonts w:ascii="Arial" w:cs="Arial" w:eastAsia="Arial" w:hAnsi="Arial"/>
                <w:sz w:val="18"/>
                <w:szCs w:val="18"/>
                <w:color w:val="0000FF"/>
              </w:rPr>
            </w:pPr>
            <w:hyperlink r:id="rId130">
              <w:r>
                <w:rPr>
                  <w:rFonts w:ascii="Arial" w:cs="Arial" w:eastAsia="Arial" w:hAnsi="Arial"/>
                  <w:sz w:val="18"/>
                  <w:szCs w:val="18"/>
                  <w:color w:val="0000FF"/>
                </w:rPr>
                <w:t>(2007 Amendment)</w:t>
              </w:r>
            </w:hyperlink>
          </w:p>
        </w:tc>
        <w:tc>
          <w:tcPr>
            <w:tcW w:w="5300" w:type="dxa"/>
            <w:vAlign w:val="bottom"/>
          </w:tcPr>
          <w:p>
            <w:pPr>
              <w:ind w:left="80"/>
              <w:spacing w:after="0" w:line="196" w:lineRule="exact"/>
              <w:rPr>
                <w:sz w:val="20"/>
                <w:szCs w:val="20"/>
                <w:color w:val="auto"/>
              </w:rPr>
            </w:pPr>
            <w:r>
              <w:rPr>
                <w:rFonts w:ascii="Arial" w:cs="Arial" w:eastAsia="Arial" w:hAnsi="Arial"/>
                <w:sz w:val="18"/>
                <w:szCs w:val="18"/>
                <w:color w:val="auto"/>
              </w:rPr>
              <w:t>November 19, 2007, Exhibit 10.39</w:t>
            </w:r>
          </w:p>
        </w:tc>
      </w:tr>
      <w:tr>
        <w:trPr>
          <w:trHeight w:val="20"/>
        </w:trPr>
        <w:tc>
          <w:tcPr>
            <w:tcW w:w="9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r>
      <w:tr>
        <w:trPr>
          <w:trHeight w:val="372"/>
        </w:trPr>
        <w:tc>
          <w:tcPr>
            <w:tcW w:w="960" w:type="dxa"/>
            <w:vAlign w:val="bottom"/>
          </w:tcPr>
          <w:p>
            <w:pPr>
              <w:ind w:left="40"/>
              <w:spacing w:after="0"/>
              <w:rPr>
                <w:sz w:val="20"/>
                <w:szCs w:val="20"/>
                <w:color w:val="auto"/>
              </w:rPr>
            </w:pPr>
            <w:r>
              <w:rPr>
                <w:rFonts w:ascii="Arial" w:cs="Arial" w:eastAsia="Arial" w:hAnsi="Arial"/>
                <w:sz w:val="18"/>
                <w:szCs w:val="18"/>
                <w:color w:val="auto"/>
              </w:rPr>
              <w:t>10.53</w:t>
            </w:r>
          </w:p>
        </w:tc>
        <w:tc>
          <w:tcPr>
            <w:tcW w:w="5160" w:type="dxa"/>
            <w:vAlign w:val="bottom"/>
            <w:gridSpan w:val="20"/>
          </w:tcPr>
          <w:p>
            <w:pPr>
              <w:spacing w:after="0"/>
              <w:rPr>
                <w:rFonts w:ascii="Arial" w:cs="Arial" w:eastAsia="Arial" w:hAnsi="Arial"/>
                <w:sz w:val="18"/>
                <w:szCs w:val="18"/>
                <w:color w:val="0000FF"/>
              </w:rPr>
            </w:pPr>
            <w:hyperlink r:id="rId131">
              <w:r>
                <w:rPr>
                  <w:rFonts w:ascii="Arial" w:cs="Arial" w:eastAsia="Arial" w:hAnsi="Arial"/>
                  <w:sz w:val="18"/>
                  <w:szCs w:val="18"/>
                  <w:color w:val="0000FF"/>
                </w:rPr>
                <w:t>Form of Restricted Stock Award under the 2002 Nonemployee</w:t>
              </w:r>
            </w:hyperlink>
          </w:p>
        </w:tc>
        <w:tc>
          <w:tcPr>
            <w:tcW w:w="5300" w:type="dxa"/>
            <w:vAlign w:val="bottom"/>
          </w:tcPr>
          <w:p>
            <w:pPr>
              <w:ind w:left="80"/>
              <w:spacing w:after="0"/>
              <w:rPr>
                <w:sz w:val="20"/>
                <w:szCs w:val="20"/>
                <w:color w:val="auto"/>
              </w:rPr>
            </w:pPr>
            <w:r>
              <w:rPr>
                <w:rFonts w:ascii="Arial" w:cs="Arial" w:eastAsia="Arial" w:hAnsi="Arial"/>
                <w:sz w:val="18"/>
                <w:szCs w:val="18"/>
                <w:color w:val="auto"/>
                <w:w w:val="96"/>
              </w:rPr>
              <w:t>Incorporated by reference from the Registrant’s Quarterly Report on</w:t>
            </w:r>
          </w:p>
        </w:tc>
      </w:tr>
      <w:tr>
        <w:trPr>
          <w:trHeight w:val="196"/>
        </w:trPr>
        <w:tc>
          <w:tcPr>
            <w:tcW w:w="960" w:type="dxa"/>
            <w:vAlign w:val="bottom"/>
          </w:tcPr>
          <w:p>
            <w:pPr>
              <w:spacing w:after="0"/>
              <w:rPr>
                <w:sz w:val="17"/>
                <w:szCs w:val="17"/>
                <w:color w:val="auto"/>
              </w:rPr>
            </w:pPr>
          </w:p>
        </w:tc>
        <w:tc>
          <w:tcPr>
            <w:tcW w:w="4500" w:type="dxa"/>
            <w:vAlign w:val="bottom"/>
            <w:tcBorders>
              <w:top w:val="single" w:sz="8" w:color="0000FF"/>
            </w:tcBorders>
            <w:gridSpan w:val="12"/>
          </w:tcPr>
          <w:p>
            <w:pPr>
              <w:spacing w:after="0" w:line="196" w:lineRule="exact"/>
              <w:rPr>
                <w:rFonts w:ascii="Arial" w:cs="Arial" w:eastAsia="Arial" w:hAnsi="Arial"/>
                <w:sz w:val="18"/>
                <w:szCs w:val="18"/>
                <w:color w:val="0000FF"/>
              </w:rPr>
            </w:pPr>
            <w:hyperlink r:id="rId131">
              <w:r>
                <w:rPr>
                  <w:rFonts w:ascii="Arial" w:cs="Arial" w:eastAsia="Arial" w:hAnsi="Arial"/>
                  <w:sz w:val="18"/>
                  <w:szCs w:val="18"/>
                  <w:color w:val="0000FF"/>
                </w:rPr>
                <w:t>Director Stock Incentive Plan</w:t>
              </w:r>
            </w:hyperlink>
          </w:p>
        </w:tc>
        <w:tc>
          <w:tcPr>
            <w:tcW w:w="660" w:type="dxa"/>
            <w:vAlign w:val="bottom"/>
            <w:gridSpan w:val="8"/>
          </w:tcPr>
          <w:p>
            <w:pPr>
              <w:spacing w:after="0"/>
              <w:rPr>
                <w:sz w:val="17"/>
                <w:szCs w:val="17"/>
                <w:color w:val="auto"/>
              </w:rPr>
            </w:pPr>
          </w:p>
        </w:tc>
        <w:tc>
          <w:tcPr>
            <w:tcW w:w="5300" w:type="dxa"/>
            <w:vAlign w:val="bottom"/>
          </w:tcPr>
          <w:p>
            <w:pPr>
              <w:ind w:left="80"/>
              <w:spacing w:after="0" w:line="196" w:lineRule="exact"/>
              <w:rPr>
                <w:sz w:val="20"/>
                <w:szCs w:val="20"/>
                <w:color w:val="auto"/>
              </w:rPr>
            </w:pPr>
            <w:r>
              <w:rPr>
                <w:rFonts w:ascii="Arial" w:cs="Arial" w:eastAsia="Arial" w:hAnsi="Arial"/>
                <w:sz w:val="18"/>
                <w:szCs w:val="18"/>
                <w:color w:val="auto"/>
              </w:rPr>
              <w:t>Form 10-Q for the quarter ended November 3, 2007, Exhibit 10.1</w:t>
            </w:r>
          </w:p>
        </w:tc>
      </w:tr>
      <w:tr>
        <w:trPr>
          <w:trHeight w:val="20"/>
        </w:trPr>
        <w:tc>
          <w:tcPr>
            <w:tcW w:w="9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r>
      <w:tr>
        <w:trPr>
          <w:trHeight w:val="372"/>
        </w:trPr>
        <w:tc>
          <w:tcPr>
            <w:tcW w:w="960" w:type="dxa"/>
            <w:vAlign w:val="bottom"/>
          </w:tcPr>
          <w:p>
            <w:pPr>
              <w:ind w:left="40"/>
              <w:spacing w:after="0"/>
              <w:rPr>
                <w:sz w:val="20"/>
                <w:szCs w:val="20"/>
                <w:color w:val="auto"/>
              </w:rPr>
            </w:pPr>
            <w:r>
              <w:rPr>
                <w:rFonts w:ascii="Arial" w:cs="Arial" w:eastAsia="Arial" w:hAnsi="Arial"/>
                <w:sz w:val="18"/>
                <w:szCs w:val="18"/>
                <w:color w:val="auto"/>
              </w:rPr>
              <w:t>10.54</w:t>
            </w:r>
          </w:p>
        </w:tc>
        <w:tc>
          <w:tcPr>
            <w:tcW w:w="5160" w:type="dxa"/>
            <w:vAlign w:val="bottom"/>
            <w:gridSpan w:val="20"/>
          </w:tcPr>
          <w:p>
            <w:pPr>
              <w:spacing w:after="0"/>
              <w:rPr>
                <w:rFonts w:ascii="Arial" w:cs="Arial" w:eastAsia="Arial" w:hAnsi="Arial"/>
                <w:sz w:val="18"/>
                <w:szCs w:val="18"/>
                <w:color w:val="0000FF"/>
              </w:rPr>
            </w:pPr>
            <w:hyperlink r:id="rId132">
              <w:r>
                <w:rPr>
                  <w:rFonts w:ascii="Arial" w:cs="Arial" w:eastAsia="Arial" w:hAnsi="Arial"/>
                  <w:sz w:val="18"/>
                  <w:szCs w:val="18"/>
                  <w:color w:val="0000FF"/>
                </w:rPr>
                <w:t>Form of 2012 Restricted Stock Unit Agreement</w:t>
              </w:r>
            </w:hyperlink>
          </w:p>
        </w:tc>
        <w:tc>
          <w:tcPr>
            <w:tcW w:w="5300" w:type="dxa"/>
            <w:vAlign w:val="bottom"/>
          </w:tcPr>
          <w:p>
            <w:pPr>
              <w:ind w:left="80"/>
              <w:spacing w:after="0"/>
              <w:rPr>
                <w:sz w:val="20"/>
                <w:szCs w:val="20"/>
                <w:color w:val="auto"/>
              </w:rPr>
            </w:pPr>
            <w:r>
              <w:rPr>
                <w:rFonts w:ascii="Arial" w:cs="Arial" w:eastAsia="Arial" w:hAnsi="Arial"/>
                <w:sz w:val="18"/>
                <w:szCs w:val="18"/>
                <w:color w:val="auto"/>
                <w:w w:val="99"/>
              </w:rPr>
              <w:t>Incorporated by reference from the Registrant’s Form 8-K filed on</w:t>
            </w:r>
          </w:p>
        </w:tc>
      </w:tr>
      <w:tr>
        <w:trPr>
          <w:trHeight w:val="237"/>
        </w:trPr>
        <w:tc>
          <w:tcPr>
            <w:tcW w:w="960" w:type="dxa"/>
            <w:vAlign w:val="bottom"/>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70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480" w:type="dxa"/>
            <w:vAlign w:val="bottom"/>
            <w:tcBorders>
              <w:top w:val="single" w:sz="8" w:color="0000FF"/>
            </w:tcBorders>
          </w:tcPr>
          <w:p>
            <w:pPr>
              <w:spacing w:after="0"/>
              <w:rPr>
                <w:sz w:val="20"/>
                <w:szCs w:val="20"/>
                <w:color w:val="auto"/>
              </w:rPr>
            </w:pPr>
          </w:p>
        </w:tc>
        <w:tc>
          <w:tcPr>
            <w:tcW w:w="1300" w:type="dxa"/>
            <w:vAlign w:val="bottom"/>
            <w:tcBorders>
              <w:top w:val="single" w:sz="8" w:color="0000FF"/>
            </w:tcBorders>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300" w:type="dxa"/>
            <w:vAlign w:val="bottom"/>
          </w:tcPr>
          <w:p>
            <w:pPr>
              <w:ind w:left="80"/>
              <w:spacing w:after="0"/>
              <w:rPr>
                <w:sz w:val="20"/>
                <w:szCs w:val="20"/>
                <w:color w:val="auto"/>
              </w:rPr>
            </w:pPr>
            <w:r>
              <w:rPr>
                <w:rFonts w:ascii="Arial" w:cs="Arial" w:eastAsia="Arial" w:hAnsi="Arial"/>
                <w:sz w:val="18"/>
                <w:szCs w:val="18"/>
                <w:color w:val="auto"/>
              </w:rPr>
              <w:t>November 18, 2011, Exhibit 10.3</w:t>
            </w:r>
          </w:p>
        </w:tc>
      </w:tr>
      <w:tr>
        <w:trPr>
          <w:trHeight w:val="351"/>
        </w:trPr>
        <w:tc>
          <w:tcPr>
            <w:tcW w:w="960" w:type="dxa"/>
            <w:vAlign w:val="bottom"/>
          </w:tcPr>
          <w:p>
            <w:pPr>
              <w:ind w:left="40"/>
              <w:spacing w:after="0"/>
              <w:rPr>
                <w:sz w:val="20"/>
                <w:szCs w:val="20"/>
                <w:color w:val="auto"/>
              </w:rPr>
            </w:pPr>
            <w:r>
              <w:rPr>
                <w:rFonts w:ascii="Arial" w:cs="Arial" w:eastAsia="Arial" w:hAnsi="Arial"/>
                <w:sz w:val="18"/>
                <w:szCs w:val="18"/>
                <w:color w:val="auto"/>
              </w:rPr>
              <w:t>10.55</w:t>
            </w:r>
          </w:p>
        </w:tc>
        <w:tc>
          <w:tcPr>
            <w:tcW w:w="5160" w:type="dxa"/>
            <w:vAlign w:val="bottom"/>
            <w:gridSpan w:val="20"/>
          </w:tcPr>
          <w:p>
            <w:pPr>
              <w:spacing w:after="0"/>
              <w:rPr>
                <w:rFonts w:ascii="Arial" w:cs="Arial" w:eastAsia="Arial" w:hAnsi="Arial"/>
                <w:sz w:val="18"/>
                <w:szCs w:val="18"/>
                <w:color w:val="0000FF"/>
              </w:rPr>
            </w:pPr>
            <w:hyperlink r:id="rId133">
              <w:r>
                <w:rPr>
                  <w:rFonts w:ascii="Arial" w:cs="Arial" w:eastAsia="Arial" w:hAnsi="Arial"/>
                  <w:sz w:val="18"/>
                  <w:szCs w:val="18"/>
                  <w:color w:val="0000FF"/>
                </w:rPr>
                <w:t>Form of 2013 Restricted Stock Unit Award Agreement</w:t>
              </w:r>
            </w:hyperlink>
          </w:p>
        </w:tc>
        <w:tc>
          <w:tcPr>
            <w:tcW w:w="5300" w:type="dxa"/>
            <w:vAlign w:val="bottom"/>
          </w:tcPr>
          <w:p>
            <w:pPr>
              <w:ind w:left="80"/>
              <w:spacing w:after="0"/>
              <w:rPr>
                <w:sz w:val="20"/>
                <w:szCs w:val="20"/>
                <w:color w:val="auto"/>
              </w:rPr>
            </w:pPr>
            <w:r>
              <w:rPr>
                <w:rFonts w:ascii="Arial" w:cs="Arial" w:eastAsia="Arial" w:hAnsi="Arial"/>
                <w:sz w:val="18"/>
                <w:szCs w:val="18"/>
                <w:color w:val="auto"/>
                <w:w w:val="99"/>
              </w:rPr>
              <w:t>Incorporated by reference from the Registrant’s Form 8-K filed on</w:t>
            </w:r>
          </w:p>
        </w:tc>
      </w:tr>
      <w:tr>
        <w:trPr>
          <w:trHeight w:val="237"/>
        </w:trPr>
        <w:tc>
          <w:tcPr>
            <w:tcW w:w="960" w:type="dxa"/>
            <w:vAlign w:val="bottom"/>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70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480" w:type="dxa"/>
            <w:vAlign w:val="bottom"/>
            <w:tcBorders>
              <w:top w:val="single" w:sz="8" w:color="0000FF"/>
            </w:tcBorders>
          </w:tcPr>
          <w:p>
            <w:pPr>
              <w:spacing w:after="0"/>
              <w:rPr>
                <w:sz w:val="20"/>
                <w:szCs w:val="20"/>
                <w:color w:val="auto"/>
              </w:rPr>
            </w:pPr>
          </w:p>
        </w:tc>
        <w:tc>
          <w:tcPr>
            <w:tcW w:w="1300" w:type="dxa"/>
            <w:vAlign w:val="bottom"/>
            <w:tcBorders>
              <w:top w:val="single" w:sz="8" w:color="0000FF"/>
            </w:tcBorders>
          </w:tcPr>
          <w:p>
            <w:pPr>
              <w:spacing w:after="0"/>
              <w:rPr>
                <w:sz w:val="20"/>
                <w:szCs w:val="20"/>
                <w:color w:val="auto"/>
              </w:rPr>
            </w:pPr>
          </w:p>
        </w:tc>
        <w:tc>
          <w:tcPr>
            <w:tcW w:w="5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300" w:type="dxa"/>
            <w:vAlign w:val="bottom"/>
          </w:tcPr>
          <w:p>
            <w:pPr>
              <w:ind w:left="80"/>
              <w:spacing w:after="0"/>
              <w:rPr>
                <w:sz w:val="20"/>
                <w:szCs w:val="20"/>
                <w:color w:val="auto"/>
              </w:rPr>
            </w:pPr>
            <w:r>
              <w:rPr>
                <w:rFonts w:ascii="Arial" w:cs="Arial" w:eastAsia="Arial" w:hAnsi="Arial"/>
                <w:sz w:val="18"/>
                <w:szCs w:val="18"/>
                <w:color w:val="auto"/>
              </w:rPr>
              <w:t>November 14, 2012, Exhibit 10.3</w:t>
            </w:r>
          </w:p>
        </w:tc>
      </w:tr>
      <w:tr>
        <w:trPr>
          <w:trHeight w:val="351"/>
        </w:trPr>
        <w:tc>
          <w:tcPr>
            <w:tcW w:w="960" w:type="dxa"/>
            <w:vAlign w:val="bottom"/>
          </w:tcPr>
          <w:p>
            <w:pPr>
              <w:ind w:left="40"/>
              <w:spacing w:after="0"/>
              <w:rPr>
                <w:sz w:val="20"/>
                <w:szCs w:val="20"/>
                <w:color w:val="auto"/>
              </w:rPr>
            </w:pPr>
            <w:r>
              <w:rPr>
                <w:rFonts w:ascii="Arial" w:cs="Arial" w:eastAsia="Arial" w:hAnsi="Arial"/>
                <w:sz w:val="18"/>
                <w:szCs w:val="18"/>
                <w:color w:val="auto"/>
              </w:rPr>
              <w:t>10.56</w:t>
            </w:r>
          </w:p>
        </w:tc>
        <w:tc>
          <w:tcPr>
            <w:tcW w:w="5160" w:type="dxa"/>
            <w:vAlign w:val="bottom"/>
            <w:gridSpan w:val="20"/>
          </w:tcPr>
          <w:p>
            <w:pPr>
              <w:spacing w:after="0"/>
              <w:rPr>
                <w:rFonts w:ascii="Arial" w:cs="Arial" w:eastAsia="Arial" w:hAnsi="Arial"/>
                <w:sz w:val="18"/>
                <w:szCs w:val="18"/>
                <w:color w:val="0000FF"/>
              </w:rPr>
            </w:pPr>
            <w:hyperlink r:id="rId134">
              <w:r>
                <w:rPr>
                  <w:rFonts w:ascii="Arial" w:cs="Arial" w:eastAsia="Arial" w:hAnsi="Arial"/>
                  <w:sz w:val="18"/>
                  <w:szCs w:val="18"/>
                  <w:color w:val="0000FF"/>
                </w:rPr>
                <w:t>Form of 2014 Restricted Stock Unit Award Agreement</w:t>
              </w:r>
            </w:hyperlink>
          </w:p>
        </w:tc>
        <w:tc>
          <w:tcPr>
            <w:tcW w:w="5300" w:type="dxa"/>
            <w:vAlign w:val="bottom"/>
          </w:tcPr>
          <w:p>
            <w:pPr>
              <w:ind w:left="80"/>
              <w:spacing w:after="0"/>
              <w:rPr>
                <w:sz w:val="20"/>
                <w:szCs w:val="20"/>
                <w:color w:val="auto"/>
              </w:rPr>
            </w:pPr>
            <w:r>
              <w:rPr>
                <w:rFonts w:ascii="Arial" w:cs="Arial" w:eastAsia="Arial" w:hAnsi="Arial"/>
                <w:sz w:val="18"/>
                <w:szCs w:val="18"/>
                <w:color w:val="auto"/>
                <w:w w:val="99"/>
              </w:rPr>
              <w:t>Incorporated by reference from the Registrant’s Form 8-K filed on</w:t>
            </w:r>
          </w:p>
        </w:tc>
      </w:tr>
      <w:tr>
        <w:trPr>
          <w:trHeight w:val="237"/>
        </w:trPr>
        <w:tc>
          <w:tcPr>
            <w:tcW w:w="960" w:type="dxa"/>
            <w:vAlign w:val="bottom"/>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70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480" w:type="dxa"/>
            <w:vAlign w:val="bottom"/>
            <w:tcBorders>
              <w:top w:val="single" w:sz="8" w:color="0000FF"/>
            </w:tcBorders>
          </w:tcPr>
          <w:p>
            <w:pPr>
              <w:spacing w:after="0"/>
              <w:rPr>
                <w:sz w:val="20"/>
                <w:szCs w:val="20"/>
                <w:color w:val="auto"/>
              </w:rPr>
            </w:pPr>
          </w:p>
        </w:tc>
        <w:tc>
          <w:tcPr>
            <w:tcW w:w="1300" w:type="dxa"/>
            <w:vAlign w:val="bottom"/>
            <w:tcBorders>
              <w:top w:val="single" w:sz="8" w:color="0000FF"/>
            </w:tcBorders>
          </w:tcPr>
          <w:p>
            <w:pPr>
              <w:spacing w:after="0"/>
              <w:rPr>
                <w:sz w:val="20"/>
                <w:szCs w:val="20"/>
                <w:color w:val="auto"/>
              </w:rPr>
            </w:pPr>
          </w:p>
        </w:tc>
        <w:tc>
          <w:tcPr>
            <w:tcW w:w="5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300" w:type="dxa"/>
            <w:vAlign w:val="bottom"/>
          </w:tcPr>
          <w:p>
            <w:pPr>
              <w:ind w:left="80"/>
              <w:spacing w:after="0"/>
              <w:rPr>
                <w:sz w:val="20"/>
                <w:szCs w:val="20"/>
                <w:color w:val="auto"/>
              </w:rPr>
            </w:pPr>
            <w:r>
              <w:rPr>
                <w:rFonts w:ascii="Arial" w:cs="Arial" w:eastAsia="Arial" w:hAnsi="Arial"/>
                <w:sz w:val="18"/>
                <w:szCs w:val="18"/>
                <w:color w:val="auto"/>
              </w:rPr>
              <w:t>March 4, 2014, Exhibit 10.2</w:t>
            </w:r>
          </w:p>
        </w:tc>
      </w:tr>
      <w:tr>
        <w:trPr>
          <w:trHeight w:val="351"/>
        </w:trPr>
        <w:tc>
          <w:tcPr>
            <w:tcW w:w="960" w:type="dxa"/>
            <w:vAlign w:val="bottom"/>
          </w:tcPr>
          <w:p>
            <w:pPr>
              <w:ind w:left="40"/>
              <w:spacing w:after="0"/>
              <w:rPr>
                <w:sz w:val="20"/>
                <w:szCs w:val="20"/>
                <w:color w:val="auto"/>
              </w:rPr>
            </w:pPr>
            <w:r>
              <w:rPr>
                <w:rFonts w:ascii="Arial" w:cs="Arial" w:eastAsia="Arial" w:hAnsi="Arial"/>
                <w:sz w:val="18"/>
                <w:szCs w:val="18"/>
                <w:color w:val="auto"/>
              </w:rPr>
              <w:t>10.57</w:t>
            </w:r>
          </w:p>
        </w:tc>
        <w:tc>
          <w:tcPr>
            <w:tcW w:w="5160" w:type="dxa"/>
            <w:vAlign w:val="bottom"/>
            <w:gridSpan w:val="20"/>
          </w:tcPr>
          <w:p>
            <w:pPr>
              <w:spacing w:after="0"/>
              <w:rPr>
                <w:rFonts w:ascii="Arial" w:cs="Arial" w:eastAsia="Arial" w:hAnsi="Arial"/>
                <w:sz w:val="18"/>
                <w:szCs w:val="18"/>
                <w:color w:val="0000FF"/>
              </w:rPr>
            </w:pPr>
            <w:hyperlink r:id="rId135">
              <w:r>
                <w:rPr>
                  <w:rFonts w:ascii="Arial" w:cs="Arial" w:eastAsia="Arial" w:hAnsi="Arial"/>
                  <w:sz w:val="18"/>
                  <w:szCs w:val="18"/>
                  <w:color w:val="0000FF"/>
                </w:rPr>
                <w:t>Form of the 2015 Restricted Stock Unit Award Agreement</w:t>
              </w:r>
            </w:hyperlink>
          </w:p>
        </w:tc>
        <w:tc>
          <w:tcPr>
            <w:tcW w:w="5300" w:type="dxa"/>
            <w:vAlign w:val="bottom"/>
          </w:tcPr>
          <w:p>
            <w:pPr>
              <w:ind w:left="80"/>
              <w:spacing w:after="0"/>
              <w:rPr>
                <w:sz w:val="20"/>
                <w:szCs w:val="20"/>
                <w:color w:val="auto"/>
              </w:rPr>
            </w:pPr>
            <w:r>
              <w:rPr>
                <w:rFonts w:ascii="Arial" w:cs="Arial" w:eastAsia="Arial" w:hAnsi="Arial"/>
                <w:sz w:val="18"/>
                <w:szCs w:val="18"/>
                <w:color w:val="auto"/>
                <w:w w:val="99"/>
              </w:rPr>
              <w:t>Incorporated by reference from the Registrant’s Form 8-K filed on</w:t>
            </w:r>
          </w:p>
        </w:tc>
      </w:tr>
      <w:tr>
        <w:trPr>
          <w:trHeight w:val="237"/>
        </w:trPr>
        <w:tc>
          <w:tcPr>
            <w:tcW w:w="960" w:type="dxa"/>
            <w:vAlign w:val="bottom"/>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70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480" w:type="dxa"/>
            <w:vAlign w:val="bottom"/>
            <w:tcBorders>
              <w:top w:val="single" w:sz="8" w:color="0000FF"/>
            </w:tcBorders>
          </w:tcPr>
          <w:p>
            <w:pPr>
              <w:spacing w:after="0"/>
              <w:rPr>
                <w:sz w:val="20"/>
                <w:szCs w:val="20"/>
                <w:color w:val="auto"/>
              </w:rPr>
            </w:pPr>
          </w:p>
        </w:tc>
        <w:tc>
          <w:tcPr>
            <w:tcW w:w="1300" w:type="dxa"/>
            <w:vAlign w:val="bottom"/>
            <w:tcBorders>
              <w:top w:val="single" w:sz="8" w:color="0000FF"/>
            </w:tcBorders>
          </w:tcPr>
          <w:p>
            <w:pPr>
              <w:spacing w:after="0"/>
              <w:rPr>
                <w:sz w:val="20"/>
                <w:szCs w:val="20"/>
                <w:color w:val="auto"/>
              </w:rPr>
            </w:pPr>
          </w:p>
        </w:tc>
        <w:tc>
          <w:tcPr>
            <w:tcW w:w="5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60" w:type="dxa"/>
            <w:vAlign w:val="bottom"/>
            <w:tcBorders>
              <w:top w:val="single" w:sz="8" w:color="0000FF"/>
            </w:tcBorders>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300" w:type="dxa"/>
            <w:vAlign w:val="bottom"/>
          </w:tcPr>
          <w:p>
            <w:pPr>
              <w:ind w:left="80"/>
              <w:spacing w:after="0"/>
              <w:rPr>
                <w:sz w:val="20"/>
                <w:szCs w:val="20"/>
                <w:color w:val="auto"/>
              </w:rPr>
            </w:pPr>
            <w:r>
              <w:rPr>
                <w:rFonts w:ascii="Arial" w:cs="Arial" w:eastAsia="Arial" w:hAnsi="Arial"/>
                <w:sz w:val="18"/>
                <w:szCs w:val="18"/>
                <w:color w:val="auto"/>
              </w:rPr>
              <w:t>February 19, 2015, Exhibit 10.2</w:t>
            </w:r>
          </w:p>
        </w:tc>
      </w:tr>
      <w:tr>
        <w:trPr>
          <w:trHeight w:val="351"/>
        </w:trPr>
        <w:tc>
          <w:tcPr>
            <w:tcW w:w="960" w:type="dxa"/>
            <w:vAlign w:val="bottom"/>
          </w:tcPr>
          <w:p>
            <w:pPr>
              <w:ind w:left="40"/>
              <w:spacing w:after="0"/>
              <w:rPr>
                <w:sz w:val="20"/>
                <w:szCs w:val="20"/>
                <w:color w:val="auto"/>
              </w:rPr>
            </w:pPr>
            <w:r>
              <w:rPr>
                <w:rFonts w:ascii="Arial" w:cs="Arial" w:eastAsia="Arial" w:hAnsi="Arial"/>
                <w:sz w:val="18"/>
                <w:szCs w:val="18"/>
                <w:color w:val="auto"/>
              </w:rPr>
              <w:t>10.58</w:t>
            </w:r>
          </w:p>
        </w:tc>
        <w:tc>
          <w:tcPr>
            <w:tcW w:w="5160" w:type="dxa"/>
            <w:vAlign w:val="bottom"/>
            <w:gridSpan w:val="20"/>
          </w:tcPr>
          <w:p>
            <w:pPr>
              <w:spacing w:after="0"/>
              <w:rPr>
                <w:rFonts w:ascii="Arial" w:cs="Arial" w:eastAsia="Arial" w:hAnsi="Arial"/>
                <w:sz w:val="18"/>
                <w:szCs w:val="18"/>
                <w:color w:val="0000FF"/>
              </w:rPr>
            </w:pPr>
            <w:hyperlink r:id="rId136">
              <w:r>
                <w:rPr>
                  <w:rFonts w:ascii="Arial" w:cs="Arial" w:eastAsia="Arial" w:hAnsi="Arial"/>
                  <w:sz w:val="18"/>
                  <w:szCs w:val="18"/>
                  <w:color w:val="0000FF"/>
                </w:rPr>
                <w:t>Form of the 2016 Restricted Stock Unit Award Agreement</w:t>
              </w:r>
            </w:hyperlink>
          </w:p>
        </w:tc>
        <w:tc>
          <w:tcPr>
            <w:tcW w:w="5300" w:type="dxa"/>
            <w:vAlign w:val="bottom"/>
          </w:tcPr>
          <w:p>
            <w:pPr>
              <w:ind w:left="80"/>
              <w:spacing w:after="0"/>
              <w:rPr>
                <w:sz w:val="20"/>
                <w:szCs w:val="20"/>
                <w:color w:val="auto"/>
              </w:rPr>
            </w:pPr>
            <w:r>
              <w:rPr>
                <w:rFonts w:ascii="Arial" w:cs="Arial" w:eastAsia="Arial" w:hAnsi="Arial"/>
                <w:sz w:val="18"/>
                <w:szCs w:val="18"/>
                <w:color w:val="auto"/>
                <w:w w:val="99"/>
              </w:rPr>
              <w:t>Incorporated by reference from the Registrant’s Form 8-K filed on</w:t>
            </w:r>
          </w:p>
        </w:tc>
      </w:tr>
      <w:tr>
        <w:trPr>
          <w:trHeight w:val="237"/>
        </w:trPr>
        <w:tc>
          <w:tcPr>
            <w:tcW w:w="960" w:type="dxa"/>
            <w:vAlign w:val="bottom"/>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70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480" w:type="dxa"/>
            <w:vAlign w:val="bottom"/>
            <w:tcBorders>
              <w:top w:val="single" w:sz="8" w:color="0000FF"/>
            </w:tcBorders>
          </w:tcPr>
          <w:p>
            <w:pPr>
              <w:spacing w:after="0"/>
              <w:rPr>
                <w:sz w:val="20"/>
                <w:szCs w:val="20"/>
                <w:color w:val="auto"/>
              </w:rPr>
            </w:pPr>
          </w:p>
        </w:tc>
        <w:tc>
          <w:tcPr>
            <w:tcW w:w="1300" w:type="dxa"/>
            <w:vAlign w:val="bottom"/>
            <w:tcBorders>
              <w:top w:val="single" w:sz="8" w:color="0000FF"/>
            </w:tcBorders>
          </w:tcPr>
          <w:p>
            <w:pPr>
              <w:spacing w:after="0"/>
              <w:rPr>
                <w:sz w:val="20"/>
                <w:szCs w:val="20"/>
                <w:color w:val="auto"/>
              </w:rPr>
            </w:pPr>
          </w:p>
        </w:tc>
        <w:tc>
          <w:tcPr>
            <w:tcW w:w="5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60" w:type="dxa"/>
            <w:vAlign w:val="bottom"/>
            <w:tcBorders>
              <w:top w:val="single" w:sz="8" w:color="0000FF"/>
            </w:tcBorders>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300" w:type="dxa"/>
            <w:vAlign w:val="bottom"/>
          </w:tcPr>
          <w:p>
            <w:pPr>
              <w:ind w:left="80"/>
              <w:spacing w:after="0"/>
              <w:rPr>
                <w:sz w:val="20"/>
                <w:szCs w:val="20"/>
                <w:color w:val="auto"/>
              </w:rPr>
            </w:pPr>
            <w:r>
              <w:rPr>
                <w:rFonts w:ascii="Arial" w:cs="Arial" w:eastAsia="Arial" w:hAnsi="Arial"/>
                <w:sz w:val="18"/>
                <w:szCs w:val="18"/>
                <w:color w:val="auto"/>
              </w:rPr>
              <w:t>March 1, 2016, Exhibit 10.2</w:t>
            </w:r>
          </w:p>
        </w:tc>
      </w:tr>
      <w:tr>
        <w:trPr>
          <w:trHeight w:val="351"/>
        </w:trPr>
        <w:tc>
          <w:tcPr>
            <w:tcW w:w="960" w:type="dxa"/>
            <w:vAlign w:val="bottom"/>
          </w:tcPr>
          <w:p>
            <w:pPr>
              <w:ind w:left="40"/>
              <w:spacing w:after="0"/>
              <w:rPr>
                <w:sz w:val="20"/>
                <w:szCs w:val="20"/>
                <w:color w:val="auto"/>
              </w:rPr>
            </w:pPr>
            <w:r>
              <w:rPr>
                <w:rFonts w:ascii="Arial" w:cs="Arial" w:eastAsia="Arial" w:hAnsi="Arial"/>
                <w:sz w:val="18"/>
                <w:szCs w:val="18"/>
                <w:color w:val="auto"/>
              </w:rPr>
              <w:t>10.59</w:t>
            </w:r>
          </w:p>
        </w:tc>
        <w:tc>
          <w:tcPr>
            <w:tcW w:w="5160" w:type="dxa"/>
            <w:vAlign w:val="bottom"/>
            <w:gridSpan w:val="20"/>
          </w:tcPr>
          <w:p>
            <w:pPr>
              <w:spacing w:after="0"/>
              <w:rPr>
                <w:rFonts w:ascii="Arial" w:cs="Arial" w:eastAsia="Arial" w:hAnsi="Arial"/>
                <w:sz w:val="18"/>
                <w:szCs w:val="18"/>
                <w:color w:val="0000FF"/>
                <w:w w:val="93"/>
              </w:rPr>
            </w:pPr>
            <w:hyperlink r:id="rId137">
              <w:r>
                <w:rPr>
                  <w:rFonts w:ascii="Arial" w:cs="Arial" w:eastAsia="Arial" w:hAnsi="Arial"/>
                  <w:sz w:val="18"/>
                  <w:szCs w:val="18"/>
                  <w:color w:val="0000FF"/>
                  <w:w w:val="93"/>
                </w:rPr>
                <w:t>Form of 2016 Restricted Stock Unit Award Agreement, Supplemental</w:t>
              </w:r>
            </w:hyperlink>
          </w:p>
        </w:tc>
        <w:tc>
          <w:tcPr>
            <w:tcW w:w="5300" w:type="dxa"/>
            <w:vAlign w:val="bottom"/>
          </w:tcPr>
          <w:p>
            <w:pPr>
              <w:ind w:left="80"/>
              <w:spacing w:after="0"/>
              <w:rPr>
                <w:sz w:val="20"/>
                <w:szCs w:val="20"/>
                <w:color w:val="auto"/>
              </w:rPr>
            </w:pPr>
            <w:r>
              <w:rPr>
                <w:rFonts w:ascii="Arial" w:cs="Arial" w:eastAsia="Arial" w:hAnsi="Arial"/>
                <w:sz w:val="18"/>
                <w:szCs w:val="18"/>
                <w:color w:val="auto"/>
                <w:w w:val="96"/>
              </w:rPr>
              <w:t>Incorporated by reference from the Registrant’s Quarterly Report on</w:t>
            </w:r>
          </w:p>
        </w:tc>
      </w:tr>
      <w:tr>
        <w:trPr>
          <w:trHeight w:val="196"/>
        </w:trPr>
        <w:tc>
          <w:tcPr>
            <w:tcW w:w="960" w:type="dxa"/>
            <w:vAlign w:val="bottom"/>
          </w:tcPr>
          <w:p>
            <w:pPr>
              <w:spacing w:after="0"/>
              <w:rPr>
                <w:sz w:val="17"/>
                <w:szCs w:val="17"/>
                <w:color w:val="auto"/>
              </w:rPr>
            </w:pPr>
          </w:p>
        </w:tc>
        <w:tc>
          <w:tcPr>
            <w:tcW w:w="5020" w:type="dxa"/>
            <w:vAlign w:val="bottom"/>
            <w:tcBorders>
              <w:top w:val="single" w:sz="8" w:color="0000FF"/>
            </w:tcBorders>
            <w:gridSpan w:val="18"/>
          </w:tcPr>
          <w:p>
            <w:pPr>
              <w:spacing w:after="0" w:line="196" w:lineRule="exact"/>
              <w:rPr>
                <w:rFonts w:ascii="Arial" w:cs="Arial" w:eastAsia="Arial" w:hAnsi="Arial"/>
                <w:sz w:val="18"/>
                <w:szCs w:val="18"/>
                <w:color w:val="0000FF"/>
              </w:rPr>
            </w:pPr>
            <w:hyperlink r:id="rId137">
              <w:r>
                <w:rPr>
                  <w:rFonts w:ascii="Arial" w:cs="Arial" w:eastAsia="Arial" w:hAnsi="Arial"/>
                  <w:sz w:val="18"/>
                  <w:szCs w:val="18"/>
                  <w:color w:val="0000FF"/>
                </w:rPr>
                <w:t>Award</w:t>
              </w:r>
            </w:hyperlink>
          </w:p>
        </w:tc>
        <w:tc>
          <w:tcPr>
            <w:tcW w:w="140" w:type="dxa"/>
            <w:vAlign w:val="bottom"/>
            <w:gridSpan w:val="2"/>
          </w:tcPr>
          <w:p>
            <w:pPr>
              <w:spacing w:after="0"/>
              <w:rPr>
                <w:sz w:val="17"/>
                <w:szCs w:val="17"/>
                <w:color w:val="auto"/>
              </w:rPr>
            </w:pPr>
          </w:p>
        </w:tc>
        <w:tc>
          <w:tcPr>
            <w:tcW w:w="5300" w:type="dxa"/>
            <w:vAlign w:val="bottom"/>
          </w:tcPr>
          <w:p>
            <w:pPr>
              <w:ind w:left="80"/>
              <w:spacing w:after="0" w:line="196" w:lineRule="exact"/>
              <w:rPr>
                <w:sz w:val="20"/>
                <w:szCs w:val="20"/>
                <w:color w:val="auto"/>
              </w:rPr>
            </w:pPr>
            <w:r>
              <w:rPr>
                <w:rFonts w:ascii="Arial" w:cs="Arial" w:eastAsia="Arial" w:hAnsi="Arial"/>
                <w:sz w:val="18"/>
                <w:szCs w:val="18"/>
                <w:color w:val="auto"/>
              </w:rPr>
              <w:t>Form 10-Q for the quarter ended July 30, 2016, Exhibit 10.3</w:t>
            </w:r>
          </w:p>
        </w:tc>
      </w:tr>
      <w:tr>
        <w:trPr>
          <w:trHeight w:val="20"/>
        </w:trPr>
        <w:tc>
          <w:tcPr>
            <w:tcW w:w="9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2840" w:type="dxa"/>
            <w:vAlign w:val="bottom"/>
            <w:gridSpan w:val="6"/>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r>
      <w:tr>
        <w:trPr>
          <w:trHeight w:val="372"/>
        </w:trPr>
        <w:tc>
          <w:tcPr>
            <w:tcW w:w="960" w:type="dxa"/>
            <w:vAlign w:val="bottom"/>
          </w:tcPr>
          <w:p>
            <w:pPr>
              <w:ind w:left="40"/>
              <w:spacing w:after="0"/>
              <w:rPr>
                <w:sz w:val="20"/>
                <w:szCs w:val="20"/>
                <w:color w:val="auto"/>
              </w:rPr>
            </w:pPr>
            <w:r>
              <w:rPr>
                <w:rFonts w:ascii="Arial" w:cs="Arial" w:eastAsia="Arial" w:hAnsi="Arial"/>
                <w:sz w:val="18"/>
                <w:szCs w:val="18"/>
                <w:color w:val="auto"/>
              </w:rPr>
              <w:t>10.60</w:t>
            </w:r>
          </w:p>
        </w:tc>
        <w:tc>
          <w:tcPr>
            <w:tcW w:w="5160" w:type="dxa"/>
            <w:vAlign w:val="bottom"/>
            <w:gridSpan w:val="20"/>
          </w:tcPr>
          <w:p>
            <w:pPr>
              <w:spacing w:after="0"/>
              <w:rPr>
                <w:rFonts w:ascii="Arial" w:cs="Arial" w:eastAsia="Arial" w:hAnsi="Arial"/>
                <w:sz w:val="18"/>
                <w:szCs w:val="18"/>
                <w:color w:val="0000FF"/>
              </w:rPr>
            </w:pPr>
            <w:hyperlink r:id="rId138">
              <w:r>
                <w:rPr>
                  <w:rFonts w:ascii="Arial" w:cs="Arial" w:eastAsia="Arial" w:hAnsi="Arial"/>
                  <w:sz w:val="18"/>
                  <w:szCs w:val="18"/>
                  <w:color w:val="0000FF"/>
                </w:rPr>
                <w:t>Form of the 2017 Restricted Stock Unit Award Agreement</w:t>
              </w:r>
            </w:hyperlink>
          </w:p>
        </w:tc>
        <w:tc>
          <w:tcPr>
            <w:tcW w:w="5300" w:type="dxa"/>
            <w:vAlign w:val="bottom"/>
          </w:tcPr>
          <w:p>
            <w:pPr>
              <w:ind w:left="80"/>
              <w:spacing w:after="0"/>
              <w:rPr>
                <w:sz w:val="20"/>
                <w:szCs w:val="20"/>
                <w:color w:val="auto"/>
              </w:rPr>
            </w:pPr>
            <w:r>
              <w:rPr>
                <w:rFonts w:ascii="Arial" w:cs="Arial" w:eastAsia="Arial" w:hAnsi="Arial"/>
                <w:sz w:val="18"/>
                <w:szCs w:val="18"/>
                <w:color w:val="auto"/>
                <w:w w:val="99"/>
              </w:rPr>
              <w:t>Incorporated by reference from the Registrant’s Form 8-K filed on</w:t>
            </w:r>
          </w:p>
        </w:tc>
      </w:tr>
      <w:tr>
        <w:trPr>
          <w:trHeight w:val="237"/>
        </w:trPr>
        <w:tc>
          <w:tcPr>
            <w:tcW w:w="960" w:type="dxa"/>
            <w:vAlign w:val="bottom"/>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70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480" w:type="dxa"/>
            <w:vAlign w:val="bottom"/>
            <w:tcBorders>
              <w:top w:val="single" w:sz="8" w:color="0000FF"/>
            </w:tcBorders>
          </w:tcPr>
          <w:p>
            <w:pPr>
              <w:spacing w:after="0"/>
              <w:rPr>
                <w:sz w:val="20"/>
                <w:szCs w:val="20"/>
                <w:color w:val="auto"/>
              </w:rPr>
            </w:pPr>
          </w:p>
        </w:tc>
        <w:tc>
          <w:tcPr>
            <w:tcW w:w="1300" w:type="dxa"/>
            <w:vAlign w:val="bottom"/>
            <w:tcBorders>
              <w:top w:val="single" w:sz="8" w:color="0000FF"/>
            </w:tcBorders>
          </w:tcPr>
          <w:p>
            <w:pPr>
              <w:spacing w:after="0"/>
              <w:rPr>
                <w:sz w:val="20"/>
                <w:szCs w:val="20"/>
                <w:color w:val="auto"/>
              </w:rPr>
            </w:pPr>
          </w:p>
        </w:tc>
        <w:tc>
          <w:tcPr>
            <w:tcW w:w="5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60" w:type="dxa"/>
            <w:vAlign w:val="bottom"/>
            <w:tcBorders>
              <w:top w:val="single" w:sz="8" w:color="0000FF"/>
            </w:tcBorders>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300" w:type="dxa"/>
            <w:vAlign w:val="bottom"/>
          </w:tcPr>
          <w:p>
            <w:pPr>
              <w:ind w:left="80"/>
              <w:spacing w:after="0"/>
              <w:rPr>
                <w:sz w:val="20"/>
                <w:szCs w:val="20"/>
                <w:color w:val="auto"/>
              </w:rPr>
            </w:pPr>
            <w:r>
              <w:rPr>
                <w:rFonts w:ascii="Arial" w:cs="Arial" w:eastAsia="Arial" w:hAnsi="Arial"/>
                <w:sz w:val="18"/>
                <w:szCs w:val="18"/>
                <w:color w:val="auto"/>
              </w:rPr>
              <w:t>February 23, 2017, Exhibit 10.2</w:t>
            </w:r>
          </w:p>
        </w:tc>
      </w:tr>
      <w:tr>
        <w:trPr>
          <w:trHeight w:val="365"/>
        </w:trPr>
        <w:tc>
          <w:tcPr>
            <w:tcW w:w="960" w:type="dxa"/>
            <w:vAlign w:val="bottom"/>
          </w:tcPr>
          <w:p>
            <w:pPr>
              <w:ind w:left="40"/>
              <w:spacing w:after="0"/>
              <w:rPr>
                <w:sz w:val="20"/>
                <w:szCs w:val="20"/>
                <w:color w:val="auto"/>
              </w:rPr>
            </w:pPr>
            <w:r>
              <w:rPr>
                <w:rFonts w:ascii="Arial" w:cs="Arial" w:eastAsia="Arial" w:hAnsi="Arial"/>
                <w:sz w:val="18"/>
                <w:szCs w:val="18"/>
                <w:color w:val="auto"/>
              </w:rPr>
              <w:t>10.61</w:t>
            </w:r>
          </w:p>
        </w:tc>
        <w:tc>
          <w:tcPr>
            <w:tcW w:w="5160" w:type="dxa"/>
            <w:vAlign w:val="bottom"/>
            <w:gridSpan w:val="20"/>
          </w:tcPr>
          <w:p>
            <w:pPr>
              <w:spacing w:after="0"/>
              <w:rPr>
                <w:rFonts w:ascii="Arial" w:cs="Arial" w:eastAsia="Arial" w:hAnsi="Arial"/>
                <w:sz w:val="18"/>
                <w:szCs w:val="18"/>
                <w:color w:val="0000FF"/>
                <w:w w:val="93"/>
              </w:rPr>
            </w:pPr>
            <w:hyperlink r:id="rId139">
              <w:r>
                <w:rPr>
                  <w:rFonts w:ascii="Arial" w:cs="Arial" w:eastAsia="Arial" w:hAnsi="Arial"/>
                  <w:sz w:val="18"/>
                  <w:szCs w:val="18"/>
                  <w:color w:val="0000FF"/>
                  <w:w w:val="93"/>
                </w:rPr>
                <w:t>Form of 2017 Restricted Stock Unit Award Agreement, Supplemental</w:t>
              </w:r>
            </w:hyperlink>
          </w:p>
        </w:tc>
        <w:tc>
          <w:tcPr>
            <w:tcW w:w="5300" w:type="dxa"/>
            <w:vAlign w:val="bottom"/>
          </w:tcPr>
          <w:p>
            <w:pPr>
              <w:ind w:left="80"/>
              <w:spacing w:after="0"/>
              <w:rPr>
                <w:sz w:val="20"/>
                <w:szCs w:val="20"/>
                <w:color w:val="auto"/>
              </w:rPr>
            </w:pPr>
            <w:r>
              <w:rPr>
                <w:rFonts w:ascii="Arial" w:cs="Arial" w:eastAsia="Arial" w:hAnsi="Arial"/>
                <w:sz w:val="18"/>
                <w:szCs w:val="18"/>
                <w:color w:val="auto"/>
                <w:w w:val="99"/>
              </w:rPr>
              <w:t>Incorporated by reference from the Registrant’s Annual Report on</w:t>
            </w:r>
          </w:p>
        </w:tc>
      </w:tr>
      <w:tr>
        <w:trPr>
          <w:trHeight w:val="196"/>
        </w:trPr>
        <w:tc>
          <w:tcPr>
            <w:tcW w:w="960" w:type="dxa"/>
            <w:vAlign w:val="bottom"/>
          </w:tcPr>
          <w:p>
            <w:pPr>
              <w:spacing w:after="0"/>
              <w:rPr>
                <w:sz w:val="17"/>
                <w:szCs w:val="17"/>
                <w:color w:val="auto"/>
              </w:rPr>
            </w:pPr>
          </w:p>
        </w:tc>
        <w:tc>
          <w:tcPr>
            <w:tcW w:w="5020" w:type="dxa"/>
            <w:vAlign w:val="bottom"/>
            <w:tcBorders>
              <w:top w:val="single" w:sz="8" w:color="0000FF"/>
            </w:tcBorders>
            <w:gridSpan w:val="18"/>
          </w:tcPr>
          <w:p>
            <w:pPr>
              <w:spacing w:after="0" w:line="196" w:lineRule="exact"/>
              <w:rPr>
                <w:rFonts w:ascii="Arial" w:cs="Arial" w:eastAsia="Arial" w:hAnsi="Arial"/>
                <w:sz w:val="18"/>
                <w:szCs w:val="18"/>
                <w:color w:val="0000FF"/>
              </w:rPr>
            </w:pPr>
            <w:hyperlink r:id="rId139">
              <w:r>
                <w:rPr>
                  <w:rFonts w:ascii="Arial" w:cs="Arial" w:eastAsia="Arial" w:hAnsi="Arial"/>
                  <w:sz w:val="18"/>
                  <w:szCs w:val="18"/>
                  <w:color w:val="0000FF"/>
                </w:rPr>
                <w:t>Award</w:t>
              </w:r>
            </w:hyperlink>
          </w:p>
        </w:tc>
        <w:tc>
          <w:tcPr>
            <w:tcW w:w="140" w:type="dxa"/>
            <w:vAlign w:val="bottom"/>
            <w:gridSpan w:val="2"/>
          </w:tcPr>
          <w:p>
            <w:pPr>
              <w:spacing w:after="0"/>
              <w:rPr>
                <w:sz w:val="17"/>
                <w:szCs w:val="17"/>
                <w:color w:val="auto"/>
              </w:rPr>
            </w:pPr>
          </w:p>
        </w:tc>
        <w:tc>
          <w:tcPr>
            <w:tcW w:w="5300" w:type="dxa"/>
            <w:vAlign w:val="bottom"/>
          </w:tcPr>
          <w:p>
            <w:pPr>
              <w:ind w:left="80"/>
              <w:spacing w:after="0" w:line="196" w:lineRule="exact"/>
              <w:rPr>
                <w:sz w:val="20"/>
                <w:szCs w:val="20"/>
                <w:color w:val="auto"/>
              </w:rPr>
            </w:pPr>
            <w:r>
              <w:rPr>
                <w:rFonts w:ascii="Arial" w:cs="Arial" w:eastAsia="Arial" w:hAnsi="Arial"/>
                <w:sz w:val="18"/>
                <w:szCs w:val="18"/>
                <w:color w:val="auto"/>
              </w:rPr>
              <w:t>Form 10-K for the year ended January 28, 2017, Exhibit 10.67</w:t>
            </w:r>
          </w:p>
        </w:tc>
      </w:tr>
      <w:tr>
        <w:trPr>
          <w:trHeight w:val="20"/>
        </w:trPr>
        <w:tc>
          <w:tcPr>
            <w:tcW w:w="9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2840" w:type="dxa"/>
            <w:vAlign w:val="bottom"/>
            <w:gridSpan w:val="6"/>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r>
      <w:tr>
        <w:trPr>
          <w:trHeight w:val="372"/>
        </w:trPr>
        <w:tc>
          <w:tcPr>
            <w:tcW w:w="960" w:type="dxa"/>
            <w:vAlign w:val="bottom"/>
          </w:tcPr>
          <w:p>
            <w:pPr>
              <w:ind w:left="40"/>
              <w:spacing w:after="0"/>
              <w:rPr>
                <w:sz w:val="20"/>
                <w:szCs w:val="20"/>
                <w:color w:val="auto"/>
              </w:rPr>
            </w:pPr>
            <w:r>
              <w:rPr>
                <w:rFonts w:ascii="Arial" w:cs="Arial" w:eastAsia="Arial" w:hAnsi="Arial"/>
                <w:sz w:val="18"/>
                <w:szCs w:val="18"/>
                <w:color w:val="auto"/>
              </w:rPr>
              <w:t>10.62</w:t>
            </w:r>
          </w:p>
        </w:tc>
        <w:tc>
          <w:tcPr>
            <w:tcW w:w="5160" w:type="dxa"/>
            <w:vAlign w:val="bottom"/>
            <w:gridSpan w:val="20"/>
          </w:tcPr>
          <w:p>
            <w:pPr>
              <w:spacing w:after="0"/>
              <w:rPr>
                <w:rFonts w:ascii="Arial" w:cs="Arial" w:eastAsia="Arial" w:hAnsi="Arial"/>
                <w:sz w:val="18"/>
                <w:szCs w:val="18"/>
                <w:color w:val="0000FF"/>
              </w:rPr>
            </w:pPr>
            <w:hyperlink r:id="rId140">
              <w:r>
                <w:rPr>
                  <w:rFonts w:ascii="Arial" w:cs="Arial" w:eastAsia="Arial" w:hAnsi="Arial"/>
                  <w:sz w:val="18"/>
                  <w:szCs w:val="18"/>
                  <w:color w:val="0000FF"/>
                </w:rPr>
                <w:t>Commitment of Nordstrom, Inc. to Nordstrom fsb dated June 17,</w:t>
              </w:r>
            </w:hyperlink>
          </w:p>
        </w:tc>
        <w:tc>
          <w:tcPr>
            <w:tcW w:w="5300" w:type="dxa"/>
            <w:vAlign w:val="bottom"/>
          </w:tcPr>
          <w:p>
            <w:pPr>
              <w:ind w:left="80"/>
              <w:spacing w:after="0"/>
              <w:rPr>
                <w:sz w:val="20"/>
                <w:szCs w:val="20"/>
                <w:color w:val="auto"/>
              </w:rPr>
            </w:pPr>
            <w:r>
              <w:rPr>
                <w:rFonts w:ascii="Arial" w:cs="Arial" w:eastAsia="Arial" w:hAnsi="Arial"/>
                <w:sz w:val="18"/>
                <w:szCs w:val="18"/>
                <w:color w:val="auto"/>
                <w:w w:val="96"/>
              </w:rPr>
              <w:t>Incorporated by reference from the Registrant’s Quarterly Report on</w:t>
            </w:r>
          </w:p>
        </w:tc>
      </w:tr>
      <w:tr>
        <w:trPr>
          <w:trHeight w:val="196"/>
        </w:trPr>
        <w:tc>
          <w:tcPr>
            <w:tcW w:w="960" w:type="dxa"/>
            <w:vAlign w:val="bottom"/>
          </w:tcPr>
          <w:p>
            <w:pPr>
              <w:spacing w:after="0"/>
              <w:rPr>
                <w:sz w:val="17"/>
                <w:szCs w:val="17"/>
                <w:color w:val="auto"/>
              </w:rPr>
            </w:pPr>
          </w:p>
        </w:tc>
        <w:tc>
          <w:tcPr>
            <w:tcW w:w="3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4"/>
              </w:rPr>
            </w:pPr>
            <w:hyperlink r:id="rId140">
              <w:r>
                <w:rPr>
                  <w:rFonts w:ascii="Arial" w:cs="Arial" w:eastAsia="Arial" w:hAnsi="Arial"/>
                  <w:sz w:val="18"/>
                  <w:szCs w:val="18"/>
                  <w:color w:val="0000FF"/>
                  <w:w w:val="84"/>
                </w:rPr>
                <w:t>2004</w:t>
              </w:r>
            </w:hyperlink>
          </w:p>
        </w:tc>
        <w:tc>
          <w:tcPr>
            <w:tcW w:w="100" w:type="dxa"/>
            <w:vAlign w:val="bottom"/>
            <w:tcBorders>
              <w:top w:val="single" w:sz="8" w:color="0000FF"/>
            </w:tcBorders>
          </w:tcPr>
          <w:p>
            <w:pPr>
              <w:spacing w:after="0"/>
              <w:rPr>
                <w:sz w:val="17"/>
                <w:szCs w:val="17"/>
                <w:color w:val="auto"/>
              </w:rPr>
            </w:pPr>
          </w:p>
        </w:tc>
        <w:tc>
          <w:tcPr>
            <w:tcW w:w="70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1300" w:type="dxa"/>
            <w:vAlign w:val="bottom"/>
            <w:tcBorders>
              <w:top w:val="single" w:sz="8" w:color="0000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300" w:type="dxa"/>
            <w:vAlign w:val="bottom"/>
          </w:tcPr>
          <w:p>
            <w:pPr>
              <w:ind w:left="80"/>
              <w:spacing w:after="0" w:line="196" w:lineRule="exact"/>
              <w:rPr>
                <w:sz w:val="20"/>
                <w:szCs w:val="20"/>
                <w:color w:val="auto"/>
              </w:rPr>
            </w:pPr>
            <w:r>
              <w:rPr>
                <w:rFonts w:ascii="Arial" w:cs="Arial" w:eastAsia="Arial" w:hAnsi="Arial"/>
                <w:sz w:val="18"/>
                <w:szCs w:val="18"/>
                <w:color w:val="auto"/>
              </w:rPr>
              <w:t>Form 10-Q for the quarter ended July 31, 2004, Exhibit 10.4</w:t>
            </w:r>
          </w:p>
        </w:tc>
      </w:tr>
      <w:tr>
        <w:trPr>
          <w:trHeight w:val="372"/>
        </w:trPr>
        <w:tc>
          <w:tcPr>
            <w:tcW w:w="960" w:type="dxa"/>
            <w:vAlign w:val="bottom"/>
          </w:tcPr>
          <w:p>
            <w:pPr>
              <w:ind w:left="40"/>
              <w:spacing w:after="0"/>
              <w:rPr>
                <w:sz w:val="20"/>
                <w:szCs w:val="20"/>
                <w:color w:val="auto"/>
              </w:rPr>
            </w:pPr>
            <w:r>
              <w:rPr>
                <w:rFonts w:ascii="Arial" w:cs="Arial" w:eastAsia="Arial" w:hAnsi="Arial"/>
                <w:sz w:val="18"/>
                <w:szCs w:val="18"/>
                <w:color w:val="auto"/>
              </w:rPr>
              <w:t>10.63</w:t>
            </w:r>
          </w:p>
        </w:tc>
        <w:tc>
          <w:tcPr>
            <w:tcW w:w="4480" w:type="dxa"/>
            <w:vAlign w:val="bottom"/>
            <w:tcBorders>
              <w:bottom w:val="single" w:sz="8" w:color="0000FF"/>
            </w:tcBorders>
            <w:gridSpan w:val="11"/>
          </w:tcPr>
          <w:p>
            <w:pPr>
              <w:spacing w:after="0"/>
              <w:rPr>
                <w:rFonts w:ascii="Arial" w:cs="Arial" w:eastAsia="Arial" w:hAnsi="Arial"/>
                <w:sz w:val="18"/>
                <w:szCs w:val="18"/>
                <w:color w:val="0000FF"/>
                <w:w w:val="89"/>
              </w:rPr>
            </w:pPr>
            <w:hyperlink r:id="rId141">
              <w:r>
                <w:rPr>
                  <w:rFonts w:ascii="Arial" w:cs="Arial" w:eastAsia="Arial" w:hAnsi="Arial"/>
                  <w:sz w:val="18"/>
                  <w:szCs w:val="18"/>
                  <w:color w:val="0000FF"/>
                  <w:w w:val="89"/>
                </w:rPr>
                <w:t>Nordstrom fsb Segregated Earmarked Deposit Agreement and</w:t>
              </w:r>
            </w:hyperlink>
          </w:p>
        </w:tc>
        <w:tc>
          <w:tcPr>
            <w:tcW w:w="680" w:type="dxa"/>
            <w:vAlign w:val="bottom"/>
            <w:gridSpan w:val="9"/>
          </w:tcPr>
          <w:p>
            <w:pPr>
              <w:spacing w:after="0"/>
              <w:rPr>
                <w:sz w:val="24"/>
                <w:szCs w:val="24"/>
                <w:color w:val="auto"/>
              </w:rPr>
            </w:pPr>
          </w:p>
        </w:tc>
        <w:tc>
          <w:tcPr>
            <w:tcW w:w="5300" w:type="dxa"/>
            <w:vAlign w:val="bottom"/>
          </w:tcPr>
          <w:p>
            <w:pPr>
              <w:ind w:left="80"/>
              <w:spacing w:after="0"/>
              <w:rPr>
                <w:sz w:val="20"/>
                <w:szCs w:val="20"/>
                <w:color w:val="auto"/>
              </w:rPr>
            </w:pPr>
            <w:r>
              <w:rPr>
                <w:rFonts w:ascii="Arial" w:cs="Arial" w:eastAsia="Arial" w:hAnsi="Arial"/>
                <w:sz w:val="18"/>
                <w:szCs w:val="18"/>
                <w:color w:val="auto"/>
                <w:w w:val="96"/>
              </w:rPr>
              <w:t>Incorporated by reference from the Registrant’s Quarterly Report on</w:t>
            </w:r>
          </w:p>
        </w:tc>
      </w:tr>
      <w:tr>
        <w:trPr>
          <w:trHeight w:val="196"/>
        </w:trPr>
        <w:tc>
          <w:tcPr>
            <w:tcW w:w="960" w:type="dxa"/>
            <w:vAlign w:val="bottom"/>
          </w:tcPr>
          <w:p>
            <w:pPr>
              <w:spacing w:after="0"/>
              <w:rPr>
                <w:sz w:val="17"/>
                <w:szCs w:val="17"/>
                <w:color w:val="auto"/>
              </w:rPr>
            </w:pPr>
          </w:p>
        </w:tc>
        <w:tc>
          <w:tcPr>
            <w:tcW w:w="4880" w:type="dxa"/>
            <w:vAlign w:val="bottom"/>
            <w:tcBorders>
              <w:bottom w:val="single" w:sz="8" w:color="0000FF"/>
            </w:tcBorders>
            <w:gridSpan w:val="17"/>
          </w:tcPr>
          <w:p>
            <w:pPr>
              <w:spacing w:after="0" w:line="196" w:lineRule="exact"/>
              <w:rPr>
                <w:rFonts w:ascii="Arial" w:cs="Arial" w:eastAsia="Arial" w:hAnsi="Arial"/>
                <w:sz w:val="18"/>
                <w:szCs w:val="18"/>
                <w:color w:val="0000FF"/>
                <w:w w:val="90"/>
              </w:rPr>
            </w:pPr>
            <w:hyperlink r:id="rId141">
              <w:r>
                <w:rPr>
                  <w:rFonts w:ascii="Arial" w:cs="Arial" w:eastAsia="Arial" w:hAnsi="Arial"/>
                  <w:sz w:val="18"/>
                  <w:szCs w:val="18"/>
                  <w:color w:val="0000FF"/>
                  <w:w w:val="90"/>
                </w:rPr>
                <w:t>Security Agreement by and between Nordstrom fsb and Nordstrom,</w:t>
              </w:r>
            </w:hyperlink>
          </w:p>
        </w:tc>
        <w:tc>
          <w:tcPr>
            <w:tcW w:w="280" w:type="dxa"/>
            <w:vAlign w:val="bottom"/>
            <w:gridSpan w:val="3"/>
          </w:tcPr>
          <w:p>
            <w:pPr>
              <w:spacing w:after="0"/>
              <w:rPr>
                <w:sz w:val="17"/>
                <w:szCs w:val="17"/>
                <w:color w:val="auto"/>
              </w:rPr>
            </w:pPr>
          </w:p>
        </w:tc>
        <w:tc>
          <w:tcPr>
            <w:tcW w:w="5300" w:type="dxa"/>
            <w:vAlign w:val="bottom"/>
          </w:tcPr>
          <w:p>
            <w:pPr>
              <w:ind w:left="80"/>
              <w:spacing w:after="0" w:line="196" w:lineRule="exact"/>
              <w:rPr>
                <w:sz w:val="20"/>
                <w:szCs w:val="20"/>
                <w:color w:val="auto"/>
              </w:rPr>
            </w:pPr>
            <w:r>
              <w:rPr>
                <w:rFonts w:ascii="Arial" w:cs="Arial" w:eastAsia="Arial" w:hAnsi="Arial"/>
                <w:sz w:val="18"/>
                <w:szCs w:val="18"/>
                <w:color w:val="auto"/>
              </w:rPr>
              <w:t>Form 10-Q for the quarter ended July 31, 2004, Exhibit 10.5</w:t>
            </w:r>
          </w:p>
        </w:tc>
      </w:tr>
      <w:tr>
        <w:trPr>
          <w:trHeight w:val="196"/>
        </w:trPr>
        <w:tc>
          <w:tcPr>
            <w:tcW w:w="960" w:type="dxa"/>
            <w:vAlign w:val="bottom"/>
          </w:tcPr>
          <w:p>
            <w:pPr>
              <w:spacing w:after="0"/>
              <w:rPr>
                <w:sz w:val="17"/>
                <w:szCs w:val="17"/>
                <w:color w:val="auto"/>
              </w:rPr>
            </w:pPr>
          </w:p>
        </w:tc>
        <w:tc>
          <w:tcPr>
            <w:tcW w:w="5160" w:type="dxa"/>
            <w:vAlign w:val="bottom"/>
            <w:gridSpan w:val="20"/>
          </w:tcPr>
          <w:p>
            <w:pPr>
              <w:spacing w:after="0" w:line="196" w:lineRule="exact"/>
              <w:rPr>
                <w:rFonts w:ascii="Arial" w:cs="Arial" w:eastAsia="Arial" w:hAnsi="Arial"/>
                <w:sz w:val="18"/>
                <w:szCs w:val="18"/>
                <w:color w:val="0000FF"/>
              </w:rPr>
            </w:pPr>
            <w:hyperlink r:id="rId141">
              <w:r>
                <w:rPr>
                  <w:rFonts w:ascii="Arial" w:cs="Arial" w:eastAsia="Arial" w:hAnsi="Arial"/>
                  <w:sz w:val="18"/>
                  <w:szCs w:val="18"/>
                  <w:color w:val="0000FF"/>
                </w:rPr>
                <w:t>Inc. dated July 1, 2004</w:t>
              </w:r>
            </w:hyperlink>
          </w:p>
        </w:tc>
        <w:tc>
          <w:tcPr>
            <w:tcW w:w="5300" w:type="dxa"/>
            <w:vAlign w:val="bottom"/>
          </w:tcPr>
          <w:p>
            <w:pPr>
              <w:spacing w:after="0"/>
              <w:rPr>
                <w:sz w:val="17"/>
                <w:szCs w:val="17"/>
                <w:color w:val="auto"/>
              </w:rPr>
            </w:pPr>
          </w:p>
        </w:tc>
      </w:tr>
      <w:tr>
        <w:trPr>
          <w:trHeight w:val="48"/>
        </w:trPr>
        <w:tc>
          <w:tcPr>
            <w:tcW w:w="960" w:type="dxa"/>
            <w:vAlign w:val="bottom"/>
            <w:tcBorders>
              <w:bottom w:val="single" w:sz="8" w:color="auto"/>
            </w:tcBorders>
          </w:tcPr>
          <w:p>
            <w:pPr>
              <w:spacing w:after="0"/>
              <w:rPr>
                <w:sz w:val="4"/>
                <w:szCs w:val="4"/>
                <w:color w:val="auto"/>
              </w:rPr>
            </w:pPr>
          </w:p>
        </w:tc>
        <w:tc>
          <w:tcPr>
            <w:tcW w:w="36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700" w:type="dxa"/>
            <w:vAlign w:val="bottom"/>
            <w:tcBorders>
              <w:top w:val="single" w:sz="8" w:color="0000FF"/>
              <w:bottom w:val="single" w:sz="8" w:color="auto"/>
            </w:tcBorders>
          </w:tcPr>
          <w:p>
            <w:pPr>
              <w:spacing w:after="0"/>
              <w:rPr>
                <w:sz w:val="4"/>
                <w:szCs w:val="4"/>
                <w:color w:val="auto"/>
              </w:rPr>
            </w:pPr>
          </w:p>
        </w:tc>
        <w:tc>
          <w:tcPr>
            <w:tcW w:w="240" w:type="dxa"/>
            <w:vAlign w:val="bottom"/>
            <w:tcBorders>
              <w:top w:val="single" w:sz="8" w:color="0000FF"/>
              <w:bottom w:val="single" w:sz="8" w:color="auto"/>
            </w:tcBorders>
          </w:tcPr>
          <w:p>
            <w:pPr>
              <w:spacing w:after="0"/>
              <w:rPr>
                <w:sz w:val="4"/>
                <w:szCs w:val="4"/>
                <w:color w:val="auto"/>
              </w:rPr>
            </w:pPr>
          </w:p>
        </w:tc>
        <w:tc>
          <w:tcPr>
            <w:tcW w:w="240" w:type="dxa"/>
            <w:vAlign w:val="bottom"/>
            <w:tcBorders>
              <w:top w:val="single" w:sz="8" w:color="0000FF"/>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300" w:type="dxa"/>
            <w:vAlign w:val="bottom"/>
            <w:tcBorders>
              <w:bottom w:val="single" w:sz="8" w:color="auto"/>
            </w:tcBorders>
          </w:tcPr>
          <w:p>
            <w:pPr>
              <w:spacing w:after="0"/>
              <w:rPr>
                <w:sz w:val="4"/>
                <w:szCs w:val="4"/>
                <w:color w:val="auto"/>
              </w:rPr>
            </w:pPr>
          </w:p>
        </w:tc>
      </w:tr>
    </w:tbl>
    <w:p>
      <w:pPr>
        <w:spacing w:after="0" w:line="8" w:lineRule="exact"/>
        <w:rPr>
          <w:sz w:val="20"/>
          <w:szCs w:val="20"/>
          <w:color w:val="auto"/>
        </w:rPr>
      </w:pPr>
    </w:p>
    <w:p>
      <w:pPr>
        <w:ind w:left="40"/>
        <w:spacing w:after="0"/>
        <w:rPr>
          <w:sz w:val="20"/>
          <w:szCs w:val="20"/>
          <w:color w:val="auto"/>
        </w:rPr>
      </w:pPr>
      <w:r>
        <w:rPr>
          <w:rFonts w:ascii="Arial" w:cs="Arial" w:eastAsia="Arial" w:hAnsi="Arial"/>
          <w:sz w:val="14"/>
          <w:szCs w:val="14"/>
          <w:color w:val="auto"/>
        </w:rPr>
        <w:t>*This exhibit is a management contract, compensatory plan or arrangement</w:t>
      </w:r>
    </w:p>
    <w:p>
      <w:pPr>
        <w:sectPr>
          <w:pgSz w:w="11900" w:h="16838" w:orient="portrait"/>
          <w:cols w:equalWidth="0" w:num="1">
            <w:col w:w="11420"/>
          </w:cols>
          <w:pgMar w:left="240" w:top="126" w:right="23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ind w:left="9580"/>
        <w:spacing w:after="0"/>
        <w:rPr>
          <w:sz w:val="20"/>
          <w:szCs w:val="20"/>
          <w:color w:val="auto"/>
        </w:rPr>
      </w:pPr>
      <w:r>
        <w:rPr>
          <w:rFonts w:ascii="Arial" w:cs="Arial" w:eastAsia="Arial" w:hAnsi="Arial"/>
          <w:sz w:val="11"/>
          <w:szCs w:val="11"/>
          <w:color w:val="auto"/>
        </w:rPr>
        <w:t xml:space="preserve">Nordstrom, Inc. and subsidiaries </w:t>
      </w:r>
      <w:r>
        <w:rPr>
          <w:rFonts w:ascii="Arial" w:cs="Arial" w:eastAsia="Arial" w:hAnsi="Arial"/>
          <w:sz w:val="14"/>
          <w:szCs w:val="14"/>
          <w:color w:val="auto"/>
        </w:rPr>
        <w:t>71</w:t>
      </w:r>
    </w:p>
    <w:p>
      <w:pPr>
        <w:sectPr>
          <w:pgSz w:w="11900" w:h="16838" w:orient="portrait"/>
          <w:cols w:equalWidth="0" w:num="1">
            <w:col w:w="11420"/>
          </w:cols>
          <w:pgMar w:left="240" w:top="126" w:right="239" w:bottom="1440" w:gutter="0" w:footer="0" w:header="0"/>
          <w:type w:val="continuous"/>
        </w:sectPr>
      </w:pPr>
    </w:p>
    <w:bookmarkStart w:id="72" w:name="page73"/>
    <w:bookmarkEnd w:id="72"/>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left="3220"/>
        <w:spacing w:after="0"/>
        <w:tabs>
          <w:tab w:leader="none" w:pos="814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126" w:right="299" w:bottom="1440" w:gutter="0" w:footer="0" w:header="0"/>
        </w:sectPr>
      </w:pPr>
    </w:p>
    <w:p>
      <w:pPr>
        <w:spacing w:after="0" w:line="81" w:lineRule="exact"/>
        <w:rPr>
          <w:sz w:val="20"/>
          <w:szCs w:val="20"/>
          <w:color w:val="auto"/>
        </w:rPr>
      </w:pPr>
    </w:p>
    <w:p>
      <w:pPr>
        <w:ind w:left="960" w:hanging="917"/>
        <w:spacing w:after="0" w:line="297" w:lineRule="auto"/>
        <w:tabs>
          <w:tab w:leader="none" w:pos="940" w:val="left"/>
        </w:tabs>
        <w:rPr>
          <w:rFonts w:ascii="Arial" w:cs="Arial" w:eastAsia="Arial" w:hAnsi="Arial"/>
          <w:sz w:val="16"/>
          <w:szCs w:val="16"/>
          <w:u w:val="single" w:color="auto"/>
          <w:color w:val="0000FF"/>
        </w:rPr>
      </w:pPr>
      <w:r>
        <w:rPr>
          <w:rFonts w:ascii="Arial" w:cs="Arial" w:eastAsia="Arial" w:hAnsi="Arial"/>
          <w:sz w:val="18"/>
          <w:szCs w:val="18"/>
          <w:color w:val="auto"/>
        </w:rPr>
        <w:t>10.64</w:t>
      </w:r>
      <w:r>
        <w:rPr>
          <w:sz w:val="20"/>
          <w:szCs w:val="20"/>
          <w:color w:val="auto"/>
        </w:rPr>
        <w:tab/>
      </w:r>
      <w:hyperlink r:id="rId143">
        <w:r>
          <w:rPr>
            <w:rFonts w:ascii="Arial" w:cs="Arial" w:eastAsia="Arial" w:hAnsi="Arial"/>
            <w:sz w:val="16"/>
            <w:szCs w:val="16"/>
            <w:u w:val="single" w:color="auto"/>
            <w:color w:val="0000FF"/>
          </w:rPr>
          <w:t>Revolving Credit Agreement dated April 1, 2015, between Registrant</w:t>
        </w:r>
      </w:hyperlink>
      <w:r>
        <w:rPr>
          <w:rFonts w:ascii="Arial" w:cs="Arial" w:eastAsia="Arial" w:hAnsi="Arial"/>
          <w:sz w:val="16"/>
          <w:szCs w:val="16"/>
          <w:u w:val="single" w:color="auto"/>
          <w:color w:val="0000FF"/>
        </w:rPr>
        <w:t xml:space="preserve"> </w:t>
      </w:r>
      <w:hyperlink r:id="rId143">
        <w:r>
          <w:rPr>
            <w:rFonts w:ascii="Arial" w:cs="Arial" w:eastAsia="Arial" w:hAnsi="Arial"/>
            <w:sz w:val="16"/>
            <w:szCs w:val="16"/>
            <w:u w:val="single" w:color="auto"/>
            <w:color w:val="0000FF"/>
          </w:rPr>
          <w:t>and each of the initial lenders named therein as lenders; Bank of</w:t>
        </w:r>
      </w:hyperlink>
      <w:r>
        <w:rPr>
          <w:rFonts w:ascii="Arial" w:cs="Arial" w:eastAsia="Arial" w:hAnsi="Arial"/>
          <w:sz w:val="16"/>
          <w:szCs w:val="16"/>
          <w:u w:val="single" w:color="auto"/>
          <w:color w:val="0000FF"/>
        </w:rPr>
        <w:t xml:space="preserve"> </w:t>
      </w:r>
      <w:hyperlink r:id="rId143">
        <w:r>
          <w:rPr>
            <w:rFonts w:ascii="Arial" w:cs="Arial" w:eastAsia="Arial" w:hAnsi="Arial"/>
            <w:sz w:val="16"/>
            <w:szCs w:val="16"/>
            <w:u w:val="single" w:color="auto"/>
            <w:color w:val="0000FF"/>
          </w:rPr>
          <w:t>America, N.A. as administrative agent; Wells Fargo Bank, National</w:t>
        </w:r>
      </w:hyperlink>
      <w:r>
        <w:rPr>
          <w:rFonts w:ascii="Arial" w:cs="Arial" w:eastAsia="Arial" w:hAnsi="Arial"/>
          <w:sz w:val="16"/>
          <w:szCs w:val="16"/>
          <w:u w:val="single" w:color="auto"/>
          <w:color w:val="0000FF"/>
        </w:rPr>
        <w:t xml:space="preserve"> </w:t>
      </w:r>
      <w:hyperlink r:id="rId143">
        <w:r>
          <w:rPr>
            <w:rFonts w:ascii="Arial" w:cs="Arial" w:eastAsia="Arial" w:hAnsi="Arial"/>
            <w:sz w:val="16"/>
            <w:szCs w:val="16"/>
            <w:u w:val="single" w:color="auto"/>
            <w:color w:val="0000FF"/>
          </w:rPr>
          <w:t>Association and U.S. Bank, National Association as co-syndication</w:t>
        </w:r>
      </w:hyperlink>
      <w:r>
        <w:rPr>
          <w:rFonts w:ascii="Arial" w:cs="Arial" w:eastAsia="Arial" w:hAnsi="Arial"/>
          <w:sz w:val="16"/>
          <w:szCs w:val="16"/>
          <w:u w:val="single" w:color="auto"/>
          <w:color w:val="0000FF"/>
        </w:rPr>
        <w:t xml:space="preserve"> </w:t>
      </w:r>
      <w:hyperlink r:id="rId143">
        <w:r>
          <w:rPr>
            <w:rFonts w:ascii="Arial" w:cs="Arial" w:eastAsia="Arial" w:hAnsi="Arial"/>
            <w:sz w:val="16"/>
            <w:szCs w:val="16"/>
            <w:u w:val="single" w:color="auto"/>
            <w:color w:val="0000FF"/>
          </w:rPr>
          <w:t>agents; and Fifth Third Bank as managing agent.</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br w:type="column"/>
      </w:r>
    </w:p>
    <w:p>
      <w:pPr>
        <w:spacing w:after="0" w:line="61" w:lineRule="exact"/>
        <w:rPr>
          <w:rFonts w:ascii="Arial" w:cs="Arial" w:eastAsia="Arial" w:hAnsi="Arial"/>
          <w:sz w:val="16"/>
          <w:szCs w:val="16"/>
          <w:u w:val="single" w:color="auto"/>
          <w:color w:val="0000FF"/>
        </w:rPr>
      </w:pPr>
    </w:p>
    <w:p>
      <w:pPr>
        <w:ind w:right="360"/>
        <w:spacing w:after="0" w:line="277" w:lineRule="auto"/>
        <w:rPr>
          <w:sz w:val="20"/>
          <w:szCs w:val="20"/>
          <w:color w:val="auto"/>
        </w:rPr>
      </w:pPr>
      <w:r>
        <w:rPr>
          <w:rFonts w:ascii="Arial" w:cs="Arial" w:eastAsia="Arial" w:hAnsi="Arial"/>
          <w:sz w:val="18"/>
          <w:szCs w:val="18"/>
          <w:color w:val="auto"/>
        </w:rPr>
        <w:t>Incorporated by reference from the Registrant’s Form 8-K filed on April 6, 2015, Exhibit 10.1</w:t>
      </w:r>
    </w:p>
    <w:p>
      <w:pPr>
        <w:spacing w:after="0" w:line="778" w:lineRule="exact"/>
        <w:rPr>
          <w:rFonts w:ascii="Arial" w:cs="Arial" w:eastAsia="Arial" w:hAnsi="Arial"/>
          <w:sz w:val="16"/>
          <w:szCs w:val="16"/>
          <w:u w:val="single" w:color="auto"/>
          <w:color w:val="0000FF"/>
        </w:rPr>
      </w:pPr>
    </w:p>
    <w:p>
      <w:pPr>
        <w:sectPr>
          <w:pgSz w:w="11900" w:h="16838" w:orient="portrait"/>
          <w:cols w:equalWidth="0" w:num="2">
            <w:col w:w="5960" w:space="240"/>
            <w:col w:w="5160"/>
          </w:cols>
          <w:pgMar w:left="240" w:top="126" w:right="299" w:bottom="1440" w:gutter="0" w:footer="0" w:header="0"/>
          <w:type w:val="continuous"/>
        </w:sectPr>
      </w:pPr>
    </w:p>
    <w:p>
      <w:pPr>
        <w:jc w:val="both"/>
        <w:ind w:left="960" w:right="220" w:hanging="917"/>
        <w:spacing w:after="0" w:line="264"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10.65</w:t>
      </w:r>
      <w:r>
        <w:rPr>
          <w:sz w:val="20"/>
          <w:szCs w:val="20"/>
          <w:color w:val="auto"/>
        </w:rPr>
        <w:tab/>
      </w:r>
      <w:hyperlink r:id="rId144">
        <w:r>
          <w:rPr>
            <w:rFonts w:ascii="Arial" w:cs="Arial" w:eastAsia="Arial" w:hAnsi="Arial"/>
            <w:sz w:val="18"/>
            <w:szCs w:val="18"/>
            <w:u w:val="single" w:color="auto"/>
            <w:color w:val="0000FF"/>
          </w:rPr>
          <w:t>First Amendment to Revolving Credit Agreement dated March 31,</w:t>
        </w:r>
      </w:hyperlink>
      <w:r>
        <w:rPr>
          <w:rFonts w:ascii="Arial" w:cs="Arial" w:eastAsia="Arial" w:hAnsi="Arial"/>
          <w:sz w:val="18"/>
          <w:szCs w:val="18"/>
          <w:u w:val="single" w:color="auto"/>
          <w:color w:val="0000FF"/>
        </w:rPr>
        <w:t xml:space="preserve"> </w:t>
      </w:r>
      <w:hyperlink r:id="rId144">
        <w:r>
          <w:rPr>
            <w:rFonts w:ascii="Arial" w:cs="Arial" w:eastAsia="Arial" w:hAnsi="Arial"/>
            <w:sz w:val="18"/>
            <w:szCs w:val="18"/>
            <w:u w:val="single" w:color="auto"/>
            <w:color w:val="0000FF"/>
          </w:rPr>
          <w:t>2016, between Registrant, Bank of America, N.A. as Agent and the</w:t>
        </w:r>
      </w:hyperlink>
      <w:r>
        <w:rPr>
          <w:rFonts w:ascii="Arial" w:cs="Arial" w:eastAsia="Arial" w:hAnsi="Arial"/>
          <w:sz w:val="18"/>
          <w:szCs w:val="18"/>
          <w:u w:val="single" w:color="auto"/>
          <w:color w:val="0000FF"/>
        </w:rPr>
        <w:t xml:space="preserve"> </w:t>
      </w:r>
      <w:hyperlink r:id="rId144">
        <w:r>
          <w:rPr>
            <w:rFonts w:ascii="Arial" w:cs="Arial" w:eastAsia="Arial" w:hAnsi="Arial"/>
            <w:sz w:val="18"/>
            <w:szCs w:val="18"/>
            <w:u w:val="single" w:color="auto"/>
            <w:color w:val="0000FF"/>
          </w:rPr>
          <w:t>Lenders party thereto</w:t>
        </w:r>
      </w:hyperlink>
    </w:p>
    <w:p>
      <w:pPr>
        <w:spacing w:after="0" w:line="141" w:lineRule="exact"/>
        <w:rPr>
          <w:rFonts w:ascii="Arial" w:cs="Arial" w:eastAsia="Arial" w:hAnsi="Arial"/>
          <w:sz w:val="18"/>
          <w:szCs w:val="18"/>
          <w:u w:val="single" w:color="auto"/>
          <w:color w:val="0000FF"/>
        </w:rPr>
      </w:pPr>
    </w:p>
    <w:p>
      <w:pPr>
        <w:ind w:left="960" w:right="760" w:hanging="917"/>
        <w:spacing w:after="0" w:line="277"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10.66</w:t>
      </w:r>
      <w:r>
        <w:rPr>
          <w:sz w:val="20"/>
          <w:szCs w:val="20"/>
          <w:color w:val="auto"/>
        </w:rPr>
        <w:tab/>
      </w:r>
      <w:hyperlink r:id="rId145">
        <w:r>
          <w:rPr>
            <w:rFonts w:ascii="Arial" w:cs="Arial" w:eastAsia="Arial" w:hAnsi="Arial"/>
            <w:sz w:val="18"/>
            <w:szCs w:val="18"/>
            <w:u w:val="single" w:color="auto"/>
            <w:color w:val="0000FF"/>
          </w:rPr>
          <w:t>Performance Undertaking dated December 4, 2001 between</w:t>
        </w:r>
      </w:hyperlink>
      <w:r>
        <w:rPr>
          <w:rFonts w:ascii="Arial" w:cs="Arial" w:eastAsia="Arial" w:hAnsi="Arial"/>
          <w:sz w:val="18"/>
          <w:szCs w:val="18"/>
          <w:u w:val="single" w:color="auto"/>
          <w:color w:val="0000FF"/>
        </w:rPr>
        <w:t xml:space="preserve"> </w:t>
      </w:r>
      <w:hyperlink r:id="rId145">
        <w:r>
          <w:rPr>
            <w:rFonts w:ascii="Arial" w:cs="Arial" w:eastAsia="Arial" w:hAnsi="Arial"/>
            <w:sz w:val="18"/>
            <w:szCs w:val="18"/>
            <w:u w:val="single" w:color="auto"/>
            <w:color w:val="0000FF"/>
          </w:rPr>
          <w:t>Registrant and Bank One, N.A.</w:t>
        </w:r>
      </w:hyperlink>
    </w:p>
    <w:p>
      <w:pPr>
        <w:spacing w:after="0" w:line="130" w:lineRule="exact"/>
        <w:rPr>
          <w:sz w:val="20"/>
          <w:szCs w:val="20"/>
          <w:color w:val="auto"/>
        </w:rPr>
      </w:pPr>
    </w:p>
    <w:p>
      <w:pPr>
        <w:ind w:left="960" w:right="480" w:hanging="917"/>
        <w:spacing w:after="0" w:line="277"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10.67</w:t>
      </w:r>
      <w:r>
        <w:rPr>
          <w:sz w:val="20"/>
          <w:szCs w:val="20"/>
          <w:color w:val="auto"/>
        </w:rPr>
        <w:tab/>
      </w:r>
      <w:hyperlink r:id="rId146">
        <w:r>
          <w:rPr>
            <w:rFonts w:ascii="Arial" w:cs="Arial" w:eastAsia="Arial" w:hAnsi="Arial"/>
            <w:sz w:val="18"/>
            <w:szCs w:val="18"/>
            <w:u w:val="single" w:color="auto"/>
            <w:color w:val="0000FF"/>
          </w:rPr>
          <w:t>Servicing Agreement, dated as of May 1, 2007, by and between</w:t>
        </w:r>
      </w:hyperlink>
      <w:r>
        <w:rPr>
          <w:rFonts w:ascii="Arial" w:cs="Arial" w:eastAsia="Arial" w:hAnsi="Arial"/>
          <w:sz w:val="18"/>
          <w:szCs w:val="18"/>
          <w:u w:val="single" w:color="auto"/>
          <w:color w:val="0000FF"/>
        </w:rPr>
        <w:t xml:space="preserve"> </w:t>
      </w:r>
      <w:hyperlink r:id="rId146">
        <w:r>
          <w:rPr>
            <w:rFonts w:ascii="Arial" w:cs="Arial" w:eastAsia="Arial" w:hAnsi="Arial"/>
            <w:sz w:val="18"/>
            <w:szCs w:val="18"/>
            <w:u w:val="single" w:color="auto"/>
            <w:color w:val="0000FF"/>
          </w:rPr>
          <w:t>Nordstrom fsb, and Nordstrom Credit, Inc.</w:t>
        </w:r>
      </w:hyperlink>
    </w:p>
    <w:p>
      <w:pPr>
        <w:spacing w:after="0" w:line="130" w:lineRule="exact"/>
        <w:rPr>
          <w:sz w:val="20"/>
          <w:szCs w:val="20"/>
          <w:color w:val="auto"/>
        </w:rPr>
      </w:pPr>
    </w:p>
    <w:p>
      <w:pPr>
        <w:ind w:left="960" w:hanging="917"/>
        <w:spacing w:after="0" w:line="276" w:lineRule="auto"/>
        <w:tabs>
          <w:tab w:leader="none" w:pos="940" w:val="left"/>
        </w:tabs>
        <w:rPr>
          <w:rFonts w:ascii="Arial" w:cs="Arial" w:eastAsia="Arial" w:hAnsi="Arial"/>
          <w:sz w:val="17"/>
          <w:szCs w:val="17"/>
          <w:u w:val="single" w:color="auto"/>
          <w:color w:val="0000FF"/>
        </w:rPr>
      </w:pPr>
      <w:r>
        <w:rPr>
          <w:rFonts w:ascii="Arial" w:cs="Arial" w:eastAsia="Arial" w:hAnsi="Arial"/>
          <w:sz w:val="18"/>
          <w:szCs w:val="18"/>
          <w:color w:val="auto"/>
        </w:rPr>
        <w:t>10.68</w:t>
      </w:r>
      <w:r>
        <w:rPr>
          <w:sz w:val="20"/>
          <w:szCs w:val="20"/>
          <w:color w:val="auto"/>
        </w:rPr>
        <w:tab/>
      </w:r>
      <w:hyperlink r:id="rId147">
        <w:r>
          <w:rPr>
            <w:rFonts w:ascii="Arial" w:cs="Arial" w:eastAsia="Arial" w:hAnsi="Arial"/>
            <w:sz w:val="17"/>
            <w:szCs w:val="17"/>
            <w:u w:val="single" w:color="auto"/>
            <w:color w:val="0000FF"/>
          </w:rPr>
          <w:t>Amended and Restated Transfer and Servicing Agreement, dated as of</w:t>
        </w:r>
      </w:hyperlink>
      <w:r>
        <w:rPr>
          <w:rFonts w:ascii="Arial" w:cs="Arial" w:eastAsia="Arial" w:hAnsi="Arial"/>
          <w:sz w:val="17"/>
          <w:szCs w:val="17"/>
          <w:u w:val="single" w:color="auto"/>
          <w:color w:val="0000FF"/>
        </w:rPr>
        <w:t xml:space="preserve"> </w:t>
      </w:r>
      <w:hyperlink r:id="rId147">
        <w:r>
          <w:rPr>
            <w:rFonts w:ascii="Arial" w:cs="Arial" w:eastAsia="Arial" w:hAnsi="Arial"/>
            <w:sz w:val="17"/>
            <w:szCs w:val="17"/>
            <w:u w:val="single" w:color="auto"/>
            <w:color w:val="0000FF"/>
          </w:rPr>
          <w:t>May 1, 2007, by and between Nordstrom Credit Card Receivables II</w:t>
        </w:r>
      </w:hyperlink>
      <w:r>
        <w:rPr>
          <w:rFonts w:ascii="Arial" w:cs="Arial" w:eastAsia="Arial" w:hAnsi="Arial"/>
          <w:sz w:val="17"/>
          <w:szCs w:val="17"/>
          <w:u w:val="single" w:color="auto"/>
          <w:color w:val="0000FF"/>
        </w:rPr>
        <w:t xml:space="preserve"> </w:t>
      </w:r>
      <w:hyperlink r:id="rId147">
        <w:r>
          <w:rPr>
            <w:rFonts w:ascii="Arial" w:cs="Arial" w:eastAsia="Arial" w:hAnsi="Arial"/>
            <w:sz w:val="17"/>
            <w:szCs w:val="17"/>
            <w:u w:val="single" w:color="auto"/>
            <w:color w:val="0000FF"/>
          </w:rPr>
          <w:t>LLC, as transferor, Nordstrom fsb, as servicer, Wells Fargo Bank,</w:t>
        </w:r>
      </w:hyperlink>
      <w:r>
        <w:rPr>
          <w:rFonts w:ascii="Arial" w:cs="Arial" w:eastAsia="Arial" w:hAnsi="Arial"/>
          <w:sz w:val="17"/>
          <w:szCs w:val="17"/>
          <w:u w:val="single" w:color="auto"/>
          <w:color w:val="0000FF"/>
        </w:rPr>
        <w:t xml:space="preserve"> </w:t>
      </w:r>
      <w:hyperlink r:id="rId147">
        <w:r>
          <w:rPr>
            <w:rFonts w:ascii="Arial" w:cs="Arial" w:eastAsia="Arial" w:hAnsi="Arial"/>
            <w:sz w:val="17"/>
            <w:szCs w:val="17"/>
            <w:u w:val="single" w:color="auto"/>
            <w:color w:val="0000FF"/>
          </w:rPr>
          <w:t>National Association, as indenture trustee, and Nordstrom Credit Card</w:t>
        </w:r>
      </w:hyperlink>
      <w:r>
        <w:rPr>
          <w:rFonts w:ascii="Arial" w:cs="Arial" w:eastAsia="Arial" w:hAnsi="Arial"/>
          <w:sz w:val="17"/>
          <w:szCs w:val="17"/>
          <w:u w:val="single" w:color="auto"/>
          <w:color w:val="0000FF"/>
        </w:rPr>
        <w:t xml:space="preserve"> </w:t>
      </w:r>
      <w:hyperlink r:id="rId147">
        <w:r>
          <w:rPr>
            <w:rFonts w:ascii="Arial" w:cs="Arial" w:eastAsia="Arial" w:hAnsi="Arial"/>
            <w:sz w:val="17"/>
            <w:szCs w:val="17"/>
            <w:u w:val="single" w:color="auto"/>
            <w:color w:val="0000FF"/>
          </w:rPr>
          <w:t>Master Note Trust II, as issuer</w:t>
        </w:r>
      </w:hyperlink>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br w:type="column"/>
      </w:r>
    </w:p>
    <w:p>
      <w:pPr>
        <w:ind w:right="360"/>
        <w:spacing w:after="0" w:line="277" w:lineRule="auto"/>
        <w:rPr>
          <w:sz w:val="20"/>
          <w:szCs w:val="20"/>
          <w:color w:val="auto"/>
        </w:rPr>
      </w:pPr>
      <w:r>
        <w:rPr>
          <w:rFonts w:ascii="Arial" w:cs="Arial" w:eastAsia="Arial" w:hAnsi="Arial"/>
          <w:sz w:val="18"/>
          <w:szCs w:val="18"/>
          <w:color w:val="auto"/>
        </w:rPr>
        <w:t>Incorporated by reference from the Registrant’s Form 8-K filed on April 6, 2016, Exhibit 10.1</w:t>
      </w:r>
    </w:p>
    <w:p>
      <w:pPr>
        <w:spacing w:after="0" w:line="346" w:lineRule="exact"/>
        <w:rPr>
          <w:rFonts w:ascii="Arial" w:cs="Arial" w:eastAsia="Arial" w:hAnsi="Arial"/>
          <w:sz w:val="17"/>
          <w:szCs w:val="17"/>
          <w:u w:val="single" w:color="auto"/>
          <w:color w:val="0000FF"/>
        </w:rPr>
      </w:pPr>
    </w:p>
    <w:p>
      <w:pPr>
        <w:ind w:right="400"/>
        <w:spacing w:after="0" w:line="342" w:lineRule="auto"/>
        <w:rPr>
          <w:sz w:val="20"/>
          <w:szCs w:val="20"/>
          <w:color w:val="auto"/>
        </w:rPr>
      </w:pPr>
      <w:r>
        <w:rPr>
          <w:rFonts w:ascii="Arial" w:cs="Arial" w:eastAsia="Arial" w:hAnsi="Arial"/>
          <w:sz w:val="16"/>
          <w:szCs w:val="16"/>
          <w:color w:val="auto"/>
        </w:rPr>
        <w:t>Incorporated by reference from the Registrant’s Annual Report on Form 10-K for the year ended January 31, 2002, Exhibit 10.38</w:t>
      </w:r>
    </w:p>
    <w:p>
      <w:pPr>
        <w:spacing w:after="0" w:line="83" w:lineRule="exact"/>
        <w:rPr>
          <w:rFonts w:ascii="Arial" w:cs="Arial" w:eastAsia="Arial" w:hAnsi="Arial"/>
          <w:sz w:val="17"/>
          <w:szCs w:val="17"/>
          <w:u w:val="single" w:color="auto"/>
          <w:color w:val="0000FF"/>
        </w:rPr>
      </w:pPr>
    </w:p>
    <w:p>
      <w:pPr>
        <w:spacing w:after="0" w:line="277" w:lineRule="auto"/>
        <w:rPr>
          <w:sz w:val="20"/>
          <w:szCs w:val="20"/>
          <w:color w:val="auto"/>
        </w:rPr>
      </w:pPr>
      <w:r>
        <w:rPr>
          <w:rFonts w:ascii="Arial" w:cs="Arial" w:eastAsia="Arial" w:hAnsi="Arial"/>
          <w:sz w:val="18"/>
          <w:szCs w:val="18"/>
          <w:color w:val="auto"/>
        </w:rPr>
        <w:t>Incorporated by reference from the Registrant’s Form 8-K filed on May 8, 2007, Exhibit 99.2</w:t>
      </w:r>
    </w:p>
    <w:p>
      <w:pPr>
        <w:spacing w:after="0" w:line="130" w:lineRule="exact"/>
        <w:rPr>
          <w:rFonts w:ascii="Arial" w:cs="Arial" w:eastAsia="Arial" w:hAnsi="Arial"/>
          <w:sz w:val="17"/>
          <w:szCs w:val="17"/>
          <w:u w:val="single" w:color="auto"/>
          <w:color w:val="0000FF"/>
        </w:rPr>
      </w:pPr>
    </w:p>
    <w:p>
      <w:pPr>
        <w:spacing w:after="0" w:line="277" w:lineRule="auto"/>
        <w:rPr>
          <w:sz w:val="20"/>
          <w:szCs w:val="20"/>
          <w:color w:val="auto"/>
        </w:rPr>
      </w:pPr>
      <w:r>
        <w:rPr>
          <w:rFonts w:ascii="Arial" w:cs="Arial" w:eastAsia="Arial" w:hAnsi="Arial"/>
          <w:sz w:val="18"/>
          <w:szCs w:val="18"/>
          <w:color w:val="auto"/>
        </w:rPr>
        <w:t>Incorporated by reference from the Registrant’s Form 8-K filed on May 8, 2007, Exhibit 99.4</w:t>
      </w:r>
    </w:p>
    <w:p>
      <w:pPr>
        <w:spacing w:after="0" w:line="778" w:lineRule="exact"/>
        <w:rPr>
          <w:rFonts w:ascii="Arial" w:cs="Arial" w:eastAsia="Arial" w:hAnsi="Arial"/>
          <w:sz w:val="17"/>
          <w:szCs w:val="17"/>
          <w:u w:val="single" w:color="auto"/>
          <w:color w:val="0000FF"/>
        </w:rPr>
      </w:pPr>
    </w:p>
    <w:p>
      <w:pPr>
        <w:sectPr>
          <w:pgSz w:w="11900" w:h="16838" w:orient="portrait"/>
          <w:cols w:equalWidth="0" w:num="2">
            <w:col w:w="6020" w:space="180"/>
            <w:col w:w="5160"/>
          </w:cols>
          <w:pgMar w:left="240" w:top="126" w:right="299" w:bottom="1440" w:gutter="0" w:footer="0" w:header="0"/>
          <w:type w:val="continuous"/>
        </w:sectPr>
      </w:pPr>
    </w:p>
    <w:p>
      <w:pPr>
        <w:jc w:val="both"/>
        <w:ind w:left="960" w:right="60" w:hanging="917"/>
        <w:spacing w:after="0" w:line="312" w:lineRule="auto"/>
        <w:tabs>
          <w:tab w:leader="none" w:pos="940" w:val="left"/>
        </w:tabs>
        <w:rPr>
          <w:rFonts w:ascii="Arial" w:cs="Arial" w:eastAsia="Arial" w:hAnsi="Arial"/>
          <w:sz w:val="16"/>
          <w:szCs w:val="16"/>
          <w:u w:val="single" w:color="auto"/>
          <w:color w:val="0000FF"/>
        </w:rPr>
      </w:pPr>
      <w:r>
        <w:rPr>
          <w:rFonts w:ascii="Arial" w:cs="Arial" w:eastAsia="Arial" w:hAnsi="Arial"/>
          <w:sz w:val="18"/>
          <w:szCs w:val="18"/>
          <w:color w:val="auto"/>
        </w:rPr>
        <w:t>10.69</w:t>
      </w:r>
      <w:r>
        <w:rPr>
          <w:sz w:val="20"/>
          <w:szCs w:val="20"/>
          <w:color w:val="auto"/>
        </w:rPr>
        <w:tab/>
      </w:r>
      <w:hyperlink r:id="rId148">
        <w:r>
          <w:rPr>
            <w:rFonts w:ascii="Arial" w:cs="Arial" w:eastAsia="Arial" w:hAnsi="Arial"/>
            <w:sz w:val="16"/>
            <w:szCs w:val="16"/>
            <w:u w:val="single" w:color="auto"/>
            <w:color w:val="0000FF"/>
          </w:rPr>
          <w:t>Second Amended and Restated Trust Agreement, dated as of May 1,</w:t>
        </w:r>
      </w:hyperlink>
      <w:r>
        <w:rPr>
          <w:rFonts w:ascii="Arial" w:cs="Arial" w:eastAsia="Arial" w:hAnsi="Arial"/>
          <w:sz w:val="16"/>
          <w:szCs w:val="16"/>
          <w:u w:val="single" w:color="auto"/>
          <w:color w:val="0000FF"/>
        </w:rPr>
        <w:t xml:space="preserve"> </w:t>
      </w:r>
      <w:hyperlink r:id="rId148">
        <w:r>
          <w:rPr>
            <w:rFonts w:ascii="Arial" w:cs="Arial" w:eastAsia="Arial" w:hAnsi="Arial"/>
            <w:sz w:val="16"/>
            <w:szCs w:val="16"/>
            <w:u w:val="single" w:color="auto"/>
            <w:color w:val="0000FF"/>
          </w:rPr>
          <w:t>2007, by and between Nordstrom Credit Card Receivables II LLC, as</w:t>
        </w:r>
      </w:hyperlink>
      <w:r>
        <w:rPr>
          <w:rFonts w:ascii="Arial" w:cs="Arial" w:eastAsia="Arial" w:hAnsi="Arial"/>
          <w:sz w:val="16"/>
          <w:szCs w:val="16"/>
          <w:u w:val="single" w:color="auto"/>
          <w:color w:val="0000FF"/>
        </w:rPr>
        <w:t xml:space="preserve"> </w:t>
      </w:r>
      <w:hyperlink r:id="rId148">
        <w:r>
          <w:rPr>
            <w:rFonts w:ascii="Arial" w:cs="Arial" w:eastAsia="Arial" w:hAnsi="Arial"/>
            <w:sz w:val="16"/>
            <w:szCs w:val="16"/>
            <w:u w:val="single" w:color="auto"/>
            <w:color w:val="0000FF"/>
          </w:rPr>
          <w:t>transferor, and Wilmington Trust Company, as owner trustee</w:t>
        </w:r>
      </w:hyperlink>
    </w:p>
    <w:p>
      <w:pPr>
        <w:spacing w:after="0" w:line="106" w:lineRule="exact"/>
        <w:rPr>
          <w:rFonts w:ascii="Arial" w:cs="Arial" w:eastAsia="Arial" w:hAnsi="Arial"/>
          <w:sz w:val="16"/>
          <w:szCs w:val="16"/>
          <w:u w:val="single" w:color="auto"/>
          <w:color w:val="0000FF"/>
        </w:rPr>
      </w:pPr>
    </w:p>
    <w:p>
      <w:pPr>
        <w:jc w:val="both"/>
        <w:ind w:left="960" w:hanging="917"/>
        <w:spacing w:after="0" w:line="264"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10.70</w:t>
      </w:r>
      <w:r>
        <w:rPr>
          <w:sz w:val="20"/>
          <w:szCs w:val="20"/>
          <w:color w:val="auto"/>
        </w:rPr>
        <w:tab/>
      </w:r>
      <w:hyperlink r:id="rId149">
        <w:r>
          <w:rPr>
            <w:rFonts w:ascii="Arial" w:cs="Arial" w:eastAsia="Arial" w:hAnsi="Arial"/>
            <w:sz w:val="18"/>
            <w:szCs w:val="18"/>
            <w:u w:val="single" w:color="auto"/>
            <w:color w:val="0000FF"/>
          </w:rPr>
          <w:t>Amended and Restated Administration Agreement, dated as of May 1,</w:t>
        </w:r>
      </w:hyperlink>
      <w:r>
        <w:rPr>
          <w:rFonts w:ascii="Arial" w:cs="Arial" w:eastAsia="Arial" w:hAnsi="Arial"/>
          <w:sz w:val="18"/>
          <w:szCs w:val="18"/>
          <w:u w:val="single" w:color="auto"/>
          <w:color w:val="0000FF"/>
        </w:rPr>
        <w:t xml:space="preserve"> </w:t>
      </w:r>
      <w:hyperlink r:id="rId149">
        <w:r>
          <w:rPr>
            <w:rFonts w:ascii="Arial" w:cs="Arial" w:eastAsia="Arial" w:hAnsi="Arial"/>
            <w:sz w:val="18"/>
            <w:szCs w:val="18"/>
            <w:u w:val="single" w:color="auto"/>
            <w:color w:val="0000FF"/>
          </w:rPr>
          <w:t>2007, by and between Nordstrom Credit Card Master Note Trust II, as</w:t>
        </w:r>
      </w:hyperlink>
      <w:r>
        <w:rPr>
          <w:rFonts w:ascii="Arial" w:cs="Arial" w:eastAsia="Arial" w:hAnsi="Arial"/>
          <w:sz w:val="18"/>
          <w:szCs w:val="18"/>
          <w:u w:val="single" w:color="auto"/>
          <w:color w:val="0000FF"/>
        </w:rPr>
        <w:t xml:space="preserve"> </w:t>
      </w:r>
      <w:hyperlink r:id="rId149">
        <w:r>
          <w:rPr>
            <w:rFonts w:ascii="Arial" w:cs="Arial" w:eastAsia="Arial" w:hAnsi="Arial"/>
            <w:sz w:val="18"/>
            <w:szCs w:val="18"/>
            <w:u w:val="single" w:color="auto"/>
            <w:color w:val="0000FF"/>
          </w:rPr>
          <w:t>issuer, and Nordstrom fsb, as administrator</w:t>
        </w:r>
      </w:hyperlink>
    </w:p>
    <w:p>
      <w:pPr>
        <w:spacing w:after="0" w:line="141" w:lineRule="exact"/>
        <w:rPr>
          <w:rFonts w:ascii="Arial" w:cs="Arial" w:eastAsia="Arial" w:hAnsi="Arial"/>
          <w:sz w:val="18"/>
          <w:szCs w:val="18"/>
          <w:u w:val="single" w:color="auto"/>
          <w:color w:val="0000FF"/>
        </w:rPr>
      </w:pPr>
    </w:p>
    <w:p>
      <w:pPr>
        <w:ind w:left="960" w:right="80" w:hanging="917"/>
        <w:spacing w:after="0" w:line="312" w:lineRule="auto"/>
        <w:tabs>
          <w:tab w:leader="none" w:pos="940" w:val="left"/>
        </w:tabs>
        <w:rPr>
          <w:rFonts w:ascii="Arial" w:cs="Arial" w:eastAsia="Arial" w:hAnsi="Arial"/>
          <w:sz w:val="16"/>
          <w:szCs w:val="16"/>
          <w:u w:val="single" w:color="auto"/>
          <w:color w:val="0000FF"/>
        </w:rPr>
      </w:pPr>
      <w:r>
        <w:rPr>
          <w:rFonts w:ascii="Arial" w:cs="Arial" w:eastAsia="Arial" w:hAnsi="Arial"/>
          <w:sz w:val="18"/>
          <w:szCs w:val="18"/>
          <w:color w:val="auto"/>
        </w:rPr>
        <w:t>10.71</w:t>
      </w:r>
      <w:r>
        <w:rPr>
          <w:sz w:val="20"/>
          <w:szCs w:val="20"/>
          <w:color w:val="auto"/>
        </w:rPr>
        <w:tab/>
      </w:r>
      <w:hyperlink r:id="rId150">
        <w:r>
          <w:rPr>
            <w:rFonts w:ascii="Arial" w:cs="Arial" w:eastAsia="Arial" w:hAnsi="Arial"/>
            <w:sz w:val="16"/>
            <w:szCs w:val="16"/>
            <w:u w:val="single" w:color="auto"/>
            <w:color w:val="0000FF"/>
          </w:rPr>
          <w:t>Amended and Restated Receivables Purchase Agreement, dated as of</w:t>
        </w:r>
      </w:hyperlink>
      <w:r>
        <w:rPr>
          <w:rFonts w:ascii="Arial" w:cs="Arial" w:eastAsia="Arial" w:hAnsi="Arial"/>
          <w:sz w:val="16"/>
          <w:szCs w:val="16"/>
          <w:u w:val="single" w:color="auto"/>
          <w:color w:val="0000FF"/>
        </w:rPr>
        <w:t xml:space="preserve"> </w:t>
      </w:r>
      <w:hyperlink r:id="rId150">
        <w:r>
          <w:rPr>
            <w:rFonts w:ascii="Arial" w:cs="Arial" w:eastAsia="Arial" w:hAnsi="Arial"/>
            <w:sz w:val="16"/>
            <w:szCs w:val="16"/>
            <w:u w:val="single" w:color="auto"/>
            <w:color w:val="0000FF"/>
          </w:rPr>
          <w:t>May 1, 2007, by and between Nordstrom Credit, Inc., as seller and</w:t>
        </w:r>
      </w:hyperlink>
      <w:r>
        <w:rPr>
          <w:rFonts w:ascii="Arial" w:cs="Arial" w:eastAsia="Arial" w:hAnsi="Arial"/>
          <w:sz w:val="16"/>
          <w:szCs w:val="16"/>
          <w:u w:val="single" w:color="auto"/>
          <w:color w:val="0000FF"/>
        </w:rPr>
        <w:t xml:space="preserve"> </w:t>
      </w:r>
      <w:hyperlink r:id="rId150">
        <w:r>
          <w:rPr>
            <w:rFonts w:ascii="Arial" w:cs="Arial" w:eastAsia="Arial" w:hAnsi="Arial"/>
            <w:sz w:val="16"/>
            <w:szCs w:val="16"/>
            <w:u w:val="single" w:color="auto"/>
            <w:color w:val="0000FF"/>
          </w:rPr>
          <w:t>Nordstrom Credit Card Receivables II LLC, as purchaser</w:t>
        </w:r>
      </w:hyperlink>
    </w:p>
    <w:p>
      <w:pPr>
        <w:spacing w:after="0" w:line="106" w:lineRule="exact"/>
        <w:rPr>
          <w:rFonts w:ascii="Arial" w:cs="Arial" w:eastAsia="Arial" w:hAnsi="Arial"/>
          <w:sz w:val="16"/>
          <w:szCs w:val="16"/>
          <w:u w:val="single" w:color="auto"/>
          <w:color w:val="0000FF"/>
        </w:rPr>
      </w:pPr>
    </w:p>
    <w:p>
      <w:pPr>
        <w:jc w:val="both"/>
        <w:ind w:left="960" w:right="260" w:hanging="917"/>
        <w:spacing w:after="0" w:line="342" w:lineRule="auto"/>
        <w:tabs>
          <w:tab w:leader="none" w:pos="940" w:val="left"/>
        </w:tabs>
        <w:rPr>
          <w:rFonts w:ascii="Arial" w:cs="Arial" w:eastAsia="Arial" w:hAnsi="Arial"/>
          <w:sz w:val="16"/>
          <w:szCs w:val="16"/>
          <w:u w:val="single" w:color="auto"/>
          <w:color w:val="0000FF"/>
        </w:rPr>
      </w:pPr>
      <w:r>
        <w:rPr>
          <w:rFonts w:ascii="Arial" w:cs="Arial" w:eastAsia="Arial" w:hAnsi="Arial"/>
          <w:sz w:val="18"/>
          <w:szCs w:val="18"/>
          <w:color w:val="auto"/>
        </w:rPr>
        <w:t>10.72</w:t>
      </w:r>
      <w:r>
        <w:rPr>
          <w:sz w:val="20"/>
          <w:szCs w:val="20"/>
          <w:color w:val="auto"/>
        </w:rPr>
        <w:tab/>
      </w:r>
      <w:hyperlink r:id="rId151">
        <w:r>
          <w:rPr>
            <w:rFonts w:ascii="Arial" w:cs="Arial" w:eastAsia="Arial" w:hAnsi="Arial"/>
            <w:sz w:val="16"/>
            <w:szCs w:val="16"/>
            <w:u w:val="single" w:color="auto"/>
            <w:color w:val="0000FF"/>
          </w:rPr>
          <w:t>Participation Agreement, dated as of May 1, 2007, by and between</w:t>
        </w:r>
      </w:hyperlink>
      <w:r>
        <w:rPr>
          <w:rFonts w:ascii="Arial" w:cs="Arial" w:eastAsia="Arial" w:hAnsi="Arial"/>
          <w:sz w:val="16"/>
          <w:szCs w:val="16"/>
          <w:u w:val="single" w:color="auto"/>
          <w:color w:val="0000FF"/>
        </w:rPr>
        <w:t xml:space="preserve"> </w:t>
      </w:r>
      <w:hyperlink r:id="rId151">
        <w:r>
          <w:rPr>
            <w:rFonts w:ascii="Arial" w:cs="Arial" w:eastAsia="Arial" w:hAnsi="Arial"/>
            <w:sz w:val="16"/>
            <w:szCs w:val="16"/>
            <w:u w:val="single" w:color="auto"/>
            <w:color w:val="0000FF"/>
          </w:rPr>
          <w:t>Nordstrom fsb, as seller and Nordstrom Credit, Inc., as purchaser</w:t>
        </w:r>
      </w:hyperlink>
    </w:p>
    <w:p>
      <w:pPr>
        <w:spacing w:after="0" w:line="83" w:lineRule="exact"/>
        <w:rPr>
          <w:sz w:val="20"/>
          <w:szCs w:val="20"/>
          <w:color w:val="auto"/>
        </w:rPr>
      </w:pPr>
    </w:p>
    <w:p>
      <w:pPr>
        <w:ind w:left="960" w:right="60" w:hanging="917"/>
        <w:spacing w:after="0" w:line="308" w:lineRule="auto"/>
        <w:tabs>
          <w:tab w:leader="none" w:pos="940" w:val="left"/>
        </w:tabs>
        <w:rPr>
          <w:rFonts w:ascii="Arial" w:cs="Arial" w:eastAsia="Arial" w:hAnsi="Arial"/>
          <w:sz w:val="17"/>
          <w:szCs w:val="17"/>
          <w:u w:val="single" w:color="auto"/>
          <w:color w:val="0000FF"/>
        </w:rPr>
      </w:pPr>
      <w:r>
        <w:rPr>
          <w:rFonts w:ascii="Arial" w:cs="Arial" w:eastAsia="Arial" w:hAnsi="Arial"/>
          <w:sz w:val="18"/>
          <w:szCs w:val="18"/>
          <w:color w:val="auto"/>
        </w:rPr>
        <w:t>10.73</w:t>
      </w:r>
      <w:r>
        <w:rPr>
          <w:sz w:val="20"/>
          <w:szCs w:val="20"/>
          <w:color w:val="auto"/>
        </w:rPr>
        <w:tab/>
      </w:r>
      <w:hyperlink r:id="rId152">
        <w:r>
          <w:rPr>
            <w:rFonts w:ascii="Arial" w:cs="Arial" w:eastAsia="Arial" w:hAnsi="Arial"/>
            <w:sz w:val="17"/>
            <w:szCs w:val="17"/>
            <w:u w:val="single" w:color="auto"/>
            <w:color w:val="0000FF"/>
          </w:rPr>
          <w:t>Confirmation of transaction between The Royal Bank of Scotland plc</w:t>
        </w:r>
      </w:hyperlink>
      <w:r>
        <w:rPr>
          <w:rFonts w:ascii="Arial" w:cs="Arial" w:eastAsia="Arial" w:hAnsi="Arial"/>
          <w:sz w:val="17"/>
          <w:szCs w:val="17"/>
          <w:u w:val="single" w:color="auto"/>
          <w:color w:val="0000FF"/>
        </w:rPr>
        <w:t xml:space="preserve"> </w:t>
      </w:r>
      <w:hyperlink r:id="rId152">
        <w:r>
          <w:rPr>
            <w:rFonts w:ascii="Arial" w:cs="Arial" w:eastAsia="Arial" w:hAnsi="Arial"/>
            <w:sz w:val="17"/>
            <w:szCs w:val="17"/>
            <w:u w:val="single" w:color="auto"/>
            <w:color w:val="0000FF"/>
          </w:rPr>
          <w:t>and Nordstrom Inc., dated as of December 22, 2009</w:t>
        </w:r>
      </w:hyperlink>
    </w:p>
    <w:p>
      <w:pPr>
        <w:spacing w:after="0" w:line="106" w:lineRule="exact"/>
        <w:rPr>
          <w:sz w:val="20"/>
          <w:szCs w:val="20"/>
          <w:color w:val="auto"/>
        </w:rPr>
      </w:pPr>
    </w:p>
    <w:p>
      <w:pPr>
        <w:ind w:left="960" w:right="540" w:hanging="917"/>
        <w:spacing w:after="0" w:line="308" w:lineRule="auto"/>
        <w:tabs>
          <w:tab w:leader="none" w:pos="940" w:val="left"/>
        </w:tabs>
        <w:rPr>
          <w:rFonts w:ascii="Arial" w:cs="Arial" w:eastAsia="Arial" w:hAnsi="Arial"/>
          <w:sz w:val="17"/>
          <w:szCs w:val="17"/>
          <w:u w:val="single" w:color="auto"/>
          <w:color w:val="0000FF"/>
        </w:rPr>
      </w:pPr>
      <w:r>
        <w:rPr>
          <w:rFonts w:ascii="Arial" w:cs="Arial" w:eastAsia="Arial" w:hAnsi="Arial"/>
          <w:sz w:val="18"/>
          <w:szCs w:val="18"/>
          <w:color w:val="auto"/>
        </w:rPr>
        <w:t>10.74</w:t>
      </w:r>
      <w:r>
        <w:rPr>
          <w:sz w:val="20"/>
          <w:szCs w:val="20"/>
          <w:color w:val="auto"/>
        </w:rPr>
        <w:tab/>
      </w:r>
      <w:hyperlink r:id="rId153">
        <w:r>
          <w:rPr>
            <w:rFonts w:ascii="Arial" w:cs="Arial" w:eastAsia="Arial" w:hAnsi="Arial"/>
            <w:sz w:val="17"/>
            <w:szCs w:val="17"/>
            <w:u w:val="single" w:color="auto"/>
            <w:color w:val="0000FF"/>
          </w:rPr>
          <w:t>Confirmation of transaction between Wachovia Bank N.A. and</w:t>
        </w:r>
      </w:hyperlink>
      <w:r>
        <w:rPr>
          <w:rFonts w:ascii="Arial" w:cs="Arial" w:eastAsia="Arial" w:hAnsi="Arial"/>
          <w:sz w:val="17"/>
          <w:szCs w:val="17"/>
          <w:u w:val="single" w:color="auto"/>
          <w:color w:val="0000FF"/>
        </w:rPr>
        <w:t xml:space="preserve"> </w:t>
      </w:r>
      <w:hyperlink r:id="rId153">
        <w:r>
          <w:rPr>
            <w:rFonts w:ascii="Arial" w:cs="Arial" w:eastAsia="Arial" w:hAnsi="Arial"/>
            <w:sz w:val="17"/>
            <w:szCs w:val="17"/>
            <w:u w:val="single" w:color="auto"/>
            <w:color w:val="0000FF"/>
          </w:rPr>
          <w:t>Nordstrom Inc., dated as of December 22, 2009</w:t>
        </w:r>
      </w:hyperlink>
    </w:p>
    <w:p>
      <w:pPr>
        <w:spacing w:after="0" w:line="106" w:lineRule="exact"/>
        <w:rPr>
          <w:sz w:val="20"/>
          <w:szCs w:val="20"/>
          <w:color w:val="auto"/>
        </w:rPr>
      </w:pPr>
    </w:p>
    <w:p>
      <w:pPr>
        <w:jc w:val="both"/>
        <w:ind w:left="960" w:right="240" w:hanging="917"/>
        <w:spacing w:after="0" w:line="342" w:lineRule="auto"/>
        <w:tabs>
          <w:tab w:leader="none" w:pos="940" w:val="left"/>
        </w:tabs>
        <w:rPr>
          <w:rFonts w:ascii="Arial" w:cs="Arial" w:eastAsia="Arial" w:hAnsi="Arial"/>
          <w:sz w:val="16"/>
          <w:szCs w:val="16"/>
          <w:u w:val="single" w:color="auto"/>
          <w:color w:val="0000FF"/>
        </w:rPr>
      </w:pPr>
      <w:r>
        <w:rPr>
          <w:rFonts w:ascii="Arial" w:cs="Arial" w:eastAsia="Arial" w:hAnsi="Arial"/>
          <w:sz w:val="18"/>
          <w:szCs w:val="18"/>
          <w:color w:val="auto"/>
        </w:rPr>
        <w:t>10.75</w:t>
      </w:r>
      <w:r>
        <w:rPr>
          <w:sz w:val="20"/>
          <w:szCs w:val="20"/>
          <w:color w:val="auto"/>
        </w:rPr>
        <w:tab/>
      </w:r>
      <w:hyperlink r:id="rId154">
        <w:r>
          <w:rPr>
            <w:rFonts w:ascii="Arial" w:cs="Arial" w:eastAsia="Arial" w:hAnsi="Arial"/>
            <w:sz w:val="16"/>
            <w:szCs w:val="16"/>
            <w:u w:val="single" w:color="auto"/>
            <w:color w:val="0000FF"/>
          </w:rPr>
          <w:t>Press release dated February 27, 2013 announcing that its Board of</w:t>
        </w:r>
      </w:hyperlink>
      <w:r>
        <w:rPr>
          <w:rFonts w:ascii="Arial" w:cs="Arial" w:eastAsia="Arial" w:hAnsi="Arial"/>
          <w:sz w:val="16"/>
          <w:szCs w:val="16"/>
          <w:u w:val="single" w:color="auto"/>
          <w:color w:val="0000FF"/>
        </w:rPr>
        <w:t xml:space="preserve"> </w:t>
      </w:r>
      <w:hyperlink r:id="rId154">
        <w:r>
          <w:rPr>
            <w:rFonts w:ascii="Arial" w:cs="Arial" w:eastAsia="Arial" w:hAnsi="Arial"/>
            <w:sz w:val="16"/>
            <w:szCs w:val="16"/>
            <w:u w:val="single" w:color="auto"/>
            <w:color w:val="0000FF"/>
          </w:rPr>
          <w:t>Directors authorized an $800 million share repurchase program</w:t>
        </w:r>
      </w:hyperlink>
    </w:p>
    <w:p>
      <w:pPr>
        <w:spacing w:after="0" w:line="83" w:lineRule="exact"/>
        <w:rPr>
          <w:sz w:val="20"/>
          <w:szCs w:val="20"/>
          <w:color w:val="auto"/>
        </w:rPr>
      </w:pPr>
    </w:p>
    <w:p>
      <w:pPr>
        <w:ind w:left="960" w:right="220" w:hanging="917"/>
        <w:spacing w:after="0" w:line="342" w:lineRule="auto"/>
        <w:tabs>
          <w:tab w:leader="none" w:pos="940" w:val="left"/>
        </w:tabs>
        <w:rPr>
          <w:rFonts w:ascii="Arial" w:cs="Arial" w:eastAsia="Arial" w:hAnsi="Arial"/>
          <w:sz w:val="16"/>
          <w:szCs w:val="16"/>
          <w:u w:val="single" w:color="auto"/>
          <w:color w:val="0000FF"/>
        </w:rPr>
      </w:pPr>
      <w:r>
        <w:rPr>
          <w:rFonts w:ascii="Arial" w:cs="Arial" w:eastAsia="Arial" w:hAnsi="Arial"/>
          <w:sz w:val="18"/>
          <w:szCs w:val="18"/>
          <w:color w:val="auto"/>
        </w:rPr>
        <w:t>10.76</w:t>
      </w:r>
      <w:r>
        <w:rPr>
          <w:sz w:val="20"/>
          <w:szCs w:val="20"/>
          <w:color w:val="auto"/>
        </w:rPr>
        <w:tab/>
      </w:r>
      <w:hyperlink r:id="rId155">
        <w:r>
          <w:rPr>
            <w:rFonts w:ascii="Arial" w:cs="Arial" w:eastAsia="Arial" w:hAnsi="Arial"/>
            <w:sz w:val="16"/>
            <w:szCs w:val="16"/>
            <w:u w:val="single" w:color="auto"/>
            <w:color w:val="0000FF"/>
          </w:rPr>
          <w:t>Press release dated September 4, 2014 announcing that its Board of</w:t>
        </w:r>
      </w:hyperlink>
      <w:r>
        <w:rPr>
          <w:rFonts w:ascii="Arial" w:cs="Arial" w:eastAsia="Arial" w:hAnsi="Arial"/>
          <w:sz w:val="16"/>
          <w:szCs w:val="16"/>
          <w:u w:val="single" w:color="auto"/>
          <w:color w:val="0000FF"/>
        </w:rPr>
        <w:t xml:space="preserve"> </w:t>
      </w:r>
      <w:hyperlink r:id="rId155">
        <w:r>
          <w:rPr>
            <w:rFonts w:ascii="Arial" w:cs="Arial" w:eastAsia="Arial" w:hAnsi="Arial"/>
            <w:sz w:val="16"/>
            <w:szCs w:val="16"/>
            <w:u w:val="single" w:color="auto"/>
            <w:color w:val="0000FF"/>
          </w:rPr>
          <w:t>Directors authorized a $1,000 million share repurchase program</w:t>
        </w:r>
      </w:hyperlink>
    </w:p>
    <w:p>
      <w:pPr>
        <w:spacing w:after="0" w:line="83" w:lineRule="exact"/>
        <w:rPr>
          <w:sz w:val="20"/>
          <w:szCs w:val="20"/>
          <w:color w:val="auto"/>
        </w:rPr>
      </w:pPr>
    </w:p>
    <w:p>
      <w:pPr>
        <w:jc w:val="right"/>
        <w:ind w:left="40" w:right="400"/>
        <w:spacing w:after="0" w:line="308"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10.77      </w:t>
      </w:r>
      <w:hyperlink r:id="rId156">
        <w:r>
          <w:rPr>
            <w:rFonts w:ascii="Arial" w:cs="Arial" w:eastAsia="Arial" w:hAnsi="Arial"/>
            <w:sz w:val="17"/>
            <w:szCs w:val="17"/>
            <w:u w:val="single" w:color="auto"/>
            <w:color w:val="0000FF"/>
          </w:rPr>
          <w:t>Press release dated October 1, 2015 announcing that its Board of</w:t>
        </w:r>
      </w:hyperlink>
      <w:r>
        <w:rPr>
          <w:rFonts w:ascii="Arial" w:cs="Arial" w:eastAsia="Arial" w:hAnsi="Arial"/>
          <w:sz w:val="17"/>
          <w:szCs w:val="17"/>
          <w:color w:val="auto"/>
        </w:rPr>
        <w:t xml:space="preserve"> </w:t>
      </w:r>
      <w:hyperlink r:id="rId156">
        <w:r>
          <w:rPr>
            <w:rFonts w:ascii="Arial" w:cs="Arial" w:eastAsia="Arial" w:hAnsi="Arial"/>
            <w:sz w:val="17"/>
            <w:szCs w:val="17"/>
            <w:u w:val="single" w:color="auto"/>
            <w:color w:val="0000FF"/>
          </w:rPr>
          <w:t>Directors authorized a $1,000 million share repurchase program</w:t>
        </w:r>
      </w:hyperlink>
    </w:p>
    <w:p>
      <w:pPr>
        <w:spacing w:after="0" w:line="106" w:lineRule="exact"/>
        <w:rPr>
          <w:sz w:val="20"/>
          <w:szCs w:val="20"/>
          <w:color w:val="auto"/>
        </w:rPr>
      </w:pPr>
    </w:p>
    <w:p>
      <w:pPr>
        <w:jc w:val="both"/>
        <w:ind w:left="960" w:right="240" w:hanging="917"/>
        <w:spacing w:after="0" w:line="264"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10.78</w:t>
      </w:r>
      <w:r>
        <w:rPr>
          <w:sz w:val="20"/>
          <w:szCs w:val="20"/>
          <w:color w:val="auto"/>
        </w:rPr>
        <w:tab/>
      </w:r>
      <w:hyperlink r:id="rId157">
        <w:r>
          <w:rPr>
            <w:rFonts w:ascii="Arial" w:cs="Arial" w:eastAsia="Arial" w:hAnsi="Arial"/>
            <w:sz w:val="18"/>
            <w:szCs w:val="18"/>
            <w:u w:val="single" w:color="auto"/>
            <w:color w:val="0000FF"/>
          </w:rPr>
          <w:t>Press release dated February 17, 2017 announcing that its Board of</w:t>
        </w:r>
      </w:hyperlink>
      <w:r>
        <w:rPr>
          <w:rFonts w:ascii="Arial" w:cs="Arial" w:eastAsia="Arial" w:hAnsi="Arial"/>
          <w:sz w:val="18"/>
          <w:szCs w:val="18"/>
          <w:u w:val="single" w:color="auto"/>
          <w:color w:val="0000FF"/>
        </w:rPr>
        <w:t xml:space="preserve"> </w:t>
      </w:r>
      <w:hyperlink r:id="rId157">
        <w:r>
          <w:rPr>
            <w:rFonts w:ascii="Arial" w:cs="Arial" w:eastAsia="Arial" w:hAnsi="Arial"/>
            <w:sz w:val="18"/>
            <w:szCs w:val="18"/>
            <w:u w:val="single" w:color="auto"/>
            <w:color w:val="0000FF"/>
          </w:rPr>
          <w:t>Directors authorized a $500 million share repurchase program and</w:t>
        </w:r>
      </w:hyperlink>
      <w:r>
        <w:rPr>
          <w:rFonts w:ascii="Arial" w:cs="Arial" w:eastAsia="Arial" w:hAnsi="Arial"/>
          <w:sz w:val="18"/>
          <w:szCs w:val="18"/>
          <w:u w:val="single" w:color="auto"/>
          <w:color w:val="0000FF"/>
        </w:rPr>
        <w:t xml:space="preserve"> </w:t>
      </w:r>
      <w:hyperlink r:id="rId157">
        <w:r>
          <w:rPr>
            <w:rFonts w:ascii="Arial" w:cs="Arial" w:eastAsia="Arial" w:hAnsi="Arial"/>
            <w:sz w:val="18"/>
            <w:szCs w:val="18"/>
            <w:u w:val="single" w:color="auto"/>
            <w:color w:val="0000FF"/>
          </w:rPr>
          <w:t>approved a quarterly dividend</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277" w:lineRule="auto"/>
        <w:rPr>
          <w:sz w:val="20"/>
          <w:szCs w:val="20"/>
          <w:color w:val="auto"/>
        </w:rPr>
      </w:pPr>
      <w:r>
        <w:rPr>
          <w:rFonts w:ascii="Arial" w:cs="Arial" w:eastAsia="Arial" w:hAnsi="Arial"/>
          <w:sz w:val="18"/>
          <w:szCs w:val="18"/>
          <w:color w:val="auto"/>
        </w:rPr>
        <w:t>Incorporated by reference from the Registrant’s Form 8-K filed on May 8, 2007, Exhibit 99.5</w:t>
      </w:r>
    </w:p>
    <w:p>
      <w:pPr>
        <w:spacing w:after="0" w:line="346" w:lineRule="exact"/>
        <w:rPr>
          <w:rFonts w:ascii="Arial" w:cs="Arial" w:eastAsia="Arial" w:hAnsi="Arial"/>
          <w:sz w:val="18"/>
          <w:szCs w:val="18"/>
          <w:u w:val="single" w:color="auto"/>
          <w:color w:val="0000FF"/>
        </w:rPr>
      </w:pPr>
    </w:p>
    <w:p>
      <w:pPr>
        <w:spacing w:after="0" w:line="277" w:lineRule="auto"/>
        <w:rPr>
          <w:sz w:val="20"/>
          <w:szCs w:val="20"/>
          <w:color w:val="auto"/>
        </w:rPr>
      </w:pPr>
      <w:r>
        <w:rPr>
          <w:rFonts w:ascii="Arial" w:cs="Arial" w:eastAsia="Arial" w:hAnsi="Arial"/>
          <w:sz w:val="18"/>
          <w:szCs w:val="18"/>
          <w:color w:val="auto"/>
        </w:rPr>
        <w:t>Incorporated by reference from the Registrant’s Form 8-K filed on May 8, 2007, Exhibit 99.6</w:t>
      </w:r>
    </w:p>
    <w:p>
      <w:pPr>
        <w:spacing w:after="0" w:line="346" w:lineRule="exact"/>
        <w:rPr>
          <w:rFonts w:ascii="Arial" w:cs="Arial" w:eastAsia="Arial" w:hAnsi="Arial"/>
          <w:sz w:val="18"/>
          <w:szCs w:val="18"/>
          <w:u w:val="single" w:color="auto"/>
          <w:color w:val="0000FF"/>
        </w:rPr>
      </w:pPr>
    </w:p>
    <w:p>
      <w:pPr>
        <w:spacing w:after="0" w:line="277" w:lineRule="auto"/>
        <w:rPr>
          <w:sz w:val="20"/>
          <w:szCs w:val="20"/>
          <w:color w:val="auto"/>
        </w:rPr>
      </w:pPr>
      <w:r>
        <w:rPr>
          <w:rFonts w:ascii="Arial" w:cs="Arial" w:eastAsia="Arial" w:hAnsi="Arial"/>
          <w:sz w:val="18"/>
          <w:szCs w:val="18"/>
          <w:color w:val="auto"/>
        </w:rPr>
        <w:t>Incorporated by reference from the Registrant’s Form 8-K filed on May 8, 2007, Exhibit 99.3</w:t>
      </w:r>
    </w:p>
    <w:p>
      <w:pPr>
        <w:spacing w:after="0" w:line="346" w:lineRule="exact"/>
        <w:rPr>
          <w:rFonts w:ascii="Arial" w:cs="Arial" w:eastAsia="Arial" w:hAnsi="Arial"/>
          <w:sz w:val="18"/>
          <w:szCs w:val="18"/>
          <w:u w:val="single" w:color="auto"/>
          <w:color w:val="0000FF"/>
        </w:rPr>
      </w:pPr>
    </w:p>
    <w:p>
      <w:pPr>
        <w:spacing w:after="0" w:line="277" w:lineRule="auto"/>
        <w:rPr>
          <w:sz w:val="20"/>
          <w:szCs w:val="20"/>
          <w:color w:val="auto"/>
        </w:rPr>
      </w:pPr>
      <w:r>
        <w:rPr>
          <w:rFonts w:ascii="Arial" w:cs="Arial" w:eastAsia="Arial" w:hAnsi="Arial"/>
          <w:sz w:val="18"/>
          <w:szCs w:val="18"/>
          <w:color w:val="auto"/>
        </w:rPr>
        <w:t>Incorporated by reference from the Registrant’s Form 8-K filed on May 8, 2007, Exhibit 99.1</w:t>
      </w:r>
    </w:p>
    <w:p>
      <w:pPr>
        <w:spacing w:after="0" w:line="130" w:lineRule="exact"/>
        <w:rPr>
          <w:rFonts w:ascii="Arial" w:cs="Arial" w:eastAsia="Arial" w:hAnsi="Arial"/>
          <w:sz w:val="18"/>
          <w:szCs w:val="18"/>
          <w:u w:val="single" w:color="auto"/>
          <w:color w:val="0000FF"/>
        </w:rPr>
      </w:pPr>
    </w:p>
    <w:p>
      <w:pPr>
        <w:ind w:right="360"/>
        <w:spacing w:after="0" w:line="277" w:lineRule="auto"/>
        <w:rPr>
          <w:sz w:val="20"/>
          <w:szCs w:val="20"/>
          <w:color w:val="auto"/>
        </w:rPr>
      </w:pPr>
      <w:r>
        <w:rPr>
          <w:rFonts w:ascii="Arial" w:cs="Arial" w:eastAsia="Arial" w:hAnsi="Arial"/>
          <w:sz w:val="18"/>
          <w:szCs w:val="18"/>
          <w:color w:val="auto"/>
        </w:rPr>
        <w:t>Incorporated by reference from the Registrant’s Form 8-K filed on December 23, 2009, Exhibit 10.1</w:t>
      </w:r>
    </w:p>
    <w:p>
      <w:pPr>
        <w:spacing w:after="0" w:line="130" w:lineRule="exact"/>
        <w:rPr>
          <w:rFonts w:ascii="Arial" w:cs="Arial" w:eastAsia="Arial" w:hAnsi="Arial"/>
          <w:sz w:val="18"/>
          <w:szCs w:val="18"/>
          <w:u w:val="single" w:color="auto"/>
          <w:color w:val="0000FF"/>
        </w:rPr>
      </w:pPr>
    </w:p>
    <w:p>
      <w:pPr>
        <w:ind w:right="360"/>
        <w:spacing w:after="0" w:line="277" w:lineRule="auto"/>
        <w:rPr>
          <w:sz w:val="20"/>
          <w:szCs w:val="20"/>
          <w:color w:val="auto"/>
        </w:rPr>
      </w:pPr>
      <w:r>
        <w:rPr>
          <w:rFonts w:ascii="Arial" w:cs="Arial" w:eastAsia="Arial" w:hAnsi="Arial"/>
          <w:sz w:val="18"/>
          <w:szCs w:val="18"/>
          <w:color w:val="auto"/>
        </w:rPr>
        <w:t>Incorporated by reference from the Registrant’s Form 8-K filed on December 23, 2009, Exhibit 10.2</w:t>
      </w:r>
    </w:p>
    <w:p>
      <w:pPr>
        <w:spacing w:after="0" w:line="130" w:lineRule="exact"/>
        <w:rPr>
          <w:rFonts w:ascii="Arial" w:cs="Arial" w:eastAsia="Arial" w:hAnsi="Arial"/>
          <w:sz w:val="18"/>
          <w:szCs w:val="18"/>
          <w:u w:val="single" w:color="auto"/>
          <w:color w:val="0000FF"/>
        </w:rPr>
      </w:pPr>
    </w:p>
    <w:p>
      <w:pPr>
        <w:ind w:right="360"/>
        <w:spacing w:after="0" w:line="277" w:lineRule="auto"/>
        <w:rPr>
          <w:sz w:val="20"/>
          <w:szCs w:val="20"/>
          <w:color w:val="auto"/>
        </w:rPr>
      </w:pPr>
      <w:r>
        <w:rPr>
          <w:rFonts w:ascii="Arial" w:cs="Arial" w:eastAsia="Arial" w:hAnsi="Arial"/>
          <w:sz w:val="18"/>
          <w:szCs w:val="18"/>
          <w:color w:val="auto"/>
        </w:rPr>
        <w:t>Incorporated by reference from the Registrant’s Form 8-K filed on February 28, 2013, Exhibit 99.1</w:t>
      </w:r>
    </w:p>
    <w:p>
      <w:pPr>
        <w:spacing w:after="0" w:line="130" w:lineRule="exact"/>
        <w:rPr>
          <w:rFonts w:ascii="Arial" w:cs="Arial" w:eastAsia="Arial" w:hAnsi="Arial"/>
          <w:sz w:val="18"/>
          <w:szCs w:val="18"/>
          <w:u w:val="single" w:color="auto"/>
          <w:color w:val="0000FF"/>
        </w:rPr>
      </w:pPr>
    </w:p>
    <w:p>
      <w:pPr>
        <w:ind w:right="360"/>
        <w:spacing w:after="0" w:line="277" w:lineRule="auto"/>
        <w:rPr>
          <w:sz w:val="20"/>
          <w:szCs w:val="20"/>
          <w:color w:val="auto"/>
        </w:rPr>
      </w:pPr>
      <w:r>
        <w:rPr>
          <w:rFonts w:ascii="Arial" w:cs="Arial" w:eastAsia="Arial" w:hAnsi="Arial"/>
          <w:sz w:val="18"/>
          <w:szCs w:val="18"/>
          <w:color w:val="auto"/>
        </w:rPr>
        <w:t>Incorporated by reference from the Registrant’s Form 8-K filed on September 4, 2014, Exhibit 99.1</w:t>
      </w:r>
    </w:p>
    <w:p>
      <w:pPr>
        <w:spacing w:after="0" w:line="130" w:lineRule="exact"/>
        <w:rPr>
          <w:rFonts w:ascii="Arial" w:cs="Arial" w:eastAsia="Arial" w:hAnsi="Arial"/>
          <w:sz w:val="18"/>
          <w:szCs w:val="18"/>
          <w:u w:val="single" w:color="auto"/>
          <w:color w:val="0000FF"/>
        </w:rPr>
      </w:pPr>
    </w:p>
    <w:p>
      <w:pPr>
        <w:ind w:right="360"/>
        <w:spacing w:after="0" w:line="277" w:lineRule="auto"/>
        <w:rPr>
          <w:sz w:val="20"/>
          <w:szCs w:val="20"/>
          <w:color w:val="auto"/>
        </w:rPr>
      </w:pPr>
      <w:r>
        <w:rPr>
          <w:rFonts w:ascii="Arial" w:cs="Arial" w:eastAsia="Arial" w:hAnsi="Arial"/>
          <w:sz w:val="18"/>
          <w:szCs w:val="18"/>
          <w:color w:val="auto"/>
        </w:rPr>
        <w:t>Incorporated by reference from the Registrant’s Form 8-K filed on October 2, 2015, Exhibit 99.1</w:t>
      </w:r>
    </w:p>
    <w:p>
      <w:pPr>
        <w:spacing w:after="0" w:line="130" w:lineRule="exact"/>
        <w:rPr>
          <w:rFonts w:ascii="Arial" w:cs="Arial" w:eastAsia="Arial" w:hAnsi="Arial"/>
          <w:sz w:val="18"/>
          <w:szCs w:val="18"/>
          <w:u w:val="single" w:color="auto"/>
          <w:color w:val="0000FF"/>
        </w:rPr>
      </w:pPr>
    </w:p>
    <w:p>
      <w:pPr>
        <w:ind w:right="360"/>
        <w:spacing w:after="0" w:line="277" w:lineRule="auto"/>
        <w:rPr>
          <w:sz w:val="20"/>
          <w:szCs w:val="20"/>
          <w:color w:val="auto"/>
        </w:rPr>
      </w:pPr>
      <w:r>
        <w:rPr>
          <w:rFonts w:ascii="Arial" w:cs="Arial" w:eastAsia="Arial" w:hAnsi="Arial"/>
          <w:sz w:val="18"/>
          <w:szCs w:val="18"/>
          <w:color w:val="auto"/>
        </w:rPr>
        <w:t>Incorporated by reference from the Registrant’s Form 8-K filed on February 21, 2017, Exhibit 99.2</w:t>
      </w:r>
    </w:p>
    <w:p>
      <w:pPr>
        <w:spacing w:after="0" w:line="405" w:lineRule="exact"/>
        <w:rPr>
          <w:rFonts w:ascii="Arial" w:cs="Arial" w:eastAsia="Arial" w:hAnsi="Arial"/>
          <w:sz w:val="18"/>
          <w:szCs w:val="18"/>
          <w:u w:val="single" w:color="auto"/>
          <w:color w:val="0000FF"/>
        </w:rPr>
      </w:pPr>
    </w:p>
    <w:p>
      <w:pPr>
        <w:sectPr>
          <w:pgSz w:w="11900" w:h="16838" w:orient="portrait"/>
          <w:cols w:equalWidth="0" w:num="2">
            <w:col w:w="6020" w:space="180"/>
            <w:col w:w="5160"/>
          </w:cols>
          <w:pgMar w:left="240" w:top="126" w:right="299" w:bottom="1440" w:gutter="0" w:footer="0" w:header="0"/>
          <w:type w:val="continuous"/>
        </w:sectPr>
      </w:pPr>
    </w:p>
    <w:p>
      <w:pPr>
        <w:spacing w:after="0" w:line="200" w:lineRule="exact"/>
        <w:rPr>
          <w:rFonts w:ascii="Arial" w:cs="Arial" w:eastAsia="Arial" w:hAnsi="Arial"/>
          <w:sz w:val="18"/>
          <w:szCs w:val="18"/>
          <w:u w:val="single" w:color="auto"/>
          <w:color w:val="0000FF"/>
        </w:rPr>
      </w:pPr>
    </w:p>
    <w:p>
      <w:pPr>
        <w:spacing w:after="0" w:line="285"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360"/>
          </w:cols>
          <w:pgMar w:left="240" w:top="126" w:right="299" w:bottom="1440" w:gutter="0" w:footer="0" w:header="0"/>
          <w:type w:val="continuous"/>
        </w:sectPr>
      </w:pPr>
    </w:p>
    <w:bookmarkStart w:id="73" w:name="page74"/>
    <w:bookmarkEnd w:id="73"/>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left="3220"/>
        <w:spacing w:after="0"/>
        <w:tabs>
          <w:tab w:leader="none" w:pos="814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p>
      <w:pPr>
        <w:spacing w:after="0" w:line="81" w:lineRule="exact"/>
        <w:rPr>
          <w:sz w:val="20"/>
          <w:szCs w:val="20"/>
          <w:color w:val="auto"/>
        </w:rPr>
      </w:pPr>
    </w:p>
    <w:p>
      <w:pPr>
        <w:ind w:left="960" w:right="320" w:hanging="917"/>
        <w:spacing w:after="0" w:line="277"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10.79</w:t>
      </w:r>
      <w:r>
        <w:rPr>
          <w:sz w:val="20"/>
          <w:szCs w:val="20"/>
          <w:color w:val="auto"/>
        </w:rPr>
        <w:tab/>
      </w:r>
      <w:hyperlink r:id="rId160">
        <w:r>
          <w:rPr>
            <w:rFonts w:ascii="Arial" w:cs="Arial" w:eastAsia="Arial" w:hAnsi="Arial"/>
            <w:sz w:val="18"/>
            <w:szCs w:val="18"/>
            <w:u w:val="single" w:color="auto"/>
            <w:color w:val="0000FF"/>
          </w:rPr>
          <w:t>Press release dated December 3, 2013 announcing the pricing of a</w:t>
        </w:r>
      </w:hyperlink>
      <w:r>
        <w:rPr>
          <w:rFonts w:ascii="Arial" w:cs="Arial" w:eastAsia="Arial" w:hAnsi="Arial"/>
          <w:sz w:val="18"/>
          <w:szCs w:val="18"/>
          <w:u w:val="single" w:color="auto"/>
          <w:color w:val="0000FF"/>
        </w:rPr>
        <w:t xml:space="preserve"> </w:t>
      </w:r>
      <w:hyperlink r:id="rId160">
        <w:r>
          <w:rPr>
            <w:rFonts w:ascii="Arial" w:cs="Arial" w:eastAsia="Arial" w:hAnsi="Arial"/>
            <w:sz w:val="18"/>
            <w:szCs w:val="18"/>
            <w:u w:val="single" w:color="auto"/>
            <w:color w:val="0000FF"/>
          </w:rPr>
          <w:t>private offering of 2044 Notes</w:t>
        </w:r>
      </w:hyperlink>
    </w:p>
    <w:p>
      <w:pPr>
        <w:spacing w:after="0" w:line="130" w:lineRule="exact"/>
        <w:rPr>
          <w:sz w:val="20"/>
          <w:szCs w:val="20"/>
          <w:color w:val="auto"/>
        </w:rPr>
      </w:pPr>
    </w:p>
    <w:p>
      <w:pPr>
        <w:ind w:left="960" w:hanging="917"/>
        <w:spacing w:after="0" w:line="277"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10.80</w:t>
      </w:r>
      <w:r>
        <w:rPr>
          <w:sz w:val="20"/>
          <w:szCs w:val="20"/>
          <w:color w:val="auto"/>
        </w:rPr>
        <w:tab/>
      </w:r>
      <w:hyperlink r:id="rId161">
        <w:r>
          <w:rPr>
            <w:rFonts w:ascii="Arial" w:cs="Arial" w:eastAsia="Arial" w:hAnsi="Arial"/>
            <w:sz w:val="18"/>
            <w:szCs w:val="18"/>
            <w:u w:val="single" w:color="auto"/>
            <w:color w:val="0000FF"/>
          </w:rPr>
          <w:t>Press release dated December 3, 2013 announcing the commencement</w:t>
        </w:r>
      </w:hyperlink>
      <w:r>
        <w:rPr>
          <w:rFonts w:ascii="Arial" w:cs="Arial" w:eastAsia="Arial" w:hAnsi="Arial"/>
          <w:sz w:val="18"/>
          <w:szCs w:val="18"/>
          <w:u w:val="single" w:color="auto"/>
          <w:color w:val="0000FF"/>
        </w:rPr>
        <w:t xml:space="preserve"> </w:t>
      </w:r>
      <w:hyperlink r:id="rId161">
        <w:r>
          <w:rPr>
            <w:rFonts w:ascii="Arial" w:cs="Arial" w:eastAsia="Arial" w:hAnsi="Arial"/>
            <w:sz w:val="18"/>
            <w:szCs w:val="18"/>
            <w:u w:val="single" w:color="auto"/>
            <w:color w:val="0000FF"/>
          </w:rPr>
          <w:t>of a private exchange offering</w:t>
        </w:r>
      </w:hyperlink>
    </w:p>
    <w:p>
      <w:pPr>
        <w:spacing w:after="0" w:line="130" w:lineRule="exact"/>
        <w:rPr>
          <w:sz w:val="20"/>
          <w:szCs w:val="20"/>
          <w:color w:val="auto"/>
        </w:rPr>
      </w:pPr>
    </w:p>
    <w:p>
      <w:pPr>
        <w:ind w:left="960" w:right="80" w:hanging="917"/>
        <w:spacing w:after="0" w:line="277"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10.81</w:t>
      </w:r>
      <w:r>
        <w:rPr>
          <w:sz w:val="20"/>
          <w:szCs w:val="20"/>
          <w:color w:val="auto"/>
        </w:rPr>
        <w:tab/>
      </w:r>
      <w:hyperlink r:id="rId162">
        <w:r>
          <w:rPr>
            <w:rFonts w:ascii="Arial" w:cs="Arial" w:eastAsia="Arial" w:hAnsi="Arial"/>
            <w:sz w:val="18"/>
            <w:szCs w:val="18"/>
            <w:u w:val="single" w:color="auto"/>
            <w:color w:val="0000FF"/>
          </w:rPr>
          <w:t>Press release dated December 12, 2013 announcing the closing of the</w:t>
        </w:r>
      </w:hyperlink>
      <w:r>
        <w:rPr>
          <w:rFonts w:ascii="Arial" w:cs="Arial" w:eastAsia="Arial" w:hAnsi="Arial"/>
          <w:sz w:val="18"/>
          <w:szCs w:val="18"/>
          <w:u w:val="single" w:color="auto"/>
          <w:color w:val="0000FF"/>
        </w:rPr>
        <w:t xml:space="preserve"> </w:t>
      </w:r>
      <w:hyperlink r:id="rId162">
        <w:r>
          <w:rPr>
            <w:rFonts w:ascii="Arial" w:cs="Arial" w:eastAsia="Arial" w:hAnsi="Arial"/>
            <w:sz w:val="18"/>
            <w:szCs w:val="18"/>
            <w:u w:val="single" w:color="auto"/>
            <w:color w:val="0000FF"/>
          </w:rPr>
          <w:t>private offering of 2044 Notes</w:t>
        </w:r>
      </w:hyperlink>
    </w:p>
    <w:p>
      <w:pPr>
        <w:spacing w:after="0" w:line="130" w:lineRule="exact"/>
        <w:rPr>
          <w:sz w:val="20"/>
          <w:szCs w:val="20"/>
          <w:color w:val="auto"/>
        </w:rPr>
      </w:pPr>
    </w:p>
    <w:p>
      <w:pPr>
        <w:ind w:left="960" w:right="240" w:hanging="917"/>
        <w:spacing w:after="0" w:line="277"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10.82</w:t>
      </w:r>
      <w:r>
        <w:rPr>
          <w:sz w:val="20"/>
          <w:szCs w:val="20"/>
          <w:color w:val="auto"/>
        </w:rPr>
        <w:tab/>
      </w:r>
      <w:hyperlink r:id="rId163">
        <w:r>
          <w:rPr>
            <w:rFonts w:ascii="Arial" w:cs="Arial" w:eastAsia="Arial" w:hAnsi="Arial"/>
            <w:sz w:val="18"/>
            <w:szCs w:val="18"/>
            <w:u w:val="single" w:color="auto"/>
            <w:color w:val="0000FF"/>
          </w:rPr>
          <w:t>Press release dated December 17, 2013 relating to the expiration of</w:t>
        </w:r>
      </w:hyperlink>
      <w:r>
        <w:rPr>
          <w:rFonts w:ascii="Arial" w:cs="Arial" w:eastAsia="Arial" w:hAnsi="Arial"/>
          <w:sz w:val="18"/>
          <w:szCs w:val="18"/>
          <w:u w:val="single" w:color="auto"/>
          <w:color w:val="0000FF"/>
        </w:rPr>
        <w:t xml:space="preserve"> </w:t>
      </w:r>
      <w:hyperlink r:id="rId163">
        <w:r>
          <w:rPr>
            <w:rFonts w:ascii="Arial" w:cs="Arial" w:eastAsia="Arial" w:hAnsi="Arial"/>
            <w:sz w:val="18"/>
            <w:szCs w:val="18"/>
            <w:u w:val="single" w:color="auto"/>
            <w:color w:val="0000FF"/>
          </w:rPr>
          <w:t>the early participation period</w:t>
        </w:r>
      </w:hyperlink>
    </w:p>
    <w:p>
      <w:pPr>
        <w:spacing w:after="0" w:line="130" w:lineRule="exact"/>
        <w:rPr>
          <w:sz w:val="20"/>
          <w:szCs w:val="20"/>
          <w:color w:val="auto"/>
        </w:rPr>
      </w:pPr>
    </w:p>
    <w:p>
      <w:pPr>
        <w:ind w:left="960" w:right="440" w:hanging="917"/>
        <w:spacing w:after="0" w:line="277"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10.83</w:t>
      </w:r>
      <w:r>
        <w:rPr>
          <w:sz w:val="20"/>
          <w:szCs w:val="20"/>
          <w:color w:val="auto"/>
        </w:rPr>
        <w:tab/>
      </w:r>
      <w:hyperlink r:id="rId164">
        <w:r>
          <w:rPr>
            <w:rFonts w:ascii="Arial" w:cs="Arial" w:eastAsia="Arial" w:hAnsi="Arial"/>
            <w:sz w:val="18"/>
            <w:szCs w:val="18"/>
            <w:u w:val="single" w:color="auto"/>
            <w:color w:val="0000FF"/>
          </w:rPr>
          <w:t>Press release dated January 2, 2014 relating to the closing of the</w:t>
        </w:r>
      </w:hyperlink>
      <w:r>
        <w:rPr>
          <w:rFonts w:ascii="Arial" w:cs="Arial" w:eastAsia="Arial" w:hAnsi="Arial"/>
          <w:sz w:val="18"/>
          <w:szCs w:val="18"/>
          <w:u w:val="single" w:color="auto"/>
          <w:color w:val="0000FF"/>
        </w:rPr>
        <w:t xml:space="preserve"> </w:t>
      </w:r>
      <w:hyperlink r:id="rId164">
        <w:r>
          <w:rPr>
            <w:rFonts w:ascii="Arial" w:cs="Arial" w:eastAsia="Arial" w:hAnsi="Arial"/>
            <w:sz w:val="18"/>
            <w:szCs w:val="18"/>
            <w:u w:val="single" w:color="auto"/>
            <w:color w:val="0000FF"/>
          </w:rPr>
          <w:t>private exchange offer</w:t>
        </w:r>
      </w:hyperlink>
    </w:p>
    <w:p>
      <w:pPr>
        <w:spacing w:after="0" w:line="130" w:lineRule="exact"/>
        <w:rPr>
          <w:sz w:val="20"/>
          <w:szCs w:val="20"/>
          <w:color w:val="auto"/>
        </w:rPr>
      </w:pPr>
    </w:p>
    <w:p>
      <w:pPr>
        <w:ind w:left="960" w:right="340" w:hanging="917"/>
        <w:spacing w:after="0" w:line="264"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10.84</w:t>
      </w:r>
      <w:r>
        <w:rPr>
          <w:sz w:val="20"/>
          <w:szCs w:val="20"/>
          <w:color w:val="auto"/>
        </w:rPr>
        <w:tab/>
      </w:r>
      <w:hyperlink r:id="rId165">
        <w:r>
          <w:rPr>
            <w:rFonts w:ascii="Arial" w:cs="Arial" w:eastAsia="Arial" w:hAnsi="Arial"/>
            <w:sz w:val="18"/>
            <w:szCs w:val="18"/>
            <w:u w:val="single" w:color="auto"/>
            <w:color w:val="0000FF"/>
          </w:rPr>
          <w:t>Purchase and Sale Agreement by and among Nordstrom, Inc.,</w:t>
        </w:r>
      </w:hyperlink>
      <w:r>
        <w:rPr>
          <w:rFonts w:ascii="Arial" w:cs="Arial" w:eastAsia="Arial" w:hAnsi="Arial"/>
          <w:sz w:val="18"/>
          <w:szCs w:val="18"/>
          <w:u w:val="single" w:color="auto"/>
          <w:color w:val="0000FF"/>
        </w:rPr>
        <w:t xml:space="preserve"> </w:t>
      </w:r>
      <w:hyperlink r:id="rId165">
        <w:r>
          <w:rPr>
            <w:rFonts w:ascii="Arial" w:cs="Arial" w:eastAsia="Arial" w:hAnsi="Arial"/>
            <w:sz w:val="18"/>
            <w:szCs w:val="18"/>
            <w:u w:val="single" w:color="auto"/>
            <w:color w:val="0000FF"/>
          </w:rPr>
          <w:t>Nordstrom Credit, Inc., Nordstrom FSB and TD Bank USA, N.A.</w:t>
        </w:r>
      </w:hyperlink>
      <w:r>
        <w:rPr>
          <w:rFonts w:ascii="Arial" w:cs="Arial" w:eastAsia="Arial" w:hAnsi="Arial"/>
          <w:sz w:val="18"/>
          <w:szCs w:val="18"/>
          <w:u w:val="single" w:color="auto"/>
          <w:color w:val="0000FF"/>
        </w:rPr>
        <w:t xml:space="preserve"> </w:t>
      </w:r>
      <w:hyperlink r:id="rId165">
        <w:r>
          <w:rPr>
            <w:rFonts w:ascii="Arial" w:cs="Arial" w:eastAsia="Arial" w:hAnsi="Arial"/>
            <w:sz w:val="18"/>
            <w:szCs w:val="18"/>
            <w:u w:val="single" w:color="auto"/>
            <w:color w:val="0000FF"/>
          </w:rPr>
          <w:t>dated May 25, 2015</w:t>
        </w:r>
      </w:hyperlink>
    </w:p>
    <w:p>
      <w:pPr>
        <w:spacing w:after="0" w:line="141" w:lineRule="exact"/>
        <w:rPr>
          <w:rFonts w:ascii="Arial" w:cs="Arial" w:eastAsia="Arial" w:hAnsi="Arial"/>
          <w:sz w:val="18"/>
          <w:szCs w:val="18"/>
          <w:u w:val="single" w:color="auto"/>
          <w:color w:val="0000FF"/>
        </w:rPr>
      </w:pPr>
    </w:p>
    <w:p>
      <w:pPr>
        <w:ind w:left="960" w:right="420" w:hanging="917"/>
        <w:spacing w:after="0" w:line="342" w:lineRule="auto"/>
        <w:tabs>
          <w:tab w:leader="none" w:pos="940" w:val="left"/>
        </w:tabs>
        <w:rPr>
          <w:rFonts w:ascii="Arial" w:cs="Arial" w:eastAsia="Arial" w:hAnsi="Arial"/>
          <w:sz w:val="16"/>
          <w:szCs w:val="16"/>
          <w:u w:val="single" w:color="auto"/>
          <w:color w:val="0000FF"/>
        </w:rPr>
      </w:pPr>
      <w:r>
        <w:rPr>
          <w:rFonts w:ascii="Arial" w:cs="Arial" w:eastAsia="Arial" w:hAnsi="Arial"/>
          <w:sz w:val="18"/>
          <w:szCs w:val="18"/>
          <w:color w:val="auto"/>
        </w:rPr>
        <w:t>10.85</w:t>
      </w:r>
      <w:r>
        <w:rPr>
          <w:sz w:val="20"/>
          <w:szCs w:val="20"/>
          <w:color w:val="auto"/>
        </w:rPr>
        <w:tab/>
      </w:r>
      <w:hyperlink r:id="rId166">
        <w:r>
          <w:rPr>
            <w:rFonts w:ascii="Arial" w:cs="Arial" w:eastAsia="Arial" w:hAnsi="Arial"/>
            <w:sz w:val="16"/>
            <w:szCs w:val="16"/>
            <w:u w:val="single" w:color="auto"/>
            <w:color w:val="0000FF"/>
          </w:rPr>
          <w:t>Credit Card Program Agreement by and among Nordstrom, Inc.,</w:t>
        </w:r>
      </w:hyperlink>
      <w:r>
        <w:rPr>
          <w:rFonts w:ascii="Arial" w:cs="Arial" w:eastAsia="Arial" w:hAnsi="Arial"/>
          <w:sz w:val="16"/>
          <w:szCs w:val="16"/>
          <w:u w:val="single" w:color="auto"/>
          <w:color w:val="0000FF"/>
        </w:rPr>
        <w:t xml:space="preserve"> </w:t>
      </w:r>
      <w:hyperlink r:id="rId166">
        <w:r>
          <w:rPr>
            <w:rFonts w:ascii="Arial" w:cs="Arial" w:eastAsia="Arial" w:hAnsi="Arial"/>
            <w:sz w:val="16"/>
            <w:szCs w:val="16"/>
            <w:u w:val="single" w:color="auto"/>
            <w:color w:val="0000FF"/>
          </w:rPr>
          <w:t>Nordstrom FSB and TD Bank USA, N.A. dated May 25, 2015</w:t>
        </w:r>
      </w:hyperlink>
    </w:p>
    <w:p>
      <w:pPr>
        <w:spacing w:after="0" w:line="83" w:lineRule="exact"/>
        <w:rPr>
          <w:sz w:val="20"/>
          <w:szCs w:val="20"/>
          <w:color w:val="auto"/>
        </w:rPr>
      </w:pPr>
    </w:p>
    <w:p>
      <w:pPr>
        <w:ind w:left="40"/>
        <w:spacing w:after="0"/>
        <w:tabs>
          <w:tab w:leader="none" w:pos="940" w:val="left"/>
        </w:tabs>
        <w:rPr>
          <w:rFonts w:ascii="Arial" w:cs="Arial" w:eastAsia="Arial" w:hAnsi="Arial"/>
          <w:sz w:val="15"/>
          <w:szCs w:val="15"/>
          <w:u w:val="single" w:color="auto"/>
          <w:color w:val="0000FF"/>
        </w:rPr>
      </w:pPr>
      <w:r>
        <w:rPr>
          <w:rFonts w:ascii="Arial" w:cs="Arial" w:eastAsia="Arial" w:hAnsi="Arial"/>
          <w:sz w:val="18"/>
          <w:szCs w:val="18"/>
          <w:color w:val="auto"/>
        </w:rPr>
        <w:t>10.86</w:t>
      </w:r>
      <w:r>
        <w:rPr>
          <w:sz w:val="20"/>
          <w:szCs w:val="20"/>
          <w:color w:val="auto"/>
        </w:rPr>
        <w:tab/>
      </w:r>
      <w:hyperlink r:id="rId167">
        <w:r>
          <w:rPr>
            <w:rFonts w:ascii="Arial" w:cs="Arial" w:eastAsia="Arial" w:hAnsi="Arial"/>
            <w:sz w:val="15"/>
            <w:szCs w:val="15"/>
            <w:u w:val="single" w:color="auto"/>
            <w:color w:val="0000FF"/>
          </w:rPr>
          <w:t>Letter agreement, dated June 7, 2017</w:t>
        </w:r>
      </w:hyperlink>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Incorporated by reference from the Registrant’s Form 8-K filed on December 4, 2013, Exhibit 99.1</w:t>
      </w:r>
    </w:p>
    <w:p>
      <w:pPr>
        <w:spacing w:after="0" w:line="13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Incorporated by reference from the Registrant’s Form 8-K filed on December 4, 2013, Exhibit 99.2</w:t>
      </w:r>
    </w:p>
    <w:p>
      <w:pPr>
        <w:spacing w:after="0" w:line="13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Incorporated by reference from the Registrant’s Form 8-K filed on December 12, 2013, Exhibit 99.1</w:t>
      </w:r>
    </w:p>
    <w:p>
      <w:pPr>
        <w:spacing w:after="0" w:line="13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Incorporated by reference from the Registrant’s Form 8-K filed on December 17, 2013, Exhibit 99.1</w:t>
      </w:r>
    </w:p>
    <w:p>
      <w:pPr>
        <w:spacing w:after="0" w:line="13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Incorporated by reference from the Registrant’s Form 8-K filed on January 2, 2014, Exhibit 99.1</w:t>
      </w:r>
    </w:p>
    <w:p>
      <w:pPr>
        <w:spacing w:after="0" w:line="130"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Incorporated by reference from the Registrant’s Quarterly Report on Form 10-Q for the quarter ended August 1, 2015, Exhibit 10.1</w:t>
      </w:r>
    </w:p>
    <w:p>
      <w:pPr>
        <w:spacing w:after="0" w:line="322"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Incorporated by reference from the Registrant’s Quarterly Report on Form 10-Q for the quarter ended October 31, 2015, Exhibit 10.1</w:t>
      </w:r>
    </w:p>
    <w:p>
      <w:pPr>
        <w:spacing w:after="0" w:line="8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Incorporated by reference from the Registrant’s Form 8-K filed on June 8, 2017, Exhibit 99.2, and the Registrant’s SC 13D filed on June 8, 2017, Exhibit 3</w:t>
      </w:r>
    </w:p>
    <w:p>
      <w:pPr>
        <w:spacing w:after="0" w:line="124" w:lineRule="exact"/>
        <w:rPr>
          <w:sz w:val="20"/>
          <w:szCs w:val="20"/>
          <w:color w:val="auto"/>
        </w:rPr>
      </w:pPr>
    </w:p>
    <w:p>
      <w:pPr>
        <w:sectPr>
          <w:pgSz w:w="11900" w:h="16838" w:orient="portrait"/>
          <w:cols w:equalWidth="0" w:num="2">
            <w:col w:w="6020" w:space="180"/>
            <w:col w:w="5220"/>
          </w:cols>
          <w:pgMar w:left="240" w:top="126" w:right="2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960" w:type="dxa"/>
            <w:vAlign w:val="bottom"/>
          </w:tcPr>
          <w:p>
            <w:pPr>
              <w:ind w:left="40"/>
              <w:spacing w:after="0"/>
              <w:rPr>
                <w:sz w:val="20"/>
                <w:szCs w:val="20"/>
                <w:color w:val="auto"/>
              </w:rPr>
            </w:pPr>
            <w:r>
              <w:rPr>
                <w:rFonts w:ascii="Arial" w:cs="Arial" w:eastAsia="Arial" w:hAnsi="Arial"/>
                <w:sz w:val="18"/>
                <w:szCs w:val="18"/>
                <w:color w:val="auto"/>
              </w:rPr>
              <w:t>21.1</w:t>
            </w:r>
          </w:p>
        </w:tc>
        <w:tc>
          <w:tcPr>
            <w:tcW w:w="5100" w:type="dxa"/>
            <w:vAlign w:val="bottom"/>
            <w:gridSpan w:val="9"/>
          </w:tcPr>
          <w:p>
            <w:pPr>
              <w:spacing w:after="0"/>
              <w:rPr>
                <w:rFonts w:ascii="Arial" w:cs="Arial" w:eastAsia="Arial" w:hAnsi="Arial"/>
                <w:sz w:val="18"/>
                <w:szCs w:val="18"/>
                <w:color w:val="0000FF"/>
              </w:rPr>
            </w:pPr>
            <w:hyperlink w:anchor="page135">
              <w:r>
                <w:rPr>
                  <w:rFonts w:ascii="Arial" w:cs="Arial" w:eastAsia="Arial" w:hAnsi="Arial"/>
                  <w:sz w:val="18"/>
                  <w:szCs w:val="18"/>
                  <w:color w:val="0000FF"/>
                </w:rPr>
                <w:t>Significant subsidiaries of the Registrant</w:t>
              </w:r>
            </w:hyperlink>
          </w:p>
        </w:tc>
        <w:tc>
          <w:tcPr>
            <w:tcW w:w="5360" w:type="dxa"/>
            <w:vAlign w:val="bottom"/>
          </w:tcPr>
          <w:p>
            <w:pPr>
              <w:ind w:left="140"/>
              <w:spacing w:after="0"/>
              <w:rPr>
                <w:sz w:val="20"/>
                <w:szCs w:val="20"/>
                <w:color w:val="auto"/>
              </w:rPr>
            </w:pPr>
            <w:r>
              <w:rPr>
                <w:rFonts w:ascii="Arial" w:cs="Arial" w:eastAsia="Arial" w:hAnsi="Arial"/>
                <w:sz w:val="18"/>
                <w:szCs w:val="18"/>
                <w:color w:val="auto"/>
              </w:rPr>
              <w:t>Filed herewith electronically</w:t>
            </w:r>
          </w:p>
        </w:tc>
      </w:tr>
      <w:tr>
        <w:trPr>
          <w:trHeight w:val="20"/>
        </w:trPr>
        <w:tc>
          <w:tcPr>
            <w:tcW w:w="96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r>
      <w:tr>
        <w:trPr>
          <w:trHeight w:val="372"/>
        </w:trPr>
        <w:tc>
          <w:tcPr>
            <w:tcW w:w="960" w:type="dxa"/>
            <w:vAlign w:val="bottom"/>
          </w:tcPr>
          <w:p>
            <w:pPr>
              <w:ind w:left="40"/>
              <w:spacing w:after="0"/>
              <w:rPr>
                <w:sz w:val="20"/>
                <w:szCs w:val="20"/>
                <w:color w:val="auto"/>
              </w:rPr>
            </w:pPr>
            <w:r>
              <w:rPr>
                <w:rFonts w:ascii="Arial" w:cs="Arial" w:eastAsia="Arial" w:hAnsi="Arial"/>
                <w:sz w:val="18"/>
                <w:szCs w:val="18"/>
                <w:color w:val="auto"/>
              </w:rPr>
              <w:t>23.1</w:t>
            </w:r>
          </w:p>
        </w:tc>
        <w:tc>
          <w:tcPr>
            <w:tcW w:w="432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76">
              <w:r>
                <w:rPr>
                  <w:rFonts w:ascii="Arial" w:cs="Arial" w:eastAsia="Arial" w:hAnsi="Arial"/>
                  <w:sz w:val="18"/>
                  <w:szCs w:val="18"/>
                  <w:color w:val="0000EE"/>
                  <w:w w:val="90"/>
                </w:rPr>
                <w:t>Consent of Independent Registered Public Accounting Firm</w:t>
              </w:r>
            </w:hyperlink>
          </w:p>
        </w:tc>
        <w:tc>
          <w:tcPr>
            <w:tcW w:w="780" w:type="dxa"/>
            <w:vAlign w:val="bottom"/>
            <w:gridSpan w:val="4"/>
          </w:tcPr>
          <w:p>
            <w:pPr>
              <w:spacing w:after="0"/>
              <w:rPr>
                <w:sz w:val="24"/>
                <w:szCs w:val="24"/>
                <w:color w:val="auto"/>
              </w:rPr>
            </w:pPr>
          </w:p>
        </w:tc>
        <w:tc>
          <w:tcPr>
            <w:tcW w:w="5360" w:type="dxa"/>
            <w:vAlign w:val="bottom"/>
          </w:tcPr>
          <w:p>
            <w:pPr>
              <w:ind w:left="140"/>
              <w:spacing w:after="0"/>
              <w:rPr>
                <w:rFonts w:ascii="Arial" w:cs="Arial" w:eastAsia="Arial" w:hAnsi="Arial"/>
                <w:sz w:val="18"/>
                <w:szCs w:val="18"/>
                <w:color w:val="auto"/>
              </w:rPr>
            </w:pPr>
            <w:r>
              <w:rPr>
                <w:rFonts w:ascii="Arial" w:cs="Arial" w:eastAsia="Arial" w:hAnsi="Arial"/>
                <w:sz w:val="18"/>
                <w:szCs w:val="18"/>
                <w:color w:val="auto"/>
              </w:rPr>
              <w:t xml:space="preserve">Filed as page </w:t>
            </w:r>
            <w:hyperlink w:anchor="page76">
              <w:r>
                <w:rPr>
                  <w:rFonts w:ascii="Arial" w:cs="Arial" w:eastAsia="Arial" w:hAnsi="Arial"/>
                  <w:sz w:val="18"/>
                  <w:szCs w:val="18"/>
                  <w:color w:val="auto"/>
                </w:rPr>
                <w:t xml:space="preserve">75 </w:t>
              </w:r>
            </w:hyperlink>
            <w:r>
              <w:rPr>
                <w:rFonts w:ascii="Arial" w:cs="Arial" w:eastAsia="Arial" w:hAnsi="Arial"/>
                <w:sz w:val="18"/>
                <w:szCs w:val="18"/>
                <w:color w:val="auto"/>
              </w:rPr>
              <w:t>of this report</w:t>
            </w:r>
          </w:p>
        </w:tc>
      </w:tr>
      <w:tr>
        <w:trPr>
          <w:trHeight w:val="372"/>
        </w:trPr>
        <w:tc>
          <w:tcPr>
            <w:tcW w:w="960" w:type="dxa"/>
            <w:vAlign w:val="bottom"/>
          </w:tcPr>
          <w:p>
            <w:pPr>
              <w:ind w:left="40"/>
              <w:spacing w:after="0"/>
              <w:rPr>
                <w:sz w:val="20"/>
                <w:szCs w:val="20"/>
                <w:color w:val="auto"/>
              </w:rPr>
            </w:pPr>
            <w:r>
              <w:rPr>
                <w:rFonts w:ascii="Arial" w:cs="Arial" w:eastAsia="Arial" w:hAnsi="Arial"/>
                <w:sz w:val="18"/>
                <w:szCs w:val="18"/>
                <w:color w:val="auto"/>
              </w:rPr>
              <w:t>31.1</w:t>
            </w:r>
          </w:p>
        </w:tc>
        <w:tc>
          <w:tcPr>
            <w:tcW w:w="4520" w:type="dxa"/>
            <w:vAlign w:val="bottom"/>
            <w:tcBorders>
              <w:bottom w:val="single" w:sz="8" w:color="0000FF"/>
            </w:tcBorders>
            <w:gridSpan w:val="6"/>
          </w:tcPr>
          <w:p>
            <w:pPr>
              <w:spacing w:after="0"/>
              <w:rPr>
                <w:rFonts w:ascii="Arial" w:cs="Arial" w:eastAsia="Arial" w:hAnsi="Arial"/>
                <w:sz w:val="18"/>
                <w:szCs w:val="18"/>
                <w:color w:val="0000FF"/>
                <w:w w:val="91"/>
              </w:rPr>
            </w:pPr>
            <w:hyperlink w:anchor="page136">
              <w:r>
                <w:rPr>
                  <w:rFonts w:ascii="Arial" w:cs="Arial" w:eastAsia="Arial" w:hAnsi="Arial"/>
                  <w:sz w:val="18"/>
                  <w:szCs w:val="18"/>
                  <w:color w:val="0000FF"/>
                  <w:w w:val="91"/>
                </w:rPr>
                <w:t>Certification of Co-President required by Section 302(a) of the</w:t>
              </w:r>
            </w:hyperlink>
          </w:p>
        </w:tc>
        <w:tc>
          <w:tcPr>
            <w:tcW w:w="580" w:type="dxa"/>
            <w:vAlign w:val="bottom"/>
            <w:gridSpan w:val="3"/>
          </w:tcPr>
          <w:p>
            <w:pPr>
              <w:spacing w:after="0"/>
              <w:rPr>
                <w:sz w:val="24"/>
                <w:szCs w:val="24"/>
                <w:color w:val="auto"/>
              </w:rPr>
            </w:pPr>
          </w:p>
        </w:tc>
        <w:tc>
          <w:tcPr>
            <w:tcW w:w="5360" w:type="dxa"/>
            <w:vAlign w:val="bottom"/>
          </w:tcPr>
          <w:p>
            <w:pPr>
              <w:ind w:left="140"/>
              <w:spacing w:after="0"/>
              <w:rPr>
                <w:sz w:val="20"/>
                <w:szCs w:val="20"/>
                <w:color w:val="auto"/>
              </w:rPr>
            </w:pPr>
            <w:r>
              <w:rPr>
                <w:rFonts w:ascii="Arial" w:cs="Arial" w:eastAsia="Arial" w:hAnsi="Arial"/>
                <w:sz w:val="18"/>
                <w:szCs w:val="18"/>
                <w:color w:val="auto"/>
              </w:rPr>
              <w:t>Filed herewith electronically</w:t>
            </w:r>
          </w:p>
        </w:tc>
      </w:tr>
      <w:tr>
        <w:trPr>
          <w:trHeight w:val="196"/>
        </w:trPr>
        <w:tc>
          <w:tcPr>
            <w:tcW w:w="960" w:type="dxa"/>
            <w:vAlign w:val="bottom"/>
          </w:tcPr>
          <w:p>
            <w:pPr>
              <w:spacing w:after="0"/>
              <w:rPr>
                <w:sz w:val="17"/>
                <w:szCs w:val="17"/>
                <w:color w:val="auto"/>
              </w:rPr>
            </w:pPr>
          </w:p>
        </w:tc>
        <w:tc>
          <w:tcPr>
            <w:tcW w:w="5100" w:type="dxa"/>
            <w:vAlign w:val="bottom"/>
            <w:gridSpan w:val="9"/>
          </w:tcPr>
          <w:p>
            <w:pPr>
              <w:spacing w:after="0" w:line="196" w:lineRule="exact"/>
              <w:rPr>
                <w:rFonts w:ascii="Arial" w:cs="Arial" w:eastAsia="Arial" w:hAnsi="Arial"/>
                <w:sz w:val="18"/>
                <w:szCs w:val="18"/>
                <w:color w:val="0000FF"/>
              </w:rPr>
            </w:pPr>
            <w:hyperlink w:anchor="page136">
              <w:r>
                <w:rPr>
                  <w:rFonts w:ascii="Arial" w:cs="Arial" w:eastAsia="Arial" w:hAnsi="Arial"/>
                  <w:sz w:val="18"/>
                  <w:szCs w:val="18"/>
                  <w:color w:val="0000FF"/>
                </w:rPr>
                <w:t>Sarbanes-Oxley Act of 2002</w:t>
              </w:r>
            </w:hyperlink>
          </w:p>
        </w:tc>
        <w:tc>
          <w:tcPr>
            <w:tcW w:w="536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r>
      <w:tr>
        <w:trPr>
          <w:trHeight w:val="372"/>
        </w:trPr>
        <w:tc>
          <w:tcPr>
            <w:tcW w:w="960" w:type="dxa"/>
            <w:vAlign w:val="bottom"/>
          </w:tcPr>
          <w:p>
            <w:pPr>
              <w:ind w:left="40"/>
              <w:spacing w:after="0"/>
              <w:rPr>
                <w:sz w:val="20"/>
                <w:szCs w:val="20"/>
                <w:color w:val="auto"/>
              </w:rPr>
            </w:pPr>
            <w:r>
              <w:rPr>
                <w:rFonts w:ascii="Arial" w:cs="Arial" w:eastAsia="Arial" w:hAnsi="Arial"/>
                <w:sz w:val="18"/>
                <w:szCs w:val="18"/>
                <w:color w:val="auto"/>
              </w:rPr>
              <w:t>31.2</w:t>
            </w:r>
          </w:p>
        </w:tc>
        <w:tc>
          <w:tcPr>
            <w:tcW w:w="4320" w:type="dxa"/>
            <w:vAlign w:val="bottom"/>
            <w:tcBorders>
              <w:bottom w:val="single" w:sz="8" w:color="0000FF"/>
            </w:tcBorders>
            <w:gridSpan w:val="5"/>
          </w:tcPr>
          <w:p>
            <w:pPr>
              <w:spacing w:after="0"/>
              <w:rPr>
                <w:rFonts w:ascii="Arial" w:cs="Arial" w:eastAsia="Arial" w:hAnsi="Arial"/>
                <w:sz w:val="18"/>
                <w:szCs w:val="18"/>
                <w:color w:val="0000FF"/>
                <w:w w:val="94"/>
              </w:rPr>
            </w:pPr>
            <w:hyperlink w:anchor="page137">
              <w:r>
                <w:rPr>
                  <w:rFonts w:ascii="Arial" w:cs="Arial" w:eastAsia="Arial" w:hAnsi="Arial"/>
                  <w:sz w:val="18"/>
                  <w:szCs w:val="18"/>
                  <w:color w:val="0000FF"/>
                  <w:w w:val="94"/>
                </w:rPr>
                <w:t>Certification of Chief Financial Officer required by Section</w:t>
              </w:r>
            </w:hyperlink>
          </w:p>
        </w:tc>
        <w:tc>
          <w:tcPr>
            <w:tcW w:w="780" w:type="dxa"/>
            <w:vAlign w:val="bottom"/>
            <w:gridSpan w:val="4"/>
          </w:tcPr>
          <w:p>
            <w:pPr>
              <w:spacing w:after="0"/>
              <w:rPr>
                <w:sz w:val="24"/>
                <w:szCs w:val="24"/>
                <w:color w:val="auto"/>
              </w:rPr>
            </w:pPr>
          </w:p>
        </w:tc>
        <w:tc>
          <w:tcPr>
            <w:tcW w:w="5360" w:type="dxa"/>
            <w:vAlign w:val="bottom"/>
          </w:tcPr>
          <w:p>
            <w:pPr>
              <w:ind w:left="140"/>
              <w:spacing w:after="0"/>
              <w:rPr>
                <w:sz w:val="20"/>
                <w:szCs w:val="20"/>
                <w:color w:val="auto"/>
              </w:rPr>
            </w:pPr>
            <w:r>
              <w:rPr>
                <w:rFonts w:ascii="Arial" w:cs="Arial" w:eastAsia="Arial" w:hAnsi="Arial"/>
                <w:sz w:val="18"/>
                <w:szCs w:val="18"/>
                <w:color w:val="auto"/>
              </w:rPr>
              <w:t>Filed herewith electronically</w:t>
            </w:r>
          </w:p>
        </w:tc>
      </w:tr>
      <w:tr>
        <w:trPr>
          <w:trHeight w:val="196"/>
        </w:trPr>
        <w:tc>
          <w:tcPr>
            <w:tcW w:w="960" w:type="dxa"/>
            <w:vAlign w:val="bottom"/>
          </w:tcPr>
          <w:p>
            <w:pPr>
              <w:spacing w:after="0"/>
              <w:rPr>
                <w:sz w:val="17"/>
                <w:szCs w:val="17"/>
                <w:color w:val="auto"/>
              </w:rPr>
            </w:pPr>
          </w:p>
        </w:tc>
        <w:tc>
          <w:tcPr>
            <w:tcW w:w="5100" w:type="dxa"/>
            <w:vAlign w:val="bottom"/>
            <w:gridSpan w:val="9"/>
          </w:tcPr>
          <w:p>
            <w:pPr>
              <w:spacing w:after="0" w:line="196" w:lineRule="exact"/>
              <w:rPr>
                <w:rFonts w:ascii="Arial" w:cs="Arial" w:eastAsia="Arial" w:hAnsi="Arial"/>
                <w:sz w:val="18"/>
                <w:szCs w:val="18"/>
                <w:color w:val="0000FF"/>
              </w:rPr>
            </w:pPr>
            <w:hyperlink w:anchor="page137">
              <w:r>
                <w:rPr>
                  <w:rFonts w:ascii="Arial" w:cs="Arial" w:eastAsia="Arial" w:hAnsi="Arial"/>
                  <w:sz w:val="18"/>
                  <w:szCs w:val="18"/>
                  <w:color w:val="0000FF"/>
                </w:rPr>
                <w:t>302(a) of the Sarbanes-Oxley Act of 2002</w:t>
              </w:r>
            </w:hyperlink>
          </w:p>
        </w:tc>
        <w:tc>
          <w:tcPr>
            <w:tcW w:w="536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r>
      <w:tr>
        <w:trPr>
          <w:trHeight w:val="372"/>
        </w:trPr>
        <w:tc>
          <w:tcPr>
            <w:tcW w:w="960" w:type="dxa"/>
            <w:vAlign w:val="bottom"/>
          </w:tcPr>
          <w:p>
            <w:pPr>
              <w:ind w:left="40"/>
              <w:spacing w:after="0"/>
              <w:rPr>
                <w:sz w:val="20"/>
                <w:szCs w:val="20"/>
                <w:color w:val="auto"/>
              </w:rPr>
            </w:pPr>
            <w:r>
              <w:rPr>
                <w:rFonts w:ascii="Arial" w:cs="Arial" w:eastAsia="Arial" w:hAnsi="Arial"/>
                <w:sz w:val="18"/>
                <w:szCs w:val="18"/>
                <w:color w:val="auto"/>
              </w:rPr>
              <w:t>32.1</w:t>
            </w:r>
          </w:p>
        </w:tc>
        <w:tc>
          <w:tcPr>
            <w:tcW w:w="4960" w:type="dxa"/>
            <w:vAlign w:val="bottom"/>
            <w:tcBorders>
              <w:bottom w:val="single" w:sz="8" w:color="0000FF"/>
            </w:tcBorders>
            <w:gridSpan w:val="8"/>
          </w:tcPr>
          <w:p>
            <w:pPr>
              <w:spacing w:after="0"/>
              <w:rPr>
                <w:rFonts w:ascii="Arial" w:cs="Arial" w:eastAsia="Arial" w:hAnsi="Arial"/>
                <w:sz w:val="18"/>
                <w:szCs w:val="18"/>
                <w:color w:val="0000FF"/>
                <w:w w:val="91"/>
              </w:rPr>
            </w:pPr>
            <w:hyperlink w:anchor="page138">
              <w:r>
                <w:rPr>
                  <w:rFonts w:ascii="Arial" w:cs="Arial" w:eastAsia="Arial" w:hAnsi="Arial"/>
                  <w:sz w:val="18"/>
                  <w:szCs w:val="18"/>
                  <w:color w:val="0000FF"/>
                  <w:w w:val="91"/>
                </w:rPr>
                <w:t>Certification of Co-President and Chief Financial Officer pursuant to</w:t>
              </w:r>
            </w:hyperlink>
          </w:p>
        </w:tc>
        <w:tc>
          <w:tcPr>
            <w:tcW w:w="140" w:type="dxa"/>
            <w:vAlign w:val="bottom"/>
          </w:tcPr>
          <w:p>
            <w:pPr>
              <w:spacing w:after="0"/>
              <w:rPr>
                <w:sz w:val="24"/>
                <w:szCs w:val="24"/>
                <w:color w:val="auto"/>
              </w:rPr>
            </w:pPr>
          </w:p>
        </w:tc>
        <w:tc>
          <w:tcPr>
            <w:tcW w:w="5360" w:type="dxa"/>
            <w:vAlign w:val="bottom"/>
          </w:tcPr>
          <w:p>
            <w:pPr>
              <w:ind w:left="140"/>
              <w:spacing w:after="0"/>
              <w:rPr>
                <w:sz w:val="20"/>
                <w:szCs w:val="20"/>
                <w:color w:val="auto"/>
              </w:rPr>
            </w:pPr>
            <w:r>
              <w:rPr>
                <w:rFonts w:ascii="Arial" w:cs="Arial" w:eastAsia="Arial" w:hAnsi="Arial"/>
                <w:sz w:val="18"/>
                <w:szCs w:val="18"/>
                <w:color w:val="auto"/>
              </w:rPr>
              <w:t>Furnished herewith electronically</w:t>
            </w:r>
          </w:p>
        </w:tc>
      </w:tr>
      <w:tr>
        <w:trPr>
          <w:trHeight w:val="196"/>
        </w:trPr>
        <w:tc>
          <w:tcPr>
            <w:tcW w:w="960" w:type="dxa"/>
            <w:vAlign w:val="bottom"/>
          </w:tcPr>
          <w:p>
            <w:pPr>
              <w:spacing w:after="0"/>
              <w:rPr>
                <w:sz w:val="17"/>
                <w:szCs w:val="17"/>
                <w:color w:val="auto"/>
              </w:rPr>
            </w:pPr>
          </w:p>
        </w:tc>
        <w:tc>
          <w:tcPr>
            <w:tcW w:w="5100" w:type="dxa"/>
            <w:vAlign w:val="bottom"/>
            <w:gridSpan w:val="9"/>
          </w:tcPr>
          <w:p>
            <w:pPr>
              <w:spacing w:after="0" w:line="196" w:lineRule="exact"/>
              <w:rPr>
                <w:rFonts w:ascii="Arial" w:cs="Arial" w:eastAsia="Arial" w:hAnsi="Arial"/>
                <w:sz w:val="18"/>
                <w:szCs w:val="18"/>
                <w:color w:val="0000FF"/>
                <w:w w:val="91"/>
              </w:rPr>
            </w:pPr>
            <w:hyperlink w:anchor="page138">
              <w:r>
                <w:rPr>
                  <w:rFonts w:ascii="Arial" w:cs="Arial" w:eastAsia="Arial" w:hAnsi="Arial"/>
                  <w:sz w:val="18"/>
                  <w:szCs w:val="18"/>
                  <w:color w:val="0000FF"/>
                  <w:w w:val="91"/>
                </w:rPr>
                <w:t>18 U.S.C. 1350, as adopted pursuant to Section 906 of the Sarbanes-</w:t>
              </w:r>
            </w:hyperlink>
          </w:p>
        </w:tc>
        <w:tc>
          <w:tcPr>
            <w:tcW w:w="536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34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2"/>
              </w:rPr>
            </w:pPr>
            <w:hyperlink w:anchor="page138">
              <w:r>
                <w:rPr>
                  <w:rFonts w:ascii="Arial" w:cs="Arial" w:eastAsia="Arial" w:hAnsi="Arial"/>
                  <w:sz w:val="18"/>
                  <w:szCs w:val="18"/>
                  <w:color w:val="0000FF"/>
                  <w:w w:val="92"/>
                </w:rPr>
                <w:t>Oxley Act of 2002</w:t>
              </w:r>
            </w:hyperlink>
          </w:p>
        </w:tc>
        <w:tc>
          <w:tcPr>
            <w:tcW w:w="3580" w:type="dxa"/>
            <w:vAlign w:val="bottom"/>
            <w:tcBorders>
              <w:top w:val="single" w:sz="8" w:color="0000FF"/>
            </w:tcBorders>
            <w:gridSpan w:val="6"/>
          </w:tcPr>
          <w:p>
            <w:pPr>
              <w:spacing w:after="0"/>
              <w:rPr>
                <w:sz w:val="17"/>
                <w:szCs w:val="17"/>
                <w:color w:val="auto"/>
              </w:rPr>
            </w:pPr>
          </w:p>
        </w:tc>
        <w:tc>
          <w:tcPr>
            <w:tcW w:w="180" w:type="dxa"/>
            <w:vAlign w:val="bottom"/>
            <w:gridSpan w:val="2"/>
          </w:tcPr>
          <w:p>
            <w:pPr>
              <w:spacing w:after="0"/>
              <w:rPr>
                <w:sz w:val="17"/>
                <w:szCs w:val="17"/>
                <w:color w:val="auto"/>
              </w:rPr>
            </w:pPr>
          </w:p>
        </w:tc>
        <w:tc>
          <w:tcPr>
            <w:tcW w:w="5360" w:type="dxa"/>
            <w:vAlign w:val="bottom"/>
          </w:tcPr>
          <w:p>
            <w:pPr>
              <w:spacing w:after="0"/>
              <w:rPr>
                <w:sz w:val="17"/>
                <w:szCs w:val="17"/>
                <w:color w:val="auto"/>
              </w:rPr>
            </w:pPr>
          </w:p>
        </w:tc>
      </w:tr>
      <w:tr>
        <w:trPr>
          <w:trHeight w:val="412"/>
        </w:trPr>
        <w:tc>
          <w:tcPr>
            <w:tcW w:w="960" w:type="dxa"/>
            <w:vAlign w:val="bottom"/>
          </w:tcPr>
          <w:p>
            <w:pPr>
              <w:ind w:left="40"/>
              <w:spacing w:after="0"/>
              <w:rPr>
                <w:sz w:val="20"/>
                <w:szCs w:val="20"/>
                <w:color w:val="auto"/>
              </w:rPr>
            </w:pPr>
            <w:r>
              <w:rPr>
                <w:rFonts w:ascii="Arial" w:cs="Arial" w:eastAsia="Arial" w:hAnsi="Arial"/>
                <w:sz w:val="18"/>
                <w:szCs w:val="18"/>
                <w:color w:val="auto"/>
              </w:rPr>
              <w:t>101.INS</w:t>
            </w:r>
          </w:p>
        </w:tc>
        <w:tc>
          <w:tcPr>
            <w:tcW w:w="5100" w:type="dxa"/>
            <w:vAlign w:val="bottom"/>
            <w:gridSpan w:val="9"/>
          </w:tcPr>
          <w:p>
            <w:pPr>
              <w:spacing w:after="0"/>
              <w:rPr>
                <w:sz w:val="20"/>
                <w:szCs w:val="20"/>
                <w:color w:val="auto"/>
              </w:rPr>
            </w:pPr>
            <w:r>
              <w:rPr>
                <w:rFonts w:ascii="Arial" w:cs="Arial" w:eastAsia="Arial" w:hAnsi="Arial"/>
                <w:sz w:val="18"/>
                <w:szCs w:val="18"/>
                <w:color w:val="auto"/>
              </w:rPr>
              <w:t>XBRL Instance Document</w:t>
            </w:r>
          </w:p>
        </w:tc>
        <w:tc>
          <w:tcPr>
            <w:tcW w:w="5360" w:type="dxa"/>
            <w:vAlign w:val="bottom"/>
          </w:tcPr>
          <w:p>
            <w:pPr>
              <w:ind w:left="140"/>
              <w:spacing w:after="0"/>
              <w:rPr>
                <w:sz w:val="20"/>
                <w:szCs w:val="20"/>
                <w:color w:val="auto"/>
              </w:rPr>
            </w:pPr>
            <w:r>
              <w:rPr>
                <w:rFonts w:ascii="Arial" w:cs="Arial" w:eastAsia="Arial" w:hAnsi="Arial"/>
                <w:sz w:val="18"/>
                <w:szCs w:val="18"/>
                <w:color w:val="auto"/>
              </w:rPr>
              <w:t>Filed herewith electronically</w:t>
            </w:r>
          </w:p>
        </w:tc>
      </w:tr>
      <w:tr>
        <w:trPr>
          <w:trHeight w:val="392"/>
        </w:trPr>
        <w:tc>
          <w:tcPr>
            <w:tcW w:w="960" w:type="dxa"/>
            <w:vAlign w:val="bottom"/>
          </w:tcPr>
          <w:p>
            <w:pPr>
              <w:ind w:left="40"/>
              <w:spacing w:after="0"/>
              <w:rPr>
                <w:sz w:val="20"/>
                <w:szCs w:val="20"/>
                <w:color w:val="auto"/>
              </w:rPr>
            </w:pPr>
            <w:r>
              <w:rPr>
                <w:rFonts w:ascii="Arial" w:cs="Arial" w:eastAsia="Arial" w:hAnsi="Arial"/>
                <w:sz w:val="18"/>
                <w:szCs w:val="18"/>
                <w:color w:val="auto"/>
              </w:rPr>
              <w:t>101.SCH</w:t>
            </w:r>
          </w:p>
        </w:tc>
        <w:tc>
          <w:tcPr>
            <w:tcW w:w="5100" w:type="dxa"/>
            <w:vAlign w:val="bottom"/>
            <w:gridSpan w:val="9"/>
          </w:tcPr>
          <w:p>
            <w:pPr>
              <w:spacing w:after="0"/>
              <w:rPr>
                <w:sz w:val="20"/>
                <w:szCs w:val="20"/>
                <w:color w:val="auto"/>
              </w:rPr>
            </w:pPr>
            <w:r>
              <w:rPr>
                <w:rFonts w:ascii="Arial" w:cs="Arial" w:eastAsia="Arial" w:hAnsi="Arial"/>
                <w:sz w:val="18"/>
                <w:szCs w:val="18"/>
                <w:color w:val="auto"/>
              </w:rPr>
              <w:t>XBRL Taxonomy Extension Schema Document</w:t>
            </w:r>
          </w:p>
        </w:tc>
        <w:tc>
          <w:tcPr>
            <w:tcW w:w="5360" w:type="dxa"/>
            <w:vAlign w:val="bottom"/>
          </w:tcPr>
          <w:p>
            <w:pPr>
              <w:ind w:left="140"/>
              <w:spacing w:after="0"/>
              <w:rPr>
                <w:sz w:val="20"/>
                <w:szCs w:val="20"/>
                <w:color w:val="auto"/>
              </w:rPr>
            </w:pPr>
            <w:r>
              <w:rPr>
                <w:rFonts w:ascii="Arial" w:cs="Arial" w:eastAsia="Arial" w:hAnsi="Arial"/>
                <w:sz w:val="18"/>
                <w:szCs w:val="18"/>
                <w:color w:val="auto"/>
              </w:rPr>
              <w:t>Filed herewith electronically</w:t>
            </w:r>
          </w:p>
        </w:tc>
      </w:tr>
      <w:tr>
        <w:trPr>
          <w:trHeight w:val="392"/>
        </w:trPr>
        <w:tc>
          <w:tcPr>
            <w:tcW w:w="960" w:type="dxa"/>
            <w:vAlign w:val="bottom"/>
          </w:tcPr>
          <w:p>
            <w:pPr>
              <w:ind w:left="40"/>
              <w:spacing w:after="0"/>
              <w:rPr>
                <w:sz w:val="20"/>
                <w:szCs w:val="20"/>
                <w:color w:val="auto"/>
              </w:rPr>
            </w:pPr>
            <w:r>
              <w:rPr>
                <w:rFonts w:ascii="Arial" w:cs="Arial" w:eastAsia="Arial" w:hAnsi="Arial"/>
                <w:sz w:val="18"/>
                <w:szCs w:val="18"/>
                <w:color w:val="auto"/>
              </w:rPr>
              <w:t>101.CAL</w:t>
            </w:r>
          </w:p>
        </w:tc>
        <w:tc>
          <w:tcPr>
            <w:tcW w:w="5100" w:type="dxa"/>
            <w:vAlign w:val="bottom"/>
            <w:gridSpan w:val="9"/>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5360" w:type="dxa"/>
            <w:vAlign w:val="bottom"/>
          </w:tcPr>
          <w:p>
            <w:pPr>
              <w:ind w:left="140"/>
              <w:spacing w:after="0"/>
              <w:rPr>
                <w:sz w:val="20"/>
                <w:szCs w:val="20"/>
                <w:color w:val="auto"/>
              </w:rPr>
            </w:pPr>
            <w:r>
              <w:rPr>
                <w:rFonts w:ascii="Arial" w:cs="Arial" w:eastAsia="Arial" w:hAnsi="Arial"/>
                <w:sz w:val="18"/>
                <w:szCs w:val="18"/>
                <w:color w:val="auto"/>
              </w:rPr>
              <w:t>Filed herewith electronically</w:t>
            </w:r>
          </w:p>
        </w:tc>
      </w:tr>
      <w:tr>
        <w:trPr>
          <w:trHeight w:val="392"/>
        </w:trPr>
        <w:tc>
          <w:tcPr>
            <w:tcW w:w="960" w:type="dxa"/>
            <w:vAlign w:val="bottom"/>
          </w:tcPr>
          <w:p>
            <w:pPr>
              <w:ind w:left="40"/>
              <w:spacing w:after="0"/>
              <w:rPr>
                <w:sz w:val="20"/>
                <w:szCs w:val="20"/>
                <w:color w:val="auto"/>
              </w:rPr>
            </w:pPr>
            <w:r>
              <w:rPr>
                <w:rFonts w:ascii="Arial" w:cs="Arial" w:eastAsia="Arial" w:hAnsi="Arial"/>
                <w:sz w:val="18"/>
                <w:szCs w:val="18"/>
                <w:color w:val="auto"/>
              </w:rPr>
              <w:t>101.LAB</w:t>
            </w:r>
          </w:p>
        </w:tc>
        <w:tc>
          <w:tcPr>
            <w:tcW w:w="5100" w:type="dxa"/>
            <w:vAlign w:val="bottom"/>
            <w:gridSpan w:val="9"/>
          </w:tcPr>
          <w:p>
            <w:pPr>
              <w:spacing w:after="0"/>
              <w:rPr>
                <w:sz w:val="20"/>
                <w:szCs w:val="20"/>
                <w:color w:val="auto"/>
              </w:rPr>
            </w:pPr>
            <w:r>
              <w:rPr>
                <w:rFonts w:ascii="Arial" w:cs="Arial" w:eastAsia="Arial" w:hAnsi="Arial"/>
                <w:sz w:val="18"/>
                <w:szCs w:val="18"/>
                <w:color w:val="auto"/>
              </w:rPr>
              <w:t>XBRL Taxonomy Extension Labels Linkbase Document</w:t>
            </w:r>
          </w:p>
        </w:tc>
        <w:tc>
          <w:tcPr>
            <w:tcW w:w="5360" w:type="dxa"/>
            <w:vAlign w:val="bottom"/>
          </w:tcPr>
          <w:p>
            <w:pPr>
              <w:ind w:left="140"/>
              <w:spacing w:after="0"/>
              <w:rPr>
                <w:sz w:val="20"/>
                <w:szCs w:val="20"/>
                <w:color w:val="auto"/>
              </w:rPr>
            </w:pPr>
            <w:r>
              <w:rPr>
                <w:rFonts w:ascii="Arial" w:cs="Arial" w:eastAsia="Arial" w:hAnsi="Arial"/>
                <w:sz w:val="18"/>
                <w:szCs w:val="18"/>
                <w:color w:val="auto"/>
              </w:rPr>
              <w:t>Filed herewith electronically</w:t>
            </w:r>
          </w:p>
        </w:tc>
      </w:tr>
      <w:tr>
        <w:trPr>
          <w:trHeight w:val="392"/>
        </w:trPr>
        <w:tc>
          <w:tcPr>
            <w:tcW w:w="960" w:type="dxa"/>
            <w:vAlign w:val="bottom"/>
          </w:tcPr>
          <w:p>
            <w:pPr>
              <w:ind w:left="40"/>
              <w:spacing w:after="0"/>
              <w:rPr>
                <w:sz w:val="20"/>
                <w:szCs w:val="20"/>
                <w:color w:val="auto"/>
              </w:rPr>
            </w:pPr>
            <w:r>
              <w:rPr>
                <w:rFonts w:ascii="Arial" w:cs="Arial" w:eastAsia="Arial" w:hAnsi="Arial"/>
                <w:sz w:val="18"/>
                <w:szCs w:val="18"/>
                <w:color w:val="auto"/>
              </w:rPr>
              <w:t>101.PRE</w:t>
            </w:r>
          </w:p>
        </w:tc>
        <w:tc>
          <w:tcPr>
            <w:tcW w:w="5100" w:type="dxa"/>
            <w:vAlign w:val="bottom"/>
            <w:gridSpan w:val="9"/>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5360" w:type="dxa"/>
            <w:vAlign w:val="bottom"/>
          </w:tcPr>
          <w:p>
            <w:pPr>
              <w:ind w:left="140"/>
              <w:spacing w:after="0"/>
              <w:rPr>
                <w:sz w:val="20"/>
                <w:szCs w:val="20"/>
                <w:color w:val="auto"/>
              </w:rPr>
            </w:pPr>
            <w:r>
              <w:rPr>
                <w:rFonts w:ascii="Arial" w:cs="Arial" w:eastAsia="Arial" w:hAnsi="Arial"/>
                <w:sz w:val="18"/>
                <w:szCs w:val="18"/>
                <w:color w:val="auto"/>
              </w:rPr>
              <w:t>Filed herewith electronically</w:t>
            </w:r>
          </w:p>
        </w:tc>
      </w:tr>
      <w:tr>
        <w:trPr>
          <w:trHeight w:val="392"/>
        </w:trPr>
        <w:tc>
          <w:tcPr>
            <w:tcW w:w="960" w:type="dxa"/>
            <w:vAlign w:val="bottom"/>
          </w:tcPr>
          <w:p>
            <w:pPr>
              <w:ind w:left="40"/>
              <w:spacing w:after="0"/>
              <w:rPr>
                <w:sz w:val="20"/>
                <w:szCs w:val="20"/>
                <w:color w:val="auto"/>
              </w:rPr>
            </w:pPr>
            <w:r>
              <w:rPr>
                <w:rFonts w:ascii="Arial" w:cs="Arial" w:eastAsia="Arial" w:hAnsi="Arial"/>
                <w:sz w:val="18"/>
                <w:szCs w:val="18"/>
                <w:color w:val="auto"/>
              </w:rPr>
              <w:t>101.DEF</w:t>
            </w:r>
          </w:p>
        </w:tc>
        <w:tc>
          <w:tcPr>
            <w:tcW w:w="5100" w:type="dxa"/>
            <w:vAlign w:val="bottom"/>
            <w:gridSpan w:val="9"/>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5360" w:type="dxa"/>
            <w:vAlign w:val="bottom"/>
          </w:tcPr>
          <w:p>
            <w:pPr>
              <w:ind w:left="140"/>
              <w:spacing w:after="0"/>
              <w:rPr>
                <w:sz w:val="20"/>
                <w:szCs w:val="20"/>
                <w:color w:val="auto"/>
              </w:rPr>
            </w:pPr>
            <w:r>
              <w:rPr>
                <w:rFonts w:ascii="Arial" w:cs="Arial" w:eastAsia="Arial" w:hAnsi="Arial"/>
                <w:sz w:val="18"/>
                <w:szCs w:val="18"/>
                <w:color w:val="auto"/>
              </w:rPr>
              <w:t>Filed herewith electronically</w:t>
            </w:r>
          </w:p>
        </w:tc>
      </w:tr>
      <w:tr>
        <w:trPr>
          <w:trHeight w:val="27"/>
        </w:trPr>
        <w:tc>
          <w:tcPr>
            <w:tcW w:w="9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73</w:t>
      </w:r>
    </w:p>
    <w:p>
      <w:pPr>
        <w:sectPr>
          <w:pgSz w:w="11900" w:h="16838" w:orient="portrait"/>
          <w:cols w:equalWidth="0" w:num="1">
            <w:col w:w="11420"/>
          </w:cols>
          <w:pgMar w:left="240" w:top="126" w:right="239" w:bottom="1440" w:gutter="0" w:footer="0" w:header="0"/>
          <w:type w:val="continuous"/>
        </w:sectPr>
      </w:pPr>
    </w:p>
    <w:bookmarkStart w:id="74" w:name="page75"/>
    <w:bookmarkEnd w:id="74"/>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SIGNATURES</w:t>
      </w:r>
    </w:p>
    <w:p>
      <w:pPr>
        <w:spacing w:after="0" w:line="16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0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NORDSTROM, INC.</w:t>
      </w:r>
    </w:p>
    <w:p>
      <w:pPr>
        <w:spacing w:after="0" w:line="6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(Registrant)</w:t>
      </w:r>
    </w:p>
    <w:p>
      <w:pPr>
        <w:spacing w:after="0" w:line="347" w:lineRule="exact"/>
        <w:rPr>
          <w:sz w:val="20"/>
          <w:szCs w:val="20"/>
          <w:color w:val="auto"/>
        </w:rPr>
      </w:pPr>
    </w:p>
    <w:tbl>
      <w:tblPr>
        <w:tblLayout w:type="fixed"/>
        <w:tblInd w:w="6540" w:type="dxa"/>
        <w:tblCellMar>
          <w:top w:w="0" w:type="dxa"/>
          <w:left w:w="0" w:type="dxa"/>
          <w:bottom w:w="0" w:type="dxa"/>
          <w:right w:w="0" w:type="dxa"/>
        </w:tblCellMar>
      </w:tblPr>
      <w:tr>
        <w:trPr>
          <w:trHeight w:val="230"/>
        </w:trPr>
        <w:tc>
          <w:tcPr>
            <w:tcW w:w="1500" w:type="dxa"/>
            <w:vAlign w:val="bottom"/>
          </w:tcPr>
          <w:p>
            <w:pPr>
              <w:ind w:left="20"/>
              <w:spacing w:after="0"/>
              <w:rPr>
                <w:sz w:val="20"/>
                <w:szCs w:val="20"/>
                <w:color w:val="auto"/>
              </w:rPr>
            </w:pPr>
            <w:r>
              <w:rPr>
                <w:rFonts w:ascii="Arial" w:cs="Arial" w:eastAsia="Arial" w:hAnsi="Arial"/>
                <w:sz w:val="18"/>
                <w:szCs w:val="18"/>
                <w:color w:val="auto"/>
              </w:rPr>
              <w:t>/s/</w:t>
            </w:r>
          </w:p>
        </w:tc>
        <w:tc>
          <w:tcPr>
            <w:tcW w:w="3380" w:type="dxa"/>
            <w:vAlign w:val="bottom"/>
          </w:tcPr>
          <w:p>
            <w:pPr>
              <w:jc w:val="right"/>
              <w:spacing w:after="0"/>
              <w:rPr>
                <w:sz w:val="20"/>
                <w:szCs w:val="20"/>
                <w:color w:val="auto"/>
              </w:rPr>
            </w:pPr>
            <w:r>
              <w:rPr>
                <w:rFonts w:ascii="Arial" w:cs="Arial" w:eastAsia="Arial" w:hAnsi="Arial"/>
                <w:sz w:val="18"/>
                <w:szCs w:val="18"/>
                <w:color w:val="auto"/>
              </w:rPr>
              <w:t>Anne L. Bramman</w:t>
            </w:r>
          </w:p>
        </w:tc>
      </w:tr>
      <w:tr>
        <w:trPr>
          <w:trHeight w:val="27"/>
        </w:trPr>
        <w:tc>
          <w:tcPr>
            <w:tcW w:w="150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r>
      <w:tr>
        <w:trPr>
          <w:trHeight w:val="237"/>
        </w:trPr>
        <w:tc>
          <w:tcPr>
            <w:tcW w:w="1500" w:type="dxa"/>
            <w:vAlign w:val="bottom"/>
          </w:tcPr>
          <w:p>
            <w:pPr>
              <w:spacing w:after="0"/>
              <w:rPr>
                <w:sz w:val="20"/>
                <w:szCs w:val="20"/>
                <w:color w:val="auto"/>
              </w:rPr>
            </w:pPr>
          </w:p>
        </w:tc>
        <w:tc>
          <w:tcPr>
            <w:tcW w:w="3380" w:type="dxa"/>
            <w:vAlign w:val="bottom"/>
          </w:tcPr>
          <w:p>
            <w:pPr>
              <w:jc w:val="right"/>
              <w:spacing w:after="0"/>
              <w:rPr>
                <w:sz w:val="20"/>
                <w:szCs w:val="20"/>
                <w:color w:val="auto"/>
              </w:rPr>
            </w:pPr>
            <w:r>
              <w:rPr>
                <w:rFonts w:ascii="Arial" w:cs="Arial" w:eastAsia="Arial" w:hAnsi="Arial"/>
                <w:sz w:val="18"/>
                <w:szCs w:val="18"/>
                <w:color w:val="auto"/>
              </w:rPr>
              <w:t>Anne L. Bramman</w:t>
            </w:r>
          </w:p>
        </w:tc>
      </w:tr>
      <w:tr>
        <w:trPr>
          <w:trHeight w:val="270"/>
        </w:trPr>
        <w:tc>
          <w:tcPr>
            <w:tcW w:w="1500" w:type="dxa"/>
            <w:vAlign w:val="bottom"/>
          </w:tcPr>
          <w:p>
            <w:pPr>
              <w:spacing w:after="0"/>
              <w:rPr>
                <w:sz w:val="23"/>
                <w:szCs w:val="23"/>
                <w:color w:val="auto"/>
              </w:rPr>
            </w:pPr>
          </w:p>
        </w:tc>
        <w:tc>
          <w:tcPr>
            <w:tcW w:w="3380" w:type="dxa"/>
            <w:vAlign w:val="bottom"/>
          </w:tcPr>
          <w:p>
            <w:pPr>
              <w:jc w:val="right"/>
              <w:spacing w:after="0"/>
              <w:rPr>
                <w:sz w:val="20"/>
                <w:szCs w:val="20"/>
                <w:color w:val="auto"/>
              </w:rPr>
            </w:pPr>
            <w:r>
              <w:rPr>
                <w:rFonts w:ascii="Arial" w:cs="Arial" w:eastAsia="Arial" w:hAnsi="Arial"/>
                <w:sz w:val="18"/>
                <w:szCs w:val="18"/>
                <w:color w:val="auto"/>
              </w:rPr>
              <w:t>Chief Financial Officer</w:t>
            </w:r>
          </w:p>
        </w:tc>
      </w:tr>
      <w:tr>
        <w:trPr>
          <w:trHeight w:val="270"/>
        </w:trPr>
        <w:tc>
          <w:tcPr>
            <w:tcW w:w="1500" w:type="dxa"/>
            <w:vAlign w:val="bottom"/>
          </w:tcPr>
          <w:p>
            <w:pPr>
              <w:spacing w:after="0"/>
              <w:rPr>
                <w:sz w:val="23"/>
                <w:szCs w:val="23"/>
                <w:color w:val="auto"/>
              </w:rPr>
            </w:pPr>
          </w:p>
        </w:tc>
        <w:tc>
          <w:tcPr>
            <w:tcW w:w="3380" w:type="dxa"/>
            <w:vAlign w:val="bottom"/>
          </w:tcPr>
          <w:p>
            <w:pPr>
              <w:jc w:val="right"/>
              <w:spacing w:after="0"/>
              <w:rPr>
                <w:sz w:val="20"/>
                <w:szCs w:val="20"/>
                <w:color w:val="auto"/>
              </w:rPr>
            </w:pPr>
            <w:r>
              <w:rPr>
                <w:rFonts w:ascii="Arial" w:cs="Arial" w:eastAsia="Arial" w:hAnsi="Arial"/>
                <w:sz w:val="18"/>
                <w:szCs w:val="18"/>
                <w:color w:val="auto"/>
              </w:rPr>
              <w:t>(Principal Financial Officer)</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Date: March 19, 2018</w:t>
      </w:r>
    </w:p>
    <w:p>
      <w:pPr>
        <w:spacing w:after="0" w:line="17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 indicated.</w:t>
      </w:r>
    </w:p>
    <w:p>
      <w:pPr>
        <w:sectPr>
          <w:pgSz w:w="11900" w:h="16838" w:orient="portrait"/>
          <w:cols w:equalWidth="0" w:num="1">
            <w:col w:w="11420"/>
          </w:cols>
          <w:pgMar w:left="240" w:top="126" w:right="239" w:bottom="847" w:gutter="0" w:footer="0" w:header="0"/>
        </w:sect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80" w:type="dxa"/>
            <w:vAlign w:val="bottom"/>
          </w:tcPr>
          <w:p>
            <w:pPr>
              <w:ind w:left="40"/>
              <w:spacing w:after="0"/>
              <w:rPr>
                <w:sz w:val="20"/>
                <w:szCs w:val="20"/>
                <w:color w:val="auto"/>
              </w:rPr>
            </w:pPr>
            <w:r>
              <w:rPr>
                <w:rFonts w:ascii="Arial" w:cs="Arial" w:eastAsia="Arial" w:hAnsi="Arial"/>
                <w:sz w:val="18"/>
                <w:szCs w:val="18"/>
                <w:color w:val="auto"/>
              </w:rPr>
              <w:t>Principal Financial Officer:</w:t>
            </w:r>
          </w:p>
        </w:tc>
        <w:tc>
          <w:tcPr>
            <w:tcW w:w="2900" w:type="dxa"/>
            <w:vAlign w:val="bottom"/>
          </w:tcPr>
          <w:p>
            <w:pPr>
              <w:spacing w:after="0"/>
              <w:rPr>
                <w:sz w:val="20"/>
                <w:szCs w:val="20"/>
                <w:color w:val="auto"/>
              </w:rPr>
            </w:pPr>
          </w:p>
        </w:tc>
      </w:tr>
      <w:tr>
        <w:trPr>
          <w:trHeight w:val="392"/>
        </w:trPr>
        <w:tc>
          <w:tcPr>
            <w:tcW w:w="2480" w:type="dxa"/>
            <w:vAlign w:val="bottom"/>
          </w:tcPr>
          <w:p>
            <w:pPr>
              <w:ind w:left="40"/>
              <w:spacing w:after="0"/>
              <w:rPr>
                <w:sz w:val="20"/>
                <w:szCs w:val="20"/>
                <w:color w:val="auto"/>
              </w:rPr>
            </w:pPr>
            <w:r>
              <w:rPr>
                <w:rFonts w:ascii="Arial" w:cs="Arial" w:eastAsia="Arial" w:hAnsi="Arial"/>
                <w:sz w:val="18"/>
                <w:szCs w:val="18"/>
                <w:color w:val="auto"/>
              </w:rPr>
              <w:t>/s/</w:t>
            </w:r>
          </w:p>
        </w:tc>
        <w:tc>
          <w:tcPr>
            <w:tcW w:w="2900" w:type="dxa"/>
            <w:vAlign w:val="bottom"/>
          </w:tcPr>
          <w:p>
            <w:pPr>
              <w:jc w:val="right"/>
              <w:spacing w:after="0"/>
              <w:rPr>
                <w:sz w:val="20"/>
                <w:szCs w:val="20"/>
                <w:color w:val="auto"/>
              </w:rPr>
            </w:pPr>
            <w:r>
              <w:rPr>
                <w:rFonts w:ascii="Arial" w:cs="Arial" w:eastAsia="Arial" w:hAnsi="Arial"/>
                <w:sz w:val="18"/>
                <w:szCs w:val="18"/>
                <w:color w:val="auto"/>
              </w:rPr>
              <w:t>Anne L. Bramman</w:t>
            </w:r>
          </w:p>
        </w:tc>
      </w:tr>
      <w:tr>
        <w:trPr>
          <w:trHeight w:val="27"/>
        </w:trPr>
        <w:tc>
          <w:tcPr>
            <w:tcW w:w="248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r>
      <w:tr>
        <w:trPr>
          <w:trHeight w:val="237"/>
        </w:trPr>
        <w:tc>
          <w:tcPr>
            <w:tcW w:w="2480" w:type="dxa"/>
            <w:vAlign w:val="bottom"/>
          </w:tcPr>
          <w:p>
            <w:pPr>
              <w:spacing w:after="0"/>
              <w:rPr>
                <w:sz w:val="20"/>
                <w:szCs w:val="20"/>
                <w:color w:val="auto"/>
              </w:rPr>
            </w:pPr>
          </w:p>
        </w:tc>
        <w:tc>
          <w:tcPr>
            <w:tcW w:w="2900" w:type="dxa"/>
            <w:vAlign w:val="bottom"/>
          </w:tcPr>
          <w:p>
            <w:pPr>
              <w:jc w:val="right"/>
              <w:spacing w:after="0"/>
              <w:rPr>
                <w:sz w:val="20"/>
                <w:szCs w:val="20"/>
                <w:color w:val="auto"/>
              </w:rPr>
            </w:pPr>
            <w:r>
              <w:rPr>
                <w:rFonts w:ascii="Arial" w:cs="Arial" w:eastAsia="Arial" w:hAnsi="Arial"/>
                <w:sz w:val="18"/>
                <w:szCs w:val="18"/>
                <w:color w:val="auto"/>
              </w:rPr>
              <w:t>Anne L. Bramman</w:t>
            </w:r>
          </w:p>
        </w:tc>
      </w:tr>
      <w:tr>
        <w:trPr>
          <w:trHeight w:val="270"/>
        </w:trPr>
        <w:tc>
          <w:tcPr>
            <w:tcW w:w="2480" w:type="dxa"/>
            <w:vAlign w:val="bottom"/>
          </w:tcPr>
          <w:p>
            <w:pPr>
              <w:spacing w:after="0"/>
              <w:rPr>
                <w:sz w:val="23"/>
                <w:szCs w:val="23"/>
                <w:color w:val="auto"/>
              </w:rPr>
            </w:pPr>
          </w:p>
        </w:tc>
        <w:tc>
          <w:tcPr>
            <w:tcW w:w="2900" w:type="dxa"/>
            <w:vAlign w:val="bottom"/>
          </w:tcPr>
          <w:p>
            <w:pPr>
              <w:jc w:val="right"/>
              <w:spacing w:after="0"/>
              <w:rPr>
                <w:sz w:val="20"/>
                <w:szCs w:val="20"/>
                <w:color w:val="auto"/>
              </w:rPr>
            </w:pPr>
            <w:r>
              <w:rPr>
                <w:rFonts w:ascii="Arial" w:cs="Arial" w:eastAsia="Arial" w:hAnsi="Arial"/>
                <w:sz w:val="18"/>
                <w:szCs w:val="18"/>
                <w:color w:val="auto"/>
              </w:rPr>
              <w:t>Chief Financial Officer</w:t>
            </w:r>
          </w:p>
        </w:tc>
      </w:tr>
      <w:tr>
        <w:trPr>
          <w:trHeight w:val="392"/>
        </w:trPr>
        <w:tc>
          <w:tcPr>
            <w:tcW w:w="2480" w:type="dxa"/>
            <w:vAlign w:val="bottom"/>
          </w:tcPr>
          <w:p>
            <w:pPr>
              <w:ind w:left="40"/>
              <w:spacing w:after="0"/>
              <w:rPr>
                <w:sz w:val="20"/>
                <w:szCs w:val="20"/>
                <w:color w:val="auto"/>
              </w:rPr>
            </w:pPr>
            <w:r>
              <w:rPr>
                <w:rFonts w:ascii="Arial" w:cs="Arial" w:eastAsia="Arial" w:hAnsi="Arial"/>
                <w:sz w:val="18"/>
                <w:szCs w:val="18"/>
                <w:color w:val="auto"/>
              </w:rPr>
              <w:t>Principal Accounting Officer:</w:t>
            </w:r>
          </w:p>
        </w:tc>
        <w:tc>
          <w:tcPr>
            <w:tcW w:w="2900" w:type="dxa"/>
            <w:vAlign w:val="bottom"/>
          </w:tcPr>
          <w:p>
            <w:pPr>
              <w:spacing w:after="0"/>
              <w:rPr>
                <w:sz w:val="24"/>
                <w:szCs w:val="24"/>
                <w:color w:val="auto"/>
              </w:rPr>
            </w:pPr>
          </w:p>
        </w:tc>
      </w:tr>
      <w:tr>
        <w:trPr>
          <w:trHeight w:val="392"/>
        </w:trPr>
        <w:tc>
          <w:tcPr>
            <w:tcW w:w="2480" w:type="dxa"/>
            <w:vAlign w:val="bottom"/>
          </w:tcPr>
          <w:p>
            <w:pPr>
              <w:ind w:left="40"/>
              <w:spacing w:after="0"/>
              <w:rPr>
                <w:sz w:val="20"/>
                <w:szCs w:val="20"/>
                <w:color w:val="auto"/>
              </w:rPr>
            </w:pPr>
            <w:r>
              <w:rPr>
                <w:rFonts w:ascii="Arial" w:cs="Arial" w:eastAsia="Arial" w:hAnsi="Arial"/>
                <w:sz w:val="18"/>
                <w:szCs w:val="18"/>
                <w:color w:val="auto"/>
              </w:rPr>
              <w:t>/s/</w:t>
            </w:r>
          </w:p>
        </w:tc>
        <w:tc>
          <w:tcPr>
            <w:tcW w:w="2900" w:type="dxa"/>
            <w:vAlign w:val="bottom"/>
          </w:tcPr>
          <w:p>
            <w:pPr>
              <w:jc w:val="right"/>
              <w:spacing w:after="0"/>
              <w:rPr>
                <w:sz w:val="20"/>
                <w:szCs w:val="20"/>
                <w:color w:val="auto"/>
              </w:rPr>
            </w:pPr>
            <w:r>
              <w:rPr>
                <w:rFonts w:ascii="Arial" w:cs="Arial" w:eastAsia="Arial" w:hAnsi="Arial"/>
                <w:sz w:val="18"/>
                <w:szCs w:val="18"/>
                <w:color w:val="auto"/>
              </w:rPr>
              <w:t>Kelley K. Hall</w:t>
            </w:r>
          </w:p>
        </w:tc>
      </w:tr>
      <w:tr>
        <w:trPr>
          <w:trHeight w:val="27"/>
        </w:trPr>
        <w:tc>
          <w:tcPr>
            <w:tcW w:w="248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r>
      <w:tr>
        <w:trPr>
          <w:trHeight w:val="237"/>
        </w:trPr>
        <w:tc>
          <w:tcPr>
            <w:tcW w:w="2480" w:type="dxa"/>
            <w:vAlign w:val="bottom"/>
          </w:tcPr>
          <w:p>
            <w:pPr>
              <w:spacing w:after="0"/>
              <w:rPr>
                <w:sz w:val="20"/>
                <w:szCs w:val="20"/>
                <w:color w:val="auto"/>
              </w:rPr>
            </w:pPr>
          </w:p>
        </w:tc>
        <w:tc>
          <w:tcPr>
            <w:tcW w:w="2900" w:type="dxa"/>
            <w:vAlign w:val="bottom"/>
          </w:tcPr>
          <w:p>
            <w:pPr>
              <w:jc w:val="right"/>
              <w:spacing w:after="0"/>
              <w:rPr>
                <w:sz w:val="20"/>
                <w:szCs w:val="20"/>
                <w:color w:val="auto"/>
              </w:rPr>
            </w:pPr>
            <w:r>
              <w:rPr>
                <w:rFonts w:ascii="Arial" w:cs="Arial" w:eastAsia="Arial" w:hAnsi="Arial"/>
                <w:sz w:val="18"/>
                <w:szCs w:val="18"/>
                <w:color w:val="auto"/>
              </w:rPr>
              <w:t>Kelley K. Hall</w:t>
            </w:r>
          </w:p>
        </w:tc>
      </w:tr>
      <w:tr>
        <w:trPr>
          <w:trHeight w:val="270"/>
        </w:trPr>
        <w:tc>
          <w:tcPr>
            <w:tcW w:w="5380" w:type="dxa"/>
            <w:vAlign w:val="bottom"/>
            <w:gridSpan w:val="2"/>
          </w:tcPr>
          <w:p>
            <w:pPr>
              <w:jc w:val="right"/>
              <w:spacing w:after="0"/>
              <w:rPr>
                <w:sz w:val="20"/>
                <w:szCs w:val="20"/>
                <w:color w:val="auto"/>
              </w:rPr>
            </w:pPr>
            <w:r>
              <w:rPr>
                <w:rFonts w:ascii="Arial" w:cs="Arial" w:eastAsia="Arial" w:hAnsi="Arial"/>
                <w:sz w:val="18"/>
                <w:szCs w:val="18"/>
                <w:color w:val="auto"/>
              </w:rPr>
              <w:t>Senior Vice President, Chief Accounting Officer and Treasurer</w:t>
            </w:r>
          </w:p>
        </w:tc>
      </w:tr>
      <w:tr>
        <w:trPr>
          <w:trHeight w:val="392"/>
        </w:trPr>
        <w:tc>
          <w:tcPr>
            <w:tcW w:w="2480" w:type="dxa"/>
            <w:vAlign w:val="bottom"/>
          </w:tcPr>
          <w:p>
            <w:pPr>
              <w:ind w:left="40"/>
              <w:spacing w:after="0"/>
              <w:rPr>
                <w:sz w:val="20"/>
                <w:szCs w:val="20"/>
                <w:color w:val="auto"/>
              </w:rPr>
            </w:pPr>
            <w:r>
              <w:rPr>
                <w:rFonts w:ascii="Arial" w:cs="Arial" w:eastAsia="Arial" w:hAnsi="Arial"/>
                <w:sz w:val="18"/>
                <w:szCs w:val="18"/>
                <w:color w:val="auto"/>
              </w:rPr>
              <w:t>Directors:</w:t>
            </w:r>
          </w:p>
        </w:tc>
        <w:tc>
          <w:tcPr>
            <w:tcW w:w="2900" w:type="dxa"/>
            <w:vAlign w:val="bottom"/>
          </w:tcPr>
          <w:p>
            <w:pPr>
              <w:spacing w:after="0"/>
              <w:rPr>
                <w:sz w:val="24"/>
                <w:szCs w:val="24"/>
                <w:color w:val="auto"/>
              </w:rPr>
            </w:pPr>
          </w:p>
        </w:tc>
      </w:tr>
      <w:tr>
        <w:trPr>
          <w:trHeight w:val="392"/>
        </w:trPr>
        <w:tc>
          <w:tcPr>
            <w:tcW w:w="2480" w:type="dxa"/>
            <w:vAlign w:val="bottom"/>
          </w:tcPr>
          <w:p>
            <w:pPr>
              <w:ind w:left="40"/>
              <w:spacing w:after="0"/>
              <w:rPr>
                <w:sz w:val="20"/>
                <w:szCs w:val="20"/>
                <w:color w:val="auto"/>
              </w:rPr>
            </w:pPr>
            <w:r>
              <w:rPr>
                <w:rFonts w:ascii="Arial" w:cs="Arial" w:eastAsia="Arial" w:hAnsi="Arial"/>
                <w:sz w:val="18"/>
                <w:szCs w:val="18"/>
                <w:color w:val="auto"/>
              </w:rPr>
              <w:t>/s/</w:t>
            </w:r>
          </w:p>
        </w:tc>
        <w:tc>
          <w:tcPr>
            <w:tcW w:w="2900" w:type="dxa"/>
            <w:vAlign w:val="bottom"/>
          </w:tcPr>
          <w:p>
            <w:pPr>
              <w:jc w:val="right"/>
              <w:spacing w:after="0"/>
              <w:rPr>
                <w:sz w:val="20"/>
                <w:szCs w:val="20"/>
                <w:color w:val="auto"/>
              </w:rPr>
            </w:pPr>
            <w:r>
              <w:rPr>
                <w:rFonts w:ascii="Arial" w:cs="Arial" w:eastAsia="Arial" w:hAnsi="Arial"/>
                <w:sz w:val="18"/>
                <w:szCs w:val="18"/>
                <w:color w:val="auto"/>
              </w:rPr>
              <w:t>Shellye L. Archambeau</w:t>
            </w:r>
          </w:p>
        </w:tc>
      </w:tr>
      <w:tr>
        <w:trPr>
          <w:trHeight w:val="27"/>
        </w:trPr>
        <w:tc>
          <w:tcPr>
            <w:tcW w:w="248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r>
      <w:tr>
        <w:trPr>
          <w:trHeight w:val="237"/>
        </w:trPr>
        <w:tc>
          <w:tcPr>
            <w:tcW w:w="2480" w:type="dxa"/>
            <w:vAlign w:val="bottom"/>
          </w:tcPr>
          <w:p>
            <w:pPr>
              <w:spacing w:after="0"/>
              <w:rPr>
                <w:sz w:val="20"/>
                <w:szCs w:val="20"/>
                <w:color w:val="auto"/>
              </w:rPr>
            </w:pPr>
          </w:p>
        </w:tc>
        <w:tc>
          <w:tcPr>
            <w:tcW w:w="2900" w:type="dxa"/>
            <w:vAlign w:val="bottom"/>
          </w:tcPr>
          <w:p>
            <w:pPr>
              <w:jc w:val="right"/>
              <w:spacing w:after="0"/>
              <w:rPr>
                <w:sz w:val="20"/>
                <w:szCs w:val="20"/>
                <w:color w:val="auto"/>
              </w:rPr>
            </w:pPr>
            <w:r>
              <w:rPr>
                <w:rFonts w:ascii="Arial" w:cs="Arial" w:eastAsia="Arial" w:hAnsi="Arial"/>
                <w:sz w:val="18"/>
                <w:szCs w:val="18"/>
                <w:color w:val="auto"/>
              </w:rPr>
              <w:t>Shellye L. Archambeau</w:t>
            </w:r>
          </w:p>
        </w:tc>
      </w:tr>
      <w:tr>
        <w:trPr>
          <w:trHeight w:val="270"/>
        </w:trPr>
        <w:tc>
          <w:tcPr>
            <w:tcW w:w="2480" w:type="dxa"/>
            <w:vAlign w:val="bottom"/>
          </w:tcPr>
          <w:p>
            <w:pPr>
              <w:spacing w:after="0"/>
              <w:rPr>
                <w:sz w:val="23"/>
                <w:szCs w:val="23"/>
                <w:color w:val="auto"/>
              </w:rPr>
            </w:pPr>
          </w:p>
        </w:tc>
        <w:tc>
          <w:tcPr>
            <w:tcW w:w="2900" w:type="dxa"/>
            <w:vAlign w:val="bottom"/>
          </w:tcPr>
          <w:p>
            <w:pPr>
              <w:jc w:val="right"/>
              <w:spacing w:after="0"/>
              <w:rPr>
                <w:sz w:val="20"/>
                <w:szCs w:val="20"/>
                <w:color w:val="auto"/>
              </w:rPr>
            </w:pPr>
            <w:r>
              <w:rPr>
                <w:rFonts w:ascii="Arial" w:cs="Arial" w:eastAsia="Arial" w:hAnsi="Arial"/>
                <w:sz w:val="18"/>
                <w:szCs w:val="18"/>
                <w:color w:val="auto"/>
              </w:rPr>
              <w:t>Director</w:t>
            </w:r>
          </w:p>
        </w:tc>
      </w:tr>
      <w:tr>
        <w:trPr>
          <w:trHeight w:val="392"/>
        </w:trPr>
        <w:tc>
          <w:tcPr>
            <w:tcW w:w="2480" w:type="dxa"/>
            <w:vAlign w:val="bottom"/>
          </w:tcPr>
          <w:p>
            <w:pPr>
              <w:ind w:left="40"/>
              <w:spacing w:after="0"/>
              <w:rPr>
                <w:sz w:val="20"/>
                <w:szCs w:val="20"/>
                <w:color w:val="auto"/>
              </w:rPr>
            </w:pPr>
            <w:r>
              <w:rPr>
                <w:rFonts w:ascii="Arial" w:cs="Arial" w:eastAsia="Arial" w:hAnsi="Arial"/>
                <w:sz w:val="18"/>
                <w:szCs w:val="18"/>
                <w:color w:val="auto"/>
              </w:rPr>
              <w:t>/s/</w:t>
            </w:r>
          </w:p>
        </w:tc>
        <w:tc>
          <w:tcPr>
            <w:tcW w:w="2900" w:type="dxa"/>
            <w:vAlign w:val="bottom"/>
          </w:tcPr>
          <w:p>
            <w:pPr>
              <w:jc w:val="right"/>
              <w:spacing w:after="0"/>
              <w:rPr>
                <w:sz w:val="20"/>
                <w:szCs w:val="20"/>
                <w:color w:val="auto"/>
              </w:rPr>
            </w:pPr>
            <w:r>
              <w:rPr>
                <w:rFonts w:ascii="Arial" w:cs="Arial" w:eastAsia="Arial" w:hAnsi="Arial"/>
                <w:sz w:val="18"/>
                <w:szCs w:val="18"/>
                <w:color w:val="auto"/>
              </w:rPr>
              <w:t>Tanya L. Domier</w:t>
            </w:r>
          </w:p>
        </w:tc>
      </w:tr>
      <w:tr>
        <w:trPr>
          <w:trHeight w:val="27"/>
        </w:trPr>
        <w:tc>
          <w:tcPr>
            <w:tcW w:w="248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r>
      <w:tr>
        <w:trPr>
          <w:trHeight w:val="237"/>
        </w:trPr>
        <w:tc>
          <w:tcPr>
            <w:tcW w:w="2480" w:type="dxa"/>
            <w:vAlign w:val="bottom"/>
          </w:tcPr>
          <w:p>
            <w:pPr>
              <w:spacing w:after="0"/>
              <w:rPr>
                <w:sz w:val="20"/>
                <w:szCs w:val="20"/>
                <w:color w:val="auto"/>
              </w:rPr>
            </w:pPr>
          </w:p>
        </w:tc>
        <w:tc>
          <w:tcPr>
            <w:tcW w:w="2900" w:type="dxa"/>
            <w:vAlign w:val="bottom"/>
          </w:tcPr>
          <w:p>
            <w:pPr>
              <w:jc w:val="right"/>
              <w:spacing w:after="0"/>
              <w:rPr>
                <w:sz w:val="20"/>
                <w:szCs w:val="20"/>
                <w:color w:val="auto"/>
              </w:rPr>
            </w:pPr>
            <w:r>
              <w:rPr>
                <w:rFonts w:ascii="Arial" w:cs="Arial" w:eastAsia="Arial" w:hAnsi="Arial"/>
                <w:sz w:val="18"/>
                <w:szCs w:val="18"/>
                <w:color w:val="auto"/>
              </w:rPr>
              <w:t>Tanya L. Domier</w:t>
            </w:r>
          </w:p>
        </w:tc>
      </w:tr>
      <w:tr>
        <w:trPr>
          <w:trHeight w:val="270"/>
        </w:trPr>
        <w:tc>
          <w:tcPr>
            <w:tcW w:w="2480" w:type="dxa"/>
            <w:vAlign w:val="bottom"/>
          </w:tcPr>
          <w:p>
            <w:pPr>
              <w:spacing w:after="0"/>
              <w:rPr>
                <w:sz w:val="23"/>
                <w:szCs w:val="23"/>
                <w:color w:val="auto"/>
              </w:rPr>
            </w:pPr>
          </w:p>
        </w:tc>
        <w:tc>
          <w:tcPr>
            <w:tcW w:w="2900" w:type="dxa"/>
            <w:vAlign w:val="bottom"/>
          </w:tcPr>
          <w:p>
            <w:pPr>
              <w:jc w:val="right"/>
              <w:spacing w:after="0"/>
              <w:rPr>
                <w:sz w:val="20"/>
                <w:szCs w:val="20"/>
                <w:color w:val="auto"/>
              </w:rPr>
            </w:pPr>
            <w:r>
              <w:rPr>
                <w:rFonts w:ascii="Arial" w:cs="Arial" w:eastAsia="Arial" w:hAnsi="Arial"/>
                <w:sz w:val="18"/>
                <w:szCs w:val="18"/>
                <w:color w:val="auto"/>
              </w:rPr>
              <w:t>Director</w:t>
            </w:r>
          </w:p>
        </w:tc>
      </w:tr>
      <w:tr>
        <w:trPr>
          <w:trHeight w:val="392"/>
        </w:trPr>
        <w:tc>
          <w:tcPr>
            <w:tcW w:w="2480" w:type="dxa"/>
            <w:vAlign w:val="bottom"/>
          </w:tcPr>
          <w:p>
            <w:pPr>
              <w:ind w:left="40"/>
              <w:spacing w:after="0"/>
              <w:rPr>
                <w:sz w:val="20"/>
                <w:szCs w:val="20"/>
                <w:color w:val="auto"/>
              </w:rPr>
            </w:pPr>
            <w:r>
              <w:rPr>
                <w:rFonts w:ascii="Arial" w:cs="Arial" w:eastAsia="Arial" w:hAnsi="Arial"/>
                <w:sz w:val="18"/>
                <w:szCs w:val="18"/>
                <w:color w:val="auto"/>
              </w:rPr>
              <w:t>/s/</w:t>
            </w:r>
          </w:p>
        </w:tc>
        <w:tc>
          <w:tcPr>
            <w:tcW w:w="2900" w:type="dxa"/>
            <w:vAlign w:val="bottom"/>
          </w:tcPr>
          <w:p>
            <w:pPr>
              <w:jc w:val="right"/>
              <w:spacing w:after="0"/>
              <w:rPr>
                <w:sz w:val="20"/>
                <w:szCs w:val="20"/>
                <w:color w:val="auto"/>
              </w:rPr>
            </w:pPr>
            <w:r>
              <w:rPr>
                <w:rFonts w:ascii="Arial" w:cs="Arial" w:eastAsia="Arial" w:hAnsi="Arial"/>
                <w:sz w:val="18"/>
                <w:szCs w:val="18"/>
                <w:color w:val="auto"/>
              </w:rPr>
              <w:t>Erik B. Nordstrom</w:t>
            </w:r>
          </w:p>
        </w:tc>
      </w:tr>
      <w:tr>
        <w:trPr>
          <w:trHeight w:val="27"/>
        </w:trPr>
        <w:tc>
          <w:tcPr>
            <w:tcW w:w="248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r>
      <w:tr>
        <w:trPr>
          <w:trHeight w:val="237"/>
        </w:trPr>
        <w:tc>
          <w:tcPr>
            <w:tcW w:w="2480" w:type="dxa"/>
            <w:vAlign w:val="bottom"/>
          </w:tcPr>
          <w:p>
            <w:pPr>
              <w:spacing w:after="0"/>
              <w:rPr>
                <w:sz w:val="20"/>
                <w:szCs w:val="20"/>
                <w:color w:val="auto"/>
              </w:rPr>
            </w:pPr>
          </w:p>
        </w:tc>
        <w:tc>
          <w:tcPr>
            <w:tcW w:w="2900" w:type="dxa"/>
            <w:vAlign w:val="bottom"/>
          </w:tcPr>
          <w:p>
            <w:pPr>
              <w:jc w:val="right"/>
              <w:spacing w:after="0"/>
              <w:rPr>
                <w:sz w:val="20"/>
                <w:szCs w:val="20"/>
                <w:color w:val="auto"/>
              </w:rPr>
            </w:pPr>
            <w:r>
              <w:rPr>
                <w:rFonts w:ascii="Arial" w:cs="Arial" w:eastAsia="Arial" w:hAnsi="Arial"/>
                <w:sz w:val="18"/>
                <w:szCs w:val="18"/>
                <w:color w:val="auto"/>
              </w:rPr>
              <w:t>Erik B. Nordstrom</w:t>
            </w:r>
          </w:p>
        </w:tc>
      </w:tr>
      <w:tr>
        <w:trPr>
          <w:trHeight w:val="270"/>
        </w:trPr>
        <w:tc>
          <w:tcPr>
            <w:tcW w:w="2480" w:type="dxa"/>
            <w:vAlign w:val="bottom"/>
          </w:tcPr>
          <w:p>
            <w:pPr>
              <w:spacing w:after="0"/>
              <w:rPr>
                <w:sz w:val="23"/>
                <w:szCs w:val="23"/>
                <w:color w:val="auto"/>
              </w:rPr>
            </w:pPr>
          </w:p>
        </w:tc>
        <w:tc>
          <w:tcPr>
            <w:tcW w:w="2900" w:type="dxa"/>
            <w:vAlign w:val="bottom"/>
          </w:tcPr>
          <w:p>
            <w:pPr>
              <w:jc w:val="right"/>
              <w:spacing w:after="0"/>
              <w:rPr>
                <w:sz w:val="20"/>
                <w:szCs w:val="20"/>
                <w:color w:val="auto"/>
              </w:rPr>
            </w:pPr>
            <w:r>
              <w:rPr>
                <w:rFonts w:ascii="Arial" w:cs="Arial" w:eastAsia="Arial" w:hAnsi="Arial"/>
                <w:sz w:val="18"/>
                <w:szCs w:val="18"/>
                <w:color w:val="auto"/>
              </w:rPr>
              <w:t>Director</w:t>
            </w:r>
          </w:p>
        </w:tc>
      </w:tr>
      <w:tr>
        <w:trPr>
          <w:trHeight w:val="392"/>
        </w:trPr>
        <w:tc>
          <w:tcPr>
            <w:tcW w:w="2480" w:type="dxa"/>
            <w:vAlign w:val="bottom"/>
          </w:tcPr>
          <w:p>
            <w:pPr>
              <w:ind w:left="40"/>
              <w:spacing w:after="0"/>
              <w:rPr>
                <w:sz w:val="20"/>
                <w:szCs w:val="20"/>
                <w:color w:val="auto"/>
              </w:rPr>
            </w:pPr>
            <w:r>
              <w:rPr>
                <w:rFonts w:ascii="Arial" w:cs="Arial" w:eastAsia="Arial" w:hAnsi="Arial"/>
                <w:sz w:val="18"/>
                <w:szCs w:val="18"/>
                <w:color w:val="auto"/>
              </w:rPr>
              <w:t>/s/</w:t>
            </w:r>
          </w:p>
        </w:tc>
        <w:tc>
          <w:tcPr>
            <w:tcW w:w="2900" w:type="dxa"/>
            <w:vAlign w:val="bottom"/>
          </w:tcPr>
          <w:p>
            <w:pPr>
              <w:jc w:val="right"/>
              <w:spacing w:after="0"/>
              <w:rPr>
                <w:sz w:val="20"/>
                <w:szCs w:val="20"/>
                <w:color w:val="auto"/>
              </w:rPr>
            </w:pPr>
            <w:r>
              <w:rPr>
                <w:rFonts w:ascii="Arial" w:cs="Arial" w:eastAsia="Arial" w:hAnsi="Arial"/>
                <w:sz w:val="18"/>
                <w:szCs w:val="18"/>
                <w:color w:val="auto"/>
              </w:rPr>
              <w:t>Philip G. Satre</w:t>
            </w:r>
          </w:p>
        </w:tc>
      </w:tr>
      <w:tr>
        <w:trPr>
          <w:trHeight w:val="27"/>
        </w:trPr>
        <w:tc>
          <w:tcPr>
            <w:tcW w:w="248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r>
      <w:tr>
        <w:trPr>
          <w:trHeight w:val="237"/>
        </w:trPr>
        <w:tc>
          <w:tcPr>
            <w:tcW w:w="2480" w:type="dxa"/>
            <w:vAlign w:val="bottom"/>
          </w:tcPr>
          <w:p>
            <w:pPr>
              <w:spacing w:after="0"/>
              <w:rPr>
                <w:sz w:val="20"/>
                <w:szCs w:val="20"/>
                <w:color w:val="auto"/>
              </w:rPr>
            </w:pPr>
          </w:p>
        </w:tc>
        <w:tc>
          <w:tcPr>
            <w:tcW w:w="2900" w:type="dxa"/>
            <w:vAlign w:val="bottom"/>
          </w:tcPr>
          <w:p>
            <w:pPr>
              <w:jc w:val="right"/>
              <w:spacing w:after="0"/>
              <w:rPr>
                <w:sz w:val="20"/>
                <w:szCs w:val="20"/>
                <w:color w:val="auto"/>
              </w:rPr>
            </w:pPr>
            <w:r>
              <w:rPr>
                <w:rFonts w:ascii="Arial" w:cs="Arial" w:eastAsia="Arial" w:hAnsi="Arial"/>
                <w:sz w:val="18"/>
                <w:szCs w:val="18"/>
                <w:color w:val="auto"/>
              </w:rPr>
              <w:t>Philip G. Satre</w:t>
            </w:r>
          </w:p>
        </w:tc>
      </w:tr>
      <w:tr>
        <w:trPr>
          <w:trHeight w:val="270"/>
        </w:trPr>
        <w:tc>
          <w:tcPr>
            <w:tcW w:w="2480" w:type="dxa"/>
            <w:vAlign w:val="bottom"/>
          </w:tcPr>
          <w:p>
            <w:pPr>
              <w:spacing w:after="0"/>
              <w:rPr>
                <w:sz w:val="23"/>
                <w:szCs w:val="23"/>
                <w:color w:val="auto"/>
              </w:rPr>
            </w:pPr>
          </w:p>
        </w:tc>
        <w:tc>
          <w:tcPr>
            <w:tcW w:w="2900" w:type="dxa"/>
            <w:vAlign w:val="bottom"/>
          </w:tcPr>
          <w:p>
            <w:pPr>
              <w:jc w:val="right"/>
              <w:spacing w:after="0"/>
              <w:rPr>
                <w:sz w:val="20"/>
                <w:szCs w:val="20"/>
                <w:color w:val="auto"/>
              </w:rPr>
            </w:pPr>
            <w:r>
              <w:rPr>
                <w:rFonts w:ascii="Arial" w:cs="Arial" w:eastAsia="Arial" w:hAnsi="Arial"/>
                <w:sz w:val="18"/>
                <w:szCs w:val="18"/>
                <w:color w:val="auto"/>
              </w:rPr>
              <w:t>Chairman of the Board of Directors</w:t>
            </w:r>
          </w:p>
        </w:tc>
      </w:tr>
      <w:tr>
        <w:trPr>
          <w:trHeight w:val="392"/>
        </w:trPr>
        <w:tc>
          <w:tcPr>
            <w:tcW w:w="2480" w:type="dxa"/>
            <w:vAlign w:val="bottom"/>
          </w:tcPr>
          <w:p>
            <w:pPr>
              <w:ind w:left="40"/>
              <w:spacing w:after="0"/>
              <w:rPr>
                <w:sz w:val="20"/>
                <w:szCs w:val="20"/>
                <w:color w:val="auto"/>
              </w:rPr>
            </w:pPr>
            <w:r>
              <w:rPr>
                <w:rFonts w:ascii="Arial" w:cs="Arial" w:eastAsia="Arial" w:hAnsi="Arial"/>
                <w:sz w:val="18"/>
                <w:szCs w:val="18"/>
                <w:color w:val="auto"/>
              </w:rPr>
              <w:t>/s/</w:t>
            </w:r>
          </w:p>
        </w:tc>
        <w:tc>
          <w:tcPr>
            <w:tcW w:w="2900" w:type="dxa"/>
            <w:vAlign w:val="bottom"/>
          </w:tcPr>
          <w:p>
            <w:pPr>
              <w:jc w:val="right"/>
              <w:spacing w:after="0"/>
              <w:rPr>
                <w:sz w:val="20"/>
                <w:szCs w:val="20"/>
                <w:color w:val="auto"/>
              </w:rPr>
            </w:pPr>
            <w:r>
              <w:rPr>
                <w:rFonts w:ascii="Arial" w:cs="Arial" w:eastAsia="Arial" w:hAnsi="Arial"/>
                <w:sz w:val="18"/>
                <w:szCs w:val="18"/>
                <w:color w:val="auto"/>
              </w:rPr>
              <w:t>Gordon A. Smith</w:t>
            </w:r>
          </w:p>
        </w:tc>
      </w:tr>
      <w:tr>
        <w:trPr>
          <w:trHeight w:val="27"/>
        </w:trPr>
        <w:tc>
          <w:tcPr>
            <w:tcW w:w="248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r>
      <w:tr>
        <w:trPr>
          <w:trHeight w:val="237"/>
        </w:trPr>
        <w:tc>
          <w:tcPr>
            <w:tcW w:w="2480" w:type="dxa"/>
            <w:vAlign w:val="bottom"/>
          </w:tcPr>
          <w:p>
            <w:pPr>
              <w:spacing w:after="0"/>
              <w:rPr>
                <w:sz w:val="20"/>
                <w:szCs w:val="20"/>
                <w:color w:val="auto"/>
              </w:rPr>
            </w:pPr>
          </w:p>
        </w:tc>
        <w:tc>
          <w:tcPr>
            <w:tcW w:w="2900" w:type="dxa"/>
            <w:vAlign w:val="bottom"/>
          </w:tcPr>
          <w:p>
            <w:pPr>
              <w:jc w:val="right"/>
              <w:spacing w:after="0"/>
              <w:rPr>
                <w:sz w:val="20"/>
                <w:szCs w:val="20"/>
                <w:color w:val="auto"/>
              </w:rPr>
            </w:pPr>
            <w:r>
              <w:rPr>
                <w:rFonts w:ascii="Arial" w:cs="Arial" w:eastAsia="Arial" w:hAnsi="Arial"/>
                <w:sz w:val="18"/>
                <w:szCs w:val="18"/>
                <w:color w:val="auto"/>
              </w:rPr>
              <w:t>Gordon A. Smith</w:t>
            </w:r>
          </w:p>
        </w:tc>
      </w:tr>
      <w:tr>
        <w:trPr>
          <w:trHeight w:val="270"/>
        </w:trPr>
        <w:tc>
          <w:tcPr>
            <w:tcW w:w="2480" w:type="dxa"/>
            <w:vAlign w:val="bottom"/>
          </w:tcPr>
          <w:p>
            <w:pPr>
              <w:spacing w:after="0"/>
              <w:rPr>
                <w:sz w:val="23"/>
                <w:szCs w:val="23"/>
                <w:color w:val="auto"/>
              </w:rPr>
            </w:pPr>
          </w:p>
        </w:tc>
        <w:tc>
          <w:tcPr>
            <w:tcW w:w="2900" w:type="dxa"/>
            <w:vAlign w:val="bottom"/>
          </w:tcPr>
          <w:p>
            <w:pPr>
              <w:jc w:val="right"/>
              <w:spacing w:after="0"/>
              <w:rPr>
                <w:sz w:val="20"/>
                <w:szCs w:val="20"/>
                <w:color w:val="auto"/>
              </w:rPr>
            </w:pPr>
            <w:r>
              <w:rPr>
                <w:rFonts w:ascii="Arial" w:cs="Arial" w:eastAsia="Arial" w:hAnsi="Arial"/>
                <w:sz w:val="18"/>
                <w:szCs w:val="18"/>
                <w:color w:val="auto"/>
              </w:rPr>
              <w:t>Director</w:t>
            </w:r>
          </w:p>
        </w:tc>
      </w:tr>
      <w:tr>
        <w:trPr>
          <w:trHeight w:val="392"/>
        </w:trPr>
        <w:tc>
          <w:tcPr>
            <w:tcW w:w="2480" w:type="dxa"/>
            <w:vAlign w:val="bottom"/>
          </w:tcPr>
          <w:p>
            <w:pPr>
              <w:ind w:left="40"/>
              <w:spacing w:after="0"/>
              <w:rPr>
                <w:sz w:val="20"/>
                <w:szCs w:val="20"/>
                <w:color w:val="auto"/>
              </w:rPr>
            </w:pPr>
            <w:r>
              <w:rPr>
                <w:rFonts w:ascii="Arial" w:cs="Arial" w:eastAsia="Arial" w:hAnsi="Arial"/>
                <w:sz w:val="18"/>
                <w:szCs w:val="18"/>
                <w:color w:val="auto"/>
              </w:rPr>
              <w:t>/s/</w:t>
            </w:r>
          </w:p>
        </w:tc>
        <w:tc>
          <w:tcPr>
            <w:tcW w:w="2900" w:type="dxa"/>
            <w:vAlign w:val="bottom"/>
          </w:tcPr>
          <w:p>
            <w:pPr>
              <w:jc w:val="right"/>
              <w:spacing w:after="0"/>
              <w:rPr>
                <w:sz w:val="20"/>
                <w:szCs w:val="20"/>
                <w:color w:val="auto"/>
              </w:rPr>
            </w:pPr>
            <w:r>
              <w:rPr>
                <w:rFonts w:ascii="Arial" w:cs="Arial" w:eastAsia="Arial" w:hAnsi="Arial"/>
                <w:sz w:val="18"/>
                <w:szCs w:val="18"/>
                <w:color w:val="auto"/>
              </w:rPr>
              <w:t>B. Kevin Turner</w:t>
            </w:r>
          </w:p>
        </w:tc>
      </w:tr>
      <w:tr>
        <w:trPr>
          <w:trHeight w:val="27"/>
        </w:trPr>
        <w:tc>
          <w:tcPr>
            <w:tcW w:w="248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r>
      <w:tr>
        <w:trPr>
          <w:trHeight w:val="237"/>
        </w:trPr>
        <w:tc>
          <w:tcPr>
            <w:tcW w:w="2480" w:type="dxa"/>
            <w:vAlign w:val="bottom"/>
          </w:tcPr>
          <w:p>
            <w:pPr>
              <w:spacing w:after="0"/>
              <w:rPr>
                <w:sz w:val="20"/>
                <w:szCs w:val="20"/>
                <w:color w:val="auto"/>
              </w:rPr>
            </w:pPr>
          </w:p>
        </w:tc>
        <w:tc>
          <w:tcPr>
            <w:tcW w:w="2900" w:type="dxa"/>
            <w:vAlign w:val="bottom"/>
          </w:tcPr>
          <w:p>
            <w:pPr>
              <w:jc w:val="right"/>
              <w:spacing w:after="0"/>
              <w:rPr>
                <w:sz w:val="20"/>
                <w:szCs w:val="20"/>
                <w:color w:val="auto"/>
              </w:rPr>
            </w:pPr>
            <w:r>
              <w:rPr>
                <w:rFonts w:ascii="Arial" w:cs="Arial" w:eastAsia="Arial" w:hAnsi="Arial"/>
                <w:sz w:val="18"/>
                <w:szCs w:val="18"/>
                <w:color w:val="auto"/>
              </w:rPr>
              <w:t>B. Kevin Turner</w:t>
            </w:r>
          </w:p>
        </w:tc>
      </w:tr>
      <w:tr>
        <w:trPr>
          <w:trHeight w:val="270"/>
        </w:trPr>
        <w:tc>
          <w:tcPr>
            <w:tcW w:w="2480" w:type="dxa"/>
            <w:vAlign w:val="bottom"/>
          </w:tcPr>
          <w:p>
            <w:pPr>
              <w:spacing w:after="0"/>
              <w:rPr>
                <w:sz w:val="23"/>
                <w:szCs w:val="23"/>
                <w:color w:val="auto"/>
              </w:rPr>
            </w:pPr>
          </w:p>
        </w:tc>
        <w:tc>
          <w:tcPr>
            <w:tcW w:w="2900" w:type="dxa"/>
            <w:vAlign w:val="bottom"/>
          </w:tcPr>
          <w:p>
            <w:pPr>
              <w:jc w:val="right"/>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94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c>
          <w:tcPr>
            <w:tcW w:w="2400" w:type="dxa"/>
            <w:vAlign w:val="bottom"/>
          </w:tcPr>
          <w:p>
            <w:pPr>
              <w:spacing w:after="0"/>
              <w:rPr>
                <w:sz w:val="20"/>
                <w:szCs w:val="20"/>
                <w:color w:val="auto"/>
              </w:rPr>
            </w:pPr>
          </w:p>
        </w:tc>
      </w:tr>
      <w:tr>
        <w:trPr>
          <w:trHeight w:val="392"/>
        </w:trPr>
        <w:tc>
          <w:tcPr>
            <w:tcW w:w="2940" w:type="dxa"/>
            <w:vAlign w:val="bottom"/>
          </w:tcPr>
          <w:p>
            <w:pPr>
              <w:ind w:left="20"/>
              <w:spacing w:after="0"/>
              <w:rPr>
                <w:sz w:val="20"/>
                <w:szCs w:val="20"/>
                <w:color w:val="auto"/>
              </w:rPr>
            </w:pPr>
            <w:r>
              <w:rPr>
                <w:rFonts w:ascii="Arial" w:cs="Arial" w:eastAsia="Arial" w:hAnsi="Arial"/>
                <w:sz w:val="18"/>
                <w:szCs w:val="18"/>
                <w:color w:val="auto"/>
              </w:rPr>
              <w:t>/s/</w:t>
            </w:r>
          </w:p>
        </w:tc>
        <w:tc>
          <w:tcPr>
            <w:tcW w:w="2400" w:type="dxa"/>
            <w:vAlign w:val="bottom"/>
          </w:tcPr>
          <w:p>
            <w:pPr>
              <w:jc w:val="right"/>
              <w:spacing w:after="0"/>
              <w:rPr>
                <w:sz w:val="20"/>
                <w:szCs w:val="20"/>
                <w:color w:val="auto"/>
              </w:rPr>
            </w:pPr>
            <w:r>
              <w:rPr>
                <w:rFonts w:ascii="Arial" w:cs="Arial" w:eastAsia="Arial" w:hAnsi="Arial"/>
                <w:sz w:val="18"/>
                <w:szCs w:val="18"/>
                <w:color w:val="auto"/>
              </w:rPr>
              <w:t>Blake W. Nordstrom</w:t>
            </w:r>
          </w:p>
        </w:tc>
      </w:tr>
      <w:tr>
        <w:trPr>
          <w:trHeight w:val="27"/>
        </w:trPr>
        <w:tc>
          <w:tcPr>
            <w:tcW w:w="294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37"/>
        </w:trPr>
        <w:tc>
          <w:tcPr>
            <w:tcW w:w="2940" w:type="dxa"/>
            <w:vAlign w:val="bottom"/>
          </w:tcPr>
          <w:p>
            <w:pPr>
              <w:spacing w:after="0"/>
              <w:rPr>
                <w:sz w:val="20"/>
                <w:szCs w:val="20"/>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Blake W. Nordstrom</w:t>
            </w:r>
          </w:p>
        </w:tc>
      </w:tr>
      <w:tr>
        <w:trPr>
          <w:trHeight w:val="270"/>
        </w:trPr>
        <w:tc>
          <w:tcPr>
            <w:tcW w:w="2940" w:type="dxa"/>
            <w:vAlign w:val="bottom"/>
          </w:tcPr>
          <w:p>
            <w:pPr>
              <w:spacing w:after="0"/>
              <w:rPr>
                <w:sz w:val="23"/>
                <w:szCs w:val="23"/>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Co-President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00" w:type="dxa"/>
            <w:vAlign w:val="bottom"/>
          </w:tcPr>
          <w:p>
            <w:pPr>
              <w:ind w:left="20"/>
              <w:spacing w:after="0"/>
              <w:rPr>
                <w:sz w:val="20"/>
                <w:szCs w:val="20"/>
                <w:color w:val="auto"/>
              </w:rPr>
            </w:pPr>
            <w:r>
              <w:rPr>
                <w:rFonts w:ascii="Arial" w:cs="Arial" w:eastAsia="Arial" w:hAnsi="Arial"/>
                <w:sz w:val="18"/>
                <w:szCs w:val="18"/>
                <w:color w:val="auto"/>
              </w:rPr>
              <w:t>/s/</w:t>
            </w:r>
          </w:p>
        </w:tc>
        <w:tc>
          <w:tcPr>
            <w:tcW w:w="3340" w:type="dxa"/>
            <w:vAlign w:val="bottom"/>
          </w:tcPr>
          <w:p>
            <w:pPr>
              <w:jc w:val="right"/>
              <w:spacing w:after="0"/>
              <w:rPr>
                <w:sz w:val="20"/>
                <w:szCs w:val="20"/>
                <w:color w:val="auto"/>
              </w:rPr>
            </w:pPr>
            <w:r>
              <w:rPr>
                <w:rFonts w:ascii="Arial" w:cs="Arial" w:eastAsia="Arial" w:hAnsi="Arial"/>
                <w:sz w:val="18"/>
                <w:szCs w:val="18"/>
                <w:color w:val="auto"/>
              </w:rPr>
              <w:t>Stacy Brown-Philpot</w:t>
            </w:r>
          </w:p>
        </w:tc>
      </w:tr>
      <w:tr>
        <w:trPr>
          <w:trHeight w:val="27"/>
        </w:trPr>
        <w:tc>
          <w:tcPr>
            <w:tcW w:w="200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r>
      <w:tr>
        <w:trPr>
          <w:trHeight w:val="237"/>
        </w:trPr>
        <w:tc>
          <w:tcPr>
            <w:tcW w:w="2000" w:type="dxa"/>
            <w:vAlign w:val="bottom"/>
          </w:tcPr>
          <w:p>
            <w:pPr>
              <w:spacing w:after="0"/>
              <w:rPr>
                <w:sz w:val="20"/>
                <w:szCs w:val="20"/>
                <w:color w:val="auto"/>
              </w:rPr>
            </w:pPr>
          </w:p>
        </w:tc>
        <w:tc>
          <w:tcPr>
            <w:tcW w:w="3340" w:type="dxa"/>
            <w:vAlign w:val="bottom"/>
          </w:tcPr>
          <w:p>
            <w:pPr>
              <w:jc w:val="right"/>
              <w:spacing w:after="0"/>
              <w:rPr>
                <w:sz w:val="20"/>
                <w:szCs w:val="20"/>
                <w:color w:val="auto"/>
              </w:rPr>
            </w:pPr>
            <w:r>
              <w:rPr>
                <w:rFonts w:ascii="Arial" w:cs="Arial" w:eastAsia="Arial" w:hAnsi="Arial"/>
                <w:sz w:val="18"/>
                <w:szCs w:val="18"/>
                <w:color w:val="auto"/>
              </w:rPr>
              <w:t>Stacy Brown-Philpot</w:t>
            </w:r>
          </w:p>
        </w:tc>
      </w:tr>
      <w:tr>
        <w:trPr>
          <w:trHeight w:val="270"/>
        </w:trPr>
        <w:tc>
          <w:tcPr>
            <w:tcW w:w="2000" w:type="dxa"/>
            <w:vAlign w:val="bottom"/>
          </w:tcPr>
          <w:p>
            <w:pPr>
              <w:spacing w:after="0"/>
              <w:rPr>
                <w:sz w:val="23"/>
                <w:szCs w:val="23"/>
                <w:color w:val="auto"/>
              </w:rPr>
            </w:pPr>
          </w:p>
        </w:tc>
        <w:tc>
          <w:tcPr>
            <w:tcW w:w="3340" w:type="dxa"/>
            <w:vAlign w:val="bottom"/>
          </w:tcPr>
          <w:p>
            <w:pPr>
              <w:jc w:val="right"/>
              <w:spacing w:after="0"/>
              <w:rPr>
                <w:sz w:val="20"/>
                <w:szCs w:val="20"/>
                <w:color w:val="auto"/>
              </w:rPr>
            </w:pPr>
            <w:r>
              <w:rPr>
                <w:rFonts w:ascii="Arial" w:cs="Arial" w:eastAsia="Arial" w:hAnsi="Arial"/>
                <w:sz w:val="18"/>
                <w:szCs w:val="18"/>
                <w:color w:val="auto"/>
              </w:rPr>
              <w:t>Director</w:t>
            </w:r>
          </w:p>
        </w:tc>
      </w:tr>
      <w:tr>
        <w:trPr>
          <w:trHeight w:val="392"/>
        </w:trPr>
        <w:tc>
          <w:tcPr>
            <w:tcW w:w="2000" w:type="dxa"/>
            <w:vAlign w:val="bottom"/>
          </w:tcPr>
          <w:p>
            <w:pPr>
              <w:ind w:left="20"/>
              <w:spacing w:after="0"/>
              <w:rPr>
                <w:sz w:val="20"/>
                <w:szCs w:val="20"/>
                <w:color w:val="auto"/>
              </w:rPr>
            </w:pPr>
            <w:r>
              <w:rPr>
                <w:rFonts w:ascii="Arial" w:cs="Arial" w:eastAsia="Arial" w:hAnsi="Arial"/>
                <w:sz w:val="18"/>
                <w:szCs w:val="18"/>
                <w:color w:val="auto"/>
              </w:rPr>
              <w:t>/s/</w:t>
            </w:r>
          </w:p>
        </w:tc>
        <w:tc>
          <w:tcPr>
            <w:tcW w:w="3340" w:type="dxa"/>
            <w:vAlign w:val="bottom"/>
          </w:tcPr>
          <w:p>
            <w:pPr>
              <w:jc w:val="right"/>
              <w:spacing w:after="0"/>
              <w:rPr>
                <w:sz w:val="20"/>
                <w:szCs w:val="20"/>
                <w:color w:val="auto"/>
              </w:rPr>
            </w:pPr>
            <w:r>
              <w:rPr>
                <w:rFonts w:ascii="Arial" w:cs="Arial" w:eastAsia="Arial" w:hAnsi="Arial"/>
                <w:sz w:val="18"/>
                <w:szCs w:val="18"/>
                <w:color w:val="auto"/>
              </w:rPr>
              <w:t>Blake W. Nordstrom</w:t>
            </w:r>
          </w:p>
        </w:tc>
      </w:tr>
      <w:tr>
        <w:trPr>
          <w:trHeight w:val="27"/>
        </w:trPr>
        <w:tc>
          <w:tcPr>
            <w:tcW w:w="200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r>
      <w:tr>
        <w:trPr>
          <w:trHeight w:val="237"/>
        </w:trPr>
        <w:tc>
          <w:tcPr>
            <w:tcW w:w="2000" w:type="dxa"/>
            <w:vAlign w:val="bottom"/>
          </w:tcPr>
          <w:p>
            <w:pPr>
              <w:spacing w:after="0"/>
              <w:rPr>
                <w:sz w:val="20"/>
                <w:szCs w:val="20"/>
                <w:color w:val="auto"/>
              </w:rPr>
            </w:pPr>
          </w:p>
        </w:tc>
        <w:tc>
          <w:tcPr>
            <w:tcW w:w="3340" w:type="dxa"/>
            <w:vAlign w:val="bottom"/>
          </w:tcPr>
          <w:p>
            <w:pPr>
              <w:jc w:val="right"/>
              <w:spacing w:after="0"/>
              <w:rPr>
                <w:sz w:val="20"/>
                <w:szCs w:val="20"/>
                <w:color w:val="auto"/>
              </w:rPr>
            </w:pPr>
            <w:r>
              <w:rPr>
                <w:rFonts w:ascii="Arial" w:cs="Arial" w:eastAsia="Arial" w:hAnsi="Arial"/>
                <w:sz w:val="18"/>
                <w:szCs w:val="18"/>
                <w:color w:val="auto"/>
              </w:rPr>
              <w:t>Blake W. Nordstrom</w:t>
            </w:r>
          </w:p>
        </w:tc>
      </w:tr>
      <w:tr>
        <w:trPr>
          <w:trHeight w:val="270"/>
        </w:trPr>
        <w:tc>
          <w:tcPr>
            <w:tcW w:w="2000" w:type="dxa"/>
            <w:vAlign w:val="bottom"/>
          </w:tcPr>
          <w:p>
            <w:pPr>
              <w:spacing w:after="0"/>
              <w:rPr>
                <w:sz w:val="23"/>
                <w:szCs w:val="23"/>
                <w:color w:val="auto"/>
              </w:rPr>
            </w:pPr>
          </w:p>
        </w:tc>
        <w:tc>
          <w:tcPr>
            <w:tcW w:w="3340" w:type="dxa"/>
            <w:vAlign w:val="bottom"/>
          </w:tcPr>
          <w:p>
            <w:pPr>
              <w:jc w:val="right"/>
              <w:spacing w:after="0"/>
              <w:rPr>
                <w:sz w:val="20"/>
                <w:szCs w:val="20"/>
                <w:color w:val="auto"/>
              </w:rPr>
            </w:pPr>
            <w:r>
              <w:rPr>
                <w:rFonts w:ascii="Arial" w:cs="Arial" w:eastAsia="Arial" w:hAnsi="Arial"/>
                <w:sz w:val="18"/>
                <w:szCs w:val="18"/>
                <w:color w:val="auto"/>
              </w:rPr>
              <w:t>Director</w:t>
            </w:r>
          </w:p>
        </w:tc>
      </w:tr>
      <w:tr>
        <w:trPr>
          <w:trHeight w:val="392"/>
        </w:trPr>
        <w:tc>
          <w:tcPr>
            <w:tcW w:w="2000" w:type="dxa"/>
            <w:vAlign w:val="bottom"/>
          </w:tcPr>
          <w:p>
            <w:pPr>
              <w:ind w:left="20"/>
              <w:spacing w:after="0"/>
              <w:rPr>
                <w:sz w:val="20"/>
                <w:szCs w:val="20"/>
                <w:color w:val="auto"/>
              </w:rPr>
            </w:pPr>
            <w:r>
              <w:rPr>
                <w:rFonts w:ascii="Arial" w:cs="Arial" w:eastAsia="Arial" w:hAnsi="Arial"/>
                <w:sz w:val="18"/>
                <w:szCs w:val="18"/>
                <w:color w:val="auto"/>
              </w:rPr>
              <w:t>/s/</w:t>
            </w:r>
          </w:p>
        </w:tc>
        <w:tc>
          <w:tcPr>
            <w:tcW w:w="3340" w:type="dxa"/>
            <w:vAlign w:val="bottom"/>
          </w:tcPr>
          <w:p>
            <w:pPr>
              <w:jc w:val="right"/>
              <w:spacing w:after="0"/>
              <w:rPr>
                <w:sz w:val="20"/>
                <w:szCs w:val="20"/>
                <w:color w:val="auto"/>
              </w:rPr>
            </w:pPr>
            <w:r>
              <w:rPr>
                <w:rFonts w:ascii="Arial" w:cs="Arial" w:eastAsia="Arial" w:hAnsi="Arial"/>
                <w:sz w:val="18"/>
                <w:szCs w:val="18"/>
                <w:color w:val="auto"/>
              </w:rPr>
              <w:t>Peter E. Nordstrom</w:t>
            </w:r>
          </w:p>
        </w:tc>
      </w:tr>
      <w:tr>
        <w:trPr>
          <w:trHeight w:val="27"/>
        </w:trPr>
        <w:tc>
          <w:tcPr>
            <w:tcW w:w="200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r>
      <w:tr>
        <w:trPr>
          <w:trHeight w:val="237"/>
        </w:trPr>
        <w:tc>
          <w:tcPr>
            <w:tcW w:w="2000" w:type="dxa"/>
            <w:vAlign w:val="bottom"/>
          </w:tcPr>
          <w:p>
            <w:pPr>
              <w:spacing w:after="0"/>
              <w:rPr>
                <w:sz w:val="20"/>
                <w:szCs w:val="20"/>
                <w:color w:val="auto"/>
              </w:rPr>
            </w:pPr>
          </w:p>
        </w:tc>
        <w:tc>
          <w:tcPr>
            <w:tcW w:w="3340" w:type="dxa"/>
            <w:vAlign w:val="bottom"/>
          </w:tcPr>
          <w:p>
            <w:pPr>
              <w:jc w:val="right"/>
              <w:spacing w:after="0"/>
              <w:rPr>
                <w:sz w:val="20"/>
                <w:szCs w:val="20"/>
                <w:color w:val="auto"/>
              </w:rPr>
            </w:pPr>
            <w:r>
              <w:rPr>
                <w:rFonts w:ascii="Arial" w:cs="Arial" w:eastAsia="Arial" w:hAnsi="Arial"/>
                <w:sz w:val="18"/>
                <w:szCs w:val="18"/>
                <w:color w:val="auto"/>
              </w:rPr>
              <w:t>Peter E. Nordstrom</w:t>
            </w:r>
          </w:p>
        </w:tc>
      </w:tr>
      <w:tr>
        <w:trPr>
          <w:trHeight w:val="270"/>
        </w:trPr>
        <w:tc>
          <w:tcPr>
            <w:tcW w:w="2000" w:type="dxa"/>
            <w:vAlign w:val="bottom"/>
          </w:tcPr>
          <w:p>
            <w:pPr>
              <w:spacing w:after="0"/>
              <w:rPr>
                <w:sz w:val="23"/>
                <w:szCs w:val="23"/>
                <w:color w:val="auto"/>
              </w:rPr>
            </w:pPr>
          </w:p>
        </w:tc>
        <w:tc>
          <w:tcPr>
            <w:tcW w:w="3340" w:type="dxa"/>
            <w:vAlign w:val="bottom"/>
          </w:tcPr>
          <w:p>
            <w:pPr>
              <w:jc w:val="right"/>
              <w:spacing w:after="0"/>
              <w:rPr>
                <w:sz w:val="20"/>
                <w:szCs w:val="20"/>
                <w:color w:val="auto"/>
              </w:rPr>
            </w:pPr>
            <w:r>
              <w:rPr>
                <w:rFonts w:ascii="Arial" w:cs="Arial" w:eastAsia="Arial" w:hAnsi="Arial"/>
                <w:sz w:val="18"/>
                <w:szCs w:val="18"/>
                <w:color w:val="auto"/>
              </w:rPr>
              <w:t>Director</w:t>
            </w:r>
          </w:p>
        </w:tc>
      </w:tr>
      <w:tr>
        <w:trPr>
          <w:trHeight w:val="392"/>
        </w:trPr>
        <w:tc>
          <w:tcPr>
            <w:tcW w:w="2000" w:type="dxa"/>
            <w:vAlign w:val="bottom"/>
          </w:tcPr>
          <w:p>
            <w:pPr>
              <w:ind w:left="20"/>
              <w:spacing w:after="0"/>
              <w:rPr>
                <w:sz w:val="20"/>
                <w:szCs w:val="20"/>
                <w:color w:val="auto"/>
              </w:rPr>
            </w:pPr>
            <w:r>
              <w:rPr>
                <w:rFonts w:ascii="Arial" w:cs="Arial" w:eastAsia="Arial" w:hAnsi="Arial"/>
                <w:sz w:val="18"/>
                <w:szCs w:val="18"/>
                <w:color w:val="auto"/>
              </w:rPr>
              <w:t>/s/</w:t>
            </w:r>
          </w:p>
        </w:tc>
        <w:tc>
          <w:tcPr>
            <w:tcW w:w="3340" w:type="dxa"/>
            <w:vAlign w:val="bottom"/>
          </w:tcPr>
          <w:p>
            <w:pPr>
              <w:jc w:val="right"/>
              <w:spacing w:after="0"/>
              <w:rPr>
                <w:sz w:val="20"/>
                <w:szCs w:val="20"/>
                <w:color w:val="auto"/>
              </w:rPr>
            </w:pPr>
            <w:r>
              <w:rPr>
                <w:rFonts w:ascii="Arial" w:cs="Arial" w:eastAsia="Arial" w:hAnsi="Arial"/>
                <w:sz w:val="18"/>
                <w:szCs w:val="18"/>
                <w:color w:val="auto"/>
              </w:rPr>
              <w:t>Brad D. Smith</w:t>
            </w:r>
          </w:p>
        </w:tc>
      </w:tr>
      <w:tr>
        <w:trPr>
          <w:trHeight w:val="27"/>
        </w:trPr>
        <w:tc>
          <w:tcPr>
            <w:tcW w:w="200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r>
      <w:tr>
        <w:trPr>
          <w:trHeight w:val="237"/>
        </w:trPr>
        <w:tc>
          <w:tcPr>
            <w:tcW w:w="2000" w:type="dxa"/>
            <w:vAlign w:val="bottom"/>
          </w:tcPr>
          <w:p>
            <w:pPr>
              <w:spacing w:after="0"/>
              <w:rPr>
                <w:sz w:val="20"/>
                <w:szCs w:val="20"/>
                <w:color w:val="auto"/>
              </w:rPr>
            </w:pPr>
          </w:p>
        </w:tc>
        <w:tc>
          <w:tcPr>
            <w:tcW w:w="3340" w:type="dxa"/>
            <w:vAlign w:val="bottom"/>
          </w:tcPr>
          <w:p>
            <w:pPr>
              <w:jc w:val="right"/>
              <w:spacing w:after="0"/>
              <w:rPr>
                <w:sz w:val="20"/>
                <w:szCs w:val="20"/>
                <w:color w:val="auto"/>
              </w:rPr>
            </w:pPr>
            <w:r>
              <w:rPr>
                <w:rFonts w:ascii="Arial" w:cs="Arial" w:eastAsia="Arial" w:hAnsi="Arial"/>
                <w:sz w:val="18"/>
                <w:szCs w:val="18"/>
                <w:color w:val="auto"/>
              </w:rPr>
              <w:t>Brad D. Smith</w:t>
            </w:r>
          </w:p>
        </w:tc>
      </w:tr>
      <w:tr>
        <w:trPr>
          <w:trHeight w:val="270"/>
        </w:trPr>
        <w:tc>
          <w:tcPr>
            <w:tcW w:w="2000" w:type="dxa"/>
            <w:vAlign w:val="bottom"/>
          </w:tcPr>
          <w:p>
            <w:pPr>
              <w:spacing w:after="0"/>
              <w:rPr>
                <w:sz w:val="23"/>
                <w:szCs w:val="23"/>
                <w:color w:val="auto"/>
              </w:rPr>
            </w:pPr>
          </w:p>
        </w:tc>
        <w:tc>
          <w:tcPr>
            <w:tcW w:w="3340" w:type="dxa"/>
            <w:vAlign w:val="bottom"/>
          </w:tcPr>
          <w:p>
            <w:pPr>
              <w:jc w:val="right"/>
              <w:spacing w:after="0"/>
              <w:rPr>
                <w:sz w:val="20"/>
                <w:szCs w:val="20"/>
                <w:color w:val="auto"/>
              </w:rPr>
            </w:pPr>
            <w:r>
              <w:rPr>
                <w:rFonts w:ascii="Arial" w:cs="Arial" w:eastAsia="Arial" w:hAnsi="Arial"/>
                <w:sz w:val="18"/>
                <w:szCs w:val="18"/>
                <w:color w:val="auto"/>
              </w:rPr>
              <w:t>Director</w:t>
            </w:r>
          </w:p>
        </w:tc>
      </w:tr>
      <w:tr>
        <w:trPr>
          <w:trHeight w:val="392"/>
        </w:trPr>
        <w:tc>
          <w:tcPr>
            <w:tcW w:w="2000" w:type="dxa"/>
            <w:vAlign w:val="bottom"/>
          </w:tcPr>
          <w:p>
            <w:pPr>
              <w:ind w:left="20"/>
              <w:spacing w:after="0"/>
              <w:rPr>
                <w:sz w:val="20"/>
                <w:szCs w:val="20"/>
                <w:color w:val="auto"/>
              </w:rPr>
            </w:pPr>
            <w:r>
              <w:rPr>
                <w:rFonts w:ascii="Arial" w:cs="Arial" w:eastAsia="Arial" w:hAnsi="Arial"/>
                <w:sz w:val="18"/>
                <w:szCs w:val="18"/>
                <w:color w:val="auto"/>
              </w:rPr>
              <w:t>/s/</w:t>
            </w:r>
          </w:p>
        </w:tc>
        <w:tc>
          <w:tcPr>
            <w:tcW w:w="3340" w:type="dxa"/>
            <w:vAlign w:val="bottom"/>
          </w:tcPr>
          <w:p>
            <w:pPr>
              <w:jc w:val="right"/>
              <w:spacing w:after="0"/>
              <w:rPr>
                <w:sz w:val="20"/>
                <w:szCs w:val="20"/>
                <w:color w:val="auto"/>
              </w:rPr>
            </w:pPr>
            <w:r>
              <w:rPr>
                <w:rFonts w:ascii="Arial" w:cs="Arial" w:eastAsia="Arial" w:hAnsi="Arial"/>
                <w:sz w:val="18"/>
                <w:szCs w:val="18"/>
                <w:color w:val="auto"/>
              </w:rPr>
              <w:t>Bradley D. Tilden</w:t>
            </w:r>
          </w:p>
        </w:tc>
      </w:tr>
      <w:tr>
        <w:trPr>
          <w:trHeight w:val="27"/>
        </w:trPr>
        <w:tc>
          <w:tcPr>
            <w:tcW w:w="200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r>
      <w:tr>
        <w:trPr>
          <w:trHeight w:val="237"/>
        </w:trPr>
        <w:tc>
          <w:tcPr>
            <w:tcW w:w="2000" w:type="dxa"/>
            <w:vAlign w:val="bottom"/>
          </w:tcPr>
          <w:p>
            <w:pPr>
              <w:spacing w:after="0"/>
              <w:rPr>
                <w:sz w:val="20"/>
                <w:szCs w:val="20"/>
                <w:color w:val="auto"/>
              </w:rPr>
            </w:pPr>
          </w:p>
        </w:tc>
        <w:tc>
          <w:tcPr>
            <w:tcW w:w="3340" w:type="dxa"/>
            <w:vAlign w:val="bottom"/>
          </w:tcPr>
          <w:p>
            <w:pPr>
              <w:jc w:val="right"/>
              <w:spacing w:after="0"/>
              <w:rPr>
                <w:sz w:val="20"/>
                <w:szCs w:val="20"/>
                <w:color w:val="auto"/>
              </w:rPr>
            </w:pPr>
            <w:r>
              <w:rPr>
                <w:rFonts w:ascii="Arial" w:cs="Arial" w:eastAsia="Arial" w:hAnsi="Arial"/>
                <w:sz w:val="18"/>
                <w:szCs w:val="18"/>
                <w:color w:val="auto"/>
              </w:rPr>
              <w:t>Bradley D. Tilden</w:t>
            </w:r>
          </w:p>
        </w:tc>
      </w:tr>
      <w:tr>
        <w:trPr>
          <w:trHeight w:val="270"/>
        </w:trPr>
        <w:tc>
          <w:tcPr>
            <w:tcW w:w="2000" w:type="dxa"/>
            <w:vAlign w:val="bottom"/>
          </w:tcPr>
          <w:p>
            <w:pPr>
              <w:spacing w:after="0"/>
              <w:rPr>
                <w:sz w:val="23"/>
                <w:szCs w:val="23"/>
                <w:color w:val="auto"/>
              </w:rPr>
            </w:pPr>
          </w:p>
        </w:tc>
        <w:tc>
          <w:tcPr>
            <w:tcW w:w="3340" w:type="dxa"/>
            <w:vAlign w:val="bottom"/>
          </w:tcPr>
          <w:p>
            <w:pPr>
              <w:jc w:val="right"/>
              <w:spacing w:after="0"/>
              <w:rPr>
                <w:sz w:val="20"/>
                <w:szCs w:val="20"/>
                <w:color w:val="auto"/>
              </w:rPr>
            </w:pPr>
            <w:r>
              <w:rPr>
                <w:rFonts w:ascii="Arial" w:cs="Arial" w:eastAsia="Arial" w:hAnsi="Arial"/>
                <w:sz w:val="18"/>
                <w:szCs w:val="18"/>
                <w:color w:val="auto"/>
              </w:rPr>
              <w:t>Director</w:t>
            </w:r>
          </w:p>
        </w:tc>
      </w:tr>
      <w:tr>
        <w:trPr>
          <w:trHeight w:val="392"/>
        </w:trPr>
        <w:tc>
          <w:tcPr>
            <w:tcW w:w="2000" w:type="dxa"/>
            <w:vAlign w:val="bottom"/>
          </w:tcPr>
          <w:p>
            <w:pPr>
              <w:ind w:left="20"/>
              <w:spacing w:after="0"/>
              <w:rPr>
                <w:sz w:val="20"/>
                <w:szCs w:val="20"/>
                <w:color w:val="auto"/>
              </w:rPr>
            </w:pPr>
            <w:r>
              <w:rPr>
                <w:rFonts w:ascii="Arial" w:cs="Arial" w:eastAsia="Arial" w:hAnsi="Arial"/>
                <w:sz w:val="18"/>
                <w:szCs w:val="18"/>
                <w:color w:val="auto"/>
              </w:rPr>
              <w:t>/s/</w:t>
            </w:r>
          </w:p>
        </w:tc>
        <w:tc>
          <w:tcPr>
            <w:tcW w:w="3340" w:type="dxa"/>
            <w:vAlign w:val="bottom"/>
          </w:tcPr>
          <w:p>
            <w:pPr>
              <w:jc w:val="right"/>
              <w:spacing w:after="0"/>
              <w:rPr>
                <w:sz w:val="20"/>
                <w:szCs w:val="20"/>
                <w:color w:val="auto"/>
              </w:rPr>
            </w:pPr>
            <w:r>
              <w:rPr>
                <w:rFonts w:ascii="Arial" w:cs="Arial" w:eastAsia="Arial" w:hAnsi="Arial"/>
                <w:sz w:val="18"/>
                <w:szCs w:val="18"/>
                <w:color w:val="auto"/>
              </w:rPr>
              <w:t>Robert D. Walter</w:t>
            </w:r>
          </w:p>
        </w:tc>
      </w:tr>
      <w:tr>
        <w:trPr>
          <w:trHeight w:val="27"/>
        </w:trPr>
        <w:tc>
          <w:tcPr>
            <w:tcW w:w="200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r>
      <w:tr>
        <w:trPr>
          <w:trHeight w:val="237"/>
        </w:trPr>
        <w:tc>
          <w:tcPr>
            <w:tcW w:w="2000" w:type="dxa"/>
            <w:vAlign w:val="bottom"/>
          </w:tcPr>
          <w:p>
            <w:pPr>
              <w:spacing w:after="0"/>
              <w:rPr>
                <w:sz w:val="20"/>
                <w:szCs w:val="20"/>
                <w:color w:val="auto"/>
              </w:rPr>
            </w:pPr>
          </w:p>
        </w:tc>
        <w:tc>
          <w:tcPr>
            <w:tcW w:w="3340" w:type="dxa"/>
            <w:vAlign w:val="bottom"/>
          </w:tcPr>
          <w:p>
            <w:pPr>
              <w:jc w:val="right"/>
              <w:spacing w:after="0"/>
              <w:rPr>
                <w:sz w:val="20"/>
                <w:szCs w:val="20"/>
                <w:color w:val="auto"/>
              </w:rPr>
            </w:pPr>
            <w:r>
              <w:rPr>
                <w:rFonts w:ascii="Arial" w:cs="Arial" w:eastAsia="Arial" w:hAnsi="Arial"/>
                <w:sz w:val="18"/>
                <w:szCs w:val="18"/>
                <w:color w:val="auto"/>
              </w:rPr>
              <w:t>Robert D. Walter</w:t>
            </w:r>
          </w:p>
        </w:tc>
      </w:tr>
      <w:tr>
        <w:trPr>
          <w:trHeight w:val="270"/>
        </w:trPr>
        <w:tc>
          <w:tcPr>
            <w:tcW w:w="2000" w:type="dxa"/>
            <w:vAlign w:val="bottom"/>
          </w:tcPr>
          <w:p>
            <w:pPr>
              <w:spacing w:after="0"/>
              <w:rPr>
                <w:sz w:val="23"/>
                <w:szCs w:val="23"/>
                <w:color w:val="auto"/>
              </w:rPr>
            </w:pPr>
          </w:p>
        </w:tc>
        <w:tc>
          <w:tcPr>
            <w:tcW w:w="3340" w:type="dxa"/>
            <w:vAlign w:val="bottom"/>
          </w:tcPr>
          <w:p>
            <w:pPr>
              <w:jc w:val="right"/>
              <w:spacing w:after="0"/>
              <w:rPr>
                <w:sz w:val="20"/>
                <w:szCs w:val="20"/>
                <w:color w:val="auto"/>
              </w:rPr>
            </w:pPr>
            <w:r>
              <w:rPr>
                <w:rFonts w:ascii="Arial" w:cs="Arial" w:eastAsia="Arial" w:hAnsi="Arial"/>
                <w:sz w:val="18"/>
                <w:szCs w:val="18"/>
                <w:color w:val="auto"/>
              </w:rPr>
              <w:t>Director</w:t>
            </w:r>
          </w:p>
        </w:tc>
      </w:tr>
    </w:tbl>
    <w:p>
      <w:pPr>
        <w:spacing w:after="0" w:line="200" w:lineRule="exact"/>
        <w:rPr>
          <w:sz w:val="20"/>
          <w:szCs w:val="20"/>
          <w:color w:val="auto"/>
        </w:rPr>
      </w:pPr>
    </w:p>
    <w:p>
      <w:pPr>
        <w:sectPr>
          <w:pgSz w:w="11900" w:h="16838" w:orient="portrait"/>
          <w:cols w:equalWidth="0" w:num="2">
            <w:col w:w="5380" w:space="700"/>
            <w:col w:w="5340"/>
          </w:cols>
          <w:pgMar w:left="240" w:top="126" w:right="239" w:bottom="847" w:gutter="0" w:footer="0" w:header="0"/>
          <w:type w:val="continuous"/>
        </w:sectPr>
      </w:pPr>
    </w:p>
    <w:p>
      <w:pPr>
        <w:spacing w:after="0" w:line="218"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March 19, 2018</w:t>
      </w:r>
    </w:p>
    <w:p>
      <w:pPr>
        <w:sectPr>
          <w:pgSz w:w="11900" w:h="16838" w:orient="portrait"/>
          <w:cols w:equalWidth="0" w:num="1">
            <w:col w:w="11420"/>
          </w:cols>
          <w:pgMar w:left="240" w:top="126" w:right="239" w:bottom="847" w:gutter="0" w:footer="0" w:header="0"/>
          <w:type w:val="continuous"/>
        </w:sect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420"/>
          </w:cols>
          <w:pgMar w:left="240" w:top="126" w:right="239" w:bottom="847" w:gutter="0" w:footer="0" w:header="0"/>
          <w:type w:val="continuous"/>
        </w:sectPr>
      </w:pPr>
    </w:p>
    <w:bookmarkStart w:id="75" w:name="page76"/>
    <w:bookmarkEnd w:id="75"/>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33"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consent to the incorporation by reference in Registration Statement Nos. 333-211825, 333-207396, 333-198413, 333-189301, 333-174336, 333-173020, 333-166961, 333-161803, 333-146049, 333-118756, 333-101110, 333-40066, 333-40064, 333-79791, 333-63403 on Form S-8 of our reports dated March 19, 2018, relating to the financial statements of Nordstrom Inc. and subsidiaries, and the effectiveness of Nordstrom, Inc. and subsidiaries’ internal control over financial reporting, appearing in the Annual Report on Form 10-K of Nordstrom, Inc. for the year ended February 3,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19, 2018</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75</w:t>
      </w:r>
    </w:p>
    <w:p>
      <w:pPr>
        <w:sectPr>
          <w:pgSz w:w="11900" w:h="16838" w:orient="portrait"/>
          <w:cols w:equalWidth="0" w:num="1">
            <w:col w:w="11420"/>
          </w:cols>
          <w:pgMar w:left="240" w:top="126"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22"/>
          <w:szCs w:val="22"/>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NORDSTROM</w:t>
      </w:r>
    </w:p>
    <w:p>
      <w:pPr>
        <w:spacing w:after="0" w:line="260"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EXECUTIVE DEFERRED COMPENSATION PLAN</w:t>
      </w:r>
    </w:p>
    <w:p>
      <w:pPr>
        <w:spacing w:after="0" w:line="260"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(2017 Restatement)</w:t>
      </w:r>
    </w:p>
    <w:p>
      <w:pPr>
        <w:spacing w:after="0" w:line="200" w:lineRule="exact"/>
        <w:rPr>
          <w:sz w:val="20"/>
          <w:szCs w:val="20"/>
          <w:color w:val="auto"/>
        </w:rPr>
      </w:pPr>
    </w:p>
    <w:p>
      <w:pPr>
        <w:spacing w:after="0" w:line="323"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Includes All Amendments Approved by the Company</w:t>
      </w:r>
    </w:p>
    <w:p>
      <w:pPr>
        <w:spacing w:after="0" w:line="22"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since the 2014 Restatement, including:</w:t>
      </w:r>
    </w:p>
    <w:p>
      <w:pPr>
        <w:spacing w:after="0" w:line="242"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Amendment 2015-1</w:t>
      </w:r>
    </w:p>
    <w:p>
      <w:pPr>
        <w:spacing w:after="0" w:line="200" w:lineRule="exact"/>
        <w:rPr>
          <w:sz w:val="20"/>
          <w:szCs w:val="20"/>
          <w:color w:val="auto"/>
        </w:rPr>
      </w:pPr>
    </w:p>
    <w:p>
      <w:pPr>
        <w:spacing w:after="0" w:line="311" w:lineRule="exact"/>
        <w:rPr>
          <w:sz w:val="20"/>
          <w:szCs w:val="20"/>
          <w:color w:val="auto"/>
        </w:rPr>
      </w:pPr>
    </w:p>
    <w:p>
      <w:pPr>
        <w:jc w:val="center"/>
        <w:ind w:right="40"/>
        <w:spacing w:after="0" w:line="291" w:lineRule="auto"/>
        <w:rPr>
          <w:sz w:val="20"/>
          <w:szCs w:val="20"/>
          <w:color w:val="auto"/>
        </w:rPr>
      </w:pPr>
      <w:r>
        <w:rPr>
          <w:rFonts w:ascii="Arial" w:cs="Arial" w:eastAsia="Arial" w:hAnsi="Arial"/>
          <w:sz w:val="19"/>
          <w:szCs w:val="19"/>
          <w:b w:val="1"/>
          <w:bCs w:val="1"/>
          <w:color w:val="auto"/>
        </w:rPr>
        <w:t>Except as otherwise stated herein, the effective date of this 2017 Restatement is November 1, 2017. Amounts deferred and vested prior to January 1, 2005 (and investment gains and losses attributable to such amounts) are governed by the 2003 Restatement and any amendments to the 2003 Restatement. Amounts initially deferred and vested after December 31, 2004 and before January 1, 2008 are subject to the provisions of the 2007 Restatement, except to the extent modified by transition rules separately documented by the Company. Amounts deferred and vested between January 1, 2008 and December 31, 2013 are similarly subject to the provisions of the 2007 Restatement, except as otherwise provided in the 2014 Restatement. Amounts deferred and vested between January 1, 2014 and October 31, 2017 are subject to the provisions of the 2014 Restatement, except as otherwise provided in the 2017 Restatement.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Lane Powell PC</w:t>
      </w:r>
    </w:p>
    <w:p>
      <w:pPr>
        <w:spacing w:after="0" w:line="28"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1420 5th Avenue, Suite 4200</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Seattle, WA 98101</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Telephone: (206) 223-7000</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Facsimile: (206) 223-7101</w:t>
      </w:r>
    </w:p>
    <w:p>
      <w:pPr>
        <w:sectPr>
          <w:pgSz w:w="11900" w:h="16838" w:orient="portrait"/>
          <w:cols w:equalWidth="0" w:num="1">
            <w:col w:w="11380"/>
          </w:cols>
          <w:pgMar w:left="280" w:top="368" w:right="2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57"/>
        </w:trPr>
        <w:tc>
          <w:tcPr>
            <w:tcW w:w="62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240" w:type="dxa"/>
            <w:vAlign w:val="bottom"/>
          </w:tcPr>
          <w:p>
            <w:pPr>
              <w:ind w:left="200"/>
              <w:spacing w:after="0"/>
              <w:rPr>
                <w:sz w:val="20"/>
                <w:szCs w:val="20"/>
                <w:color w:val="auto"/>
              </w:rPr>
            </w:pPr>
            <w:r>
              <w:rPr>
                <w:rFonts w:ascii="Arial" w:cs="Arial" w:eastAsia="Arial" w:hAnsi="Arial"/>
                <w:sz w:val="22"/>
                <w:szCs w:val="22"/>
                <w:color w:val="auto"/>
              </w:rPr>
              <w:t>NORDSTROM</w:t>
            </w:r>
          </w:p>
        </w:tc>
      </w:tr>
      <w:tr>
        <w:trPr>
          <w:trHeight w:val="257"/>
        </w:trPr>
        <w:tc>
          <w:tcPr>
            <w:tcW w:w="62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4880" w:type="dxa"/>
            <w:vAlign w:val="bottom"/>
            <w:gridSpan w:val="3"/>
          </w:tcPr>
          <w:p>
            <w:pPr>
              <w:ind w:left="160"/>
              <w:spacing w:after="0"/>
              <w:rPr>
                <w:sz w:val="20"/>
                <w:szCs w:val="20"/>
                <w:color w:val="auto"/>
              </w:rPr>
            </w:pPr>
            <w:r>
              <w:rPr>
                <w:rFonts w:ascii="Arial" w:cs="Arial" w:eastAsia="Arial" w:hAnsi="Arial"/>
                <w:sz w:val="22"/>
                <w:szCs w:val="22"/>
                <w:color w:val="auto"/>
                <w:w w:val="93"/>
              </w:rPr>
              <w:t>EXECUTIVE DEFERRED COMPENSATION PLAN</w:t>
            </w:r>
          </w:p>
        </w:tc>
      </w:tr>
      <w:tr>
        <w:trPr>
          <w:trHeight w:val="275"/>
        </w:trPr>
        <w:tc>
          <w:tcPr>
            <w:tcW w:w="62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240" w:type="dxa"/>
            <w:vAlign w:val="bottom"/>
          </w:tcPr>
          <w:p>
            <w:pPr>
              <w:ind w:left="20"/>
              <w:spacing w:after="0"/>
              <w:rPr>
                <w:sz w:val="20"/>
                <w:szCs w:val="20"/>
                <w:color w:val="auto"/>
              </w:rPr>
            </w:pPr>
            <w:r>
              <w:rPr>
                <w:rFonts w:ascii="Arial" w:cs="Arial" w:eastAsia="Arial" w:hAnsi="Arial"/>
                <w:sz w:val="22"/>
                <w:szCs w:val="22"/>
                <w:color w:val="auto"/>
              </w:rPr>
              <w:t>(2017 Restatement)</w:t>
            </w:r>
          </w:p>
        </w:tc>
      </w:tr>
      <w:tr>
        <w:trPr>
          <w:trHeight w:val="513"/>
        </w:trPr>
        <w:tc>
          <w:tcPr>
            <w:tcW w:w="6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80" w:type="dxa"/>
            <w:vAlign w:val="bottom"/>
            <w:gridSpan w:val="2"/>
          </w:tcPr>
          <w:p>
            <w:pPr>
              <w:ind w:left="620"/>
              <w:spacing w:after="0"/>
              <w:rPr>
                <w:sz w:val="20"/>
                <w:szCs w:val="20"/>
                <w:color w:val="auto"/>
              </w:rPr>
            </w:pPr>
            <w:r>
              <w:rPr>
                <w:rFonts w:ascii="Arial" w:cs="Arial" w:eastAsia="Arial" w:hAnsi="Arial"/>
                <w:sz w:val="22"/>
                <w:szCs w:val="22"/>
                <w:color w:val="auto"/>
              </w:rPr>
              <w:t>TABLE OF CONTENTS</w:t>
            </w:r>
          </w:p>
        </w:tc>
      </w:tr>
      <w:tr>
        <w:trPr>
          <w:trHeight w:val="455"/>
        </w:trPr>
        <w:tc>
          <w:tcPr>
            <w:tcW w:w="3200" w:type="dxa"/>
            <w:vAlign w:val="bottom"/>
            <w:gridSpan w:val="2"/>
          </w:tcPr>
          <w:p>
            <w:pPr>
              <w:spacing w:after="0"/>
              <w:rPr>
                <w:sz w:val="20"/>
                <w:szCs w:val="20"/>
                <w:color w:val="auto"/>
              </w:rPr>
            </w:pPr>
            <w:r>
              <w:rPr>
                <w:rFonts w:ascii="Arial" w:cs="Arial" w:eastAsia="Arial" w:hAnsi="Arial"/>
                <w:sz w:val="22"/>
                <w:szCs w:val="22"/>
                <w:color w:val="auto"/>
              </w:rPr>
              <w:t>ARTICLE I1</w:t>
            </w: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70"/>
        </w:trPr>
        <w:tc>
          <w:tcPr>
            <w:tcW w:w="620" w:type="dxa"/>
            <w:vAlign w:val="bottom"/>
          </w:tcPr>
          <w:p>
            <w:pPr>
              <w:jc w:val="right"/>
              <w:ind w:right="72"/>
              <w:spacing w:after="0"/>
              <w:rPr>
                <w:sz w:val="20"/>
                <w:szCs w:val="20"/>
                <w:color w:val="auto"/>
              </w:rPr>
            </w:pPr>
            <w:r>
              <w:rPr>
                <w:rFonts w:ascii="Arial" w:cs="Arial" w:eastAsia="Arial" w:hAnsi="Arial"/>
                <w:sz w:val="22"/>
                <w:szCs w:val="22"/>
                <w:color w:val="auto"/>
              </w:rPr>
              <w:t>1.1</w:t>
            </w:r>
          </w:p>
        </w:tc>
        <w:tc>
          <w:tcPr>
            <w:tcW w:w="2580" w:type="dxa"/>
            <w:vAlign w:val="bottom"/>
          </w:tcPr>
          <w:p>
            <w:pPr>
              <w:ind w:left="200"/>
              <w:spacing w:after="0"/>
              <w:rPr>
                <w:sz w:val="20"/>
                <w:szCs w:val="20"/>
                <w:color w:val="auto"/>
              </w:rPr>
            </w:pPr>
            <w:r>
              <w:rPr>
                <w:rFonts w:ascii="Arial" w:cs="Arial" w:eastAsia="Arial" w:hAnsi="Arial"/>
                <w:sz w:val="22"/>
                <w:szCs w:val="22"/>
                <w:color w:val="auto"/>
              </w:rPr>
              <w:t>Title</w:t>
            </w:r>
          </w:p>
        </w:tc>
        <w:tc>
          <w:tcPr>
            <w:tcW w:w="800" w:type="dxa"/>
            <w:vAlign w:val="bottom"/>
          </w:tcPr>
          <w:p>
            <w:pPr>
              <w:jc w:val="right"/>
              <w:ind w:right="594"/>
              <w:spacing w:after="0"/>
              <w:rPr>
                <w:sz w:val="20"/>
                <w:szCs w:val="20"/>
                <w:color w:val="auto"/>
              </w:rPr>
            </w:pPr>
            <w:r>
              <w:rPr>
                <w:rFonts w:ascii="Arial" w:cs="Arial" w:eastAsia="Arial" w:hAnsi="Arial"/>
                <w:sz w:val="19"/>
                <w:szCs w:val="19"/>
                <w:color w:val="auto"/>
                <w:w w:val="75"/>
              </w:rPr>
              <w:t>1</w:t>
            </w:r>
          </w:p>
        </w:tc>
        <w:tc>
          <w:tcPr>
            <w:tcW w:w="840" w:type="dxa"/>
            <w:vAlign w:val="bottom"/>
          </w:tcPr>
          <w:p>
            <w:pPr>
              <w:spacing w:after="0"/>
              <w:rPr>
                <w:sz w:val="23"/>
                <w:szCs w:val="23"/>
                <w:color w:val="auto"/>
              </w:rPr>
            </w:pPr>
          </w:p>
        </w:tc>
        <w:tc>
          <w:tcPr>
            <w:tcW w:w="3240" w:type="dxa"/>
            <w:vAlign w:val="bottom"/>
          </w:tcPr>
          <w:p>
            <w:pPr>
              <w:spacing w:after="0"/>
              <w:rPr>
                <w:sz w:val="23"/>
                <w:szCs w:val="23"/>
                <w:color w:val="auto"/>
              </w:rPr>
            </w:pPr>
          </w:p>
        </w:tc>
      </w:tr>
      <w:tr>
        <w:trPr>
          <w:trHeight w:val="270"/>
        </w:trPr>
        <w:tc>
          <w:tcPr>
            <w:tcW w:w="620" w:type="dxa"/>
            <w:vAlign w:val="bottom"/>
          </w:tcPr>
          <w:p>
            <w:pPr>
              <w:jc w:val="right"/>
              <w:ind w:right="72"/>
              <w:spacing w:after="0"/>
              <w:rPr>
                <w:sz w:val="20"/>
                <w:szCs w:val="20"/>
                <w:color w:val="auto"/>
              </w:rPr>
            </w:pPr>
            <w:r>
              <w:rPr>
                <w:rFonts w:ascii="Arial" w:cs="Arial" w:eastAsia="Arial" w:hAnsi="Arial"/>
                <w:sz w:val="22"/>
                <w:szCs w:val="22"/>
                <w:color w:val="auto"/>
              </w:rPr>
              <w:t>1.2</w:t>
            </w:r>
          </w:p>
        </w:tc>
        <w:tc>
          <w:tcPr>
            <w:tcW w:w="2580" w:type="dxa"/>
            <w:vAlign w:val="bottom"/>
          </w:tcPr>
          <w:p>
            <w:pPr>
              <w:ind w:left="200"/>
              <w:spacing w:after="0"/>
              <w:rPr>
                <w:sz w:val="20"/>
                <w:szCs w:val="20"/>
                <w:color w:val="auto"/>
              </w:rPr>
            </w:pPr>
            <w:r>
              <w:rPr>
                <w:rFonts w:ascii="Arial" w:cs="Arial" w:eastAsia="Arial" w:hAnsi="Arial"/>
                <w:sz w:val="22"/>
                <w:szCs w:val="22"/>
                <w:color w:val="auto"/>
              </w:rPr>
              <w:t>Purpose</w:t>
            </w:r>
          </w:p>
        </w:tc>
        <w:tc>
          <w:tcPr>
            <w:tcW w:w="800" w:type="dxa"/>
            <w:vAlign w:val="bottom"/>
          </w:tcPr>
          <w:p>
            <w:pPr>
              <w:jc w:val="right"/>
              <w:ind w:right="474"/>
              <w:spacing w:after="0"/>
              <w:rPr>
                <w:sz w:val="20"/>
                <w:szCs w:val="20"/>
                <w:color w:val="auto"/>
              </w:rPr>
            </w:pPr>
            <w:r>
              <w:rPr>
                <w:rFonts w:ascii="Arial" w:cs="Arial" w:eastAsia="Arial" w:hAnsi="Arial"/>
                <w:sz w:val="22"/>
                <w:szCs w:val="22"/>
                <w:color w:val="auto"/>
              </w:rPr>
              <w:t>1</w:t>
            </w:r>
          </w:p>
        </w:tc>
        <w:tc>
          <w:tcPr>
            <w:tcW w:w="840" w:type="dxa"/>
            <w:vAlign w:val="bottom"/>
          </w:tcPr>
          <w:p>
            <w:pPr>
              <w:spacing w:after="0"/>
              <w:rPr>
                <w:sz w:val="23"/>
                <w:szCs w:val="23"/>
                <w:color w:val="auto"/>
              </w:rPr>
            </w:pPr>
          </w:p>
        </w:tc>
        <w:tc>
          <w:tcPr>
            <w:tcW w:w="3240" w:type="dxa"/>
            <w:vAlign w:val="bottom"/>
          </w:tcPr>
          <w:p>
            <w:pPr>
              <w:spacing w:after="0"/>
              <w:rPr>
                <w:sz w:val="23"/>
                <w:szCs w:val="23"/>
                <w:color w:val="auto"/>
              </w:rPr>
            </w:pPr>
          </w:p>
        </w:tc>
      </w:tr>
      <w:tr>
        <w:trPr>
          <w:trHeight w:val="275"/>
        </w:trPr>
        <w:tc>
          <w:tcPr>
            <w:tcW w:w="620" w:type="dxa"/>
            <w:vAlign w:val="bottom"/>
          </w:tcPr>
          <w:p>
            <w:pPr>
              <w:jc w:val="right"/>
              <w:ind w:right="72"/>
              <w:spacing w:after="0"/>
              <w:rPr>
                <w:sz w:val="20"/>
                <w:szCs w:val="20"/>
                <w:color w:val="auto"/>
              </w:rPr>
            </w:pPr>
            <w:r>
              <w:rPr>
                <w:rFonts w:ascii="Arial" w:cs="Arial" w:eastAsia="Arial" w:hAnsi="Arial"/>
                <w:sz w:val="22"/>
                <w:szCs w:val="22"/>
                <w:color w:val="auto"/>
              </w:rPr>
              <w:t>1.3</w:t>
            </w:r>
          </w:p>
        </w:tc>
        <w:tc>
          <w:tcPr>
            <w:tcW w:w="2580" w:type="dxa"/>
            <w:vAlign w:val="bottom"/>
          </w:tcPr>
          <w:p>
            <w:pPr>
              <w:ind w:left="200"/>
              <w:spacing w:after="0"/>
              <w:rPr>
                <w:sz w:val="20"/>
                <w:szCs w:val="20"/>
                <w:color w:val="auto"/>
              </w:rPr>
            </w:pPr>
            <w:r>
              <w:rPr>
                <w:rFonts w:ascii="Arial" w:cs="Arial" w:eastAsia="Arial" w:hAnsi="Arial"/>
                <w:sz w:val="22"/>
                <w:szCs w:val="22"/>
                <w:color w:val="auto"/>
              </w:rPr>
              <w:t>Effective Date</w:t>
            </w:r>
          </w:p>
        </w:tc>
        <w:tc>
          <w:tcPr>
            <w:tcW w:w="800" w:type="dxa"/>
            <w:vAlign w:val="bottom"/>
          </w:tcPr>
          <w:p>
            <w:pPr>
              <w:jc w:val="right"/>
              <w:ind w:right="94"/>
              <w:spacing w:after="0"/>
              <w:rPr>
                <w:sz w:val="20"/>
                <w:szCs w:val="20"/>
                <w:color w:val="auto"/>
              </w:rPr>
            </w:pPr>
            <w:r>
              <w:rPr>
                <w:rFonts w:ascii="Arial" w:cs="Arial" w:eastAsia="Arial" w:hAnsi="Arial"/>
                <w:sz w:val="22"/>
                <w:szCs w:val="22"/>
                <w:color w:val="auto"/>
              </w:rPr>
              <w:t>1</w:t>
            </w:r>
          </w:p>
        </w:tc>
        <w:tc>
          <w:tcPr>
            <w:tcW w:w="840" w:type="dxa"/>
            <w:vAlign w:val="bottom"/>
          </w:tcPr>
          <w:p>
            <w:pPr>
              <w:spacing w:after="0"/>
              <w:rPr>
                <w:sz w:val="23"/>
                <w:szCs w:val="23"/>
                <w:color w:val="auto"/>
              </w:rPr>
            </w:pPr>
          </w:p>
        </w:tc>
        <w:tc>
          <w:tcPr>
            <w:tcW w:w="3240" w:type="dxa"/>
            <w:vAlign w:val="bottom"/>
          </w:tcPr>
          <w:p>
            <w:pPr>
              <w:spacing w:after="0"/>
              <w:rPr>
                <w:sz w:val="23"/>
                <w:szCs w:val="23"/>
                <w:color w:val="auto"/>
              </w:rPr>
            </w:pPr>
          </w:p>
        </w:tc>
      </w:tr>
      <w:tr>
        <w:trPr>
          <w:trHeight w:val="468"/>
        </w:trPr>
        <w:tc>
          <w:tcPr>
            <w:tcW w:w="3200" w:type="dxa"/>
            <w:vAlign w:val="bottom"/>
            <w:gridSpan w:val="2"/>
          </w:tcPr>
          <w:p>
            <w:pPr>
              <w:spacing w:after="0"/>
              <w:rPr>
                <w:sz w:val="20"/>
                <w:szCs w:val="20"/>
                <w:color w:val="auto"/>
              </w:rPr>
            </w:pPr>
            <w:r>
              <w:rPr>
                <w:rFonts w:ascii="Arial" w:cs="Arial" w:eastAsia="Arial" w:hAnsi="Arial"/>
                <w:sz w:val="22"/>
                <w:szCs w:val="22"/>
                <w:color w:val="auto"/>
              </w:rPr>
              <w:t>ARTICLE II1</w:t>
            </w: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70"/>
        </w:trPr>
        <w:tc>
          <w:tcPr>
            <w:tcW w:w="620" w:type="dxa"/>
            <w:vAlign w:val="bottom"/>
          </w:tcPr>
          <w:p>
            <w:pPr>
              <w:jc w:val="right"/>
              <w:ind w:right="72"/>
              <w:spacing w:after="0"/>
              <w:rPr>
                <w:sz w:val="20"/>
                <w:szCs w:val="20"/>
                <w:color w:val="auto"/>
              </w:rPr>
            </w:pPr>
            <w:r>
              <w:rPr>
                <w:rFonts w:ascii="Arial" w:cs="Arial" w:eastAsia="Arial" w:hAnsi="Arial"/>
                <w:sz w:val="22"/>
                <w:szCs w:val="22"/>
                <w:color w:val="auto"/>
              </w:rPr>
              <w:t>2.1</w:t>
            </w:r>
          </w:p>
        </w:tc>
        <w:tc>
          <w:tcPr>
            <w:tcW w:w="2580" w:type="dxa"/>
            <w:vAlign w:val="bottom"/>
          </w:tcPr>
          <w:p>
            <w:pPr>
              <w:ind w:left="200"/>
              <w:spacing w:after="0"/>
              <w:rPr>
                <w:sz w:val="20"/>
                <w:szCs w:val="20"/>
                <w:color w:val="auto"/>
              </w:rPr>
            </w:pPr>
            <w:r>
              <w:rPr>
                <w:rFonts w:ascii="Arial" w:cs="Arial" w:eastAsia="Arial" w:hAnsi="Arial"/>
                <w:sz w:val="22"/>
                <w:szCs w:val="22"/>
                <w:color w:val="auto"/>
              </w:rPr>
              <w:t>Eligible Employee</w:t>
            </w:r>
          </w:p>
        </w:tc>
        <w:tc>
          <w:tcPr>
            <w:tcW w:w="800" w:type="dxa"/>
            <w:vAlign w:val="bottom"/>
          </w:tcPr>
          <w:p>
            <w:pPr>
              <w:spacing w:after="0"/>
              <w:rPr>
                <w:sz w:val="23"/>
                <w:szCs w:val="23"/>
                <w:color w:val="auto"/>
              </w:rPr>
            </w:pPr>
          </w:p>
        </w:tc>
        <w:tc>
          <w:tcPr>
            <w:tcW w:w="840" w:type="dxa"/>
            <w:vAlign w:val="bottom"/>
          </w:tcPr>
          <w:p>
            <w:pPr>
              <w:jc w:val="right"/>
              <w:ind w:right="572"/>
              <w:spacing w:after="0"/>
              <w:rPr>
                <w:sz w:val="20"/>
                <w:szCs w:val="20"/>
                <w:color w:val="auto"/>
              </w:rPr>
            </w:pPr>
            <w:r>
              <w:rPr>
                <w:rFonts w:ascii="Arial" w:cs="Arial" w:eastAsia="Arial" w:hAnsi="Arial"/>
                <w:sz w:val="22"/>
                <w:szCs w:val="22"/>
                <w:color w:val="auto"/>
              </w:rPr>
              <w:t>1</w:t>
            </w:r>
          </w:p>
        </w:tc>
        <w:tc>
          <w:tcPr>
            <w:tcW w:w="3240" w:type="dxa"/>
            <w:vAlign w:val="bottom"/>
          </w:tcPr>
          <w:p>
            <w:pPr>
              <w:spacing w:after="0"/>
              <w:rPr>
                <w:sz w:val="23"/>
                <w:szCs w:val="23"/>
                <w:color w:val="auto"/>
              </w:rPr>
            </w:pPr>
          </w:p>
        </w:tc>
      </w:tr>
      <w:tr>
        <w:trPr>
          <w:trHeight w:val="270"/>
        </w:trPr>
        <w:tc>
          <w:tcPr>
            <w:tcW w:w="620" w:type="dxa"/>
            <w:vAlign w:val="bottom"/>
          </w:tcPr>
          <w:p>
            <w:pPr>
              <w:jc w:val="right"/>
              <w:ind w:right="72"/>
              <w:spacing w:after="0"/>
              <w:rPr>
                <w:sz w:val="20"/>
                <w:szCs w:val="20"/>
                <w:color w:val="auto"/>
              </w:rPr>
            </w:pPr>
            <w:r>
              <w:rPr>
                <w:rFonts w:ascii="Arial" w:cs="Arial" w:eastAsia="Arial" w:hAnsi="Arial"/>
                <w:sz w:val="22"/>
                <w:szCs w:val="22"/>
                <w:color w:val="auto"/>
              </w:rPr>
              <w:t>2.2</w:t>
            </w:r>
          </w:p>
        </w:tc>
        <w:tc>
          <w:tcPr>
            <w:tcW w:w="2580" w:type="dxa"/>
            <w:vAlign w:val="bottom"/>
          </w:tcPr>
          <w:p>
            <w:pPr>
              <w:ind w:left="200"/>
              <w:spacing w:after="0"/>
              <w:rPr>
                <w:sz w:val="20"/>
                <w:szCs w:val="20"/>
                <w:color w:val="auto"/>
              </w:rPr>
            </w:pPr>
            <w:r>
              <w:rPr>
                <w:rFonts w:ascii="Arial" w:cs="Arial" w:eastAsia="Arial" w:hAnsi="Arial"/>
                <w:sz w:val="22"/>
                <w:szCs w:val="22"/>
                <w:color w:val="auto"/>
              </w:rPr>
              <w:t>Entry Date</w:t>
            </w:r>
          </w:p>
        </w:tc>
        <w:tc>
          <w:tcPr>
            <w:tcW w:w="800" w:type="dxa"/>
            <w:vAlign w:val="bottom"/>
          </w:tcPr>
          <w:p>
            <w:pPr>
              <w:jc w:val="right"/>
              <w:ind w:right="234"/>
              <w:spacing w:after="0"/>
              <w:rPr>
                <w:sz w:val="20"/>
                <w:szCs w:val="20"/>
                <w:color w:val="auto"/>
              </w:rPr>
            </w:pPr>
            <w:r>
              <w:rPr>
                <w:rFonts w:ascii="Arial" w:cs="Arial" w:eastAsia="Arial" w:hAnsi="Arial"/>
                <w:sz w:val="22"/>
                <w:szCs w:val="22"/>
                <w:color w:val="auto"/>
              </w:rPr>
              <w:t>2</w:t>
            </w:r>
          </w:p>
        </w:tc>
        <w:tc>
          <w:tcPr>
            <w:tcW w:w="840" w:type="dxa"/>
            <w:vAlign w:val="bottom"/>
          </w:tcPr>
          <w:p>
            <w:pPr>
              <w:spacing w:after="0"/>
              <w:rPr>
                <w:sz w:val="23"/>
                <w:szCs w:val="23"/>
                <w:color w:val="auto"/>
              </w:rPr>
            </w:pPr>
          </w:p>
        </w:tc>
        <w:tc>
          <w:tcPr>
            <w:tcW w:w="3240" w:type="dxa"/>
            <w:vAlign w:val="bottom"/>
          </w:tcPr>
          <w:p>
            <w:pPr>
              <w:spacing w:after="0"/>
              <w:rPr>
                <w:sz w:val="23"/>
                <w:szCs w:val="23"/>
                <w:color w:val="auto"/>
              </w:rPr>
            </w:pPr>
          </w:p>
        </w:tc>
      </w:tr>
      <w:tr>
        <w:trPr>
          <w:trHeight w:val="270"/>
        </w:trPr>
        <w:tc>
          <w:tcPr>
            <w:tcW w:w="620" w:type="dxa"/>
            <w:vAlign w:val="bottom"/>
          </w:tcPr>
          <w:p>
            <w:pPr>
              <w:jc w:val="right"/>
              <w:ind w:right="72"/>
              <w:spacing w:after="0"/>
              <w:rPr>
                <w:sz w:val="20"/>
                <w:szCs w:val="20"/>
                <w:color w:val="auto"/>
              </w:rPr>
            </w:pPr>
            <w:r>
              <w:rPr>
                <w:rFonts w:ascii="Arial" w:cs="Arial" w:eastAsia="Arial" w:hAnsi="Arial"/>
                <w:sz w:val="22"/>
                <w:szCs w:val="22"/>
                <w:color w:val="auto"/>
              </w:rPr>
              <w:t>2.3</w:t>
            </w:r>
          </w:p>
        </w:tc>
        <w:tc>
          <w:tcPr>
            <w:tcW w:w="2580" w:type="dxa"/>
            <w:vAlign w:val="bottom"/>
          </w:tcPr>
          <w:p>
            <w:pPr>
              <w:ind w:left="200"/>
              <w:spacing w:after="0"/>
              <w:rPr>
                <w:sz w:val="20"/>
                <w:szCs w:val="20"/>
                <w:color w:val="auto"/>
              </w:rPr>
            </w:pPr>
            <w:r>
              <w:rPr>
                <w:rFonts w:ascii="Arial" w:cs="Arial" w:eastAsia="Arial" w:hAnsi="Arial"/>
                <w:sz w:val="22"/>
                <w:szCs w:val="22"/>
                <w:color w:val="auto"/>
                <w:w w:val="91"/>
              </w:rPr>
              <w:t>When Participation Begins</w:t>
            </w:r>
          </w:p>
        </w:tc>
        <w:tc>
          <w:tcPr>
            <w:tcW w:w="800" w:type="dxa"/>
            <w:vAlign w:val="bottom"/>
          </w:tcPr>
          <w:p>
            <w:pPr>
              <w:spacing w:after="0"/>
              <w:rPr>
                <w:sz w:val="23"/>
                <w:szCs w:val="23"/>
                <w:color w:val="auto"/>
              </w:rPr>
            </w:pPr>
          </w:p>
        </w:tc>
        <w:tc>
          <w:tcPr>
            <w:tcW w:w="840" w:type="dxa"/>
            <w:vAlign w:val="bottom"/>
          </w:tcPr>
          <w:p>
            <w:pPr>
              <w:ind w:left="580"/>
              <w:spacing w:after="0"/>
              <w:rPr>
                <w:sz w:val="20"/>
                <w:szCs w:val="20"/>
                <w:color w:val="auto"/>
              </w:rPr>
            </w:pPr>
            <w:r>
              <w:rPr>
                <w:rFonts w:ascii="Arial" w:cs="Arial" w:eastAsia="Arial" w:hAnsi="Arial"/>
                <w:sz w:val="22"/>
                <w:szCs w:val="22"/>
                <w:color w:val="auto"/>
              </w:rPr>
              <w:t>2</w:t>
            </w:r>
          </w:p>
        </w:tc>
        <w:tc>
          <w:tcPr>
            <w:tcW w:w="3240" w:type="dxa"/>
            <w:vAlign w:val="bottom"/>
          </w:tcPr>
          <w:p>
            <w:pPr>
              <w:spacing w:after="0"/>
              <w:rPr>
                <w:sz w:val="23"/>
                <w:szCs w:val="23"/>
                <w:color w:val="auto"/>
              </w:rPr>
            </w:pPr>
          </w:p>
        </w:tc>
      </w:tr>
      <w:tr>
        <w:trPr>
          <w:trHeight w:val="270"/>
        </w:trPr>
        <w:tc>
          <w:tcPr>
            <w:tcW w:w="620" w:type="dxa"/>
            <w:vAlign w:val="bottom"/>
          </w:tcPr>
          <w:p>
            <w:pPr>
              <w:jc w:val="right"/>
              <w:ind w:right="72"/>
              <w:spacing w:after="0"/>
              <w:rPr>
                <w:sz w:val="20"/>
                <w:szCs w:val="20"/>
                <w:color w:val="auto"/>
              </w:rPr>
            </w:pPr>
            <w:r>
              <w:rPr>
                <w:rFonts w:ascii="Arial" w:cs="Arial" w:eastAsia="Arial" w:hAnsi="Arial"/>
                <w:sz w:val="22"/>
                <w:szCs w:val="22"/>
                <w:color w:val="auto"/>
              </w:rPr>
              <w:t>2.4</w:t>
            </w:r>
          </w:p>
        </w:tc>
        <w:tc>
          <w:tcPr>
            <w:tcW w:w="2580" w:type="dxa"/>
            <w:vAlign w:val="bottom"/>
          </w:tcPr>
          <w:p>
            <w:pPr>
              <w:ind w:left="200"/>
              <w:spacing w:after="0"/>
              <w:rPr>
                <w:sz w:val="20"/>
                <w:szCs w:val="20"/>
                <w:color w:val="auto"/>
              </w:rPr>
            </w:pPr>
            <w:r>
              <w:rPr>
                <w:rFonts w:ascii="Arial" w:cs="Arial" w:eastAsia="Arial" w:hAnsi="Arial"/>
                <w:sz w:val="22"/>
                <w:szCs w:val="22"/>
                <w:color w:val="auto"/>
                <w:w w:val="88"/>
              </w:rPr>
              <w:t>Suspension of Participation</w:t>
            </w:r>
          </w:p>
        </w:tc>
        <w:tc>
          <w:tcPr>
            <w:tcW w:w="800" w:type="dxa"/>
            <w:vAlign w:val="bottom"/>
          </w:tcPr>
          <w:p>
            <w:pPr>
              <w:spacing w:after="0"/>
              <w:rPr>
                <w:sz w:val="23"/>
                <w:szCs w:val="23"/>
                <w:color w:val="auto"/>
              </w:rPr>
            </w:pPr>
          </w:p>
        </w:tc>
        <w:tc>
          <w:tcPr>
            <w:tcW w:w="840" w:type="dxa"/>
            <w:vAlign w:val="bottom"/>
          </w:tcPr>
          <w:p>
            <w:pPr>
              <w:ind w:left="640"/>
              <w:spacing w:after="0"/>
              <w:rPr>
                <w:sz w:val="20"/>
                <w:szCs w:val="20"/>
                <w:color w:val="auto"/>
              </w:rPr>
            </w:pPr>
            <w:r>
              <w:rPr>
                <w:rFonts w:ascii="Arial" w:cs="Arial" w:eastAsia="Arial" w:hAnsi="Arial"/>
                <w:sz w:val="22"/>
                <w:szCs w:val="22"/>
                <w:color w:val="auto"/>
              </w:rPr>
              <w:t>2</w:t>
            </w:r>
          </w:p>
        </w:tc>
        <w:tc>
          <w:tcPr>
            <w:tcW w:w="3240" w:type="dxa"/>
            <w:vAlign w:val="bottom"/>
          </w:tcPr>
          <w:p>
            <w:pPr>
              <w:spacing w:after="0"/>
              <w:rPr>
                <w:sz w:val="23"/>
                <w:szCs w:val="23"/>
                <w:color w:val="auto"/>
              </w:rPr>
            </w:pPr>
          </w:p>
        </w:tc>
      </w:tr>
      <w:tr>
        <w:trPr>
          <w:trHeight w:val="275"/>
        </w:trPr>
        <w:tc>
          <w:tcPr>
            <w:tcW w:w="620" w:type="dxa"/>
            <w:vAlign w:val="bottom"/>
          </w:tcPr>
          <w:p>
            <w:pPr>
              <w:jc w:val="right"/>
              <w:ind w:right="72"/>
              <w:spacing w:after="0"/>
              <w:rPr>
                <w:sz w:val="20"/>
                <w:szCs w:val="20"/>
                <w:color w:val="auto"/>
              </w:rPr>
            </w:pPr>
            <w:r>
              <w:rPr>
                <w:rFonts w:ascii="Arial" w:cs="Arial" w:eastAsia="Arial" w:hAnsi="Arial"/>
                <w:sz w:val="22"/>
                <w:szCs w:val="22"/>
                <w:color w:val="auto"/>
              </w:rPr>
              <w:t>2.5</w:t>
            </w:r>
          </w:p>
        </w:tc>
        <w:tc>
          <w:tcPr>
            <w:tcW w:w="2580" w:type="dxa"/>
            <w:vAlign w:val="bottom"/>
          </w:tcPr>
          <w:p>
            <w:pPr>
              <w:ind w:left="200"/>
              <w:spacing w:after="0"/>
              <w:rPr>
                <w:sz w:val="20"/>
                <w:szCs w:val="20"/>
                <w:color w:val="auto"/>
              </w:rPr>
            </w:pPr>
            <w:r>
              <w:rPr>
                <w:rFonts w:ascii="Arial" w:cs="Arial" w:eastAsia="Arial" w:hAnsi="Arial"/>
                <w:sz w:val="22"/>
                <w:szCs w:val="22"/>
                <w:color w:val="auto"/>
                <w:w w:val="97"/>
              </w:rPr>
              <w:t>When Participation Ends</w:t>
            </w:r>
          </w:p>
        </w:tc>
        <w:tc>
          <w:tcPr>
            <w:tcW w:w="800" w:type="dxa"/>
            <w:vAlign w:val="bottom"/>
          </w:tcPr>
          <w:p>
            <w:pPr>
              <w:spacing w:after="0"/>
              <w:rPr>
                <w:sz w:val="23"/>
                <w:szCs w:val="23"/>
                <w:color w:val="auto"/>
              </w:rPr>
            </w:pPr>
          </w:p>
        </w:tc>
        <w:tc>
          <w:tcPr>
            <w:tcW w:w="840" w:type="dxa"/>
            <w:vAlign w:val="bottom"/>
          </w:tcPr>
          <w:p>
            <w:pPr>
              <w:jc w:val="right"/>
              <w:ind w:right="212"/>
              <w:spacing w:after="0"/>
              <w:rPr>
                <w:sz w:val="20"/>
                <w:szCs w:val="20"/>
                <w:color w:val="auto"/>
              </w:rPr>
            </w:pPr>
            <w:r>
              <w:rPr>
                <w:rFonts w:ascii="Arial" w:cs="Arial" w:eastAsia="Arial" w:hAnsi="Arial"/>
                <w:sz w:val="22"/>
                <w:szCs w:val="22"/>
                <w:color w:val="auto"/>
              </w:rPr>
              <w:t>2</w:t>
            </w:r>
          </w:p>
        </w:tc>
        <w:tc>
          <w:tcPr>
            <w:tcW w:w="3240" w:type="dxa"/>
            <w:vAlign w:val="bottom"/>
          </w:tcPr>
          <w:p>
            <w:pPr>
              <w:spacing w:after="0"/>
              <w:rPr>
                <w:sz w:val="23"/>
                <w:szCs w:val="23"/>
                <w:color w:val="auto"/>
              </w:rPr>
            </w:pPr>
          </w:p>
        </w:tc>
      </w:tr>
      <w:tr>
        <w:trPr>
          <w:trHeight w:val="468"/>
        </w:trPr>
        <w:tc>
          <w:tcPr>
            <w:tcW w:w="3200" w:type="dxa"/>
            <w:vAlign w:val="bottom"/>
            <w:gridSpan w:val="2"/>
          </w:tcPr>
          <w:p>
            <w:pPr>
              <w:spacing w:after="0"/>
              <w:rPr>
                <w:sz w:val="20"/>
                <w:szCs w:val="20"/>
                <w:color w:val="auto"/>
              </w:rPr>
            </w:pPr>
            <w:r>
              <w:rPr>
                <w:rFonts w:ascii="Arial" w:cs="Arial" w:eastAsia="Arial" w:hAnsi="Arial"/>
                <w:sz w:val="22"/>
                <w:szCs w:val="22"/>
                <w:color w:val="auto"/>
              </w:rPr>
              <w:t>ARTICLE III3</w:t>
            </w: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70"/>
        </w:trPr>
        <w:tc>
          <w:tcPr>
            <w:tcW w:w="620" w:type="dxa"/>
            <w:vAlign w:val="bottom"/>
          </w:tcPr>
          <w:p>
            <w:pPr>
              <w:jc w:val="right"/>
              <w:ind w:right="72"/>
              <w:spacing w:after="0"/>
              <w:rPr>
                <w:sz w:val="20"/>
                <w:szCs w:val="20"/>
                <w:color w:val="auto"/>
              </w:rPr>
            </w:pPr>
            <w:r>
              <w:rPr>
                <w:rFonts w:ascii="Arial" w:cs="Arial" w:eastAsia="Arial" w:hAnsi="Arial"/>
                <w:sz w:val="22"/>
                <w:szCs w:val="22"/>
                <w:color w:val="auto"/>
              </w:rPr>
              <w:t>3.1</w:t>
            </w:r>
          </w:p>
        </w:tc>
        <w:tc>
          <w:tcPr>
            <w:tcW w:w="2580" w:type="dxa"/>
            <w:vAlign w:val="bottom"/>
          </w:tcPr>
          <w:p>
            <w:pPr>
              <w:ind w:left="200"/>
              <w:spacing w:after="0"/>
              <w:rPr>
                <w:sz w:val="20"/>
                <w:szCs w:val="20"/>
                <w:color w:val="auto"/>
              </w:rPr>
            </w:pPr>
            <w:r>
              <w:rPr>
                <w:rFonts w:ascii="Arial" w:cs="Arial" w:eastAsia="Arial" w:hAnsi="Arial"/>
                <w:sz w:val="22"/>
                <w:szCs w:val="22"/>
                <w:color w:val="auto"/>
              </w:rPr>
              <w:t>Deferral Elections</w:t>
            </w:r>
          </w:p>
        </w:tc>
        <w:tc>
          <w:tcPr>
            <w:tcW w:w="800" w:type="dxa"/>
            <w:vAlign w:val="bottom"/>
          </w:tcPr>
          <w:p>
            <w:pPr>
              <w:spacing w:after="0"/>
              <w:rPr>
                <w:sz w:val="23"/>
                <w:szCs w:val="23"/>
                <w:color w:val="auto"/>
              </w:rPr>
            </w:pPr>
          </w:p>
        </w:tc>
        <w:tc>
          <w:tcPr>
            <w:tcW w:w="840" w:type="dxa"/>
            <w:vAlign w:val="bottom"/>
          </w:tcPr>
          <w:p>
            <w:pPr>
              <w:jc w:val="right"/>
              <w:ind w:right="612"/>
              <w:spacing w:after="0"/>
              <w:rPr>
                <w:sz w:val="20"/>
                <w:szCs w:val="20"/>
                <w:color w:val="auto"/>
              </w:rPr>
            </w:pPr>
            <w:r>
              <w:rPr>
                <w:rFonts w:ascii="Arial" w:cs="Arial" w:eastAsia="Arial" w:hAnsi="Arial"/>
                <w:sz w:val="22"/>
                <w:szCs w:val="22"/>
                <w:color w:val="auto"/>
                <w:w w:val="81"/>
              </w:rPr>
              <w:t>3</w:t>
            </w:r>
          </w:p>
        </w:tc>
        <w:tc>
          <w:tcPr>
            <w:tcW w:w="3240" w:type="dxa"/>
            <w:vAlign w:val="bottom"/>
          </w:tcPr>
          <w:p>
            <w:pPr>
              <w:spacing w:after="0"/>
              <w:rPr>
                <w:sz w:val="23"/>
                <w:szCs w:val="23"/>
                <w:color w:val="auto"/>
              </w:rPr>
            </w:pPr>
          </w:p>
        </w:tc>
      </w:tr>
      <w:tr>
        <w:trPr>
          <w:trHeight w:val="270"/>
        </w:trPr>
        <w:tc>
          <w:tcPr>
            <w:tcW w:w="620" w:type="dxa"/>
            <w:vAlign w:val="bottom"/>
          </w:tcPr>
          <w:p>
            <w:pPr>
              <w:jc w:val="right"/>
              <w:ind w:right="72"/>
              <w:spacing w:after="0"/>
              <w:rPr>
                <w:sz w:val="20"/>
                <w:szCs w:val="20"/>
                <w:color w:val="auto"/>
              </w:rPr>
            </w:pPr>
            <w:r>
              <w:rPr>
                <w:rFonts w:ascii="Arial" w:cs="Arial" w:eastAsia="Arial" w:hAnsi="Arial"/>
                <w:sz w:val="22"/>
                <w:szCs w:val="22"/>
                <w:color w:val="auto"/>
              </w:rPr>
              <w:t>3.2</w:t>
            </w:r>
          </w:p>
        </w:tc>
        <w:tc>
          <w:tcPr>
            <w:tcW w:w="2580" w:type="dxa"/>
            <w:vAlign w:val="bottom"/>
          </w:tcPr>
          <w:p>
            <w:pPr>
              <w:ind w:left="200"/>
              <w:spacing w:after="0"/>
              <w:rPr>
                <w:sz w:val="20"/>
                <w:szCs w:val="20"/>
                <w:color w:val="auto"/>
              </w:rPr>
            </w:pPr>
            <w:r>
              <w:rPr>
                <w:rFonts w:ascii="Arial" w:cs="Arial" w:eastAsia="Arial" w:hAnsi="Arial"/>
                <w:sz w:val="22"/>
                <w:szCs w:val="22"/>
                <w:color w:val="auto"/>
              </w:rPr>
              <w:t>Amount of Deferral</w:t>
            </w:r>
          </w:p>
        </w:tc>
        <w:tc>
          <w:tcPr>
            <w:tcW w:w="800" w:type="dxa"/>
            <w:vAlign w:val="bottom"/>
          </w:tcPr>
          <w:p>
            <w:pPr>
              <w:spacing w:after="0"/>
              <w:rPr>
                <w:sz w:val="23"/>
                <w:szCs w:val="23"/>
                <w:color w:val="auto"/>
              </w:rPr>
            </w:pPr>
          </w:p>
        </w:tc>
        <w:tc>
          <w:tcPr>
            <w:tcW w:w="840" w:type="dxa"/>
            <w:vAlign w:val="bottom"/>
          </w:tcPr>
          <w:p>
            <w:pPr>
              <w:jc w:val="right"/>
              <w:ind w:right="472"/>
              <w:spacing w:after="0"/>
              <w:rPr>
                <w:sz w:val="20"/>
                <w:szCs w:val="20"/>
                <w:color w:val="auto"/>
              </w:rPr>
            </w:pPr>
            <w:r>
              <w:rPr>
                <w:rFonts w:ascii="Arial" w:cs="Arial" w:eastAsia="Arial" w:hAnsi="Arial"/>
                <w:sz w:val="22"/>
                <w:szCs w:val="22"/>
                <w:color w:val="auto"/>
              </w:rPr>
              <w:t>4</w:t>
            </w:r>
          </w:p>
        </w:tc>
        <w:tc>
          <w:tcPr>
            <w:tcW w:w="3240" w:type="dxa"/>
            <w:vAlign w:val="bottom"/>
          </w:tcPr>
          <w:p>
            <w:pPr>
              <w:spacing w:after="0"/>
              <w:rPr>
                <w:sz w:val="23"/>
                <w:szCs w:val="23"/>
                <w:color w:val="auto"/>
              </w:rPr>
            </w:pPr>
          </w:p>
        </w:tc>
      </w:tr>
      <w:tr>
        <w:trPr>
          <w:trHeight w:val="270"/>
        </w:trPr>
        <w:tc>
          <w:tcPr>
            <w:tcW w:w="620" w:type="dxa"/>
            <w:vAlign w:val="bottom"/>
          </w:tcPr>
          <w:p>
            <w:pPr>
              <w:jc w:val="right"/>
              <w:ind w:right="72"/>
              <w:spacing w:after="0"/>
              <w:rPr>
                <w:sz w:val="20"/>
                <w:szCs w:val="20"/>
                <w:color w:val="auto"/>
              </w:rPr>
            </w:pPr>
            <w:r>
              <w:rPr>
                <w:rFonts w:ascii="Arial" w:cs="Arial" w:eastAsia="Arial" w:hAnsi="Arial"/>
                <w:sz w:val="22"/>
                <w:szCs w:val="22"/>
                <w:color w:val="auto"/>
              </w:rPr>
              <w:t>3.3</w:t>
            </w:r>
          </w:p>
        </w:tc>
        <w:tc>
          <w:tcPr>
            <w:tcW w:w="2580" w:type="dxa"/>
            <w:vAlign w:val="bottom"/>
          </w:tcPr>
          <w:p>
            <w:pPr>
              <w:ind w:left="200"/>
              <w:spacing w:after="0"/>
              <w:rPr>
                <w:sz w:val="20"/>
                <w:szCs w:val="20"/>
                <w:color w:val="auto"/>
              </w:rPr>
            </w:pPr>
            <w:r>
              <w:rPr>
                <w:rFonts w:ascii="Arial" w:cs="Arial" w:eastAsia="Arial" w:hAnsi="Arial"/>
                <w:sz w:val="22"/>
                <w:szCs w:val="22"/>
                <w:color w:val="auto"/>
              </w:rPr>
              <w:t>Minimum Deferral</w:t>
            </w:r>
          </w:p>
        </w:tc>
        <w:tc>
          <w:tcPr>
            <w:tcW w:w="800" w:type="dxa"/>
            <w:vAlign w:val="bottom"/>
          </w:tcPr>
          <w:p>
            <w:pPr>
              <w:spacing w:after="0"/>
              <w:rPr>
                <w:sz w:val="23"/>
                <w:szCs w:val="23"/>
                <w:color w:val="auto"/>
              </w:rPr>
            </w:pPr>
          </w:p>
        </w:tc>
        <w:tc>
          <w:tcPr>
            <w:tcW w:w="840" w:type="dxa"/>
            <w:vAlign w:val="bottom"/>
          </w:tcPr>
          <w:p>
            <w:pPr>
              <w:jc w:val="right"/>
              <w:ind w:right="552"/>
              <w:spacing w:after="0"/>
              <w:rPr>
                <w:sz w:val="20"/>
                <w:szCs w:val="20"/>
                <w:color w:val="auto"/>
              </w:rPr>
            </w:pPr>
            <w:r>
              <w:rPr>
                <w:rFonts w:ascii="Arial" w:cs="Arial" w:eastAsia="Arial" w:hAnsi="Arial"/>
                <w:sz w:val="22"/>
                <w:szCs w:val="22"/>
                <w:color w:val="auto"/>
              </w:rPr>
              <w:t>6</w:t>
            </w:r>
          </w:p>
        </w:tc>
        <w:tc>
          <w:tcPr>
            <w:tcW w:w="3240" w:type="dxa"/>
            <w:vAlign w:val="bottom"/>
          </w:tcPr>
          <w:p>
            <w:pPr>
              <w:spacing w:after="0"/>
              <w:rPr>
                <w:sz w:val="23"/>
                <w:szCs w:val="23"/>
                <w:color w:val="auto"/>
              </w:rPr>
            </w:pPr>
          </w:p>
        </w:tc>
      </w:tr>
      <w:tr>
        <w:trPr>
          <w:trHeight w:val="270"/>
        </w:trPr>
        <w:tc>
          <w:tcPr>
            <w:tcW w:w="620" w:type="dxa"/>
            <w:vAlign w:val="bottom"/>
          </w:tcPr>
          <w:p>
            <w:pPr>
              <w:jc w:val="right"/>
              <w:ind w:right="72"/>
              <w:spacing w:after="0"/>
              <w:rPr>
                <w:sz w:val="20"/>
                <w:szCs w:val="20"/>
                <w:color w:val="auto"/>
              </w:rPr>
            </w:pPr>
            <w:r>
              <w:rPr>
                <w:rFonts w:ascii="Arial" w:cs="Arial" w:eastAsia="Arial" w:hAnsi="Arial"/>
                <w:sz w:val="22"/>
                <w:szCs w:val="22"/>
                <w:color w:val="auto"/>
              </w:rPr>
              <w:t>3.4</w:t>
            </w:r>
          </w:p>
        </w:tc>
        <w:tc>
          <w:tcPr>
            <w:tcW w:w="3380" w:type="dxa"/>
            <w:vAlign w:val="bottom"/>
            <w:gridSpan w:val="2"/>
          </w:tcPr>
          <w:p>
            <w:pPr>
              <w:ind w:left="200"/>
              <w:spacing w:after="0"/>
              <w:rPr>
                <w:sz w:val="20"/>
                <w:szCs w:val="20"/>
                <w:color w:val="auto"/>
              </w:rPr>
            </w:pPr>
            <w:r>
              <w:rPr>
                <w:rFonts w:ascii="Arial" w:cs="Arial" w:eastAsia="Arial" w:hAnsi="Arial"/>
                <w:sz w:val="22"/>
                <w:szCs w:val="22"/>
                <w:color w:val="auto"/>
                <w:w w:val="95"/>
              </w:rPr>
              <w:t>Company Contribution Allocations</w:t>
            </w:r>
          </w:p>
        </w:tc>
        <w:tc>
          <w:tcPr>
            <w:tcW w:w="840" w:type="dxa"/>
            <w:vAlign w:val="bottom"/>
          </w:tcPr>
          <w:p>
            <w:pPr>
              <w:spacing w:after="0"/>
              <w:rPr>
                <w:sz w:val="23"/>
                <w:szCs w:val="23"/>
                <w:color w:val="auto"/>
              </w:rPr>
            </w:pPr>
          </w:p>
        </w:tc>
        <w:tc>
          <w:tcPr>
            <w:tcW w:w="3240" w:type="dxa"/>
            <w:vAlign w:val="bottom"/>
          </w:tcPr>
          <w:p>
            <w:pPr>
              <w:ind w:left="280"/>
              <w:spacing w:after="0"/>
              <w:rPr>
                <w:sz w:val="20"/>
                <w:szCs w:val="20"/>
                <w:color w:val="auto"/>
              </w:rPr>
            </w:pPr>
            <w:r>
              <w:rPr>
                <w:rFonts w:ascii="Arial" w:cs="Arial" w:eastAsia="Arial" w:hAnsi="Arial"/>
                <w:sz w:val="22"/>
                <w:szCs w:val="22"/>
                <w:color w:val="auto"/>
              </w:rPr>
              <w:t>6</w:t>
            </w:r>
          </w:p>
        </w:tc>
      </w:tr>
      <w:tr>
        <w:trPr>
          <w:trHeight w:val="270"/>
        </w:trPr>
        <w:tc>
          <w:tcPr>
            <w:tcW w:w="620" w:type="dxa"/>
            <w:vAlign w:val="bottom"/>
          </w:tcPr>
          <w:p>
            <w:pPr>
              <w:jc w:val="right"/>
              <w:ind w:right="72"/>
              <w:spacing w:after="0"/>
              <w:rPr>
                <w:sz w:val="20"/>
                <w:szCs w:val="20"/>
                <w:color w:val="auto"/>
              </w:rPr>
            </w:pPr>
            <w:r>
              <w:rPr>
                <w:rFonts w:ascii="Arial" w:cs="Arial" w:eastAsia="Arial" w:hAnsi="Arial"/>
                <w:sz w:val="22"/>
                <w:szCs w:val="22"/>
                <w:color w:val="auto"/>
              </w:rPr>
              <w:t>3.5</w:t>
            </w:r>
          </w:p>
        </w:tc>
        <w:tc>
          <w:tcPr>
            <w:tcW w:w="7460" w:type="dxa"/>
            <w:vAlign w:val="bottom"/>
            <w:gridSpan w:val="4"/>
          </w:tcPr>
          <w:p>
            <w:pPr>
              <w:ind w:left="200"/>
              <w:spacing w:after="0"/>
              <w:rPr>
                <w:sz w:val="20"/>
                <w:szCs w:val="20"/>
                <w:color w:val="auto"/>
              </w:rPr>
            </w:pPr>
            <w:r>
              <w:rPr>
                <w:rFonts w:ascii="Arial" w:cs="Arial" w:eastAsia="Arial" w:hAnsi="Arial"/>
                <w:sz w:val="22"/>
                <w:szCs w:val="22"/>
                <w:color w:val="auto"/>
                <w:w w:val="90"/>
              </w:rPr>
              <w:t>Deferral of Signing Bonus, Retention Bonus or Separation Payments Prohibited  9</w:t>
            </w:r>
          </w:p>
        </w:tc>
      </w:tr>
      <w:tr>
        <w:trPr>
          <w:trHeight w:val="270"/>
        </w:trPr>
        <w:tc>
          <w:tcPr>
            <w:tcW w:w="620" w:type="dxa"/>
            <w:vAlign w:val="bottom"/>
          </w:tcPr>
          <w:p>
            <w:pPr>
              <w:jc w:val="right"/>
              <w:ind w:right="72"/>
              <w:spacing w:after="0"/>
              <w:rPr>
                <w:sz w:val="20"/>
                <w:szCs w:val="20"/>
                <w:color w:val="auto"/>
              </w:rPr>
            </w:pPr>
            <w:r>
              <w:rPr>
                <w:rFonts w:ascii="Arial" w:cs="Arial" w:eastAsia="Arial" w:hAnsi="Arial"/>
                <w:sz w:val="22"/>
                <w:szCs w:val="22"/>
                <w:color w:val="auto"/>
              </w:rPr>
              <w:t>3.6</w:t>
            </w:r>
          </w:p>
        </w:tc>
        <w:tc>
          <w:tcPr>
            <w:tcW w:w="4220" w:type="dxa"/>
            <w:vAlign w:val="bottom"/>
            <w:gridSpan w:val="3"/>
          </w:tcPr>
          <w:p>
            <w:pPr>
              <w:ind w:left="200"/>
              <w:spacing w:after="0"/>
              <w:rPr>
                <w:sz w:val="20"/>
                <w:szCs w:val="20"/>
                <w:color w:val="auto"/>
              </w:rPr>
            </w:pPr>
            <w:r>
              <w:rPr>
                <w:rFonts w:ascii="Arial" w:cs="Arial" w:eastAsia="Arial" w:hAnsi="Arial"/>
                <w:sz w:val="22"/>
                <w:szCs w:val="22"/>
                <w:color w:val="auto"/>
              </w:rPr>
              <w:t>Requirement for Deferral Agreement</w:t>
            </w:r>
          </w:p>
        </w:tc>
        <w:tc>
          <w:tcPr>
            <w:tcW w:w="3240" w:type="dxa"/>
            <w:vAlign w:val="bottom"/>
          </w:tcPr>
          <w:p>
            <w:pPr>
              <w:ind w:left="260"/>
              <w:spacing w:after="0"/>
              <w:rPr>
                <w:sz w:val="20"/>
                <w:szCs w:val="20"/>
                <w:color w:val="auto"/>
              </w:rPr>
            </w:pPr>
            <w:r>
              <w:rPr>
                <w:rFonts w:ascii="Arial" w:cs="Arial" w:eastAsia="Arial" w:hAnsi="Arial"/>
                <w:sz w:val="22"/>
                <w:szCs w:val="22"/>
                <w:color w:val="auto"/>
              </w:rPr>
              <w:t>10</w:t>
            </w:r>
          </w:p>
        </w:tc>
      </w:tr>
      <w:tr>
        <w:trPr>
          <w:trHeight w:val="275"/>
        </w:trPr>
        <w:tc>
          <w:tcPr>
            <w:tcW w:w="620" w:type="dxa"/>
            <w:vAlign w:val="bottom"/>
          </w:tcPr>
          <w:p>
            <w:pPr>
              <w:jc w:val="right"/>
              <w:ind w:right="72"/>
              <w:spacing w:after="0"/>
              <w:rPr>
                <w:sz w:val="20"/>
                <w:szCs w:val="20"/>
                <w:color w:val="auto"/>
              </w:rPr>
            </w:pPr>
            <w:r>
              <w:rPr>
                <w:rFonts w:ascii="Arial" w:cs="Arial" w:eastAsia="Arial" w:hAnsi="Arial"/>
                <w:sz w:val="22"/>
                <w:szCs w:val="22"/>
                <w:color w:val="auto"/>
              </w:rPr>
              <w:t>3.7</w:t>
            </w:r>
          </w:p>
        </w:tc>
        <w:tc>
          <w:tcPr>
            <w:tcW w:w="3380" w:type="dxa"/>
            <w:vAlign w:val="bottom"/>
            <w:gridSpan w:val="2"/>
          </w:tcPr>
          <w:p>
            <w:pPr>
              <w:ind w:left="200"/>
              <w:spacing w:after="0"/>
              <w:rPr>
                <w:sz w:val="20"/>
                <w:szCs w:val="20"/>
                <w:color w:val="auto"/>
              </w:rPr>
            </w:pPr>
            <w:r>
              <w:rPr>
                <w:rFonts w:ascii="Arial" w:cs="Arial" w:eastAsia="Arial" w:hAnsi="Arial"/>
                <w:sz w:val="22"/>
                <w:szCs w:val="22"/>
                <w:color w:val="auto"/>
                <w:w w:val="93"/>
              </w:rPr>
              <w:t>Applicability of Deferral Agreement</w:t>
            </w:r>
          </w:p>
        </w:tc>
        <w:tc>
          <w:tcPr>
            <w:tcW w:w="840" w:type="dxa"/>
            <w:vAlign w:val="bottom"/>
          </w:tcPr>
          <w:p>
            <w:pPr>
              <w:spacing w:after="0"/>
              <w:rPr>
                <w:sz w:val="23"/>
                <w:szCs w:val="23"/>
                <w:color w:val="auto"/>
              </w:rPr>
            </w:pPr>
          </w:p>
        </w:tc>
        <w:tc>
          <w:tcPr>
            <w:tcW w:w="3240" w:type="dxa"/>
            <w:vAlign w:val="bottom"/>
          </w:tcPr>
          <w:p>
            <w:pPr>
              <w:ind w:left="220"/>
              <w:spacing w:after="0"/>
              <w:rPr>
                <w:sz w:val="20"/>
                <w:szCs w:val="20"/>
                <w:color w:val="auto"/>
              </w:rPr>
            </w:pPr>
            <w:r>
              <w:rPr>
                <w:rFonts w:ascii="Arial" w:cs="Arial" w:eastAsia="Arial" w:hAnsi="Arial"/>
                <w:sz w:val="22"/>
                <w:szCs w:val="22"/>
                <w:color w:val="auto"/>
              </w:rPr>
              <w:t>10</w:t>
            </w:r>
          </w:p>
        </w:tc>
      </w:tr>
      <w:tr>
        <w:trPr>
          <w:trHeight w:val="468"/>
        </w:trPr>
        <w:tc>
          <w:tcPr>
            <w:tcW w:w="3200" w:type="dxa"/>
            <w:vAlign w:val="bottom"/>
            <w:gridSpan w:val="2"/>
          </w:tcPr>
          <w:p>
            <w:pPr>
              <w:spacing w:after="0"/>
              <w:rPr>
                <w:sz w:val="20"/>
                <w:szCs w:val="20"/>
                <w:color w:val="auto"/>
              </w:rPr>
            </w:pPr>
            <w:r>
              <w:rPr>
                <w:rFonts w:ascii="Arial" w:cs="Arial" w:eastAsia="Arial" w:hAnsi="Arial"/>
                <w:sz w:val="22"/>
                <w:szCs w:val="22"/>
                <w:color w:val="auto"/>
              </w:rPr>
              <w:t>ARTICLE IV10</w:t>
            </w: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70"/>
        </w:trPr>
        <w:tc>
          <w:tcPr>
            <w:tcW w:w="620" w:type="dxa"/>
            <w:vAlign w:val="bottom"/>
          </w:tcPr>
          <w:p>
            <w:pPr>
              <w:jc w:val="right"/>
              <w:ind w:right="72"/>
              <w:spacing w:after="0"/>
              <w:rPr>
                <w:sz w:val="20"/>
                <w:szCs w:val="20"/>
                <w:color w:val="auto"/>
              </w:rPr>
            </w:pPr>
            <w:r>
              <w:rPr>
                <w:rFonts w:ascii="Arial" w:cs="Arial" w:eastAsia="Arial" w:hAnsi="Arial"/>
                <w:sz w:val="22"/>
                <w:szCs w:val="22"/>
                <w:color w:val="auto"/>
              </w:rPr>
              <w:t>4.1</w:t>
            </w:r>
          </w:p>
        </w:tc>
        <w:tc>
          <w:tcPr>
            <w:tcW w:w="2580" w:type="dxa"/>
            <w:vAlign w:val="bottom"/>
          </w:tcPr>
          <w:p>
            <w:pPr>
              <w:ind w:left="200"/>
              <w:spacing w:after="0"/>
              <w:rPr>
                <w:sz w:val="20"/>
                <w:szCs w:val="20"/>
                <w:color w:val="auto"/>
              </w:rPr>
            </w:pPr>
            <w:r>
              <w:rPr>
                <w:rFonts w:ascii="Arial" w:cs="Arial" w:eastAsia="Arial" w:hAnsi="Arial"/>
                <w:sz w:val="22"/>
                <w:szCs w:val="22"/>
                <w:color w:val="auto"/>
              </w:rPr>
              <w:t>Account</w:t>
            </w:r>
          </w:p>
        </w:tc>
        <w:tc>
          <w:tcPr>
            <w:tcW w:w="800" w:type="dxa"/>
            <w:vAlign w:val="bottom"/>
          </w:tcPr>
          <w:p>
            <w:pPr>
              <w:ind w:left="160"/>
              <w:spacing w:after="0"/>
              <w:rPr>
                <w:sz w:val="20"/>
                <w:szCs w:val="20"/>
                <w:color w:val="auto"/>
              </w:rPr>
            </w:pPr>
            <w:r>
              <w:rPr>
                <w:rFonts w:ascii="Arial" w:cs="Arial" w:eastAsia="Arial" w:hAnsi="Arial"/>
                <w:sz w:val="22"/>
                <w:szCs w:val="22"/>
                <w:color w:val="auto"/>
              </w:rPr>
              <w:t>10</w:t>
            </w:r>
          </w:p>
        </w:tc>
        <w:tc>
          <w:tcPr>
            <w:tcW w:w="840" w:type="dxa"/>
            <w:vAlign w:val="bottom"/>
          </w:tcPr>
          <w:p>
            <w:pPr>
              <w:spacing w:after="0"/>
              <w:rPr>
                <w:sz w:val="23"/>
                <w:szCs w:val="23"/>
                <w:color w:val="auto"/>
              </w:rPr>
            </w:pPr>
          </w:p>
        </w:tc>
        <w:tc>
          <w:tcPr>
            <w:tcW w:w="3240" w:type="dxa"/>
            <w:vAlign w:val="bottom"/>
          </w:tcPr>
          <w:p>
            <w:pPr>
              <w:spacing w:after="0"/>
              <w:rPr>
                <w:sz w:val="23"/>
                <w:szCs w:val="23"/>
                <w:color w:val="auto"/>
              </w:rPr>
            </w:pPr>
          </w:p>
        </w:tc>
      </w:tr>
      <w:tr>
        <w:trPr>
          <w:trHeight w:val="270"/>
        </w:trPr>
        <w:tc>
          <w:tcPr>
            <w:tcW w:w="620" w:type="dxa"/>
            <w:vAlign w:val="bottom"/>
          </w:tcPr>
          <w:p>
            <w:pPr>
              <w:jc w:val="right"/>
              <w:ind w:right="72"/>
              <w:spacing w:after="0"/>
              <w:rPr>
                <w:sz w:val="20"/>
                <w:szCs w:val="20"/>
                <w:color w:val="auto"/>
              </w:rPr>
            </w:pPr>
            <w:r>
              <w:rPr>
                <w:rFonts w:ascii="Arial" w:cs="Arial" w:eastAsia="Arial" w:hAnsi="Arial"/>
                <w:sz w:val="22"/>
                <w:szCs w:val="22"/>
                <w:color w:val="auto"/>
              </w:rPr>
              <w:t>4.2</w:t>
            </w:r>
          </w:p>
        </w:tc>
        <w:tc>
          <w:tcPr>
            <w:tcW w:w="3380" w:type="dxa"/>
            <w:vAlign w:val="bottom"/>
            <w:gridSpan w:val="2"/>
          </w:tcPr>
          <w:p>
            <w:pPr>
              <w:ind w:left="200"/>
              <w:spacing w:after="0"/>
              <w:rPr>
                <w:sz w:val="20"/>
                <w:szCs w:val="20"/>
                <w:color w:val="auto"/>
              </w:rPr>
            </w:pPr>
            <w:r>
              <w:rPr>
                <w:rFonts w:ascii="Arial" w:cs="Arial" w:eastAsia="Arial" w:hAnsi="Arial"/>
                <w:sz w:val="22"/>
                <w:szCs w:val="22"/>
                <w:color w:val="auto"/>
              </w:rPr>
              <w:t>Time of Crediting Accounts</w:t>
            </w:r>
          </w:p>
        </w:tc>
        <w:tc>
          <w:tcPr>
            <w:tcW w:w="4080" w:type="dxa"/>
            <w:vAlign w:val="bottom"/>
            <w:gridSpan w:val="2"/>
          </w:tcPr>
          <w:p>
            <w:pPr>
              <w:ind w:left="680"/>
              <w:spacing w:after="0"/>
              <w:rPr>
                <w:sz w:val="20"/>
                <w:szCs w:val="20"/>
                <w:color w:val="auto"/>
              </w:rPr>
            </w:pPr>
            <w:r>
              <w:rPr>
                <w:rFonts w:ascii="Arial" w:cs="Arial" w:eastAsia="Arial" w:hAnsi="Arial"/>
                <w:sz w:val="22"/>
                <w:szCs w:val="22"/>
                <w:color w:val="auto"/>
              </w:rPr>
              <w:t>11</w:t>
            </w:r>
          </w:p>
        </w:tc>
      </w:tr>
      <w:tr>
        <w:trPr>
          <w:trHeight w:val="270"/>
        </w:trPr>
        <w:tc>
          <w:tcPr>
            <w:tcW w:w="620" w:type="dxa"/>
            <w:vAlign w:val="bottom"/>
          </w:tcPr>
          <w:p>
            <w:pPr>
              <w:jc w:val="right"/>
              <w:ind w:right="72"/>
              <w:spacing w:after="0"/>
              <w:rPr>
                <w:sz w:val="20"/>
                <w:szCs w:val="20"/>
                <w:color w:val="auto"/>
              </w:rPr>
            </w:pPr>
            <w:r>
              <w:rPr>
                <w:rFonts w:ascii="Arial" w:cs="Arial" w:eastAsia="Arial" w:hAnsi="Arial"/>
                <w:sz w:val="22"/>
                <w:szCs w:val="22"/>
                <w:color w:val="auto"/>
              </w:rPr>
              <w:t>4.3</w:t>
            </w:r>
          </w:p>
        </w:tc>
        <w:tc>
          <w:tcPr>
            <w:tcW w:w="3380" w:type="dxa"/>
            <w:vAlign w:val="bottom"/>
            <w:gridSpan w:val="2"/>
          </w:tcPr>
          <w:p>
            <w:pPr>
              <w:ind w:left="200"/>
              <w:spacing w:after="0"/>
              <w:rPr>
                <w:sz w:val="20"/>
                <w:szCs w:val="20"/>
                <w:color w:val="auto"/>
              </w:rPr>
            </w:pPr>
            <w:r>
              <w:rPr>
                <w:rFonts w:ascii="Arial" w:cs="Arial" w:eastAsia="Arial" w:hAnsi="Arial"/>
                <w:sz w:val="22"/>
                <w:szCs w:val="22"/>
                <w:color w:val="auto"/>
                <w:w w:val="99"/>
              </w:rPr>
              <w:t>Participant Deemed Investments</w:t>
            </w:r>
          </w:p>
        </w:tc>
        <w:tc>
          <w:tcPr>
            <w:tcW w:w="840" w:type="dxa"/>
            <w:vAlign w:val="bottom"/>
          </w:tcPr>
          <w:p>
            <w:pPr>
              <w:spacing w:after="0"/>
              <w:rPr>
                <w:sz w:val="23"/>
                <w:szCs w:val="23"/>
                <w:color w:val="auto"/>
              </w:rPr>
            </w:pPr>
          </w:p>
        </w:tc>
        <w:tc>
          <w:tcPr>
            <w:tcW w:w="3240" w:type="dxa"/>
            <w:vAlign w:val="bottom"/>
          </w:tcPr>
          <w:p>
            <w:pPr>
              <w:ind w:left="40"/>
              <w:spacing w:after="0"/>
              <w:rPr>
                <w:sz w:val="20"/>
                <w:szCs w:val="20"/>
                <w:color w:val="auto"/>
              </w:rPr>
            </w:pPr>
            <w:r>
              <w:rPr>
                <w:rFonts w:ascii="Arial" w:cs="Arial" w:eastAsia="Arial" w:hAnsi="Arial"/>
                <w:sz w:val="22"/>
                <w:szCs w:val="22"/>
                <w:color w:val="auto"/>
              </w:rPr>
              <w:t>11</w:t>
            </w:r>
          </w:p>
        </w:tc>
      </w:tr>
      <w:tr>
        <w:trPr>
          <w:trHeight w:val="270"/>
        </w:trPr>
        <w:tc>
          <w:tcPr>
            <w:tcW w:w="620" w:type="dxa"/>
            <w:vAlign w:val="bottom"/>
          </w:tcPr>
          <w:p>
            <w:pPr>
              <w:jc w:val="right"/>
              <w:ind w:right="72"/>
              <w:spacing w:after="0"/>
              <w:rPr>
                <w:sz w:val="20"/>
                <w:szCs w:val="20"/>
                <w:color w:val="auto"/>
              </w:rPr>
            </w:pPr>
            <w:r>
              <w:rPr>
                <w:rFonts w:ascii="Arial" w:cs="Arial" w:eastAsia="Arial" w:hAnsi="Arial"/>
                <w:sz w:val="22"/>
                <w:szCs w:val="22"/>
                <w:color w:val="auto"/>
              </w:rPr>
              <w:t>4.4</w:t>
            </w:r>
          </w:p>
        </w:tc>
        <w:tc>
          <w:tcPr>
            <w:tcW w:w="3380" w:type="dxa"/>
            <w:vAlign w:val="bottom"/>
            <w:gridSpan w:val="2"/>
          </w:tcPr>
          <w:p>
            <w:pPr>
              <w:ind w:left="200"/>
              <w:spacing w:after="0"/>
              <w:rPr>
                <w:sz w:val="20"/>
                <w:szCs w:val="20"/>
                <w:color w:val="auto"/>
              </w:rPr>
            </w:pPr>
            <w:r>
              <w:rPr>
                <w:rFonts w:ascii="Arial" w:cs="Arial" w:eastAsia="Arial" w:hAnsi="Arial"/>
                <w:sz w:val="22"/>
                <w:szCs w:val="22"/>
                <w:color w:val="auto"/>
              </w:rPr>
              <w:t>Investments by the Company</w:t>
            </w:r>
          </w:p>
        </w:tc>
        <w:tc>
          <w:tcPr>
            <w:tcW w:w="840" w:type="dxa"/>
            <w:vAlign w:val="bottom"/>
          </w:tcPr>
          <w:p>
            <w:pPr>
              <w:ind w:left="600"/>
              <w:spacing w:after="0"/>
              <w:rPr>
                <w:sz w:val="20"/>
                <w:szCs w:val="20"/>
                <w:color w:val="auto"/>
              </w:rPr>
            </w:pPr>
            <w:r>
              <w:rPr>
                <w:rFonts w:ascii="Arial" w:cs="Arial" w:eastAsia="Arial" w:hAnsi="Arial"/>
                <w:sz w:val="22"/>
                <w:szCs w:val="22"/>
                <w:color w:val="auto"/>
                <w:w w:val="89"/>
              </w:rPr>
              <w:t>12</w:t>
            </w:r>
          </w:p>
        </w:tc>
        <w:tc>
          <w:tcPr>
            <w:tcW w:w="3240" w:type="dxa"/>
            <w:vAlign w:val="bottom"/>
          </w:tcPr>
          <w:p>
            <w:pPr>
              <w:spacing w:after="0"/>
              <w:rPr>
                <w:sz w:val="23"/>
                <w:szCs w:val="23"/>
                <w:color w:val="auto"/>
              </w:rPr>
            </w:pPr>
          </w:p>
        </w:tc>
      </w:tr>
      <w:tr>
        <w:trPr>
          <w:trHeight w:val="270"/>
        </w:trPr>
        <w:tc>
          <w:tcPr>
            <w:tcW w:w="620" w:type="dxa"/>
            <w:vAlign w:val="bottom"/>
          </w:tcPr>
          <w:p>
            <w:pPr>
              <w:jc w:val="right"/>
              <w:ind w:right="72"/>
              <w:spacing w:after="0"/>
              <w:rPr>
                <w:sz w:val="20"/>
                <w:szCs w:val="20"/>
                <w:color w:val="auto"/>
              </w:rPr>
            </w:pPr>
            <w:r>
              <w:rPr>
                <w:rFonts w:ascii="Arial" w:cs="Arial" w:eastAsia="Arial" w:hAnsi="Arial"/>
                <w:sz w:val="22"/>
                <w:szCs w:val="22"/>
                <w:color w:val="auto"/>
              </w:rPr>
              <w:t>4.5</w:t>
            </w:r>
          </w:p>
        </w:tc>
        <w:tc>
          <w:tcPr>
            <w:tcW w:w="3380" w:type="dxa"/>
            <w:vAlign w:val="bottom"/>
            <w:gridSpan w:val="2"/>
          </w:tcPr>
          <w:p>
            <w:pPr>
              <w:ind w:left="200"/>
              <w:spacing w:after="0"/>
              <w:rPr>
                <w:sz w:val="20"/>
                <w:szCs w:val="20"/>
                <w:color w:val="auto"/>
              </w:rPr>
            </w:pPr>
            <w:r>
              <w:rPr>
                <w:rFonts w:ascii="Arial" w:cs="Arial" w:eastAsia="Arial" w:hAnsi="Arial"/>
                <w:sz w:val="22"/>
                <w:szCs w:val="22"/>
                <w:color w:val="auto"/>
              </w:rPr>
              <w:t>Limited Effect of Allocation</w:t>
            </w:r>
          </w:p>
        </w:tc>
        <w:tc>
          <w:tcPr>
            <w:tcW w:w="840" w:type="dxa"/>
            <w:vAlign w:val="bottom"/>
          </w:tcPr>
          <w:p>
            <w:pPr>
              <w:jc w:val="right"/>
              <w:spacing w:after="0"/>
              <w:rPr>
                <w:sz w:val="20"/>
                <w:szCs w:val="20"/>
                <w:color w:val="auto"/>
              </w:rPr>
            </w:pPr>
            <w:r>
              <w:rPr>
                <w:rFonts w:ascii="Arial" w:cs="Arial" w:eastAsia="Arial" w:hAnsi="Arial"/>
                <w:sz w:val="22"/>
                <w:szCs w:val="22"/>
                <w:color w:val="auto"/>
              </w:rPr>
              <w:t>12</w:t>
            </w:r>
          </w:p>
        </w:tc>
        <w:tc>
          <w:tcPr>
            <w:tcW w:w="3240" w:type="dxa"/>
            <w:vAlign w:val="bottom"/>
          </w:tcPr>
          <w:p>
            <w:pPr>
              <w:spacing w:after="0"/>
              <w:rPr>
                <w:sz w:val="23"/>
                <w:szCs w:val="23"/>
                <w:color w:val="auto"/>
              </w:rPr>
            </w:pPr>
          </w:p>
        </w:tc>
      </w:tr>
      <w:tr>
        <w:trPr>
          <w:trHeight w:val="275"/>
        </w:trPr>
        <w:tc>
          <w:tcPr>
            <w:tcW w:w="620" w:type="dxa"/>
            <w:vAlign w:val="bottom"/>
          </w:tcPr>
          <w:p>
            <w:pPr>
              <w:jc w:val="right"/>
              <w:ind w:right="72"/>
              <w:spacing w:after="0"/>
              <w:rPr>
                <w:sz w:val="20"/>
                <w:szCs w:val="20"/>
                <w:color w:val="auto"/>
              </w:rPr>
            </w:pPr>
            <w:r>
              <w:rPr>
                <w:rFonts w:ascii="Arial" w:cs="Arial" w:eastAsia="Arial" w:hAnsi="Arial"/>
                <w:sz w:val="22"/>
                <w:szCs w:val="22"/>
                <w:color w:val="auto"/>
              </w:rPr>
              <w:t>4.6</w:t>
            </w:r>
          </w:p>
        </w:tc>
        <w:tc>
          <w:tcPr>
            <w:tcW w:w="2580" w:type="dxa"/>
            <w:vAlign w:val="bottom"/>
          </w:tcPr>
          <w:p>
            <w:pPr>
              <w:ind w:left="200"/>
              <w:spacing w:after="0"/>
              <w:rPr>
                <w:sz w:val="20"/>
                <w:szCs w:val="20"/>
                <w:color w:val="auto"/>
              </w:rPr>
            </w:pPr>
            <w:r>
              <w:rPr>
                <w:rFonts w:ascii="Arial" w:cs="Arial" w:eastAsia="Arial" w:hAnsi="Arial"/>
                <w:sz w:val="22"/>
                <w:szCs w:val="22"/>
                <w:color w:val="auto"/>
              </w:rPr>
              <w:t>Report of Account</w:t>
            </w:r>
          </w:p>
        </w:tc>
        <w:tc>
          <w:tcPr>
            <w:tcW w:w="800" w:type="dxa"/>
            <w:vAlign w:val="bottom"/>
          </w:tcPr>
          <w:p>
            <w:pPr>
              <w:spacing w:after="0"/>
              <w:rPr>
                <w:sz w:val="23"/>
                <w:szCs w:val="23"/>
                <w:color w:val="auto"/>
              </w:rPr>
            </w:pPr>
          </w:p>
        </w:tc>
        <w:tc>
          <w:tcPr>
            <w:tcW w:w="840" w:type="dxa"/>
            <w:vAlign w:val="bottom"/>
          </w:tcPr>
          <w:p>
            <w:pPr>
              <w:jc w:val="right"/>
              <w:ind w:right="472"/>
              <w:spacing w:after="0"/>
              <w:rPr>
                <w:sz w:val="20"/>
                <w:szCs w:val="20"/>
                <w:color w:val="auto"/>
              </w:rPr>
            </w:pPr>
            <w:r>
              <w:rPr>
                <w:rFonts w:ascii="Arial" w:cs="Arial" w:eastAsia="Arial" w:hAnsi="Arial"/>
                <w:sz w:val="22"/>
                <w:szCs w:val="22"/>
                <w:color w:val="auto"/>
                <w:w w:val="97"/>
              </w:rPr>
              <w:t>12</w:t>
            </w:r>
          </w:p>
        </w:tc>
        <w:tc>
          <w:tcPr>
            <w:tcW w:w="3240" w:type="dxa"/>
            <w:vAlign w:val="bottom"/>
          </w:tcPr>
          <w:p>
            <w:pPr>
              <w:spacing w:after="0"/>
              <w:rPr>
                <w:sz w:val="23"/>
                <w:szCs w:val="23"/>
                <w:color w:val="auto"/>
              </w:rPr>
            </w:pPr>
          </w:p>
        </w:tc>
      </w:tr>
      <w:tr>
        <w:trPr>
          <w:trHeight w:val="468"/>
        </w:trPr>
        <w:tc>
          <w:tcPr>
            <w:tcW w:w="3200" w:type="dxa"/>
            <w:vAlign w:val="bottom"/>
            <w:gridSpan w:val="2"/>
          </w:tcPr>
          <w:p>
            <w:pPr>
              <w:spacing w:after="0"/>
              <w:rPr>
                <w:sz w:val="20"/>
                <w:szCs w:val="20"/>
                <w:color w:val="auto"/>
              </w:rPr>
            </w:pPr>
            <w:r>
              <w:rPr>
                <w:rFonts w:ascii="Arial" w:cs="Arial" w:eastAsia="Arial" w:hAnsi="Arial"/>
                <w:sz w:val="22"/>
                <w:szCs w:val="22"/>
                <w:color w:val="auto"/>
              </w:rPr>
              <w:t>ARTICLE V13</w:t>
            </w: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70"/>
        </w:trPr>
        <w:tc>
          <w:tcPr>
            <w:tcW w:w="620" w:type="dxa"/>
            <w:vAlign w:val="bottom"/>
          </w:tcPr>
          <w:p>
            <w:pPr>
              <w:jc w:val="right"/>
              <w:ind w:right="72"/>
              <w:spacing w:after="0"/>
              <w:rPr>
                <w:sz w:val="20"/>
                <w:szCs w:val="20"/>
                <w:color w:val="auto"/>
              </w:rPr>
            </w:pPr>
            <w:r>
              <w:rPr>
                <w:rFonts w:ascii="Arial" w:cs="Arial" w:eastAsia="Arial" w:hAnsi="Arial"/>
                <w:sz w:val="22"/>
                <w:szCs w:val="22"/>
                <w:color w:val="auto"/>
              </w:rPr>
              <w:t>5.1</w:t>
            </w:r>
          </w:p>
        </w:tc>
        <w:tc>
          <w:tcPr>
            <w:tcW w:w="3380" w:type="dxa"/>
            <w:vAlign w:val="bottom"/>
            <w:gridSpan w:val="2"/>
          </w:tcPr>
          <w:p>
            <w:pPr>
              <w:ind w:left="200"/>
              <w:spacing w:after="0"/>
              <w:rPr>
                <w:sz w:val="20"/>
                <w:szCs w:val="20"/>
                <w:color w:val="auto"/>
              </w:rPr>
            </w:pPr>
            <w:r>
              <w:rPr>
                <w:rFonts w:ascii="Arial" w:cs="Arial" w:eastAsia="Arial" w:hAnsi="Arial"/>
                <w:sz w:val="22"/>
                <w:szCs w:val="22"/>
                <w:color w:val="auto"/>
              </w:rPr>
              <w:t>Ownership Rights in Account</w:t>
            </w:r>
          </w:p>
        </w:tc>
        <w:tc>
          <w:tcPr>
            <w:tcW w:w="4080" w:type="dxa"/>
            <w:vAlign w:val="bottom"/>
            <w:gridSpan w:val="2"/>
          </w:tcPr>
          <w:p>
            <w:pPr>
              <w:ind w:left="660"/>
              <w:spacing w:after="0"/>
              <w:rPr>
                <w:sz w:val="20"/>
                <w:szCs w:val="20"/>
                <w:color w:val="auto"/>
              </w:rPr>
            </w:pPr>
            <w:r>
              <w:rPr>
                <w:rFonts w:ascii="Arial" w:cs="Arial" w:eastAsia="Arial" w:hAnsi="Arial"/>
                <w:sz w:val="22"/>
                <w:szCs w:val="22"/>
                <w:color w:val="auto"/>
              </w:rPr>
              <w:t>13</w:t>
            </w:r>
          </w:p>
        </w:tc>
      </w:tr>
      <w:tr>
        <w:trPr>
          <w:trHeight w:val="270"/>
        </w:trPr>
        <w:tc>
          <w:tcPr>
            <w:tcW w:w="620" w:type="dxa"/>
            <w:vAlign w:val="bottom"/>
          </w:tcPr>
          <w:p>
            <w:pPr>
              <w:jc w:val="right"/>
              <w:ind w:right="72"/>
              <w:spacing w:after="0"/>
              <w:rPr>
                <w:sz w:val="20"/>
                <w:szCs w:val="20"/>
                <w:color w:val="auto"/>
              </w:rPr>
            </w:pPr>
            <w:r>
              <w:rPr>
                <w:rFonts w:ascii="Arial" w:cs="Arial" w:eastAsia="Arial" w:hAnsi="Arial"/>
                <w:sz w:val="22"/>
                <w:szCs w:val="22"/>
                <w:color w:val="auto"/>
              </w:rPr>
              <w:t>5.2</w:t>
            </w:r>
          </w:p>
        </w:tc>
        <w:tc>
          <w:tcPr>
            <w:tcW w:w="4220" w:type="dxa"/>
            <w:vAlign w:val="bottom"/>
            <w:gridSpan w:val="3"/>
          </w:tcPr>
          <w:p>
            <w:pPr>
              <w:ind w:left="200"/>
              <w:spacing w:after="0"/>
              <w:rPr>
                <w:sz w:val="20"/>
                <w:szCs w:val="20"/>
                <w:color w:val="auto"/>
              </w:rPr>
            </w:pPr>
            <w:r>
              <w:rPr>
                <w:rFonts w:ascii="Arial" w:cs="Arial" w:eastAsia="Arial" w:hAnsi="Arial"/>
                <w:sz w:val="22"/>
                <w:szCs w:val="22"/>
                <w:color w:val="auto"/>
                <w:w w:val="92"/>
              </w:rPr>
              <w:t>Rights in Plan are Unfunded and Unsecured</w:t>
            </w:r>
          </w:p>
        </w:tc>
        <w:tc>
          <w:tcPr>
            <w:tcW w:w="3240" w:type="dxa"/>
            <w:vAlign w:val="bottom"/>
          </w:tcPr>
          <w:p>
            <w:pPr>
              <w:ind w:left="680"/>
              <w:spacing w:after="0"/>
              <w:rPr>
                <w:sz w:val="20"/>
                <w:szCs w:val="20"/>
                <w:color w:val="auto"/>
              </w:rPr>
            </w:pPr>
            <w:r>
              <w:rPr>
                <w:rFonts w:ascii="Arial" w:cs="Arial" w:eastAsia="Arial" w:hAnsi="Arial"/>
                <w:sz w:val="22"/>
                <w:szCs w:val="22"/>
                <w:color w:val="auto"/>
              </w:rPr>
              <w:t>13</w:t>
            </w:r>
          </w:p>
        </w:tc>
      </w:tr>
      <w:tr>
        <w:trPr>
          <w:trHeight w:val="270"/>
        </w:trPr>
        <w:tc>
          <w:tcPr>
            <w:tcW w:w="620" w:type="dxa"/>
            <w:vAlign w:val="bottom"/>
          </w:tcPr>
          <w:p>
            <w:pPr>
              <w:jc w:val="right"/>
              <w:ind w:right="72"/>
              <w:spacing w:after="0"/>
              <w:rPr>
                <w:sz w:val="20"/>
                <w:szCs w:val="20"/>
                <w:color w:val="auto"/>
              </w:rPr>
            </w:pPr>
            <w:r>
              <w:rPr>
                <w:rFonts w:ascii="Arial" w:cs="Arial" w:eastAsia="Arial" w:hAnsi="Arial"/>
                <w:sz w:val="22"/>
                <w:szCs w:val="22"/>
                <w:color w:val="auto"/>
              </w:rPr>
              <w:t>5.3</w:t>
            </w:r>
          </w:p>
        </w:tc>
        <w:tc>
          <w:tcPr>
            <w:tcW w:w="4220" w:type="dxa"/>
            <w:vAlign w:val="bottom"/>
            <w:gridSpan w:val="3"/>
          </w:tcPr>
          <w:p>
            <w:pPr>
              <w:ind w:left="200"/>
              <w:spacing w:after="0"/>
              <w:rPr>
                <w:sz w:val="20"/>
                <w:szCs w:val="20"/>
                <w:color w:val="auto"/>
              </w:rPr>
            </w:pPr>
            <w:r>
              <w:rPr>
                <w:rFonts w:ascii="Arial" w:cs="Arial" w:eastAsia="Arial" w:hAnsi="Arial"/>
                <w:sz w:val="22"/>
                <w:szCs w:val="22"/>
                <w:color w:val="auto"/>
              </w:rPr>
              <w:t>No Transfer of Interest in Plan Allowed</w:t>
            </w:r>
          </w:p>
        </w:tc>
        <w:tc>
          <w:tcPr>
            <w:tcW w:w="3240" w:type="dxa"/>
            <w:vAlign w:val="bottom"/>
          </w:tcPr>
          <w:p>
            <w:pPr>
              <w:ind w:left="500"/>
              <w:spacing w:after="0"/>
              <w:rPr>
                <w:sz w:val="20"/>
                <w:szCs w:val="20"/>
                <w:color w:val="auto"/>
              </w:rPr>
            </w:pPr>
            <w:r>
              <w:rPr>
                <w:rFonts w:ascii="Arial" w:cs="Arial" w:eastAsia="Arial" w:hAnsi="Arial"/>
                <w:sz w:val="22"/>
                <w:szCs w:val="22"/>
                <w:color w:val="auto"/>
              </w:rPr>
              <w:t>13</w:t>
            </w:r>
          </w:p>
        </w:tc>
      </w:tr>
      <w:tr>
        <w:trPr>
          <w:trHeight w:val="270"/>
        </w:trPr>
        <w:tc>
          <w:tcPr>
            <w:tcW w:w="620" w:type="dxa"/>
            <w:vAlign w:val="bottom"/>
          </w:tcPr>
          <w:p>
            <w:pPr>
              <w:jc w:val="right"/>
              <w:ind w:right="72"/>
              <w:spacing w:after="0"/>
              <w:rPr>
                <w:sz w:val="20"/>
                <w:szCs w:val="20"/>
                <w:color w:val="auto"/>
              </w:rPr>
            </w:pPr>
            <w:r>
              <w:rPr>
                <w:rFonts w:ascii="Arial" w:cs="Arial" w:eastAsia="Arial" w:hAnsi="Arial"/>
                <w:sz w:val="22"/>
                <w:szCs w:val="22"/>
                <w:color w:val="auto"/>
              </w:rPr>
              <w:t>5.4</w:t>
            </w:r>
          </w:p>
        </w:tc>
        <w:tc>
          <w:tcPr>
            <w:tcW w:w="2580" w:type="dxa"/>
            <w:vAlign w:val="bottom"/>
          </w:tcPr>
          <w:p>
            <w:pPr>
              <w:ind w:left="200"/>
              <w:spacing w:after="0"/>
              <w:rPr>
                <w:sz w:val="20"/>
                <w:szCs w:val="20"/>
                <w:color w:val="auto"/>
              </w:rPr>
            </w:pPr>
            <w:r>
              <w:rPr>
                <w:rFonts w:ascii="Arial" w:cs="Arial" w:eastAsia="Arial" w:hAnsi="Arial"/>
                <w:sz w:val="22"/>
                <w:szCs w:val="22"/>
                <w:color w:val="auto"/>
                <w:w w:val="91"/>
              </w:rPr>
              <w:t>Plan Binding Upon Parties</w:t>
            </w:r>
          </w:p>
        </w:tc>
        <w:tc>
          <w:tcPr>
            <w:tcW w:w="8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2"/>
                <w:szCs w:val="22"/>
                <w:color w:val="auto"/>
              </w:rPr>
              <w:t>13</w:t>
            </w:r>
          </w:p>
        </w:tc>
        <w:tc>
          <w:tcPr>
            <w:tcW w:w="3240" w:type="dxa"/>
            <w:vAlign w:val="bottom"/>
          </w:tcPr>
          <w:p>
            <w:pPr>
              <w:spacing w:after="0"/>
              <w:rPr>
                <w:sz w:val="23"/>
                <w:szCs w:val="23"/>
                <w:color w:val="auto"/>
              </w:rPr>
            </w:pPr>
          </w:p>
        </w:tc>
      </w:tr>
      <w:tr>
        <w:trPr>
          <w:trHeight w:val="275"/>
        </w:trPr>
        <w:tc>
          <w:tcPr>
            <w:tcW w:w="620" w:type="dxa"/>
            <w:vAlign w:val="bottom"/>
          </w:tcPr>
          <w:p>
            <w:pPr>
              <w:jc w:val="right"/>
              <w:ind w:right="72"/>
              <w:spacing w:after="0"/>
              <w:rPr>
                <w:sz w:val="20"/>
                <w:szCs w:val="20"/>
                <w:color w:val="auto"/>
              </w:rPr>
            </w:pPr>
            <w:r>
              <w:rPr>
                <w:rFonts w:ascii="Arial" w:cs="Arial" w:eastAsia="Arial" w:hAnsi="Arial"/>
                <w:sz w:val="22"/>
                <w:szCs w:val="22"/>
                <w:color w:val="auto"/>
              </w:rPr>
              <w:t>5.5</w:t>
            </w:r>
          </w:p>
        </w:tc>
        <w:tc>
          <w:tcPr>
            <w:tcW w:w="3380" w:type="dxa"/>
            <w:vAlign w:val="bottom"/>
            <w:gridSpan w:val="2"/>
          </w:tcPr>
          <w:p>
            <w:pPr>
              <w:ind w:left="200"/>
              <w:spacing w:after="0"/>
              <w:rPr>
                <w:sz w:val="20"/>
                <w:szCs w:val="20"/>
                <w:color w:val="auto"/>
              </w:rPr>
            </w:pPr>
            <w:r>
              <w:rPr>
                <w:rFonts w:ascii="Arial" w:cs="Arial" w:eastAsia="Arial" w:hAnsi="Arial"/>
                <w:sz w:val="22"/>
                <w:szCs w:val="22"/>
                <w:color w:val="auto"/>
              </w:rPr>
              <w:t>Application of Clawback Policy</w:t>
            </w:r>
          </w:p>
        </w:tc>
        <w:tc>
          <w:tcPr>
            <w:tcW w:w="840" w:type="dxa"/>
            <w:vAlign w:val="bottom"/>
          </w:tcPr>
          <w:p>
            <w:pPr>
              <w:spacing w:after="0"/>
              <w:rPr>
                <w:sz w:val="23"/>
                <w:szCs w:val="23"/>
                <w:color w:val="auto"/>
              </w:rPr>
            </w:pPr>
          </w:p>
        </w:tc>
        <w:tc>
          <w:tcPr>
            <w:tcW w:w="3240" w:type="dxa"/>
            <w:vAlign w:val="bottom"/>
          </w:tcPr>
          <w:p>
            <w:pPr>
              <w:ind w:left="20"/>
              <w:spacing w:after="0"/>
              <w:rPr>
                <w:sz w:val="20"/>
                <w:szCs w:val="20"/>
                <w:color w:val="auto"/>
              </w:rPr>
            </w:pPr>
            <w:r>
              <w:rPr>
                <w:rFonts w:ascii="Arial" w:cs="Arial" w:eastAsia="Arial" w:hAnsi="Arial"/>
                <w:sz w:val="22"/>
                <w:szCs w:val="22"/>
                <w:color w:val="auto"/>
              </w:rPr>
              <w:t>13</w:t>
            </w:r>
          </w:p>
        </w:tc>
      </w:tr>
      <w:tr>
        <w:trPr>
          <w:trHeight w:val="468"/>
        </w:trPr>
        <w:tc>
          <w:tcPr>
            <w:tcW w:w="3200" w:type="dxa"/>
            <w:vAlign w:val="bottom"/>
            <w:gridSpan w:val="2"/>
          </w:tcPr>
          <w:p>
            <w:pPr>
              <w:spacing w:after="0"/>
              <w:rPr>
                <w:sz w:val="20"/>
                <w:szCs w:val="20"/>
                <w:color w:val="auto"/>
              </w:rPr>
            </w:pPr>
            <w:r>
              <w:rPr>
                <w:rFonts w:ascii="Arial" w:cs="Arial" w:eastAsia="Arial" w:hAnsi="Arial"/>
                <w:sz w:val="22"/>
                <w:szCs w:val="22"/>
                <w:color w:val="auto"/>
              </w:rPr>
              <w:t>ARTICLE VI14</w:t>
            </w: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70"/>
        </w:trPr>
        <w:tc>
          <w:tcPr>
            <w:tcW w:w="620" w:type="dxa"/>
            <w:vAlign w:val="bottom"/>
          </w:tcPr>
          <w:p>
            <w:pPr>
              <w:jc w:val="right"/>
              <w:ind w:right="72"/>
              <w:spacing w:after="0"/>
              <w:rPr>
                <w:sz w:val="20"/>
                <w:szCs w:val="20"/>
                <w:color w:val="auto"/>
              </w:rPr>
            </w:pPr>
            <w:r>
              <w:rPr>
                <w:rFonts w:ascii="Arial" w:cs="Arial" w:eastAsia="Arial" w:hAnsi="Arial"/>
                <w:sz w:val="22"/>
                <w:szCs w:val="22"/>
                <w:color w:val="auto"/>
              </w:rPr>
              <w:t>6.1</w:t>
            </w:r>
          </w:p>
        </w:tc>
        <w:tc>
          <w:tcPr>
            <w:tcW w:w="2580" w:type="dxa"/>
            <w:vAlign w:val="bottom"/>
          </w:tcPr>
          <w:p>
            <w:pPr>
              <w:ind w:left="200"/>
              <w:spacing w:after="0"/>
              <w:rPr>
                <w:sz w:val="20"/>
                <w:szCs w:val="20"/>
                <w:color w:val="auto"/>
              </w:rPr>
            </w:pPr>
            <w:r>
              <w:rPr>
                <w:rFonts w:ascii="Arial" w:cs="Arial" w:eastAsia="Arial" w:hAnsi="Arial"/>
                <w:sz w:val="22"/>
                <w:szCs w:val="22"/>
                <w:color w:val="auto"/>
              </w:rPr>
              <w:t>Separation Distributions</w:t>
            </w:r>
          </w:p>
        </w:tc>
        <w:tc>
          <w:tcPr>
            <w:tcW w:w="800" w:type="dxa"/>
            <w:vAlign w:val="bottom"/>
          </w:tcPr>
          <w:p>
            <w:pPr>
              <w:spacing w:after="0"/>
              <w:rPr>
                <w:sz w:val="23"/>
                <w:szCs w:val="23"/>
                <w:color w:val="auto"/>
              </w:rPr>
            </w:pPr>
          </w:p>
        </w:tc>
        <w:tc>
          <w:tcPr>
            <w:tcW w:w="840" w:type="dxa"/>
            <w:vAlign w:val="bottom"/>
          </w:tcPr>
          <w:p>
            <w:pPr>
              <w:jc w:val="right"/>
              <w:ind w:right="152"/>
              <w:spacing w:after="0"/>
              <w:rPr>
                <w:sz w:val="20"/>
                <w:szCs w:val="20"/>
                <w:color w:val="auto"/>
              </w:rPr>
            </w:pPr>
            <w:r>
              <w:rPr>
                <w:rFonts w:ascii="Arial" w:cs="Arial" w:eastAsia="Arial" w:hAnsi="Arial"/>
                <w:sz w:val="22"/>
                <w:szCs w:val="22"/>
                <w:color w:val="auto"/>
              </w:rPr>
              <w:t>14</w:t>
            </w:r>
          </w:p>
        </w:tc>
        <w:tc>
          <w:tcPr>
            <w:tcW w:w="3240" w:type="dxa"/>
            <w:vAlign w:val="bottom"/>
          </w:tcPr>
          <w:p>
            <w:pPr>
              <w:spacing w:after="0"/>
              <w:rPr>
                <w:sz w:val="23"/>
                <w:szCs w:val="23"/>
                <w:color w:val="auto"/>
              </w:rPr>
            </w:pPr>
          </w:p>
        </w:tc>
      </w:tr>
      <w:tr>
        <w:trPr>
          <w:trHeight w:val="270"/>
        </w:trPr>
        <w:tc>
          <w:tcPr>
            <w:tcW w:w="620" w:type="dxa"/>
            <w:vAlign w:val="bottom"/>
          </w:tcPr>
          <w:p>
            <w:pPr>
              <w:jc w:val="right"/>
              <w:ind w:right="72"/>
              <w:spacing w:after="0"/>
              <w:rPr>
                <w:sz w:val="20"/>
                <w:szCs w:val="20"/>
                <w:color w:val="auto"/>
              </w:rPr>
            </w:pPr>
            <w:r>
              <w:rPr>
                <w:rFonts w:ascii="Arial" w:cs="Arial" w:eastAsia="Arial" w:hAnsi="Arial"/>
                <w:sz w:val="22"/>
                <w:szCs w:val="22"/>
                <w:color w:val="auto"/>
              </w:rPr>
              <w:t>6.2</w:t>
            </w:r>
          </w:p>
        </w:tc>
        <w:tc>
          <w:tcPr>
            <w:tcW w:w="2580" w:type="dxa"/>
            <w:vAlign w:val="bottom"/>
          </w:tcPr>
          <w:p>
            <w:pPr>
              <w:ind w:left="200"/>
              <w:spacing w:after="0"/>
              <w:rPr>
                <w:sz w:val="20"/>
                <w:szCs w:val="20"/>
                <w:color w:val="auto"/>
              </w:rPr>
            </w:pPr>
            <w:r>
              <w:rPr>
                <w:rFonts w:ascii="Arial" w:cs="Arial" w:eastAsia="Arial" w:hAnsi="Arial"/>
                <w:sz w:val="22"/>
                <w:szCs w:val="22"/>
                <w:color w:val="auto"/>
              </w:rPr>
              <w:t>In-Service Distributions</w:t>
            </w:r>
          </w:p>
        </w:tc>
        <w:tc>
          <w:tcPr>
            <w:tcW w:w="800" w:type="dxa"/>
            <w:vAlign w:val="bottom"/>
          </w:tcPr>
          <w:p>
            <w:pPr>
              <w:spacing w:after="0"/>
              <w:rPr>
                <w:sz w:val="23"/>
                <w:szCs w:val="23"/>
                <w:color w:val="auto"/>
              </w:rPr>
            </w:pPr>
          </w:p>
        </w:tc>
        <w:tc>
          <w:tcPr>
            <w:tcW w:w="840" w:type="dxa"/>
            <w:vAlign w:val="bottom"/>
          </w:tcPr>
          <w:p>
            <w:pPr>
              <w:jc w:val="right"/>
              <w:ind w:right="172"/>
              <w:spacing w:after="0"/>
              <w:rPr>
                <w:sz w:val="20"/>
                <w:szCs w:val="20"/>
                <w:color w:val="auto"/>
              </w:rPr>
            </w:pPr>
            <w:r>
              <w:rPr>
                <w:rFonts w:ascii="Arial" w:cs="Arial" w:eastAsia="Arial" w:hAnsi="Arial"/>
                <w:sz w:val="22"/>
                <w:szCs w:val="22"/>
                <w:color w:val="auto"/>
              </w:rPr>
              <w:t>14</w:t>
            </w:r>
          </w:p>
        </w:tc>
        <w:tc>
          <w:tcPr>
            <w:tcW w:w="3240" w:type="dxa"/>
            <w:vAlign w:val="bottom"/>
          </w:tcPr>
          <w:p>
            <w:pPr>
              <w:spacing w:after="0"/>
              <w:rPr>
                <w:sz w:val="23"/>
                <w:szCs w:val="23"/>
                <w:color w:val="auto"/>
              </w:rPr>
            </w:pPr>
          </w:p>
        </w:tc>
      </w:tr>
      <w:tr>
        <w:trPr>
          <w:trHeight w:val="270"/>
        </w:trPr>
        <w:tc>
          <w:tcPr>
            <w:tcW w:w="620" w:type="dxa"/>
            <w:vAlign w:val="bottom"/>
          </w:tcPr>
          <w:p>
            <w:pPr>
              <w:jc w:val="right"/>
              <w:ind w:right="72"/>
              <w:spacing w:after="0"/>
              <w:rPr>
                <w:sz w:val="20"/>
                <w:szCs w:val="20"/>
                <w:color w:val="auto"/>
              </w:rPr>
            </w:pPr>
            <w:r>
              <w:rPr>
                <w:rFonts w:ascii="Arial" w:cs="Arial" w:eastAsia="Arial" w:hAnsi="Arial"/>
                <w:sz w:val="22"/>
                <w:szCs w:val="22"/>
                <w:color w:val="auto"/>
              </w:rPr>
              <w:t>6.3</w:t>
            </w:r>
          </w:p>
        </w:tc>
        <w:tc>
          <w:tcPr>
            <w:tcW w:w="2580" w:type="dxa"/>
            <w:vAlign w:val="bottom"/>
          </w:tcPr>
          <w:p>
            <w:pPr>
              <w:ind w:left="200"/>
              <w:spacing w:after="0"/>
              <w:rPr>
                <w:sz w:val="20"/>
                <w:szCs w:val="20"/>
                <w:color w:val="auto"/>
              </w:rPr>
            </w:pPr>
            <w:r>
              <w:rPr>
                <w:rFonts w:ascii="Arial" w:cs="Arial" w:eastAsia="Arial" w:hAnsi="Arial"/>
                <w:sz w:val="22"/>
                <w:szCs w:val="22"/>
                <w:color w:val="auto"/>
                <w:w w:val="90"/>
              </w:rPr>
              <w:t>Pre-Retirement Separation</w:t>
            </w:r>
          </w:p>
        </w:tc>
        <w:tc>
          <w:tcPr>
            <w:tcW w:w="8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2"/>
                <w:szCs w:val="22"/>
                <w:color w:val="auto"/>
              </w:rPr>
              <w:t>16</w:t>
            </w:r>
          </w:p>
        </w:tc>
        <w:tc>
          <w:tcPr>
            <w:tcW w:w="3240" w:type="dxa"/>
            <w:vAlign w:val="bottom"/>
          </w:tcPr>
          <w:p>
            <w:pPr>
              <w:spacing w:after="0"/>
              <w:rPr>
                <w:sz w:val="23"/>
                <w:szCs w:val="23"/>
                <w:color w:val="auto"/>
              </w:rPr>
            </w:pPr>
          </w:p>
        </w:tc>
      </w:tr>
      <w:tr>
        <w:trPr>
          <w:trHeight w:val="275"/>
        </w:trPr>
        <w:tc>
          <w:tcPr>
            <w:tcW w:w="620" w:type="dxa"/>
            <w:vAlign w:val="bottom"/>
          </w:tcPr>
          <w:p>
            <w:pPr>
              <w:jc w:val="right"/>
              <w:ind w:right="72"/>
              <w:spacing w:after="0"/>
              <w:rPr>
                <w:sz w:val="20"/>
                <w:szCs w:val="20"/>
                <w:color w:val="auto"/>
              </w:rPr>
            </w:pPr>
            <w:r>
              <w:rPr>
                <w:rFonts w:ascii="Arial" w:cs="Arial" w:eastAsia="Arial" w:hAnsi="Arial"/>
                <w:sz w:val="22"/>
                <w:szCs w:val="22"/>
                <w:color w:val="auto"/>
              </w:rPr>
              <w:t>6.4</w:t>
            </w:r>
          </w:p>
        </w:tc>
        <w:tc>
          <w:tcPr>
            <w:tcW w:w="3380" w:type="dxa"/>
            <w:vAlign w:val="bottom"/>
            <w:gridSpan w:val="2"/>
          </w:tcPr>
          <w:p>
            <w:pPr>
              <w:ind w:left="200"/>
              <w:spacing w:after="0"/>
              <w:rPr>
                <w:sz w:val="20"/>
                <w:szCs w:val="20"/>
                <w:color w:val="auto"/>
              </w:rPr>
            </w:pPr>
            <w:r>
              <w:rPr>
                <w:rFonts w:ascii="Arial" w:cs="Arial" w:eastAsia="Arial" w:hAnsi="Arial"/>
                <w:sz w:val="22"/>
                <w:szCs w:val="22"/>
                <w:color w:val="auto"/>
              </w:rPr>
              <w:t>Payment Commencement Date</w:t>
            </w:r>
          </w:p>
        </w:tc>
        <w:tc>
          <w:tcPr>
            <w:tcW w:w="4080" w:type="dxa"/>
            <w:vAlign w:val="bottom"/>
            <w:gridSpan w:val="2"/>
          </w:tcPr>
          <w:p>
            <w:pPr>
              <w:ind w:left="760"/>
              <w:spacing w:after="0"/>
              <w:rPr>
                <w:sz w:val="20"/>
                <w:szCs w:val="20"/>
                <w:color w:val="auto"/>
              </w:rPr>
            </w:pPr>
            <w:r>
              <w:rPr>
                <w:rFonts w:ascii="Arial" w:cs="Arial" w:eastAsia="Arial" w:hAnsi="Arial"/>
                <w:sz w:val="22"/>
                <w:szCs w:val="22"/>
                <w:color w:val="auto"/>
              </w:rPr>
              <w:t>16</w:t>
            </w:r>
          </w:p>
        </w:tc>
      </w:tr>
    </w:tbl>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680"/>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0219"/>
          </w:cols>
          <w:pgMar w:left="240" w:top="847" w:right="1440"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70"/>
        </w:trPr>
        <w:tc>
          <w:tcPr>
            <w:tcW w:w="740" w:type="dxa"/>
            <w:vAlign w:val="bottom"/>
          </w:tcPr>
          <w:p>
            <w:pPr>
              <w:ind w:left="180"/>
              <w:spacing w:after="0"/>
              <w:rPr>
                <w:sz w:val="20"/>
                <w:szCs w:val="20"/>
                <w:color w:val="auto"/>
              </w:rPr>
            </w:pPr>
            <w:r>
              <w:rPr>
                <w:rFonts w:ascii="Arial" w:cs="Arial" w:eastAsia="Arial" w:hAnsi="Arial"/>
                <w:sz w:val="22"/>
                <w:szCs w:val="22"/>
                <w:color w:val="auto"/>
              </w:rPr>
              <w:t>6.5</w:t>
            </w:r>
          </w:p>
        </w:tc>
        <w:tc>
          <w:tcPr>
            <w:tcW w:w="2880" w:type="dxa"/>
            <w:vAlign w:val="bottom"/>
          </w:tcPr>
          <w:p>
            <w:pPr>
              <w:ind w:left="80"/>
              <w:spacing w:after="0"/>
              <w:rPr>
                <w:sz w:val="20"/>
                <w:szCs w:val="20"/>
                <w:color w:val="auto"/>
              </w:rPr>
            </w:pPr>
            <w:r>
              <w:rPr>
                <w:rFonts w:ascii="Arial" w:cs="Arial" w:eastAsia="Arial" w:hAnsi="Arial"/>
                <w:sz w:val="22"/>
                <w:szCs w:val="22"/>
                <w:color w:val="auto"/>
              </w:rPr>
              <w:t>Delayed Payment Date</w:t>
            </w:r>
          </w:p>
        </w:tc>
        <w:tc>
          <w:tcPr>
            <w:tcW w:w="1400" w:type="dxa"/>
            <w:vAlign w:val="bottom"/>
          </w:tcPr>
          <w:p>
            <w:pPr>
              <w:jc w:val="right"/>
              <w:ind w:right="452"/>
              <w:spacing w:after="0"/>
              <w:rPr>
                <w:sz w:val="20"/>
                <w:szCs w:val="20"/>
                <w:color w:val="auto"/>
              </w:rPr>
            </w:pPr>
            <w:r>
              <w:rPr>
                <w:rFonts w:ascii="Arial" w:cs="Arial" w:eastAsia="Arial" w:hAnsi="Arial"/>
                <w:sz w:val="22"/>
                <w:szCs w:val="22"/>
                <w:color w:val="auto"/>
              </w:rPr>
              <w:t>16</w:t>
            </w: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740" w:type="dxa"/>
            <w:vAlign w:val="bottom"/>
          </w:tcPr>
          <w:p>
            <w:pPr>
              <w:ind w:left="180"/>
              <w:spacing w:after="0"/>
              <w:rPr>
                <w:sz w:val="20"/>
                <w:szCs w:val="20"/>
                <w:color w:val="auto"/>
              </w:rPr>
            </w:pPr>
            <w:r>
              <w:rPr>
                <w:rFonts w:ascii="Arial" w:cs="Arial" w:eastAsia="Arial" w:hAnsi="Arial"/>
                <w:sz w:val="22"/>
                <w:szCs w:val="22"/>
                <w:color w:val="auto"/>
              </w:rPr>
              <w:t>6.6</w:t>
            </w:r>
          </w:p>
        </w:tc>
        <w:tc>
          <w:tcPr>
            <w:tcW w:w="4280" w:type="dxa"/>
            <w:vAlign w:val="bottom"/>
            <w:gridSpan w:val="2"/>
          </w:tcPr>
          <w:p>
            <w:pPr>
              <w:ind w:left="80"/>
              <w:spacing w:after="0"/>
              <w:rPr>
                <w:sz w:val="20"/>
                <w:szCs w:val="20"/>
                <w:color w:val="auto"/>
              </w:rPr>
            </w:pPr>
            <w:r>
              <w:rPr>
                <w:rFonts w:ascii="Arial" w:cs="Arial" w:eastAsia="Arial" w:hAnsi="Arial"/>
                <w:sz w:val="22"/>
                <w:szCs w:val="22"/>
                <w:color w:val="auto"/>
              </w:rPr>
              <w:t>Changing the Time or Form of Distribution</w:t>
            </w:r>
          </w:p>
        </w:tc>
        <w:tc>
          <w:tcPr>
            <w:tcW w:w="160" w:type="dxa"/>
            <w:vAlign w:val="bottom"/>
          </w:tcPr>
          <w:p>
            <w:pPr>
              <w:spacing w:after="0"/>
              <w:rPr>
                <w:sz w:val="23"/>
                <w:szCs w:val="23"/>
                <w:color w:val="auto"/>
              </w:rPr>
            </w:pPr>
          </w:p>
        </w:tc>
        <w:tc>
          <w:tcPr>
            <w:tcW w:w="1040" w:type="dxa"/>
            <w:vAlign w:val="bottom"/>
          </w:tcPr>
          <w:p>
            <w:pPr>
              <w:jc w:val="right"/>
              <w:ind w:right="432"/>
              <w:spacing w:after="0"/>
              <w:rPr>
                <w:sz w:val="20"/>
                <w:szCs w:val="20"/>
                <w:color w:val="auto"/>
              </w:rPr>
            </w:pPr>
            <w:r>
              <w:rPr>
                <w:rFonts w:ascii="Arial" w:cs="Arial" w:eastAsia="Arial" w:hAnsi="Arial"/>
                <w:sz w:val="22"/>
                <w:szCs w:val="22"/>
                <w:color w:val="auto"/>
              </w:rPr>
              <w:t>17</w:t>
            </w:r>
          </w:p>
        </w:tc>
      </w:tr>
      <w:tr>
        <w:trPr>
          <w:trHeight w:val="270"/>
        </w:trPr>
        <w:tc>
          <w:tcPr>
            <w:tcW w:w="740" w:type="dxa"/>
            <w:vAlign w:val="bottom"/>
          </w:tcPr>
          <w:p>
            <w:pPr>
              <w:ind w:left="180"/>
              <w:spacing w:after="0"/>
              <w:rPr>
                <w:sz w:val="20"/>
                <w:szCs w:val="20"/>
                <w:color w:val="auto"/>
              </w:rPr>
            </w:pPr>
            <w:r>
              <w:rPr>
                <w:rFonts w:ascii="Arial" w:cs="Arial" w:eastAsia="Arial" w:hAnsi="Arial"/>
                <w:sz w:val="22"/>
                <w:szCs w:val="22"/>
                <w:color w:val="auto"/>
              </w:rPr>
              <w:t>6.7</w:t>
            </w:r>
          </w:p>
        </w:tc>
        <w:tc>
          <w:tcPr>
            <w:tcW w:w="2880" w:type="dxa"/>
            <w:vAlign w:val="bottom"/>
          </w:tcPr>
          <w:p>
            <w:pPr>
              <w:ind w:left="80"/>
              <w:spacing w:after="0"/>
              <w:rPr>
                <w:sz w:val="20"/>
                <w:szCs w:val="20"/>
                <w:color w:val="auto"/>
              </w:rPr>
            </w:pPr>
            <w:r>
              <w:rPr>
                <w:rFonts w:ascii="Arial" w:cs="Arial" w:eastAsia="Arial" w:hAnsi="Arial"/>
                <w:sz w:val="22"/>
                <w:szCs w:val="22"/>
                <w:color w:val="auto"/>
                <w:w w:val="98"/>
              </w:rPr>
              <w:t>Cash and Stock Distributions</w:t>
            </w:r>
          </w:p>
        </w:tc>
        <w:tc>
          <w:tcPr>
            <w:tcW w:w="1400" w:type="dxa"/>
            <w:vAlign w:val="bottom"/>
          </w:tcPr>
          <w:p>
            <w:pPr>
              <w:jc w:val="right"/>
              <w:ind w:right="92"/>
              <w:spacing w:after="0"/>
              <w:rPr>
                <w:sz w:val="20"/>
                <w:szCs w:val="20"/>
                <w:color w:val="auto"/>
              </w:rPr>
            </w:pPr>
            <w:r>
              <w:rPr>
                <w:rFonts w:ascii="Arial" w:cs="Arial" w:eastAsia="Arial" w:hAnsi="Arial"/>
                <w:sz w:val="22"/>
                <w:szCs w:val="22"/>
                <w:color w:val="auto"/>
              </w:rPr>
              <w:t>17</w:t>
            </w: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740" w:type="dxa"/>
            <w:vAlign w:val="bottom"/>
          </w:tcPr>
          <w:p>
            <w:pPr>
              <w:ind w:left="180"/>
              <w:spacing w:after="0"/>
              <w:rPr>
                <w:sz w:val="20"/>
                <w:szCs w:val="20"/>
                <w:color w:val="auto"/>
              </w:rPr>
            </w:pPr>
            <w:r>
              <w:rPr>
                <w:rFonts w:ascii="Arial" w:cs="Arial" w:eastAsia="Arial" w:hAnsi="Arial"/>
                <w:sz w:val="22"/>
                <w:szCs w:val="22"/>
                <w:color w:val="auto"/>
              </w:rPr>
              <w:t>6.8</w:t>
            </w:r>
          </w:p>
        </w:tc>
        <w:tc>
          <w:tcPr>
            <w:tcW w:w="4280" w:type="dxa"/>
            <w:vAlign w:val="bottom"/>
            <w:gridSpan w:val="2"/>
          </w:tcPr>
          <w:p>
            <w:pPr>
              <w:ind w:left="80"/>
              <w:spacing w:after="0"/>
              <w:rPr>
                <w:sz w:val="20"/>
                <w:szCs w:val="20"/>
                <w:color w:val="auto"/>
              </w:rPr>
            </w:pPr>
            <w:r>
              <w:rPr>
                <w:rFonts w:ascii="Arial" w:cs="Arial" w:eastAsia="Arial" w:hAnsi="Arial"/>
                <w:sz w:val="22"/>
                <w:szCs w:val="22"/>
                <w:color w:val="auto"/>
                <w:w w:val="92"/>
              </w:rPr>
              <w:t>Postponement of Non-Deductible Distributions</w:t>
            </w:r>
          </w:p>
        </w:tc>
        <w:tc>
          <w:tcPr>
            <w:tcW w:w="160" w:type="dxa"/>
            <w:vAlign w:val="bottom"/>
          </w:tcPr>
          <w:p>
            <w:pPr>
              <w:spacing w:after="0"/>
              <w:rPr>
                <w:sz w:val="23"/>
                <w:szCs w:val="23"/>
                <w:color w:val="auto"/>
              </w:rPr>
            </w:pPr>
          </w:p>
        </w:tc>
        <w:tc>
          <w:tcPr>
            <w:tcW w:w="1040" w:type="dxa"/>
            <w:vAlign w:val="bottom"/>
          </w:tcPr>
          <w:p>
            <w:pPr>
              <w:jc w:val="right"/>
              <w:ind w:right="92"/>
              <w:spacing w:after="0"/>
              <w:rPr>
                <w:sz w:val="20"/>
                <w:szCs w:val="20"/>
                <w:color w:val="auto"/>
              </w:rPr>
            </w:pPr>
            <w:r>
              <w:rPr>
                <w:rFonts w:ascii="Arial" w:cs="Arial" w:eastAsia="Arial" w:hAnsi="Arial"/>
                <w:sz w:val="22"/>
                <w:szCs w:val="22"/>
                <w:color w:val="auto"/>
              </w:rPr>
              <w:t>17</w:t>
            </w:r>
          </w:p>
        </w:tc>
      </w:tr>
      <w:tr>
        <w:trPr>
          <w:trHeight w:val="270"/>
        </w:trPr>
        <w:tc>
          <w:tcPr>
            <w:tcW w:w="740" w:type="dxa"/>
            <w:vAlign w:val="bottom"/>
          </w:tcPr>
          <w:p>
            <w:pPr>
              <w:ind w:left="180"/>
              <w:spacing w:after="0"/>
              <w:rPr>
                <w:sz w:val="20"/>
                <w:szCs w:val="20"/>
                <w:color w:val="auto"/>
              </w:rPr>
            </w:pPr>
            <w:r>
              <w:rPr>
                <w:rFonts w:ascii="Arial" w:cs="Arial" w:eastAsia="Arial" w:hAnsi="Arial"/>
                <w:sz w:val="22"/>
                <w:szCs w:val="22"/>
                <w:color w:val="auto"/>
              </w:rPr>
              <w:t>6.9</w:t>
            </w:r>
          </w:p>
        </w:tc>
        <w:tc>
          <w:tcPr>
            <w:tcW w:w="2880" w:type="dxa"/>
            <w:vAlign w:val="bottom"/>
          </w:tcPr>
          <w:p>
            <w:pPr>
              <w:ind w:left="80"/>
              <w:spacing w:after="0"/>
              <w:rPr>
                <w:sz w:val="20"/>
                <w:szCs w:val="20"/>
                <w:color w:val="auto"/>
              </w:rPr>
            </w:pPr>
            <w:r>
              <w:rPr>
                <w:rFonts w:ascii="Arial" w:cs="Arial" w:eastAsia="Arial" w:hAnsi="Arial"/>
                <w:sz w:val="22"/>
                <w:szCs w:val="22"/>
                <w:color w:val="auto"/>
              </w:rPr>
              <w:t>Acceleration of Payment</w:t>
            </w:r>
          </w:p>
        </w:tc>
        <w:tc>
          <w:tcPr>
            <w:tcW w:w="1400" w:type="dxa"/>
            <w:vAlign w:val="bottom"/>
          </w:tcPr>
          <w:p>
            <w:pPr>
              <w:jc w:val="right"/>
              <w:ind w:right="292"/>
              <w:spacing w:after="0"/>
              <w:rPr>
                <w:sz w:val="20"/>
                <w:szCs w:val="20"/>
                <w:color w:val="auto"/>
              </w:rPr>
            </w:pPr>
            <w:r>
              <w:rPr>
                <w:rFonts w:ascii="Arial" w:cs="Arial" w:eastAsia="Arial" w:hAnsi="Arial"/>
                <w:sz w:val="22"/>
                <w:szCs w:val="22"/>
                <w:color w:val="auto"/>
              </w:rPr>
              <w:t>19</w:t>
            </w: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5"/>
        </w:trPr>
        <w:tc>
          <w:tcPr>
            <w:tcW w:w="740" w:type="dxa"/>
            <w:vAlign w:val="bottom"/>
          </w:tcPr>
          <w:p>
            <w:pPr>
              <w:ind w:left="180"/>
              <w:spacing w:after="0"/>
              <w:rPr>
                <w:sz w:val="20"/>
                <w:szCs w:val="20"/>
                <w:color w:val="auto"/>
              </w:rPr>
            </w:pPr>
            <w:r>
              <w:rPr>
                <w:rFonts w:ascii="Arial" w:cs="Arial" w:eastAsia="Arial" w:hAnsi="Arial"/>
                <w:sz w:val="22"/>
                <w:szCs w:val="22"/>
                <w:color w:val="auto"/>
              </w:rPr>
              <w:t>6.10</w:t>
            </w:r>
          </w:p>
        </w:tc>
        <w:tc>
          <w:tcPr>
            <w:tcW w:w="2880" w:type="dxa"/>
            <w:vAlign w:val="bottom"/>
          </w:tcPr>
          <w:p>
            <w:pPr>
              <w:ind w:left="80"/>
              <w:spacing w:after="0"/>
              <w:rPr>
                <w:sz w:val="20"/>
                <w:szCs w:val="20"/>
                <w:color w:val="auto"/>
              </w:rPr>
            </w:pPr>
            <w:r>
              <w:rPr>
                <w:rFonts w:ascii="Arial" w:cs="Arial" w:eastAsia="Arial" w:hAnsi="Arial"/>
                <w:sz w:val="22"/>
                <w:szCs w:val="22"/>
                <w:color w:val="auto"/>
              </w:rPr>
              <w:t>Post-Distribution Allocations</w:t>
            </w:r>
          </w:p>
        </w:tc>
        <w:tc>
          <w:tcPr>
            <w:tcW w:w="1400" w:type="dxa"/>
            <w:vAlign w:val="bottom"/>
          </w:tcPr>
          <w:p>
            <w:pPr>
              <w:jc w:val="right"/>
              <w:ind w:right="72"/>
              <w:spacing w:after="0"/>
              <w:rPr>
                <w:sz w:val="20"/>
                <w:szCs w:val="20"/>
                <w:color w:val="auto"/>
              </w:rPr>
            </w:pPr>
            <w:r>
              <w:rPr>
                <w:rFonts w:ascii="Arial" w:cs="Arial" w:eastAsia="Arial" w:hAnsi="Arial"/>
                <w:sz w:val="22"/>
                <w:szCs w:val="22"/>
                <w:color w:val="auto"/>
              </w:rPr>
              <w:t>19</w:t>
            </w: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468"/>
        </w:trPr>
        <w:tc>
          <w:tcPr>
            <w:tcW w:w="3620" w:type="dxa"/>
            <w:vAlign w:val="bottom"/>
            <w:gridSpan w:val="2"/>
          </w:tcPr>
          <w:p>
            <w:pPr>
              <w:spacing w:after="0"/>
              <w:rPr>
                <w:sz w:val="20"/>
                <w:szCs w:val="20"/>
                <w:color w:val="auto"/>
              </w:rPr>
            </w:pPr>
            <w:r>
              <w:rPr>
                <w:rFonts w:ascii="Arial" w:cs="Arial" w:eastAsia="Arial" w:hAnsi="Arial"/>
                <w:sz w:val="22"/>
                <w:szCs w:val="22"/>
                <w:color w:val="auto"/>
              </w:rPr>
              <w:t>ARTICLE VII19</w:t>
            </w: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0"/>
        </w:trPr>
        <w:tc>
          <w:tcPr>
            <w:tcW w:w="740" w:type="dxa"/>
            <w:vAlign w:val="bottom"/>
          </w:tcPr>
          <w:p>
            <w:pPr>
              <w:ind w:left="180"/>
              <w:spacing w:after="0"/>
              <w:rPr>
                <w:sz w:val="20"/>
                <w:szCs w:val="20"/>
                <w:color w:val="auto"/>
              </w:rPr>
            </w:pPr>
            <w:r>
              <w:rPr>
                <w:rFonts w:ascii="Arial" w:cs="Arial" w:eastAsia="Arial" w:hAnsi="Arial"/>
                <w:sz w:val="22"/>
                <w:szCs w:val="22"/>
                <w:color w:val="auto"/>
              </w:rPr>
              <w:t>7.1</w:t>
            </w:r>
          </w:p>
        </w:tc>
        <w:tc>
          <w:tcPr>
            <w:tcW w:w="2880" w:type="dxa"/>
            <w:vAlign w:val="bottom"/>
          </w:tcPr>
          <w:p>
            <w:pPr>
              <w:ind w:left="80"/>
              <w:spacing w:after="0"/>
              <w:rPr>
                <w:sz w:val="20"/>
                <w:szCs w:val="20"/>
                <w:color w:val="auto"/>
              </w:rPr>
            </w:pPr>
            <w:r>
              <w:rPr>
                <w:rFonts w:ascii="Arial" w:cs="Arial" w:eastAsia="Arial" w:hAnsi="Arial"/>
                <w:sz w:val="22"/>
                <w:szCs w:val="22"/>
                <w:color w:val="auto"/>
              </w:rPr>
              <w:t>Designation of Beneficiary</w:t>
            </w:r>
          </w:p>
        </w:tc>
        <w:tc>
          <w:tcPr>
            <w:tcW w:w="1400" w:type="dxa"/>
            <w:vAlign w:val="bottom"/>
          </w:tcPr>
          <w:p>
            <w:pPr>
              <w:jc w:val="right"/>
              <w:ind w:right="92"/>
              <w:spacing w:after="0"/>
              <w:rPr>
                <w:sz w:val="20"/>
                <w:szCs w:val="20"/>
                <w:color w:val="auto"/>
              </w:rPr>
            </w:pPr>
            <w:r>
              <w:rPr>
                <w:rFonts w:ascii="Arial" w:cs="Arial" w:eastAsia="Arial" w:hAnsi="Arial"/>
                <w:sz w:val="22"/>
                <w:szCs w:val="22"/>
                <w:color w:val="auto"/>
              </w:rPr>
              <w:t>19</w:t>
            </w: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740" w:type="dxa"/>
            <w:vAlign w:val="bottom"/>
          </w:tcPr>
          <w:p>
            <w:pPr>
              <w:ind w:left="180"/>
              <w:spacing w:after="0"/>
              <w:rPr>
                <w:sz w:val="20"/>
                <w:szCs w:val="20"/>
                <w:color w:val="auto"/>
              </w:rPr>
            </w:pPr>
            <w:r>
              <w:rPr>
                <w:rFonts w:ascii="Arial" w:cs="Arial" w:eastAsia="Arial" w:hAnsi="Arial"/>
                <w:sz w:val="22"/>
                <w:szCs w:val="22"/>
                <w:color w:val="auto"/>
              </w:rPr>
              <w:t>7.2</w:t>
            </w:r>
          </w:p>
        </w:tc>
        <w:tc>
          <w:tcPr>
            <w:tcW w:w="2880" w:type="dxa"/>
            <w:vAlign w:val="bottom"/>
          </w:tcPr>
          <w:p>
            <w:pPr>
              <w:ind w:left="80"/>
              <w:spacing w:after="0"/>
              <w:rPr>
                <w:sz w:val="20"/>
                <w:szCs w:val="20"/>
                <w:color w:val="auto"/>
              </w:rPr>
            </w:pPr>
            <w:r>
              <w:rPr>
                <w:rFonts w:ascii="Arial" w:cs="Arial" w:eastAsia="Arial" w:hAnsi="Arial"/>
                <w:sz w:val="22"/>
                <w:szCs w:val="22"/>
                <w:color w:val="auto"/>
              </w:rPr>
              <w:t>Married Participants</w:t>
            </w:r>
          </w:p>
        </w:tc>
        <w:tc>
          <w:tcPr>
            <w:tcW w:w="1400" w:type="dxa"/>
            <w:vAlign w:val="bottom"/>
          </w:tcPr>
          <w:p>
            <w:pPr>
              <w:jc w:val="right"/>
              <w:ind w:right="492"/>
              <w:spacing w:after="0"/>
              <w:rPr>
                <w:sz w:val="20"/>
                <w:szCs w:val="20"/>
                <w:color w:val="auto"/>
              </w:rPr>
            </w:pPr>
            <w:r>
              <w:rPr>
                <w:rFonts w:ascii="Arial" w:cs="Arial" w:eastAsia="Arial" w:hAnsi="Arial"/>
                <w:sz w:val="22"/>
                <w:szCs w:val="22"/>
                <w:color w:val="auto"/>
              </w:rPr>
              <w:t>19</w:t>
            </w: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740" w:type="dxa"/>
            <w:vAlign w:val="bottom"/>
          </w:tcPr>
          <w:p>
            <w:pPr>
              <w:ind w:left="180"/>
              <w:spacing w:after="0"/>
              <w:rPr>
                <w:sz w:val="20"/>
                <w:szCs w:val="20"/>
                <w:color w:val="auto"/>
              </w:rPr>
            </w:pPr>
            <w:r>
              <w:rPr>
                <w:rFonts w:ascii="Arial" w:cs="Arial" w:eastAsia="Arial" w:hAnsi="Arial"/>
                <w:sz w:val="22"/>
                <w:szCs w:val="22"/>
                <w:color w:val="auto"/>
              </w:rPr>
              <w:t>7.3</w:t>
            </w:r>
          </w:p>
        </w:tc>
        <w:tc>
          <w:tcPr>
            <w:tcW w:w="2880" w:type="dxa"/>
            <w:vAlign w:val="bottom"/>
          </w:tcPr>
          <w:p>
            <w:pPr>
              <w:ind w:left="80"/>
              <w:spacing w:after="0"/>
              <w:rPr>
                <w:sz w:val="20"/>
                <w:szCs w:val="20"/>
                <w:color w:val="auto"/>
              </w:rPr>
            </w:pPr>
            <w:r>
              <w:rPr>
                <w:rFonts w:ascii="Arial" w:cs="Arial" w:eastAsia="Arial" w:hAnsi="Arial"/>
                <w:sz w:val="22"/>
                <w:szCs w:val="22"/>
                <w:color w:val="auto"/>
              </w:rPr>
              <w:t>Deemed Beneficiary</w:t>
            </w:r>
          </w:p>
        </w:tc>
        <w:tc>
          <w:tcPr>
            <w:tcW w:w="1400" w:type="dxa"/>
            <w:vAlign w:val="bottom"/>
          </w:tcPr>
          <w:p>
            <w:pPr>
              <w:jc w:val="right"/>
              <w:ind w:right="472"/>
              <w:spacing w:after="0"/>
              <w:rPr>
                <w:sz w:val="20"/>
                <w:szCs w:val="20"/>
                <w:color w:val="auto"/>
              </w:rPr>
            </w:pPr>
            <w:r>
              <w:rPr>
                <w:rFonts w:ascii="Arial" w:cs="Arial" w:eastAsia="Arial" w:hAnsi="Arial"/>
                <w:sz w:val="22"/>
                <w:szCs w:val="22"/>
                <w:color w:val="auto"/>
              </w:rPr>
              <w:t>19</w:t>
            </w: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740" w:type="dxa"/>
            <w:vAlign w:val="bottom"/>
          </w:tcPr>
          <w:p>
            <w:pPr>
              <w:ind w:left="180"/>
              <w:spacing w:after="0"/>
              <w:rPr>
                <w:sz w:val="20"/>
                <w:szCs w:val="20"/>
                <w:color w:val="auto"/>
              </w:rPr>
            </w:pPr>
            <w:r>
              <w:rPr>
                <w:rFonts w:ascii="Arial" w:cs="Arial" w:eastAsia="Arial" w:hAnsi="Arial"/>
                <w:sz w:val="22"/>
                <w:szCs w:val="22"/>
                <w:color w:val="auto"/>
              </w:rPr>
              <w:t>7.4</w:t>
            </w:r>
          </w:p>
        </w:tc>
        <w:tc>
          <w:tcPr>
            <w:tcW w:w="2880" w:type="dxa"/>
            <w:vAlign w:val="bottom"/>
          </w:tcPr>
          <w:p>
            <w:pPr>
              <w:ind w:left="80"/>
              <w:spacing w:after="0"/>
              <w:rPr>
                <w:sz w:val="20"/>
                <w:szCs w:val="20"/>
                <w:color w:val="auto"/>
              </w:rPr>
            </w:pPr>
            <w:r>
              <w:rPr>
                <w:rFonts w:ascii="Arial" w:cs="Arial" w:eastAsia="Arial" w:hAnsi="Arial"/>
                <w:sz w:val="22"/>
                <w:szCs w:val="22"/>
                <w:color w:val="auto"/>
              </w:rPr>
              <w:t>Surviving Beneficiary</w:t>
            </w:r>
          </w:p>
        </w:tc>
        <w:tc>
          <w:tcPr>
            <w:tcW w:w="1400" w:type="dxa"/>
            <w:vAlign w:val="bottom"/>
          </w:tcPr>
          <w:p>
            <w:pPr>
              <w:jc w:val="right"/>
              <w:ind w:right="532"/>
              <w:spacing w:after="0"/>
              <w:rPr>
                <w:sz w:val="20"/>
                <w:szCs w:val="20"/>
                <w:color w:val="auto"/>
              </w:rPr>
            </w:pPr>
            <w:r>
              <w:rPr>
                <w:rFonts w:ascii="Arial" w:cs="Arial" w:eastAsia="Arial" w:hAnsi="Arial"/>
                <w:sz w:val="22"/>
                <w:szCs w:val="22"/>
                <w:color w:val="auto"/>
              </w:rPr>
              <w:t>20</w:t>
            </w: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740" w:type="dxa"/>
            <w:vAlign w:val="bottom"/>
          </w:tcPr>
          <w:p>
            <w:pPr>
              <w:ind w:left="180"/>
              <w:spacing w:after="0"/>
              <w:rPr>
                <w:sz w:val="20"/>
                <w:szCs w:val="20"/>
                <w:color w:val="auto"/>
              </w:rPr>
            </w:pPr>
            <w:r>
              <w:rPr>
                <w:rFonts w:ascii="Arial" w:cs="Arial" w:eastAsia="Arial" w:hAnsi="Arial"/>
                <w:sz w:val="22"/>
                <w:szCs w:val="22"/>
                <w:color w:val="auto"/>
              </w:rPr>
              <w:t>7.5</w:t>
            </w:r>
          </w:p>
        </w:tc>
        <w:tc>
          <w:tcPr>
            <w:tcW w:w="4280" w:type="dxa"/>
            <w:vAlign w:val="bottom"/>
            <w:gridSpan w:val="2"/>
          </w:tcPr>
          <w:p>
            <w:pPr>
              <w:ind w:left="80"/>
              <w:spacing w:after="0"/>
              <w:rPr>
                <w:sz w:val="20"/>
                <w:szCs w:val="20"/>
                <w:color w:val="auto"/>
              </w:rPr>
            </w:pPr>
            <w:r>
              <w:rPr>
                <w:rFonts w:ascii="Arial" w:cs="Arial" w:eastAsia="Arial" w:hAnsi="Arial"/>
                <w:sz w:val="22"/>
                <w:szCs w:val="22"/>
                <w:color w:val="auto"/>
                <w:w w:val="99"/>
              </w:rPr>
              <w:t>Determination of Account Balance at Death</w:t>
            </w:r>
          </w:p>
        </w:tc>
        <w:tc>
          <w:tcPr>
            <w:tcW w:w="160" w:type="dxa"/>
            <w:vAlign w:val="bottom"/>
          </w:tcPr>
          <w:p>
            <w:pPr>
              <w:spacing w:after="0"/>
              <w:rPr>
                <w:sz w:val="23"/>
                <w:szCs w:val="23"/>
                <w:color w:val="auto"/>
              </w:rPr>
            </w:pPr>
          </w:p>
        </w:tc>
        <w:tc>
          <w:tcPr>
            <w:tcW w:w="1040" w:type="dxa"/>
            <w:vAlign w:val="bottom"/>
          </w:tcPr>
          <w:p>
            <w:pPr>
              <w:jc w:val="right"/>
              <w:ind w:right="372"/>
              <w:spacing w:after="0"/>
              <w:rPr>
                <w:sz w:val="20"/>
                <w:szCs w:val="20"/>
                <w:color w:val="auto"/>
              </w:rPr>
            </w:pPr>
            <w:r>
              <w:rPr>
                <w:rFonts w:ascii="Arial" w:cs="Arial" w:eastAsia="Arial" w:hAnsi="Arial"/>
                <w:sz w:val="22"/>
                <w:szCs w:val="22"/>
                <w:color w:val="auto"/>
              </w:rPr>
              <w:t>20</w:t>
            </w:r>
          </w:p>
        </w:tc>
      </w:tr>
      <w:tr>
        <w:trPr>
          <w:trHeight w:val="270"/>
        </w:trPr>
        <w:tc>
          <w:tcPr>
            <w:tcW w:w="740" w:type="dxa"/>
            <w:vAlign w:val="bottom"/>
          </w:tcPr>
          <w:p>
            <w:pPr>
              <w:ind w:left="180"/>
              <w:spacing w:after="0"/>
              <w:rPr>
                <w:sz w:val="20"/>
                <w:szCs w:val="20"/>
                <w:color w:val="auto"/>
              </w:rPr>
            </w:pPr>
            <w:r>
              <w:rPr>
                <w:rFonts w:ascii="Arial" w:cs="Arial" w:eastAsia="Arial" w:hAnsi="Arial"/>
                <w:sz w:val="22"/>
                <w:szCs w:val="22"/>
                <w:color w:val="auto"/>
              </w:rPr>
              <w:t>7.6</w:t>
            </w:r>
          </w:p>
        </w:tc>
        <w:tc>
          <w:tcPr>
            <w:tcW w:w="4280" w:type="dxa"/>
            <w:vAlign w:val="bottom"/>
            <w:gridSpan w:val="2"/>
          </w:tcPr>
          <w:p>
            <w:pPr>
              <w:ind w:left="80"/>
              <w:spacing w:after="0"/>
              <w:rPr>
                <w:sz w:val="20"/>
                <w:szCs w:val="20"/>
                <w:color w:val="auto"/>
              </w:rPr>
            </w:pPr>
            <w:r>
              <w:rPr>
                <w:rFonts w:ascii="Arial" w:cs="Arial" w:eastAsia="Arial" w:hAnsi="Arial"/>
                <w:sz w:val="22"/>
                <w:szCs w:val="22"/>
                <w:color w:val="auto"/>
              </w:rPr>
              <w:t>Distribution of Account Balance at Death</w:t>
            </w:r>
          </w:p>
        </w:tc>
        <w:tc>
          <w:tcPr>
            <w:tcW w:w="160" w:type="dxa"/>
            <w:vAlign w:val="bottom"/>
          </w:tcPr>
          <w:p>
            <w:pPr>
              <w:spacing w:after="0"/>
              <w:rPr>
                <w:sz w:val="23"/>
                <w:szCs w:val="23"/>
                <w:color w:val="auto"/>
              </w:rPr>
            </w:pPr>
          </w:p>
        </w:tc>
        <w:tc>
          <w:tcPr>
            <w:tcW w:w="1040" w:type="dxa"/>
            <w:vAlign w:val="bottom"/>
          </w:tcPr>
          <w:p>
            <w:pPr>
              <w:jc w:val="right"/>
              <w:ind w:right="412"/>
              <w:spacing w:after="0"/>
              <w:rPr>
                <w:sz w:val="20"/>
                <w:szCs w:val="20"/>
                <w:color w:val="auto"/>
              </w:rPr>
            </w:pPr>
            <w:r>
              <w:rPr>
                <w:rFonts w:ascii="Arial" w:cs="Arial" w:eastAsia="Arial" w:hAnsi="Arial"/>
                <w:sz w:val="22"/>
                <w:szCs w:val="22"/>
                <w:color w:val="auto"/>
              </w:rPr>
              <w:t>20</w:t>
            </w:r>
          </w:p>
        </w:tc>
      </w:tr>
      <w:tr>
        <w:trPr>
          <w:trHeight w:val="270"/>
        </w:trPr>
        <w:tc>
          <w:tcPr>
            <w:tcW w:w="740" w:type="dxa"/>
            <w:vAlign w:val="bottom"/>
          </w:tcPr>
          <w:p>
            <w:pPr>
              <w:ind w:left="180"/>
              <w:spacing w:after="0"/>
              <w:rPr>
                <w:sz w:val="20"/>
                <w:szCs w:val="20"/>
                <w:color w:val="auto"/>
              </w:rPr>
            </w:pPr>
            <w:r>
              <w:rPr>
                <w:rFonts w:ascii="Arial" w:cs="Arial" w:eastAsia="Arial" w:hAnsi="Arial"/>
                <w:sz w:val="22"/>
                <w:szCs w:val="22"/>
                <w:color w:val="auto"/>
              </w:rPr>
              <w:t>7.7</w:t>
            </w:r>
          </w:p>
        </w:tc>
        <w:tc>
          <w:tcPr>
            <w:tcW w:w="2880" w:type="dxa"/>
            <w:vAlign w:val="bottom"/>
          </w:tcPr>
          <w:p>
            <w:pPr>
              <w:ind w:left="80"/>
              <w:spacing w:after="0"/>
              <w:rPr>
                <w:sz w:val="20"/>
                <w:szCs w:val="20"/>
                <w:color w:val="auto"/>
              </w:rPr>
            </w:pPr>
            <w:r>
              <w:rPr>
                <w:rFonts w:ascii="Arial" w:cs="Arial" w:eastAsia="Arial" w:hAnsi="Arial"/>
                <w:sz w:val="22"/>
                <w:szCs w:val="22"/>
                <w:color w:val="auto"/>
              </w:rPr>
              <w:t>Determination of Beneficiary</w:t>
            </w:r>
          </w:p>
        </w:tc>
        <w:tc>
          <w:tcPr>
            <w:tcW w:w="1400" w:type="dxa"/>
            <w:vAlign w:val="bottom"/>
          </w:tcPr>
          <w:p>
            <w:pPr>
              <w:jc w:val="right"/>
              <w:ind w:right="72"/>
              <w:spacing w:after="0"/>
              <w:rPr>
                <w:sz w:val="20"/>
                <w:szCs w:val="20"/>
                <w:color w:val="auto"/>
              </w:rPr>
            </w:pPr>
            <w:r>
              <w:rPr>
                <w:rFonts w:ascii="Arial" w:cs="Arial" w:eastAsia="Arial" w:hAnsi="Arial"/>
                <w:sz w:val="22"/>
                <w:szCs w:val="22"/>
                <w:color w:val="auto"/>
              </w:rPr>
              <w:t>20</w:t>
            </w: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740" w:type="dxa"/>
            <w:vAlign w:val="bottom"/>
          </w:tcPr>
          <w:p>
            <w:pPr>
              <w:ind w:left="180"/>
              <w:spacing w:after="0"/>
              <w:rPr>
                <w:sz w:val="20"/>
                <w:szCs w:val="20"/>
                <w:color w:val="auto"/>
              </w:rPr>
            </w:pPr>
            <w:r>
              <w:rPr>
                <w:rFonts w:ascii="Arial" w:cs="Arial" w:eastAsia="Arial" w:hAnsi="Arial"/>
                <w:sz w:val="22"/>
                <w:szCs w:val="22"/>
                <w:color w:val="auto"/>
              </w:rPr>
              <w:t>7.8</w:t>
            </w:r>
          </w:p>
        </w:tc>
        <w:tc>
          <w:tcPr>
            <w:tcW w:w="4440" w:type="dxa"/>
            <w:vAlign w:val="bottom"/>
            <w:gridSpan w:val="3"/>
          </w:tcPr>
          <w:p>
            <w:pPr>
              <w:ind w:left="80"/>
              <w:spacing w:after="0"/>
              <w:rPr>
                <w:sz w:val="20"/>
                <w:szCs w:val="20"/>
                <w:color w:val="auto"/>
              </w:rPr>
            </w:pPr>
            <w:r>
              <w:rPr>
                <w:rFonts w:ascii="Arial" w:cs="Arial" w:eastAsia="Arial" w:hAnsi="Arial"/>
                <w:sz w:val="22"/>
                <w:szCs w:val="22"/>
                <w:color w:val="auto"/>
                <w:w w:val="90"/>
              </w:rPr>
              <w:t>Payments to Minor or Incapacitated Beneficiaries</w:t>
            </w:r>
          </w:p>
        </w:tc>
        <w:tc>
          <w:tcPr>
            <w:tcW w:w="104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275"/>
        </w:trPr>
        <w:tc>
          <w:tcPr>
            <w:tcW w:w="740" w:type="dxa"/>
            <w:vAlign w:val="bottom"/>
          </w:tcPr>
          <w:p>
            <w:pPr>
              <w:ind w:left="180"/>
              <w:spacing w:after="0"/>
              <w:rPr>
                <w:sz w:val="20"/>
                <w:szCs w:val="20"/>
                <w:color w:val="auto"/>
              </w:rPr>
            </w:pPr>
            <w:r>
              <w:rPr>
                <w:rFonts w:ascii="Arial" w:cs="Arial" w:eastAsia="Arial" w:hAnsi="Arial"/>
                <w:sz w:val="22"/>
                <w:szCs w:val="22"/>
                <w:color w:val="auto"/>
              </w:rPr>
              <w:t>7.9</w:t>
            </w:r>
          </w:p>
        </w:tc>
        <w:tc>
          <w:tcPr>
            <w:tcW w:w="2880" w:type="dxa"/>
            <w:vAlign w:val="bottom"/>
          </w:tcPr>
          <w:p>
            <w:pPr>
              <w:ind w:left="80"/>
              <w:spacing w:after="0"/>
              <w:rPr>
                <w:sz w:val="20"/>
                <w:szCs w:val="20"/>
                <w:color w:val="auto"/>
              </w:rPr>
            </w:pPr>
            <w:r>
              <w:rPr>
                <w:rFonts w:ascii="Arial" w:cs="Arial" w:eastAsia="Arial" w:hAnsi="Arial"/>
                <w:sz w:val="22"/>
                <w:szCs w:val="22"/>
                <w:color w:val="auto"/>
              </w:rPr>
              <w:t>Effect of Divorce</w:t>
            </w:r>
          </w:p>
        </w:tc>
        <w:tc>
          <w:tcPr>
            <w:tcW w:w="1400" w:type="dxa"/>
            <w:vAlign w:val="bottom"/>
          </w:tcPr>
          <w:p>
            <w:pPr>
              <w:jc w:val="right"/>
              <w:ind w:right="752"/>
              <w:spacing w:after="0"/>
              <w:rPr>
                <w:sz w:val="20"/>
                <w:szCs w:val="20"/>
                <w:color w:val="auto"/>
              </w:rPr>
            </w:pPr>
            <w:r>
              <w:rPr>
                <w:rFonts w:ascii="Arial" w:cs="Arial" w:eastAsia="Arial" w:hAnsi="Arial"/>
                <w:sz w:val="22"/>
                <w:szCs w:val="22"/>
                <w:color w:val="auto"/>
              </w:rPr>
              <w:t>21</w:t>
            </w: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468"/>
        </w:trPr>
        <w:tc>
          <w:tcPr>
            <w:tcW w:w="3620" w:type="dxa"/>
            <w:vAlign w:val="bottom"/>
            <w:gridSpan w:val="2"/>
          </w:tcPr>
          <w:p>
            <w:pPr>
              <w:spacing w:after="0"/>
              <w:rPr>
                <w:sz w:val="20"/>
                <w:szCs w:val="20"/>
                <w:color w:val="auto"/>
              </w:rPr>
            </w:pPr>
            <w:r>
              <w:rPr>
                <w:rFonts w:ascii="Arial" w:cs="Arial" w:eastAsia="Arial" w:hAnsi="Arial"/>
                <w:sz w:val="22"/>
                <w:szCs w:val="22"/>
                <w:color w:val="auto"/>
              </w:rPr>
              <w:t>ARTICLE VIII21</w:t>
            </w: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0"/>
        </w:trPr>
        <w:tc>
          <w:tcPr>
            <w:tcW w:w="740" w:type="dxa"/>
            <w:vAlign w:val="bottom"/>
          </w:tcPr>
          <w:p>
            <w:pPr>
              <w:ind w:left="180"/>
              <w:spacing w:after="0"/>
              <w:rPr>
                <w:sz w:val="20"/>
                <w:szCs w:val="20"/>
                <w:color w:val="auto"/>
              </w:rPr>
            </w:pPr>
            <w:r>
              <w:rPr>
                <w:rFonts w:ascii="Arial" w:cs="Arial" w:eastAsia="Arial" w:hAnsi="Arial"/>
                <w:sz w:val="22"/>
                <w:szCs w:val="22"/>
                <w:color w:val="auto"/>
              </w:rPr>
              <w:t>8.1</w:t>
            </w:r>
          </w:p>
        </w:tc>
        <w:tc>
          <w:tcPr>
            <w:tcW w:w="2880" w:type="dxa"/>
            <w:vAlign w:val="bottom"/>
          </w:tcPr>
          <w:p>
            <w:pPr>
              <w:ind w:left="80"/>
              <w:spacing w:after="0"/>
              <w:rPr>
                <w:sz w:val="20"/>
                <w:szCs w:val="20"/>
                <w:color w:val="auto"/>
              </w:rPr>
            </w:pPr>
            <w:r>
              <w:rPr>
                <w:rFonts w:ascii="Arial" w:cs="Arial" w:eastAsia="Arial" w:hAnsi="Arial"/>
                <w:sz w:val="22"/>
                <w:szCs w:val="22"/>
                <w:color w:val="auto"/>
                <w:w w:val="89"/>
              </w:rPr>
              <w:t>Plan Sponsor and Administrator</w:t>
            </w:r>
          </w:p>
        </w:tc>
        <w:tc>
          <w:tcPr>
            <w:tcW w:w="1560" w:type="dxa"/>
            <w:vAlign w:val="bottom"/>
            <w:gridSpan w:val="2"/>
          </w:tcPr>
          <w:p>
            <w:pPr>
              <w:jc w:val="right"/>
              <w:spacing w:after="0"/>
              <w:rPr>
                <w:sz w:val="20"/>
                <w:szCs w:val="20"/>
                <w:color w:val="auto"/>
              </w:rPr>
            </w:pPr>
            <w:r>
              <w:rPr>
                <w:rFonts w:ascii="Arial" w:cs="Arial" w:eastAsia="Arial" w:hAnsi="Arial"/>
                <w:sz w:val="22"/>
                <w:szCs w:val="22"/>
                <w:color w:val="auto"/>
              </w:rPr>
              <w:t>21</w:t>
            </w:r>
          </w:p>
        </w:tc>
        <w:tc>
          <w:tcPr>
            <w:tcW w:w="1040" w:type="dxa"/>
            <w:vAlign w:val="bottom"/>
          </w:tcPr>
          <w:p>
            <w:pPr>
              <w:spacing w:after="0"/>
              <w:rPr>
                <w:sz w:val="23"/>
                <w:szCs w:val="23"/>
                <w:color w:val="auto"/>
              </w:rPr>
            </w:pPr>
          </w:p>
        </w:tc>
      </w:tr>
      <w:tr>
        <w:trPr>
          <w:trHeight w:val="270"/>
        </w:trPr>
        <w:tc>
          <w:tcPr>
            <w:tcW w:w="740" w:type="dxa"/>
            <w:vAlign w:val="bottom"/>
          </w:tcPr>
          <w:p>
            <w:pPr>
              <w:ind w:left="180"/>
              <w:spacing w:after="0"/>
              <w:rPr>
                <w:sz w:val="20"/>
                <w:szCs w:val="20"/>
                <w:color w:val="auto"/>
              </w:rPr>
            </w:pPr>
            <w:r>
              <w:rPr>
                <w:rFonts w:ascii="Arial" w:cs="Arial" w:eastAsia="Arial" w:hAnsi="Arial"/>
                <w:sz w:val="22"/>
                <w:szCs w:val="22"/>
                <w:color w:val="auto"/>
              </w:rPr>
              <w:t>8.2</w:t>
            </w:r>
          </w:p>
        </w:tc>
        <w:tc>
          <w:tcPr>
            <w:tcW w:w="4280" w:type="dxa"/>
            <w:vAlign w:val="bottom"/>
            <w:gridSpan w:val="2"/>
          </w:tcPr>
          <w:p>
            <w:pPr>
              <w:ind w:left="80"/>
              <w:spacing w:after="0"/>
              <w:rPr>
                <w:sz w:val="20"/>
                <w:szCs w:val="20"/>
                <w:color w:val="auto"/>
              </w:rPr>
            </w:pPr>
            <w:r>
              <w:rPr>
                <w:rFonts w:ascii="Arial" w:cs="Arial" w:eastAsia="Arial" w:hAnsi="Arial"/>
                <w:sz w:val="22"/>
                <w:szCs w:val="22"/>
                <w:color w:val="auto"/>
              </w:rPr>
              <w:t>Powers and Authority of the Company</w:t>
            </w:r>
          </w:p>
        </w:tc>
        <w:tc>
          <w:tcPr>
            <w:tcW w:w="160" w:type="dxa"/>
            <w:vAlign w:val="bottom"/>
          </w:tcPr>
          <w:p>
            <w:pPr>
              <w:spacing w:after="0"/>
              <w:rPr>
                <w:sz w:val="23"/>
                <w:szCs w:val="23"/>
                <w:color w:val="auto"/>
              </w:rPr>
            </w:pPr>
          </w:p>
        </w:tc>
        <w:tc>
          <w:tcPr>
            <w:tcW w:w="1040" w:type="dxa"/>
            <w:vAlign w:val="bottom"/>
          </w:tcPr>
          <w:p>
            <w:pPr>
              <w:jc w:val="right"/>
              <w:ind w:right="652"/>
              <w:spacing w:after="0"/>
              <w:rPr>
                <w:sz w:val="20"/>
                <w:szCs w:val="20"/>
                <w:color w:val="auto"/>
              </w:rPr>
            </w:pPr>
            <w:r>
              <w:rPr>
                <w:rFonts w:ascii="Arial" w:cs="Arial" w:eastAsia="Arial" w:hAnsi="Arial"/>
                <w:sz w:val="22"/>
                <w:szCs w:val="22"/>
                <w:color w:val="auto"/>
              </w:rPr>
              <w:t>21</w:t>
            </w:r>
          </w:p>
        </w:tc>
      </w:tr>
      <w:tr>
        <w:trPr>
          <w:trHeight w:val="270"/>
        </w:trPr>
        <w:tc>
          <w:tcPr>
            <w:tcW w:w="740" w:type="dxa"/>
            <w:vAlign w:val="bottom"/>
          </w:tcPr>
          <w:p>
            <w:pPr>
              <w:ind w:left="180"/>
              <w:spacing w:after="0"/>
              <w:rPr>
                <w:sz w:val="20"/>
                <w:szCs w:val="20"/>
                <w:color w:val="auto"/>
              </w:rPr>
            </w:pPr>
            <w:r>
              <w:rPr>
                <w:rFonts w:ascii="Arial" w:cs="Arial" w:eastAsia="Arial" w:hAnsi="Arial"/>
                <w:sz w:val="22"/>
                <w:szCs w:val="22"/>
                <w:color w:val="auto"/>
              </w:rPr>
              <w:t>8.3</w:t>
            </w:r>
          </w:p>
        </w:tc>
        <w:tc>
          <w:tcPr>
            <w:tcW w:w="2880" w:type="dxa"/>
            <w:vAlign w:val="bottom"/>
          </w:tcPr>
          <w:p>
            <w:pPr>
              <w:ind w:left="80"/>
              <w:spacing w:after="0"/>
              <w:rPr>
                <w:sz w:val="20"/>
                <w:szCs w:val="20"/>
                <w:color w:val="auto"/>
              </w:rPr>
            </w:pPr>
            <w:r>
              <w:rPr>
                <w:rFonts w:ascii="Arial" w:cs="Arial" w:eastAsia="Arial" w:hAnsi="Arial"/>
                <w:sz w:val="22"/>
                <w:szCs w:val="22"/>
                <w:color w:val="auto"/>
              </w:rPr>
              <w:t>Administrative Committee</w:t>
            </w:r>
          </w:p>
        </w:tc>
        <w:tc>
          <w:tcPr>
            <w:tcW w:w="1400" w:type="dxa"/>
            <w:vAlign w:val="bottom"/>
          </w:tcPr>
          <w:p>
            <w:pPr>
              <w:jc w:val="right"/>
              <w:ind w:right="132"/>
              <w:spacing w:after="0"/>
              <w:rPr>
                <w:sz w:val="20"/>
                <w:szCs w:val="20"/>
                <w:color w:val="auto"/>
              </w:rPr>
            </w:pPr>
            <w:r>
              <w:rPr>
                <w:rFonts w:ascii="Arial" w:cs="Arial" w:eastAsia="Arial" w:hAnsi="Arial"/>
                <w:sz w:val="22"/>
                <w:szCs w:val="22"/>
                <w:color w:val="auto"/>
              </w:rPr>
              <w:t>21</w:t>
            </w: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740" w:type="dxa"/>
            <w:vAlign w:val="bottom"/>
          </w:tcPr>
          <w:p>
            <w:pPr>
              <w:ind w:left="180"/>
              <w:spacing w:after="0"/>
              <w:rPr>
                <w:sz w:val="20"/>
                <w:szCs w:val="20"/>
                <w:color w:val="auto"/>
              </w:rPr>
            </w:pPr>
            <w:r>
              <w:rPr>
                <w:rFonts w:ascii="Arial" w:cs="Arial" w:eastAsia="Arial" w:hAnsi="Arial"/>
                <w:sz w:val="22"/>
                <w:szCs w:val="22"/>
                <w:color w:val="auto"/>
              </w:rPr>
              <w:t>8.4</w:t>
            </w:r>
          </w:p>
        </w:tc>
        <w:tc>
          <w:tcPr>
            <w:tcW w:w="4280" w:type="dxa"/>
            <w:vAlign w:val="bottom"/>
            <w:gridSpan w:val="2"/>
          </w:tcPr>
          <w:p>
            <w:pPr>
              <w:ind w:left="80"/>
              <w:spacing w:after="0"/>
              <w:rPr>
                <w:sz w:val="20"/>
                <w:szCs w:val="20"/>
                <w:color w:val="auto"/>
              </w:rPr>
            </w:pPr>
            <w:r>
              <w:rPr>
                <w:rFonts w:ascii="Arial" w:cs="Arial" w:eastAsia="Arial" w:hAnsi="Arial"/>
                <w:sz w:val="22"/>
                <w:szCs w:val="22"/>
                <w:color w:val="auto"/>
                <w:w w:val="96"/>
              </w:rPr>
              <w:t>Powers and Authority of Leadership Benefits</w:t>
            </w:r>
          </w:p>
        </w:tc>
        <w:tc>
          <w:tcPr>
            <w:tcW w:w="160" w:type="dxa"/>
            <w:vAlign w:val="bottom"/>
          </w:tcPr>
          <w:p>
            <w:pPr>
              <w:spacing w:after="0"/>
              <w:rPr>
                <w:sz w:val="23"/>
                <w:szCs w:val="23"/>
                <w:color w:val="auto"/>
              </w:rPr>
            </w:pPr>
          </w:p>
        </w:tc>
        <w:tc>
          <w:tcPr>
            <w:tcW w:w="1040" w:type="dxa"/>
            <w:vAlign w:val="bottom"/>
          </w:tcPr>
          <w:p>
            <w:pPr>
              <w:jc w:val="right"/>
              <w:ind w:right="252"/>
              <w:spacing w:after="0"/>
              <w:rPr>
                <w:sz w:val="20"/>
                <w:szCs w:val="20"/>
                <w:color w:val="auto"/>
              </w:rPr>
            </w:pPr>
            <w:r>
              <w:rPr>
                <w:rFonts w:ascii="Arial" w:cs="Arial" w:eastAsia="Arial" w:hAnsi="Arial"/>
                <w:sz w:val="22"/>
                <w:szCs w:val="22"/>
                <w:color w:val="auto"/>
              </w:rPr>
              <w:t>22</w:t>
            </w:r>
          </w:p>
        </w:tc>
      </w:tr>
      <w:tr>
        <w:trPr>
          <w:trHeight w:val="270"/>
        </w:trPr>
        <w:tc>
          <w:tcPr>
            <w:tcW w:w="740" w:type="dxa"/>
            <w:vAlign w:val="bottom"/>
          </w:tcPr>
          <w:p>
            <w:pPr>
              <w:ind w:left="180"/>
              <w:spacing w:after="0"/>
              <w:rPr>
                <w:sz w:val="20"/>
                <w:szCs w:val="20"/>
                <w:color w:val="auto"/>
              </w:rPr>
            </w:pPr>
            <w:r>
              <w:rPr>
                <w:rFonts w:ascii="Arial" w:cs="Arial" w:eastAsia="Arial" w:hAnsi="Arial"/>
                <w:sz w:val="22"/>
                <w:szCs w:val="22"/>
                <w:color w:val="auto"/>
              </w:rPr>
              <w:t>8.5</w:t>
            </w:r>
          </w:p>
        </w:tc>
        <w:tc>
          <w:tcPr>
            <w:tcW w:w="2880" w:type="dxa"/>
            <w:vAlign w:val="bottom"/>
          </w:tcPr>
          <w:p>
            <w:pPr>
              <w:ind w:left="80"/>
              <w:spacing w:after="0"/>
              <w:rPr>
                <w:sz w:val="20"/>
                <w:szCs w:val="20"/>
                <w:color w:val="auto"/>
              </w:rPr>
            </w:pPr>
            <w:r>
              <w:rPr>
                <w:rFonts w:ascii="Arial" w:cs="Arial" w:eastAsia="Arial" w:hAnsi="Arial"/>
                <w:sz w:val="22"/>
                <w:szCs w:val="22"/>
                <w:color w:val="auto"/>
              </w:rPr>
              <w:t>Reliance on Opinions</w:t>
            </w:r>
          </w:p>
        </w:tc>
        <w:tc>
          <w:tcPr>
            <w:tcW w:w="1400" w:type="dxa"/>
            <w:vAlign w:val="bottom"/>
          </w:tcPr>
          <w:p>
            <w:pPr>
              <w:jc w:val="right"/>
              <w:ind w:right="572"/>
              <w:spacing w:after="0"/>
              <w:rPr>
                <w:sz w:val="20"/>
                <w:szCs w:val="20"/>
                <w:color w:val="auto"/>
              </w:rPr>
            </w:pPr>
            <w:r>
              <w:rPr>
                <w:rFonts w:ascii="Arial" w:cs="Arial" w:eastAsia="Arial" w:hAnsi="Arial"/>
                <w:sz w:val="22"/>
                <w:szCs w:val="22"/>
                <w:color w:val="auto"/>
              </w:rPr>
              <w:t>23</w:t>
            </w: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740" w:type="dxa"/>
            <w:vAlign w:val="bottom"/>
          </w:tcPr>
          <w:p>
            <w:pPr>
              <w:ind w:left="180"/>
              <w:spacing w:after="0"/>
              <w:rPr>
                <w:sz w:val="20"/>
                <w:szCs w:val="20"/>
                <w:color w:val="auto"/>
              </w:rPr>
            </w:pPr>
            <w:r>
              <w:rPr>
                <w:rFonts w:ascii="Arial" w:cs="Arial" w:eastAsia="Arial" w:hAnsi="Arial"/>
                <w:sz w:val="22"/>
                <w:szCs w:val="22"/>
                <w:color w:val="auto"/>
              </w:rPr>
              <w:t>8.6</w:t>
            </w:r>
          </w:p>
        </w:tc>
        <w:tc>
          <w:tcPr>
            <w:tcW w:w="2880" w:type="dxa"/>
            <w:vAlign w:val="bottom"/>
          </w:tcPr>
          <w:p>
            <w:pPr>
              <w:ind w:left="80"/>
              <w:spacing w:after="0"/>
              <w:rPr>
                <w:sz w:val="20"/>
                <w:szCs w:val="20"/>
                <w:color w:val="auto"/>
              </w:rPr>
            </w:pPr>
            <w:r>
              <w:rPr>
                <w:rFonts w:ascii="Arial" w:cs="Arial" w:eastAsia="Arial" w:hAnsi="Arial"/>
                <w:sz w:val="22"/>
                <w:szCs w:val="22"/>
                <w:color w:val="auto"/>
              </w:rPr>
              <w:t>Information</w:t>
            </w:r>
          </w:p>
        </w:tc>
        <w:tc>
          <w:tcPr>
            <w:tcW w:w="1400" w:type="dxa"/>
            <w:vAlign w:val="bottom"/>
          </w:tcPr>
          <w:p>
            <w:pPr>
              <w:jc w:val="right"/>
              <w:ind w:right="1052"/>
              <w:spacing w:after="0"/>
              <w:rPr>
                <w:sz w:val="20"/>
                <w:szCs w:val="20"/>
                <w:color w:val="auto"/>
              </w:rPr>
            </w:pPr>
            <w:r>
              <w:rPr>
                <w:rFonts w:ascii="Arial" w:cs="Arial" w:eastAsia="Arial" w:hAnsi="Arial"/>
                <w:sz w:val="22"/>
                <w:szCs w:val="22"/>
                <w:color w:val="auto"/>
                <w:w w:val="89"/>
              </w:rPr>
              <w:t>23</w:t>
            </w: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5"/>
        </w:trPr>
        <w:tc>
          <w:tcPr>
            <w:tcW w:w="740" w:type="dxa"/>
            <w:vAlign w:val="bottom"/>
          </w:tcPr>
          <w:p>
            <w:pPr>
              <w:ind w:left="180"/>
              <w:spacing w:after="0"/>
              <w:rPr>
                <w:sz w:val="20"/>
                <w:szCs w:val="20"/>
                <w:color w:val="auto"/>
              </w:rPr>
            </w:pPr>
            <w:r>
              <w:rPr>
                <w:rFonts w:ascii="Arial" w:cs="Arial" w:eastAsia="Arial" w:hAnsi="Arial"/>
                <w:sz w:val="22"/>
                <w:szCs w:val="22"/>
                <w:color w:val="auto"/>
              </w:rPr>
              <w:t>8.7</w:t>
            </w:r>
          </w:p>
        </w:tc>
        <w:tc>
          <w:tcPr>
            <w:tcW w:w="2880" w:type="dxa"/>
            <w:vAlign w:val="bottom"/>
          </w:tcPr>
          <w:p>
            <w:pPr>
              <w:ind w:left="80"/>
              <w:spacing w:after="0"/>
              <w:rPr>
                <w:sz w:val="20"/>
                <w:szCs w:val="20"/>
                <w:color w:val="auto"/>
              </w:rPr>
            </w:pPr>
            <w:r>
              <w:rPr>
                <w:rFonts w:ascii="Arial" w:cs="Arial" w:eastAsia="Arial" w:hAnsi="Arial"/>
                <w:sz w:val="22"/>
                <w:szCs w:val="22"/>
                <w:color w:val="auto"/>
              </w:rPr>
              <w:t>Indemnification</w:t>
            </w:r>
          </w:p>
        </w:tc>
        <w:tc>
          <w:tcPr>
            <w:tcW w:w="1400" w:type="dxa"/>
            <w:vAlign w:val="bottom"/>
          </w:tcPr>
          <w:p>
            <w:pPr>
              <w:jc w:val="right"/>
              <w:ind w:right="872"/>
              <w:spacing w:after="0"/>
              <w:rPr>
                <w:sz w:val="20"/>
                <w:szCs w:val="20"/>
                <w:color w:val="auto"/>
              </w:rPr>
            </w:pPr>
            <w:r>
              <w:rPr>
                <w:rFonts w:ascii="Arial" w:cs="Arial" w:eastAsia="Arial" w:hAnsi="Arial"/>
                <w:sz w:val="22"/>
                <w:szCs w:val="22"/>
                <w:color w:val="auto"/>
              </w:rPr>
              <w:t>23</w:t>
            </w: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468"/>
        </w:trPr>
        <w:tc>
          <w:tcPr>
            <w:tcW w:w="3620" w:type="dxa"/>
            <w:vAlign w:val="bottom"/>
            <w:gridSpan w:val="2"/>
          </w:tcPr>
          <w:p>
            <w:pPr>
              <w:spacing w:after="0"/>
              <w:rPr>
                <w:sz w:val="20"/>
                <w:szCs w:val="20"/>
                <w:color w:val="auto"/>
              </w:rPr>
            </w:pPr>
            <w:r>
              <w:rPr>
                <w:rFonts w:ascii="Arial" w:cs="Arial" w:eastAsia="Arial" w:hAnsi="Arial"/>
                <w:sz w:val="22"/>
                <w:szCs w:val="22"/>
                <w:color w:val="auto"/>
              </w:rPr>
              <w:t>ARTICLE IX24</w:t>
            </w: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0"/>
        </w:trPr>
        <w:tc>
          <w:tcPr>
            <w:tcW w:w="740" w:type="dxa"/>
            <w:vAlign w:val="bottom"/>
          </w:tcPr>
          <w:p>
            <w:pPr>
              <w:ind w:left="180"/>
              <w:spacing w:after="0"/>
              <w:rPr>
                <w:sz w:val="20"/>
                <w:szCs w:val="20"/>
                <w:color w:val="auto"/>
              </w:rPr>
            </w:pPr>
            <w:r>
              <w:rPr>
                <w:rFonts w:ascii="Arial" w:cs="Arial" w:eastAsia="Arial" w:hAnsi="Arial"/>
                <w:sz w:val="22"/>
                <w:szCs w:val="22"/>
                <w:color w:val="auto"/>
              </w:rPr>
              <w:t>9.1</w:t>
            </w:r>
          </w:p>
        </w:tc>
        <w:tc>
          <w:tcPr>
            <w:tcW w:w="2880" w:type="dxa"/>
            <w:vAlign w:val="bottom"/>
          </w:tcPr>
          <w:p>
            <w:pPr>
              <w:ind w:left="80"/>
              <w:spacing w:after="0"/>
              <w:rPr>
                <w:sz w:val="20"/>
                <w:szCs w:val="20"/>
                <w:color w:val="auto"/>
              </w:rPr>
            </w:pPr>
            <w:r>
              <w:rPr>
                <w:rFonts w:ascii="Arial" w:cs="Arial" w:eastAsia="Arial" w:hAnsi="Arial"/>
                <w:sz w:val="22"/>
                <w:szCs w:val="22"/>
                <w:color w:val="auto"/>
              </w:rPr>
              <w:t>Submission of Claim</w:t>
            </w:r>
          </w:p>
        </w:tc>
        <w:tc>
          <w:tcPr>
            <w:tcW w:w="1400" w:type="dxa"/>
            <w:vAlign w:val="bottom"/>
          </w:tcPr>
          <w:p>
            <w:pPr>
              <w:jc w:val="right"/>
              <w:ind w:right="612"/>
              <w:spacing w:after="0"/>
              <w:rPr>
                <w:sz w:val="20"/>
                <w:szCs w:val="20"/>
                <w:color w:val="auto"/>
              </w:rPr>
            </w:pPr>
            <w:r>
              <w:rPr>
                <w:rFonts w:ascii="Arial" w:cs="Arial" w:eastAsia="Arial" w:hAnsi="Arial"/>
                <w:sz w:val="22"/>
                <w:szCs w:val="22"/>
                <w:color w:val="auto"/>
              </w:rPr>
              <w:t>24</w:t>
            </w: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740" w:type="dxa"/>
            <w:vAlign w:val="bottom"/>
          </w:tcPr>
          <w:p>
            <w:pPr>
              <w:ind w:left="180"/>
              <w:spacing w:after="0"/>
              <w:rPr>
                <w:sz w:val="20"/>
                <w:szCs w:val="20"/>
                <w:color w:val="auto"/>
              </w:rPr>
            </w:pPr>
            <w:r>
              <w:rPr>
                <w:rFonts w:ascii="Arial" w:cs="Arial" w:eastAsia="Arial" w:hAnsi="Arial"/>
                <w:sz w:val="22"/>
                <w:szCs w:val="22"/>
                <w:color w:val="auto"/>
              </w:rPr>
              <w:t>9.2</w:t>
            </w:r>
          </w:p>
        </w:tc>
        <w:tc>
          <w:tcPr>
            <w:tcW w:w="2880" w:type="dxa"/>
            <w:vAlign w:val="bottom"/>
          </w:tcPr>
          <w:p>
            <w:pPr>
              <w:ind w:left="80"/>
              <w:spacing w:after="0"/>
              <w:rPr>
                <w:sz w:val="20"/>
                <w:szCs w:val="20"/>
                <w:color w:val="auto"/>
              </w:rPr>
            </w:pPr>
            <w:r>
              <w:rPr>
                <w:rFonts w:ascii="Arial" w:cs="Arial" w:eastAsia="Arial" w:hAnsi="Arial"/>
                <w:sz w:val="22"/>
                <w:szCs w:val="22"/>
                <w:color w:val="auto"/>
              </w:rPr>
              <w:t>Denial of Claim</w:t>
            </w:r>
          </w:p>
        </w:tc>
        <w:tc>
          <w:tcPr>
            <w:tcW w:w="1400" w:type="dxa"/>
            <w:vAlign w:val="bottom"/>
          </w:tcPr>
          <w:p>
            <w:pPr>
              <w:jc w:val="right"/>
              <w:ind w:right="872"/>
              <w:spacing w:after="0"/>
              <w:rPr>
                <w:sz w:val="20"/>
                <w:szCs w:val="20"/>
                <w:color w:val="auto"/>
              </w:rPr>
            </w:pPr>
            <w:r>
              <w:rPr>
                <w:rFonts w:ascii="Arial" w:cs="Arial" w:eastAsia="Arial" w:hAnsi="Arial"/>
                <w:sz w:val="22"/>
                <w:szCs w:val="22"/>
                <w:color w:val="auto"/>
              </w:rPr>
              <w:t>24</w:t>
            </w: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740" w:type="dxa"/>
            <w:vAlign w:val="bottom"/>
          </w:tcPr>
          <w:p>
            <w:pPr>
              <w:ind w:left="180"/>
              <w:spacing w:after="0"/>
              <w:rPr>
                <w:sz w:val="20"/>
                <w:szCs w:val="20"/>
                <w:color w:val="auto"/>
              </w:rPr>
            </w:pPr>
            <w:r>
              <w:rPr>
                <w:rFonts w:ascii="Arial" w:cs="Arial" w:eastAsia="Arial" w:hAnsi="Arial"/>
                <w:sz w:val="22"/>
                <w:szCs w:val="22"/>
                <w:color w:val="auto"/>
              </w:rPr>
              <w:t>9.3</w:t>
            </w:r>
          </w:p>
        </w:tc>
        <w:tc>
          <w:tcPr>
            <w:tcW w:w="2880" w:type="dxa"/>
            <w:vAlign w:val="bottom"/>
          </w:tcPr>
          <w:p>
            <w:pPr>
              <w:ind w:left="80"/>
              <w:spacing w:after="0"/>
              <w:rPr>
                <w:sz w:val="20"/>
                <w:szCs w:val="20"/>
                <w:color w:val="auto"/>
              </w:rPr>
            </w:pPr>
            <w:r>
              <w:rPr>
                <w:rFonts w:ascii="Arial" w:cs="Arial" w:eastAsia="Arial" w:hAnsi="Arial"/>
                <w:sz w:val="22"/>
                <w:szCs w:val="22"/>
                <w:color w:val="auto"/>
              </w:rPr>
              <w:t>Review of Denied Claim</w:t>
            </w:r>
          </w:p>
        </w:tc>
        <w:tc>
          <w:tcPr>
            <w:tcW w:w="1400" w:type="dxa"/>
            <w:vAlign w:val="bottom"/>
          </w:tcPr>
          <w:p>
            <w:pPr>
              <w:jc w:val="right"/>
              <w:ind w:right="292"/>
              <w:spacing w:after="0"/>
              <w:rPr>
                <w:sz w:val="20"/>
                <w:szCs w:val="20"/>
                <w:color w:val="auto"/>
              </w:rPr>
            </w:pPr>
            <w:r>
              <w:rPr>
                <w:rFonts w:ascii="Arial" w:cs="Arial" w:eastAsia="Arial" w:hAnsi="Arial"/>
                <w:sz w:val="22"/>
                <w:szCs w:val="22"/>
                <w:color w:val="auto"/>
              </w:rPr>
              <w:t>24</w:t>
            </w: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5"/>
        </w:trPr>
        <w:tc>
          <w:tcPr>
            <w:tcW w:w="740" w:type="dxa"/>
            <w:vAlign w:val="bottom"/>
          </w:tcPr>
          <w:p>
            <w:pPr>
              <w:ind w:left="180"/>
              <w:spacing w:after="0"/>
              <w:rPr>
                <w:sz w:val="20"/>
                <w:szCs w:val="20"/>
                <w:color w:val="auto"/>
              </w:rPr>
            </w:pPr>
            <w:r>
              <w:rPr>
                <w:rFonts w:ascii="Arial" w:cs="Arial" w:eastAsia="Arial" w:hAnsi="Arial"/>
                <w:sz w:val="22"/>
                <w:szCs w:val="22"/>
                <w:color w:val="auto"/>
              </w:rPr>
              <w:t>9.4</w:t>
            </w:r>
          </w:p>
        </w:tc>
        <w:tc>
          <w:tcPr>
            <w:tcW w:w="4280" w:type="dxa"/>
            <w:vAlign w:val="bottom"/>
            <w:gridSpan w:val="2"/>
          </w:tcPr>
          <w:p>
            <w:pPr>
              <w:ind w:left="80"/>
              <w:spacing w:after="0"/>
              <w:rPr>
                <w:sz w:val="20"/>
                <w:szCs w:val="20"/>
                <w:color w:val="auto"/>
              </w:rPr>
            </w:pPr>
            <w:r>
              <w:rPr>
                <w:rFonts w:ascii="Arial" w:cs="Arial" w:eastAsia="Arial" w:hAnsi="Arial"/>
                <w:sz w:val="22"/>
                <w:szCs w:val="22"/>
                <w:color w:val="auto"/>
              </w:rPr>
              <w:t>Decision upon Review of Denied Claim</w:t>
            </w:r>
          </w:p>
        </w:tc>
        <w:tc>
          <w:tcPr>
            <w:tcW w:w="160" w:type="dxa"/>
            <w:vAlign w:val="bottom"/>
          </w:tcPr>
          <w:p>
            <w:pPr>
              <w:spacing w:after="0"/>
              <w:rPr>
                <w:sz w:val="23"/>
                <w:szCs w:val="23"/>
                <w:color w:val="auto"/>
              </w:rPr>
            </w:pPr>
          </w:p>
        </w:tc>
        <w:tc>
          <w:tcPr>
            <w:tcW w:w="1040" w:type="dxa"/>
            <w:vAlign w:val="bottom"/>
          </w:tcPr>
          <w:p>
            <w:pPr>
              <w:jc w:val="right"/>
              <w:ind w:right="532"/>
              <w:spacing w:after="0"/>
              <w:rPr>
                <w:sz w:val="20"/>
                <w:szCs w:val="20"/>
                <w:color w:val="auto"/>
              </w:rPr>
            </w:pPr>
            <w:r>
              <w:rPr>
                <w:rFonts w:ascii="Arial" w:cs="Arial" w:eastAsia="Arial" w:hAnsi="Arial"/>
                <w:sz w:val="22"/>
                <w:szCs w:val="22"/>
                <w:color w:val="auto"/>
              </w:rPr>
              <w:t>24</w:t>
            </w:r>
          </w:p>
        </w:tc>
      </w:tr>
      <w:tr>
        <w:trPr>
          <w:trHeight w:val="486"/>
        </w:trPr>
        <w:tc>
          <w:tcPr>
            <w:tcW w:w="3620" w:type="dxa"/>
            <w:vAlign w:val="bottom"/>
            <w:gridSpan w:val="2"/>
          </w:tcPr>
          <w:p>
            <w:pPr>
              <w:spacing w:after="0"/>
              <w:rPr>
                <w:sz w:val="20"/>
                <w:szCs w:val="20"/>
                <w:color w:val="auto"/>
              </w:rPr>
            </w:pPr>
            <w:r>
              <w:rPr>
                <w:rFonts w:ascii="Arial" w:cs="Arial" w:eastAsia="Arial" w:hAnsi="Arial"/>
                <w:sz w:val="22"/>
                <w:szCs w:val="22"/>
                <w:color w:val="auto"/>
              </w:rPr>
              <w:t>ARTICLE X24</w:t>
            </w: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55"/>
        </w:trPr>
        <w:tc>
          <w:tcPr>
            <w:tcW w:w="3620" w:type="dxa"/>
            <w:vAlign w:val="bottom"/>
            <w:gridSpan w:val="2"/>
          </w:tcPr>
          <w:p>
            <w:pPr>
              <w:spacing w:after="0"/>
              <w:rPr>
                <w:sz w:val="20"/>
                <w:szCs w:val="20"/>
                <w:color w:val="auto"/>
              </w:rPr>
            </w:pPr>
            <w:r>
              <w:rPr>
                <w:rFonts w:ascii="Arial" w:cs="Arial" w:eastAsia="Arial" w:hAnsi="Arial"/>
                <w:sz w:val="22"/>
                <w:szCs w:val="22"/>
                <w:color w:val="auto"/>
              </w:rPr>
              <w:t>ARTICLE XI25</w:t>
            </w: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0"/>
        </w:trPr>
        <w:tc>
          <w:tcPr>
            <w:tcW w:w="740" w:type="dxa"/>
            <w:vAlign w:val="bottom"/>
          </w:tcPr>
          <w:p>
            <w:pPr>
              <w:ind w:left="180"/>
              <w:spacing w:after="0"/>
              <w:rPr>
                <w:sz w:val="20"/>
                <w:szCs w:val="20"/>
                <w:color w:val="auto"/>
              </w:rPr>
            </w:pPr>
            <w:r>
              <w:rPr>
                <w:rFonts w:ascii="Arial" w:cs="Arial" w:eastAsia="Arial" w:hAnsi="Arial"/>
                <w:sz w:val="22"/>
                <w:szCs w:val="22"/>
                <w:color w:val="auto"/>
              </w:rPr>
              <w:t>11.1</w:t>
            </w:r>
          </w:p>
        </w:tc>
        <w:tc>
          <w:tcPr>
            <w:tcW w:w="2880" w:type="dxa"/>
            <w:vAlign w:val="bottom"/>
          </w:tcPr>
          <w:p>
            <w:pPr>
              <w:ind w:left="80"/>
              <w:spacing w:after="0"/>
              <w:rPr>
                <w:sz w:val="20"/>
                <w:szCs w:val="20"/>
                <w:color w:val="auto"/>
              </w:rPr>
            </w:pPr>
            <w:r>
              <w:rPr>
                <w:rFonts w:ascii="Arial" w:cs="Arial" w:eastAsia="Arial" w:hAnsi="Arial"/>
                <w:sz w:val="22"/>
                <w:szCs w:val="22"/>
                <w:color w:val="auto"/>
              </w:rPr>
              <w:t>No Employment Contract</w:t>
            </w:r>
          </w:p>
        </w:tc>
        <w:tc>
          <w:tcPr>
            <w:tcW w:w="1400" w:type="dxa"/>
            <w:vAlign w:val="bottom"/>
          </w:tcPr>
          <w:p>
            <w:pPr>
              <w:jc w:val="right"/>
              <w:ind w:right="212"/>
              <w:spacing w:after="0"/>
              <w:rPr>
                <w:sz w:val="20"/>
                <w:szCs w:val="20"/>
                <w:color w:val="auto"/>
              </w:rPr>
            </w:pPr>
            <w:r>
              <w:rPr>
                <w:rFonts w:ascii="Arial" w:cs="Arial" w:eastAsia="Arial" w:hAnsi="Arial"/>
                <w:sz w:val="22"/>
                <w:szCs w:val="22"/>
                <w:color w:val="auto"/>
              </w:rPr>
              <w:t>25</w:t>
            </w: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740" w:type="dxa"/>
            <w:vAlign w:val="bottom"/>
          </w:tcPr>
          <w:p>
            <w:pPr>
              <w:ind w:left="180"/>
              <w:spacing w:after="0"/>
              <w:rPr>
                <w:sz w:val="20"/>
                <w:szCs w:val="20"/>
                <w:color w:val="auto"/>
              </w:rPr>
            </w:pPr>
            <w:r>
              <w:rPr>
                <w:rFonts w:ascii="Arial" w:cs="Arial" w:eastAsia="Arial" w:hAnsi="Arial"/>
                <w:sz w:val="22"/>
                <w:szCs w:val="22"/>
                <w:color w:val="auto"/>
              </w:rPr>
              <w:t>11.2</w:t>
            </w:r>
          </w:p>
        </w:tc>
        <w:tc>
          <w:tcPr>
            <w:tcW w:w="2880" w:type="dxa"/>
            <w:vAlign w:val="bottom"/>
          </w:tcPr>
          <w:p>
            <w:pPr>
              <w:ind w:left="80"/>
              <w:spacing w:after="0"/>
              <w:rPr>
                <w:sz w:val="20"/>
                <w:szCs w:val="20"/>
                <w:color w:val="auto"/>
              </w:rPr>
            </w:pPr>
            <w:r>
              <w:rPr>
                <w:rFonts w:ascii="Arial" w:cs="Arial" w:eastAsia="Arial" w:hAnsi="Arial"/>
                <w:sz w:val="22"/>
                <w:szCs w:val="22"/>
                <w:color w:val="auto"/>
              </w:rPr>
              <w:t>Employee Cooperation</w:t>
            </w:r>
          </w:p>
        </w:tc>
        <w:tc>
          <w:tcPr>
            <w:tcW w:w="1400" w:type="dxa"/>
            <w:vAlign w:val="bottom"/>
          </w:tcPr>
          <w:p>
            <w:pPr>
              <w:jc w:val="right"/>
              <w:ind w:right="432"/>
              <w:spacing w:after="0"/>
              <w:rPr>
                <w:sz w:val="20"/>
                <w:szCs w:val="20"/>
                <w:color w:val="auto"/>
              </w:rPr>
            </w:pPr>
            <w:r>
              <w:rPr>
                <w:rFonts w:ascii="Arial" w:cs="Arial" w:eastAsia="Arial" w:hAnsi="Arial"/>
                <w:sz w:val="22"/>
                <w:szCs w:val="22"/>
                <w:color w:val="auto"/>
              </w:rPr>
              <w:t>25</w:t>
            </w: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740" w:type="dxa"/>
            <w:vAlign w:val="bottom"/>
          </w:tcPr>
          <w:p>
            <w:pPr>
              <w:ind w:left="180"/>
              <w:spacing w:after="0"/>
              <w:rPr>
                <w:sz w:val="20"/>
                <w:szCs w:val="20"/>
                <w:color w:val="auto"/>
              </w:rPr>
            </w:pPr>
            <w:r>
              <w:rPr>
                <w:rFonts w:ascii="Arial" w:cs="Arial" w:eastAsia="Arial" w:hAnsi="Arial"/>
                <w:sz w:val="22"/>
                <w:szCs w:val="22"/>
                <w:color w:val="auto"/>
              </w:rPr>
              <w:t>11.3</w:t>
            </w:r>
          </w:p>
        </w:tc>
        <w:tc>
          <w:tcPr>
            <w:tcW w:w="2880" w:type="dxa"/>
            <w:vAlign w:val="bottom"/>
          </w:tcPr>
          <w:p>
            <w:pPr>
              <w:ind w:left="80"/>
              <w:spacing w:after="0"/>
              <w:rPr>
                <w:sz w:val="20"/>
                <w:szCs w:val="20"/>
                <w:color w:val="auto"/>
              </w:rPr>
            </w:pPr>
            <w:r>
              <w:rPr>
                <w:rFonts w:ascii="Arial" w:cs="Arial" w:eastAsia="Arial" w:hAnsi="Arial"/>
                <w:sz w:val="22"/>
                <w:szCs w:val="22"/>
                <w:color w:val="auto"/>
              </w:rPr>
              <w:t>Illegality and Invalidity</w:t>
            </w:r>
          </w:p>
        </w:tc>
        <w:tc>
          <w:tcPr>
            <w:tcW w:w="1400" w:type="dxa"/>
            <w:vAlign w:val="bottom"/>
          </w:tcPr>
          <w:p>
            <w:pPr>
              <w:jc w:val="right"/>
              <w:ind w:right="392"/>
              <w:spacing w:after="0"/>
              <w:rPr>
                <w:sz w:val="20"/>
                <w:szCs w:val="20"/>
                <w:color w:val="auto"/>
              </w:rPr>
            </w:pPr>
            <w:r>
              <w:rPr>
                <w:rFonts w:ascii="Arial" w:cs="Arial" w:eastAsia="Arial" w:hAnsi="Arial"/>
                <w:sz w:val="22"/>
                <w:szCs w:val="22"/>
                <w:color w:val="auto"/>
              </w:rPr>
              <w:t>25</w:t>
            </w: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740" w:type="dxa"/>
            <w:vAlign w:val="bottom"/>
          </w:tcPr>
          <w:p>
            <w:pPr>
              <w:ind w:left="180"/>
              <w:spacing w:after="0"/>
              <w:rPr>
                <w:sz w:val="20"/>
                <w:szCs w:val="20"/>
                <w:color w:val="auto"/>
              </w:rPr>
            </w:pPr>
            <w:r>
              <w:rPr>
                <w:rFonts w:ascii="Arial" w:cs="Arial" w:eastAsia="Arial" w:hAnsi="Arial"/>
                <w:sz w:val="22"/>
                <w:szCs w:val="22"/>
                <w:color w:val="auto"/>
              </w:rPr>
              <w:t>11.4</w:t>
            </w:r>
          </w:p>
        </w:tc>
        <w:tc>
          <w:tcPr>
            <w:tcW w:w="2880" w:type="dxa"/>
            <w:vAlign w:val="bottom"/>
          </w:tcPr>
          <w:p>
            <w:pPr>
              <w:ind w:left="80"/>
              <w:spacing w:after="0"/>
              <w:rPr>
                <w:sz w:val="20"/>
                <w:szCs w:val="20"/>
                <w:color w:val="auto"/>
              </w:rPr>
            </w:pPr>
            <w:r>
              <w:rPr>
                <w:rFonts w:ascii="Arial" w:cs="Arial" w:eastAsia="Arial" w:hAnsi="Arial"/>
                <w:sz w:val="22"/>
                <w:szCs w:val="22"/>
                <w:color w:val="auto"/>
              </w:rPr>
              <w:t>Required Notice</w:t>
            </w:r>
          </w:p>
        </w:tc>
        <w:tc>
          <w:tcPr>
            <w:tcW w:w="1400" w:type="dxa"/>
            <w:vAlign w:val="bottom"/>
          </w:tcPr>
          <w:p>
            <w:pPr>
              <w:jc w:val="right"/>
              <w:ind w:right="832"/>
              <w:spacing w:after="0"/>
              <w:rPr>
                <w:sz w:val="20"/>
                <w:szCs w:val="20"/>
                <w:color w:val="auto"/>
              </w:rPr>
            </w:pPr>
            <w:r>
              <w:rPr>
                <w:rFonts w:ascii="Arial" w:cs="Arial" w:eastAsia="Arial" w:hAnsi="Arial"/>
                <w:sz w:val="22"/>
                <w:szCs w:val="22"/>
                <w:color w:val="auto"/>
              </w:rPr>
              <w:t>25</w:t>
            </w: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740" w:type="dxa"/>
            <w:vAlign w:val="bottom"/>
          </w:tcPr>
          <w:p>
            <w:pPr>
              <w:ind w:left="180"/>
              <w:spacing w:after="0"/>
              <w:rPr>
                <w:sz w:val="20"/>
                <w:szCs w:val="20"/>
                <w:color w:val="auto"/>
              </w:rPr>
            </w:pPr>
            <w:r>
              <w:rPr>
                <w:rFonts w:ascii="Arial" w:cs="Arial" w:eastAsia="Arial" w:hAnsi="Arial"/>
                <w:sz w:val="22"/>
                <w:szCs w:val="22"/>
                <w:color w:val="auto"/>
              </w:rPr>
              <w:t>11.5</w:t>
            </w:r>
          </w:p>
        </w:tc>
        <w:tc>
          <w:tcPr>
            <w:tcW w:w="2880" w:type="dxa"/>
            <w:vAlign w:val="bottom"/>
          </w:tcPr>
          <w:p>
            <w:pPr>
              <w:ind w:left="80"/>
              <w:spacing w:after="0"/>
              <w:rPr>
                <w:sz w:val="20"/>
                <w:szCs w:val="20"/>
                <w:color w:val="auto"/>
              </w:rPr>
            </w:pPr>
            <w:r>
              <w:rPr>
                <w:rFonts w:ascii="Arial" w:cs="Arial" w:eastAsia="Arial" w:hAnsi="Arial"/>
                <w:sz w:val="22"/>
                <w:szCs w:val="22"/>
                <w:color w:val="auto"/>
                <w:w w:val="91"/>
              </w:rPr>
              <w:t>Interest of Participant’s Spouse</w:t>
            </w:r>
          </w:p>
        </w:tc>
        <w:tc>
          <w:tcPr>
            <w:tcW w:w="1400" w:type="dxa"/>
            <w:vAlign w:val="bottom"/>
          </w:tcPr>
          <w:p>
            <w:pPr>
              <w:jc w:val="right"/>
              <w:spacing w:after="0"/>
              <w:rPr>
                <w:sz w:val="20"/>
                <w:szCs w:val="20"/>
                <w:color w:val="auto"/>
              </w:rPr>
            </w:pPr>
            <w:r>
              <w:rPr>
                <w:rFonts w:ascii="Arial" w:cs="Arial" w:eastAsia="Arial" w:hAnsi="Arial"/>
                <w:sz w:val="22"/>
                <w:szCs w:val="22"/>
                <w:color w:val="auto"/>
              </w:rPr>
              <w:t>25</w:t>
            </w: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740" w:type="dxa"/>
            <w:vAlign w:val="bottom"/>
          </w:tcPr>
          <w:p>
            <w:pPr>
              <w:ind w:left="180"/>
              <w:spacing w:after="0"/>
              <w:rPr>
                <w:sz w:val="20"/>
                <w:szCs w:val="20"/>
                <w:color w:val="auto"/>
              </w:rPr>
            </w:pPr>
            <w:r>
              <w:rPr>
                <w:rFonts w:ascii="Arial" w:cs="Arial" w:eastAsia="Arial" w:hAnsi="Arial"/>
                <w:sz w:val="22"/>
                <w:szCs w:val="22"/>
                <w:color w:val="auto"/>
              </w:rPr>
              <w:t>11.6</w:t>
            </w:r>
          </w:p>
        </w:tc>
        <w:tc>
          <w:tcPr>
            <w:tcW w:w="2880" w:type="dxa"/>
            <w:vAlign w:val="bottom"/>
          </w:tcPr>
          <w:p>
            <w:pPr>
              <w:ind w:left="80"/>
              <w:spacing w:after="0"/>
              <w:rPr>
                <w:sz w:val="20"/>
                <w:szCs w:val="20"/>
                <w:color w:val="auto"/>
              </w:rPr>
            </w:pPr>
            <w:r>
              <w:rPr>
                <w:rFonts w:ascii="Arial" w:cs="Arial" w:eastAsia="Arial" w:hAnsi="Arial"/>
                <w:sz w:val="22"/>
                <w:szCs w:val="22"/>
                <w:color w:val="auto"/>
              </w:rPr>
              <w:t>Tax Liabilities from Plan</w:t>
            </w:r>
          </w:p>
        </w:tc>
        <w:tc>
          <w:tcPr>
            <w:tcW w:w="1400" w:type="dxa"/>
            <w:vAlign w:val="bottom"/>
          </w:tcPr>
          <w:p>
            <w:pPr>
              <w:jc w:val="right"/>
              <w:ind w:right="272"/>
              <w:spacing w:after="0"/>
              <w:rPr>
                <w:sz w:val="20"/>
                <w:szCs w:val="20"/>
                <w:color w:val="auto"/>
              </w:rPr>
            </w:pPr>
            <w:r>
              <w:rPr>
                <w:rFonts w:ascii="Arial" w:cs="Arial" w:eastAsia="Arial" w:hAnsi="Arial"/>
                <w:sz w:val="22"/>
                <w:szCs w:val="22"/>
                <w:color w:val="auto"/>
              </w:rPr>
              <w:t>25</w:t>
            </w: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740" w:type="dxa"/>
            <w:vAlign w:val="bottom"/>
          </w:tcPr>
          <w:p>
            <w:pPr>
              <w:ind w:left="180"/>
              <w:spacing w:after="0"/>
              <w:rPr>
                <w:sz w:val="20"/>
                <w:szCs w:val="20"/>
                <w:color w:val="auto"/>
              </w:rPr>
            </w:pPr>
            <w:r>
              <w:rPr>
                <w:rFonts w:ascii="Arial" w:cs="Arial" w:eastAsia="Arial" w:hAnsi="Arial"/>
                <w:sz w:val="22"/>
                <w:szCs w:val="22"/>
                <w:color w:val="auto"/>
              </w:rPr>
              <w:t>11.7</w:t>
            </w:r>
          </w:p>
        </w:tc>
        <w:tc>
          <w:tcPr>
            <w:tcW w:w="2880" w:type="dxa"/>
            <w:vAlign w:val="bottom"/>
          </w:tcPr>
          <w:p>
            <w:pPr>
              <w:ind w:left="80"/>
              <w:spacing w:after="0"/>
              <w:rPr>
                <w:sz w:val="20"/>
                <w:szCs w:val="20"/>
                <w:color w:val="auto"/>
              </w:rPr>
            </w:pPr>
            <w:r>
              <w:rPr>
                <w:rFonts w:ascii="Arial" w:cs="Arial" w:eastAsia="Arial" w:hAnsi="Arial"/>
                <w:sz w:val="22"/>
                <w:szCs w:val="22"/>
                <w:color w:val="auto"/>
              </w:rPr>
              <w:t>Benefits Nonexclusive</w:t>
            </w:r>
          </w:p>
        </w:tc>
        <w:tc>
          <w:tcPr>
            <w:tcW w:w="1400" w:type="dxa"/>
            <w:vAlign w:val="bottom"/>
          </w:tcPr>
          <w:p>
            <w:pPr>
              <w:jc w:val="right"/>
              <w:ind w:right="472"/>
              <w:spacing w:after="0"/>
              <w:rPr>
                <w:sz w:val="20"/>
                <w:szCs w:val="20"/>
                <w:color w:val="auto"/>
              </w:rPr>
            </w:pPr>
            <w:r>
              <w:rPr>
                <w:rFonts w:ascii="Arial" w:cs="Arial" w:eastAsia="Arial" w:hAnsi="Arial"/>
                <w:sz w:val="22"/>
                <w:szCs w:val="22"/>
                <w:color w:val="auto"/>
              </w:rPr>
              <w:t>26</w:t>
            </w: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740" w:type="dxa"/>
            <w:vAlign w:val="bottom"/>
          </w:tcPr>
          <w:p>
            <w:pPr>
              <w:ind w:left="180"/>
              <w:spacing w:after="0"/>
              <w:rPr>
                <w:sz w:val="20"/>
                <w:szCs w:val="20"/>
                <w:color w:val="auto"/>
              </w:rPr>
            </w:pPr>
            <w:r>
              <w:rPr>
                <w:rFonts w:ascii="Arial" w:cs="Arial" w:eastAsia="Arial" w:hAnsi="Arial"/>
                <w:sz w:val="22"/>
                <w:szCs w:val="22"/>
                <w:color w:val="auto"/>
              </w:rPr>
              <w:t>11.8</w:t>
            </w:r>
          </w:p>
        </w:tc>
        <w:tc>
          <w:tcPr>
            <w:tcW w:w="4280" w:type="dxa"/>
            <w:vAlign w:val="bottom"/>
            <w:gridSpan w:val="2"/>
          </w:tcPr>
          <w:p>
            <w:pPr>
              <w:ind w:left="80"/>
              <w:spacing w:after="0"/>
              <w:rPr>
                <w:sz w:val="20"/>
                <w:szCs w:val="20"/>
                <w:color w:val="auto"/>
              </w:rPr>
            </w:pPr>
            <w:r>
              <w:rPr>
                <w:rFonts w:ascii="Arial" w:cs="Arial" w:eastAsia="Arial" w:hAnsi="Arial"/>
                <w:sz w:val="22"/>
                <w:szCs w:val="22"/>
                <w:color w:val="auto"/>
              </w:rPr>
              <w:t>Discharge of Company Obligation</w:t>
            </w:r>
          </w:p>
        </w:tc>
        <w:tc>
          <w:tcPr>
            <w:tcW w:w="1200" w:type="dxa"/>
            <w:vAlign w:val="bottom"/>
            <w:gridSpan w:val="2"/>
          </w:tcPr>
          <w:p>
            <w:pPr>
              <w:jc w:val="right"/>
              <w:ind w:right="832"/>
              <w:spacing w:after="0"/>
              <w:rPr>
                <w:sz w:val="20"/>
                <w:szCs w:val="20"/>
                <w:color w:val="auto"/>
              </w:rPr>
            </w:pPr>
            <w:r>
              <w:rPr>
                <w:rFonts w:ascii="Arial" w:cs="Arial" w:eastAsia="Arial" w:hAnsi="Arial"/>
                <w:sz w:val="22"/>
                <w:szCs w:val="22"/>
                <w:color w:val="auto"/>
                <w:w w:val="97"/>
              </w:rPr>
              <w:t>26</w:t>
            </w:r>
          </w:p>
        </w:tc>
      </w:tr>
      <w:tr>
        <w:trPr>
          <w:trHeight w:val="270"/>
        </w:trPr>
        <w:tc>
          <w:tcPr>
            <w:tcW w:w="740" w:type="dxa"/>
            <w:vAlign w:val="bottom"/>
          </w:tcPr>
          <w:p>
            <w:pPr>
              <w:ind w:left="180"/>
              <w:spacing w:after="0"/>
              <w:rPr>
                <w:sz w:val="20"/>
                <w:szCs w:val="20"/>
                <w:color w:val="auto"/>
              </w:rPr>
            </w:pPr>
            <w:r>
              <w:rPr>
                <w:rFonts w:ascii="Arial" w:cs="Arial" w:eastAsia="Arial" w:hAnsi="Arial"/>
                <w:sz w:val="22"/>
                <w:szCs w:val="22"/>
                <w:color w:val="auto"/>
              </w:rPr>
              <w:t>11.9</w:t>
            </w:r>
          </w:p>
        </w:tc>
        <w:tc>
          <w:tcPr>
            <w:tcW w:w="2880" w:type="dxa"/>
            <w:vAlign w:val="bottom"/>
          </w:tcPr>
          <w:p>
            <w:pPr>
              <w:ind w:left="80"/>
              <w:spacing w:after="0"/>
              <w:rPr>
                <w:sz w:val="20"/>
                <w:szCs w:val="20"/>
                <w:color w:val="auto"/>
              </w:rPr>
            </w:pPr>
            <w:r>
              <w:rPr>
                <w:rFonts w:ascii="Arial" w:cs="Arial" w:eastAsia="Arial" w:hAnsi="Arial"/>
                <w:sz w:val="22"/>
                <w:szCs w:val="22"/>
                <w:color w:val="auto"/>
              </w:rPr>
              <w:t>Costs of Enforcement</w:t>
            </w:r>
          </w:p>
        </w:tc>
        <w:tc>
          <w:tcPr>
            <w:tcW w:w="1400" w:type="dxa"/>
            <w:vAlign w:val="bottom"/>
          </w:tcPr>
          <w:p>
            <w:pPr>
              <w:jc w:val="right"/>
              <w:ind w:right="552"/>
              <w:spacing w:after="0"/>
              <w:rPr>
                <w:sz w:val="20"/>
                <w:szCs w:val="20"/>
                <w:color w:val="auto"/>
              </w:rPr>
            </w:pPr>
            <w:r>
              <w:rPr>
                <w:rFonts w:ascii="Arial" w:cs="Arial" w:eastAsia="Arial" w:hAnsi="Arial"/>
                <w:sz w:val="22"/>
                <w:szCs w:val="22"/>
                <w:color w:val="auto"/>
              </w:rPr>
              <w:t>26</w:t>
            </w: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740" w:type="dxa"/>
            <w:vAlign w:val="bottom"/>
          </w:tcPr>
          <w:p>
            <w:pPr>
              <w:ind w:left="180"/>
              <w:spacing w:after="0"/>
              <w:rPr>
                <w:sz w:val="20"/>
                <w:szCs w:val="20"/>
                <w:color w:val="auto"/>
              </w:rPr>
            </w:pPr>
            <w:r>
              <w:rPr>
                <w:rFonts w:ascii="Arial" w:cs="Arial" w:eastAsia="Arial" w:hAnsi="Arial"/>
                <w:sz w:val="22"/>
                <w:szCs w:val="22"/>
                <w:color w:val="auto"/>
                <w:w w:val="98"/>
              </w:rPr>
              <w:t>11.10</w:t>
            </w:r>
          </w:p>
        </w:tc>
        <w:tc>
          <w:tcPr>
            <w:tcW w:w="2880" w:type="dxa"/>
            <w:vAlign w:val="bottom"/>
          </w:tcPr>
          <w:p>
            <w:pPr>
              <w:ind w:left="80"/>
              <w:spacing w:after="0"/>
              <w:rPr>
                <w:sz w:val="20"/>
                <w:szCs w:val="20"/>
                <w:color w:val="auto"/>
              </w:rPr>
            </w:pPr>
            <w:r>
              <w:rPr>
                <w:rFonts w:ascii="Arial" w:cs="Arial" w:eastAsia="Arial" w:hAnsi="Arial"/>
                <w:sz w:val="22"/>
                <w:szCs w:val="22"/>
                <w:color w:val="auto"/>
              </w:rPr>
              <w:t>Gender and Case</w:t>
            </w:r>
          </w:p>
        </w:tc>
        <w:tc>
          <w:tcPr>
            <w:tcW w:w="1400" w:type="dxa"/>
            <w:vAlign w:val="bottom"/>
          </w:tcPr>
          <w:p>
            <w:pPr>
              <w:jc w:val="right"/>
              <w:ind w:right="772"/>
              <w:spacing w:after="0"/>
              <w:rPr>
                <w:sz w:val="20"/>
                <w:szCs w:val="20"/>
                <w:color w:val="auto"/>
              </w:rPr>
            </w:pPr>
            <w:r>
              <w:rPr>
                <w:rFonts w:ascii="Arial" w:cs="Arial" w:eastAsia="Arial" w:hAnsi="Arial"/>
                <w:sz w:val="22"/>
                <w:szCs w:val="22"/>
                <w:color w:val="auto"/>
              </w:rPr>
              <w:t>26</w:t>
            </w: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5"/>
        </w:trPr>
        <w:tc>
          <w:tcPr>
            <w:tcW w:w="740" w:type="dxa"/>
            <w:vAlign w:val="bottom"/>
          </w:tcPr>
          <w:p>
            <w:pPr>
              <w:ind w:left="180"/>
              <w:spacing w:after="0"/>
              <w:rPr>
                <w:sz w:val="20"/>
                <w:szCs w:val="20"/>
                <w:color w:val="auto"/>
              </w:rPr>
            </w:pPr>
            <w:r>
              <w:rPr>
                <w:rFonts w:ascii="Arial" w:cs="Arial" w:eastAsia="Arial" w:hAnsi="Arial"/>
                <w:sz w:val="22"/>
                <w:szCs w:val="22"/>
                <w:color w:val="auto"/>
                <w:w w:val="98"/>
              </w:rPr>
              <w:t>11.11</w:t>
            </w:r>
          </w:p>
        </w:tc>
        <w:tc>
          <w:tcPr>
            <w:tcW w:w="2880" w:type="dxa"/>
            <w:vAlign w:val="bottom"/>
          </w:tcPr>
          <w:p>
            <w:pPr>
              <w:ind w:left="80"/>
              <w:spacing w:after="0"/>
              <w:rPr>
                <w:sz w:val="20"/>
                <w:szCs w:val="20"/>
                <w:color w:val="auto"/>
              </w:rPr>
            </w:pPr>
            <w:r>
              <w:rPr>
                <w:rFonts w:ascii="Arial" w:cs="Arial" w:eastAsia="Arial" w:hAnsi="Arial"/>
                <w:sz w:val="22"/>
                <w:szCs w:val="22"/>
                <w:color w:val="auto"/>
              </w:rPr>
              <w:t>Titles and Headings</w:t>
            </w:r>
          </w:p>
        </w:tc>
        <w:tc>
          <w:tcPr>
            <w:tcW w:w="1400" w:type="dxa"/>
            <w:vAlign w:val="bottom"/>
          </w:tcPr>
          <w:p>
            <w:pPr>
              <w:jc w:val="right"/>
              <w:ind w:right="532"/>
              <w:spacing w:after="0"/>
              <w:rPr>
                <w:sz w:val="20"/>
                <w:szCs w:val="20"/>
                <w:color w:val="auto"/>
              </w:rPr>
            </w:pPr>
            <w:r>
              <w:rPr>
                <w:rFonts w:ascii="Arial" w:cs="Arial" w:eastAsia="Arial" w:hAnsi="Arial"/>
                <w:sz w:val="22"/>
                <w:szCs w:val="22"/>
                <w:color w:val="auto"/>
              </w:rPr>
              <w:t>26</w:t>
            </w: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0219"/>
          </w:cols>
          <w:pgMar w:left="240" w:top="847" w:right="1440" w:bottom="1440" w:gutter="0" w:footer="0" w:header="0"/>
        </w:sectPr>
      </w:pPr>
    </w:p>
    <w:bookmarkStart w:id="79" w:name="page80"/>
    <w:bookmarkEnd w:id="79"/>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60" w:type="dxa"/>
            <w:vAlign w:val="bottom"/>
          </w:tcPr>
          <w:p>
            <w:pPr>
              <w:jc w:val="right"/>
              <w:spacing w:after="0"/>
              <w:rPr>
                <w:sz w:val="20"/>
                <w:szCs w:val="20"/>
                <w:color w:val="auto"/>
              </w:rPr>
            </w:pPr>
            <w:r>
              <w:rPr>
                <w:rFonts w:ascii="Arial" w:cs="Arial" w:eastAsia="Arial" w:hAnsi="Arial"/>
                <w:sz w:val="22"/>
                <w:szCs w:val="22"/>
                <w:color w:val="auto"/>
              </w:rPr>
              <w:t>11.12</w:t>
            </w:r>
          </w:p>
        </w:tc>
        <w:tc>
          <w:tcPr>
            <w:tcW w:w="2520" w:type="dxa"/>
            <w:vAlign w:val="bottom"/>
          </w:tcPr>
          <w:p>
            <w:pPr>
              <w:ind w:left="160"/>
              <w:spacing w:after="0"/>
              <w:rPr>
                <w:sz w:val="20"/>
                <w:szCs w:val="20"/>
                <w:color w:val="auto"/>
              </w:rPr>
            </w:pPr>
            <w:r>
              <w:rPr>
                <w:rFonts w:ascii="Arial" w:cs="Arial" w:eastAsia="Arial" w:hAnsi="Arial"/>
                <w:sz w:val="22"/>
                <w:szCs w:val="22"/>
                <w:color w:val="auto"/>
              </w:rPr>
              <w:t>Applicable Law</w:t>
            </w:r>
          </w:p>
        </w:tc>
        <w:tc>
          <w:tcPr>
            <w:tcW w:w="1100" w:type="dxa"/>
            <w:vAlign w:val="bottom"/>
          </w:tcPr>
          <w:p>
            <w:pPr>
              <w:jc w:val="right"/>
              <w:ind w:right="132"/>
              <w:spacing w:after="0"/>
              <w:rPr>
                <w:sz w:val="20"/>
                <w:szCs w:val="20"/>
                <w:color w:val="auto"/>
              </w:rPr>
            </w:pPr>
            <w:r>
              <w:rPr>
                <w:rFonts w:ascii="Arial" w:cs="Arial" w:eastAsia="Arial" w:hAnsi="Arial"/>
                <w:sz w:val="22"/>
                <w:szCs w:val="22"/>
                <w:color w:val="auto"/>
              </w:rPr>
              <w:t>26</w:t>
            </w:r>
          </w:p>
        </w:tc>
      </w:tr>
      <w:tr>
        <w:trPr>
          <w:trHeight w:val="270"/>
        </w:trPr>
        <w:tc>
          <w:tcPr>
            <w:tcW w:w="660" w:type="dxa"/>
            <w:vAlign w:val="bottom"/>
          </w:tcPr>
          <w:p>
            <w:pPr>
              <w:jc w:val="right"/>
              <w:spacing w:after="0"/>
              <w:rPr>
                <w:sz w:val="20"/>
                <w:szCs w:val="20"/>
                <w:color w:val="auto"/>
              </w:rPr>
            </w:pPr>
            <w:r>
              <w:rPr>
                <w:rFonts w:ascii="Arial" w:cs="Arial" w:eastAsia="Arial" w:hAnsi="Arial"/>
                <w:sz w:val="22"/>
                <w:szCs w:val="22"/>
                <w:color w:val="auto"/>
              </w:rPr>
              <w:t>11.13</w:t>
            </w:r>
          </w:p>
        </w:tc>
        <w:tc>
          <w:tcPr>
            <w:tcW w:w="2520" w:type="dxa"/>
            <w:vAlign w:val="bottom"/>
          </w:tcPr>
          <w:p>
            <w:pPr>
              <w:ind w:left="160"/>
              <w:spacing w:after="0"/>
              <w:rPr>
                <w:sz w:val="20"/>
                <w:szCs w:val="20"/>
                <w:color w:val="auto"/>
              </w:rPr>
            </w:pPr>
            <w:r>
              <w:rPr>
                <w:rFonts w:ascii="Arial" w:cs="Arial" w:eastAsia="Arial" w:hAnsi="Arial"/>
                <w:sz w:val="22"/>
                <w:szCs w:val="22"/>
                <w:color w:val="auto"/>
              </w:rPr>
              <w:t>Counterparts</w:t>
            </w:r>
          </w:p>
        </w:tc>
        <w:tc>
          <w:tcPr>
            <w:tcW w:w="1100" w:type="dxa"/>
            <w:vAlign w:val="bottom"/>
          </w:tcPr>
          <w:p>
            <w:pPr>
              <w:jc w:val="right"/>
              <w:ind w:right="212"/>
              <w:spacing w:after="0"/>
              <w:rPr>
                <w:sz w:val="20"/>
                <w:szCs w:val="20"/>
                <w:color w:val="auto"/>
              </w:rPr>
            </w:pPr>
            <w:r>
              <w:rPr>
                <w:rFonts w:ascii="Arial" w:cs="Arial" w:eastAsia="Arial" w:hAnsi="Arial"/>
                <w:sz w:val="22"/>
                <w:szCs w:val="22"/>
                <w:color w:val="auto"/>
              </w:rPr>
              <w:t>26</w:t>
            </w:r>
          </w:p>
        </w:tc>
      </w:tr>
      <w:tr>
        <w:trPr>
          <w:trHeight w:val="275"/>
        </w:trPr>
        <w:tc>
          <w:tcPr>
            <w:tcW w:w="660" w:type="dxa"/>
            <w:vAlign w:val="bottom"/>
          </w:tcPr>
          <w:p>
            <w:pPr>
              <w:jc w:val="right"/>
              <w:ind w:right="72"/>
              <w:spacing w:after="0"/>
              <w:rPr>
                <w:sz w:val="20"/>
                <w:szCs w:val="20"/>
                <w:color w:val="auto"/>
              </w:rPr>
            </w:pPr>
            <w:r>
              <w:rPr>
                <w:rFonts w:ascii="Arial" w:cs="Arial" w:eastAsia="Arial" w:hAnsi="Arial"/>
                <w:sz w:val="22"/>
                <w:szCs w:val="22"/>
                <w:color w:val="auto"/>
                <w:w w:val="83"/>
              </w:rPr>
              <w:t>11.14</w:t>
            </w:r>
          </w:p>
        </w:tc>
        <w:tc>
          <w:tcPr>
            <w:tcW w:w="2520" w:type="dxa"/>
            <w:vAlign w:val="bottom"/>
          </w:tcPr>
          <w:p>
            <w:pPr>
              <w:spacing w:after="0"/>
              <w:rPr>
                <w:sz w:val="20"/>
                <w:szCs w:val="20"/>
                <w:color w:val="auto"/>
              </w:rPr>
            </w:pPr>
            <w:r>
              <w:rPr>
                <w:rFonts w:ascii="Arial" w:cs="Arial" w:eastAsia="Arial" w:hAnsi="Arial"/>
                <w:sz w:val="22"/>
                <w:szCs w:val="22"/>
                <w:color w:val="auto"/>
              </w:rPr>
              <w:t>Additional Definitions</w:t>
            </w:r>
          </w:p>
        </w:tc>
        <w:tc>
          <w:tcPr>
            <w:tcW w:w="1100" w:type="dxa"/>
            <w:vAlign w:val="bottom"/>
          </w:tcPr>
          <w:p>
            <w:pPr>
              <w:jc w:val="right"/>
              <w:spacing w:after="0"/>
              <w:rPr>
                <w:sz w:val="20"/>
                <w:szCs w:val="20"/>
                <w:color w:val="auto"/>
              </w:rPr>
            </w:pPr>
            <w:r>
              <w:rPr>
                <w:rFonts w:ascii="Arial" w:cs="Arial" w:eastAsia="Arial" w:hAnsi="Arial"/>
                <w:sz w:val="22"/>
                <w:szCs w:val="22"/>
                <w:color w:val="auto"/>
              </w:rPr>
              <w:t>26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260"/>
        <w:spacing w:after="0"/>
        <w:rPr>
          <w:sz w:val="20"/>
          <w:szCs w:val="20"/>
          <w:color w:val="auto"/>
        </w:rPr>
      </w:pPr>
      <w:r>
        <w:rPr>
          <w:rFonts w:ascii="Arial" w:cs="Arial" w:eastAsia="Arial" w:hAnsi="Arial"/>
          <w:sz w:val="22"/>
          <w:szCs w:val="22"/>
          <w:b w:val="1"/>
          <w:bCs w:val="1"/>
          <w:color w:val="auto"/>
        </w:rPr>
        <w:t>INDEX OF DEFINED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910" w:type="dxa"/>
        <w:tblCellMar>
          <w:top w:w="0" w:type="dxa"/>
          <w:left w:w="0" w:type="dxa"/>
          <w:bottom w:w="0" w:type="dxa"/>
          <w:right w:w="0" w:type="dxa"/>
        </w:tblCellMar>
      </w:tblPr>
      <w:tr>
        <w:trPr>
          <w:trHeight w:val="274"/>
        </w:trPr>
        <w:tc>
          <w:tcPr>
            <w:tcW w:w="61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Term</w:t>
            </w:r>
          </w:p>
        </w:tc>
        <w:tc>
          <w:tcPr>
            <w:tcW w:w="18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b w:val="1"/>
                <w:bCs w:val="1"/>
                <w:color w:val="auto"/>
              </w:rPr>
              <w:t>Defined in Section</w:t>
            </w:r>
          </w:p>
        </w:tc>
        <w:tc>
          <w:tcPr>
            <w:tcW w:w="172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20"/>
                <w:szCs w:val="20"/>
                <w:b w:val="1"/>
                <w:bCs w:val="1"/>
                <w:color w:val="auto"/>
              </w:rPr>
              <w:t>Page Number</w:t>
            </w:r>
          </w:p>
        </w:tc>
      </w:tr>
      <w:tr>
        <w:trPr>
          <w:trHeight w:val="347"/>
        </w:trPr>
        <w:tc>
          <w:tcPr>
            <w:tcW w:w="6100" w:type="dxa"/>
            <w:vAlign w:val="bottom"/>
            <w:tcBorders>
              <w:left w:val="single" w:sz="8" w:color="auto"/>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74"/>
        </w:trPr>
        <w:tc>
          <w:tcPr>
            <w:tcW w:w="61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Account</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4.1</w:t>
            </w:r>
          </w:p>
        </w:tc>
        <w:tc>
          <w:tcPr>
            <w:tcW w:w="1720" w:type="dxa"/>
            <w:vAlign w:val="bottom"/>
            <w:tcBorders>
              <w:right w:val="single" w:sz="8" w:color="auto"/>
            </w:tcBorders>
          </w:tcPr>
          <w:p>
            <w:pPr>
              <w:jc w:val="right"/>
              <w:spacing w:after="0"/>
              <w:rPr>
                <w:sz w:val="20"/>
                <w:szCs w:val="20"/>
                <w:color w:val="auto"/>
              </w:rPr>
            </w:pPr>
            <w:r>
              <w:rPr>
                <w:rFonts w:ascii="Arial" w:cs="Arial" w:eastAsia="Arial" w:hAnsi="Arial"/>
                <w:sz w:val="22"/>
                <w:szCs w:val="22"/>
                <w:color w:val="auto"/>
              </w:rPr>
              <w:t>9</w:t>
            </w:r>
          </w:p>
        </w:tc>
      </w:tr>
      <w:tr>
        <w:trPr>
          <w:trHeight w:val="341"/>
        </w:trPr>
        <w:tc>
          <w:tcPr>
            <w:tcW w:w="6100" w:type="dxa"/>
            <w:vAlign w:val="bottom"/>
            <w:tcBorders>
              <w:left w:val="single" w:sz="8" w:color="auto"/>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54"/>
        </w:trPr>
        <w:tc>
          <w:tcPr>
            <w:tcW w:w="61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Annual Election Period</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2.3(a)</w:t>
            </w:r>
          </w:p>
        </w:tc>
        <w:tc>
          <w:tcPr>
            <w:tcW w:w="172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2</w:t>
            </w:r>
          </w:p>
        </w:tc>
      </w:tr>
      <w:tr>
        <w:trPr>
          <w:trHeight w:val="347"/>
        </w:trPr>
        <w:tc>
          <w:tcPr>
            <w:tcW w:w="6100" w:type="dxa"/>
            <w:vAlign w:val="bottom"/>
            <w:tcBorders>
              <w:left w:val="single" w:sz="8" w:color="auto"/>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54"/>
        </w:trPr>
        <w:tc>
          <w:tcPr>
            <w:tcW w:w="61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Base Compensation</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3.1(b)(1)</w:t>
            </w:r>
          </w:p>
        </w:tc>
        <w:tc>
          <w:tcPr>
            <w:tcW w:w="172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3</w:t>
            </w:r>
          </w:p>
        </w:tc>
      </w:tr>
      <w:tr>
        <w:trPr>
          <w:trHeight w:val="347"/>
        </w:trPr>
        <w:tc>
          <w:tcPr>
            <w:tcW w:w="6100" w:type="dxa"/>
            <w:vAlign w:val="bottom"/>
            <w:tcBorders>
              <w:left w:val="single" w:sz="8" w:color="auto"/>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54"/>
        </w:trPr>
        <w:tc>
          <w:tcPr>
            <w:tcW w:w="61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Bonus Compensation</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3.1(b)(2)</w:t>
            </w:r>
          </w:p>
        </w:tc>
        <w:tc>
          <w:tcPr>
            <w:tcW w:w="172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3</w:t>
            </w:r>
          </w:p>
        </w:tc>
      </w:tr>
      <w:tr>
        <w:trPr>
          <w:trHeight w:val="347"/>
        </w:trPr>
        <w:tc>
          <w:tcPr>
            <w:tcW w:w="6100" w:type="dxa"/>
            <w:vAlign w:val="bottom"/>
            <w:tcBorders>
              <w:left w:val="single" w:sz="8" w:color="auto"/>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54"/>
        </w:trPr>
        <w:tc>
          <w:tcPr>
            <w:tcW w:w="61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Board</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11.14(a)</w:t>
            </w:r>
          </w:p>
        </w:tc>
        <w:tc>
          <w:tcPr>
            <w:tcW w:w="172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25</w:t>
            </w:r>
          </w:p>
        </w:tc>
      </w:tr>
      <w:tr>
        <w:trPr>
          <w:trHeight w:val="347"/>
        </w:trPr>
        <w:tc>
          <w:tcPr>
            <w:tcW w:w="6100" w:type="dxa"/>
            <w:vAlign w:val="bottom"/>
            <w:tcBorders>
              <w:left w:val="single" w:sz="8" w:color="auto"/>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54"/>
        </w:trPr>
        <w:tc>
          <w:tcPr>
            <w:tcW w:w="61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Change in Control</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6.8(c)</w:t>
            </w:r>
          </w:p>
        </w:tc>
        <w:tc>
          <w:tcPr>
            <w:tcW w:w="172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17</w:t>
            </w:r>
          </w:p>
        </w:tc>
      </w:tr>
      <w:tr>
        <w:trPr>
          <w:trHeight w:val="347"/>
        </w:trPr>
        <w:tc>
          <w:tcPr>
            <w:tcW w:w="6100" w:type="dxa"/>
            <w:vAlign w:val="bottom"/>
            <w:tcBorders>
              <w:left w:val="single" w:sz="8" w:color="auto"/>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54"/>
        </w:trPr>
        <w:tc>
          <w:tcPr>
            <w:tcW w:w="61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Claiming Party</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9.1</w:t>
            </w:r>
          </w:p>
        </w:tc>
        <w:tc>
          <w:tcPr>
            <w:tcW w:w="172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22</w:t>
            </w:r>
          </w:p>
        </w:tc>
      </w:tr>
      <w:tr>
        <w:trPr>
          <w:trHeight w:val="347"/>
        </w:trPr>
        <w:tc>
          <w:tcPr>
            <w:tcW w:w="6100" w:type="dxa"/>
            <w:vAlign w:val="bottom"/>
            <w:tcBorders>
              <w:left w:val="single" w:sz="8" w:color="auto"/>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54"/>
        </w:trPr>
        <w:tc>
          <w:tcPr>
            <w:tcW w:w="61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Code</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11.14(b)</w:t>
            </w:r>
          </w:p>
        </w:tc>
        <w:tc>
          <w:tcPr>
            <w:tcW w:w="172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25</w:t>
            </w:r>
          </w:p>
        </w:tc>
      </w:tr>
      <w:tr>
        <w:trPr>
          <w:trHeight w:val="347"/>
        </w:trPr>
        <w:tc>
          <w:tcPr>
            <w:tcW w:w="6100" w:type="dxa"/>
            <w:vAlign w:val="bottom"/>
            <w:tcBorders>
              <w:left w:val="single" w:sz="8" w:color="auto"/>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54"/>
        </w:trPr>
        <w:tc>
          <w:tcPr>
            <w:tcW w:w="61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Common Stock Unit Sub-Account</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4.1(b)</w:t>
            </w:r>
          </w:p>
        </w:tc>
        <w:tc>
          <w:tcPr>
            <w:tcW w:w="172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10</w:t>
            </w:r>
          </w:p>
        </w:tc>
      </w:tr>
      <w:tr>
        <w:trPr>
          <w:trHeight w:val="347"/>
        </w:trPr>
        <w:tc>
          <w:tcPr>
            <w:tcW w:w="6100" w:type="dxa"/>
            <w:vAlign w:val="bottom"/>
            <w:tcBorders>
              <w:left w:val="single" w:sz="8" w:color="auto"/>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54"/>
        </w:trPr>
        <w:tc>
          <w:tcPr>
            <w:tcW w:w="61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Company</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1.2</w:t>
            </w:r>
          </w:p>
        </w:tc>
        <w:tc>
          <w:tcPr>
            <w:tcW w:w="172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1</w:t>
            </w:r>
          </w:p>
        </w:tc>
      </w:tr>
      <w:tr>
        <w:trPr>
          <w:trHeight w:val="347"/>
        </w:trPr>
        <w:tc>
          <w:tcPr>
            <w:tcW w:w="6100" w:type="dxa"/>
            <w:vAlign w:val="bottom"/>
            <w:tcBorders>
              <w:left w:val="single" w:sz="8" w:color="auto"/>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54"/>
        </w:trPr>
        <w:tc>
          <w:tcPr>
            <w:tcW w:w="61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Deemed Investment Sub-Account</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4.1(a)</w:t>
            </w:r>
          </w:p>
        </w:tc>
        <w:tc>
          <w:tcPr>
            <w:tcW w:w="172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9</w:t>
            </w:r>
          </w:p>
        </w:tc>
      </w:tr>
      <w:tr>
        <w:trPr>
          <w:trHeight w:val="347"/>
        </w:trPr>
        <w:tc>
          <w:tcPr>
            <w:tcW w:w="6100" w:type="dxa"/>
            <w:vAlign w:val="bottom"/>
            <w:tcBorders>
              <w:left w:val="single" w:sz="8" w:color="auto"/>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54"/>
        </w:trPr>
        <w:tc>
          <w:tcPr>
            <w:tcW w:w="61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Deferral Agreement</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3.1(a)</w:t>
            </w:r>
          </w:p>
        </w:tc>
        <w:tc>
          <w:tcPr>
            <w:tcW w:w="172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3</w:t>
            </w:r>
          </w:p>
        </w:tc>
      </w:tr>
      <w:tr>
        <w:trPr>
          <w:trHeight w:val="347"/>
        </w:trPr>
        <w:tc>
          <w:tcPr>
            <w:tcW w:w="6100" w:type="dxa"/>
            <w:vAlign w:val="bottom"/>
            <w:tcBorders>
              <w:left w:val="single" w:sz="8" w:color="auto"/>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74"/>
        </w:trPr>
        <w:tc>
          <w:tcPr>
            <w:tcW w:w="61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Deferred Retirement Date</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11.14(c)</w:t>
            </w:r>
          </w:p>
        </w:tc>
        <w:tc>
          <w:tcPr>
            <w:tcW w:w="1720" w:type="dxa"/>
            <w:vAlign w:val="bottom"/>
            <w:tcBorders>
              <w:right w:val="single" w:sz="8" w:color="auto"/>
            </w:tcBorders>
          </w:tcPr>
          <w:p>
            <w:pPr>
              <w:jc w:val="right"/>
              <w:spacing w:after="0"/>
              <w:rPr>
                <w:sz w:val="20"/>
                <w:szCs w:val="20"/>
                <w:color w:val="auto"/>
              </w:rPr>
            </w:pPr>
            <w:r>
              <w:rPr>
                <w:rFonts w:ascii="Arial" w:cs="Arial" w:eastAsia="Arial" w:hAnsi="Arial"/>
                <w:sz w:val="22"/>
                <w:szCs w:val="22"/>
                <w:color w:val="auto"/>
              </w:rPr>
              <w:t>25</w:t>
            </w:r>
          </w:p>
        </w:tc>
      </w:tr>
      <w:tr>
        <w:trPr>
          <w:trHeight w:val="341"/>
        </w:trPr>
        <w:tc>
          <w:tcPr>
            <w:tcW w:w="6100" w:type="dxa"/>
            <w:vAlign w:val="bottom"/>
            <w:tcBorders>
              <w:left w:val="single" w:sz="8" w:color="auto"/>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54"/>
        </w:trPr>
        <w:tc>
          <w:tcPr>
            <w:tcW w:w="61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Disabled</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3.7(b)(2)</w:t>
            </w:r>
          </w:p>
        </w:tc>
        <w:tc>
          <w:tcPr>
            <w:tcW w:w="172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9</w:t>
            </w:r>
          </w:p>
        </w:tc>
      </w:tr>
      <w:tr>
        <w:trPr>
          <w:trHeight w:val="347"/>
        </w:trPr>
        <w:tc>
          <w:tcPr>
            <w:tcW w:w="6100" w:type="dxa"/>
            <w:vAlign w:val="bottom"/>
            <w:tcBorders>
              <w:left w:val="single" w:sz="8" w:color="auto"/>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54"/>
        </w:trPr>
        <w:tc>
          <w:tcPr>
            <w:tcW w:w="61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Early Retirement Date</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11.14(d)</w:t>
            </w:r>
          </w:p>
        </w:tc>
        <w:tc>
          <w:tcPr>
            <w:tcW w:w="172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25</w:t>
            </w:r>
          </w:p>
        </w:tc>
      </w:tr>
      <w:tr>
        <w:trPr>
          <w:trHeight w:val="347"/>
        </w:trPr>
        <w:tc>
          <w:tcPr>
            <w:tcW w:w="6100" w:type="dxa"/>
            <w:vAlign w:val="bottom"/>
            <w:tcBorders>
              <w:left w:val="single" w:sz="8" w:color="auto"/>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54"/>
        </w:trPr>
        <w:tc>
          <w:tcPr>
            <w:tcW w:w="61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Election Period</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2.3</w:t>
            </w:r>
          </w:p>
        </w:tc>
        <w:tc>
          <w:tcPr>
            <w:tcW w:w="172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2</w:t>
            </w:r>
          </w:p>
        </w:tc>
      </w:tr>
      <w:tr>
        <w:trPr>
          <w:trHeight w:val="347"/>
        </w:trPr>
        <w:tc>
          <w:tcPr>
            <w:tcW w:w="6100" w:type="dxa"/>
            <w:vAlign w:val="bottom"/>
            <w:tcBorders>
              <w:left w:val="single" w:sz="8" w:color="auto"/>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54"/>
        </w:trPr>
        <w:tc>
          <w:tcPr>
            <w:tcW w:w="61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Eligible Compensation</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3.1(b)</w:t>
            </w:r>
          </w:p>
        </w:tc>
        <w:tc>
          <w:tcPr>
            <w:tcW w:w="172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3</w:t>
            </w:r>
          </w:p>
        </w:tc>
      </w:tr>
      <w:tr>
        <w:trPr>
          <w:trHeight w:val="347"/>
        </w:trPr>
        <w:tc>
          <w:tcPr>
            <w:tcW w:w="6100" w:type="dxa"/>
            <w:vAlign w:val="bottom"/>
            <w:tcBorders>
              <w:left w:val="single" w:sz="8" w:color="auto"/>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54"/>
        </w:trPr>
        <w:tc>
          <w:tcPr>
            <w:tcW w:w="61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Eligible Employee</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2.1</w:t>
            </w:r>
          </w:p>
        </w:tc>
        <w:tc>
          <w:tcPr>
            <w:tcW w:w="172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1</w:t>
            </w:r>
          </w:p>
        </w:tc>
      </w:tr>
      <w:tr>
        <w:trPr>
          <w:trHeight w:val="347"/>
        </w:trPr>
        <w:tc>
          <w:tcPr>
            <w:tcW w:w="6100" w:type="dxa"/>
            <w:vAlign w:val="bottom"/>
            <w:tcBorders>
              <w:left w:val="single" w:sz="8" w:color="auto"/>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54"/>
        </w:trPr>
        <w:tc>
          <w:tcPr>
            <w:tcW w:w="61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Equity Incentive Plan</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11.14(e)</w:t>
            </w:r>
          </w:p>
        </w:tc>
        <w:tc>
          <w:tcPr>
            <w:tcW w:w="172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25</w:t>
            </w:r>
          </w:p>
        </w:tc>
      </w:tr>
      <w:tr>
        <w:trPr>
          <w:trHeight w:val="347"/>
        </w:trPr>
        <w:tc>
          <w:tcPr>
            <w:tcW w:w="6100" w:type="dxa"/>
            <w:vAlign w:val="bottom"/>
            <w:tcBorders>
              <w:left w:val="single" w:sz="8" w:color="auto"/>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54"/>
        </w:trPr>
        <w:tc>
          <w:tcPr>
            <w:tcW w:w="61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ERISA</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1.2</w:t>
            </w:r>
          </w:p>
        </w:tc>
        <w:tc>
          <w:tcPr>
            <w:tcW w:w="172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1</w:t>
            </w:r>
          </w:p>
        </w:tc>
      </w:tr>
      <w:tr>
        <w:trPr>
          <w:trHeight w:val="282"/>
        </w:trPr>
        <w:tc>
          <w:tcPr>
            <w:tcW w:w="6100" w:type="dxa"/>
            <w:vAlign w:val="bottom"/>
            <w:tcBorders>
              <w:left w:val="single" w:sz="8" w:color="auto"/>
              <w:right w:val="single" w:sz="8" w:color="auto"/>
            </w:tcBorders>
          </w:tcPr>
          <w:p>
            <w:pPr>
              <w:spacing w:after="0"/>
              <w:rPr>
                <w:sz w:val="24"/>
                <w:szCs w:val="24"/>
                <w:color w:val="auto"/>
              </w:rPr>
            </w:pPr>
          </w:p>
        </w:tc>
        <w:tc>
          <w:tcPr>
            <w:tcW w:w="1820" w:type="dxa"/>
            <w:vAlign w:val="bottom"/>
            <w:tcBorders>
              <w:right w:val="single" w:sz="8" w:color="auto"/>
            </w:tcBorders>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r>
    </w:tbl>
    <w:p>
      <w:pPr>
        <w:sectPr>
          <w:pgSz w:w="11900" w:h="16900" w:orient="portrait"/>
          <w:cols w:equalWidth="0" w:num="1">
            <w:col w:w="10540"/>
          </w:cols>
          <w:pgMar w:left="240" w:top="847" w:right="1119" w:bottom="0" w:gutter="0" w:footer="0" w:header="0"/>
        </w:sectPr>
      </w:pPr>
    </w:p>
    <w:bookmarkStart w:id="80" w:name="page81"/>
    <w:bookmarkEnd w:id="80"/>
    <w:p>
      <w:pPr>
        <w:jc w:val="cente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723265</wp:posOffset>
            </wp:positionH>
            <wp:positionV relativeFrom="page">
              <wp:posOffset>88900</wp:posOffset>
            </wp:positionV>
            <wp:extent cx="6123305" cy="431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69">
                      <a:extLst>
                        <a:ext uri="{28A0092B-C50C-407E-A947-70E740481C1C}"/>
                      </a:extLst>
                    </a:blip>
                    <a:srcRect/>
                    <a:stretch>
                      <a:fillRect/>
                    </a:stretch>
                  </pic:blipFill>
                  <pic:spPr bwMode="auto">
                    <a:xfrm>
                      <a:off x="0" y="0"/>
                      <a:ext cx="6123305" cy="43180"/>
                    </a:xfrm>
                    <a:prstGeom prst="rect">
                      <a:avLst/>
                    </a:prstGeom>
                    <a:noFill/>
                  </pic:spPr>
                </pic:pic>
              </a:graphicData>
            </a:graphic>
          </wp:anchor>
        </w:drawing>
        <w:t>iii</w:t>
      </w:r>
    </w:p>
    <w:p>
      <w:pPr>
        <w:sectPr>
          <w:pgSz w:w="11900" w:h="16838" w:orient="portrait"/>
          <w:cols w:equalWidth="0" w:num="1">
            <w:col w:w="9019"/>
          </w:cols>
          <w:pgMar w:left="1440" w:top="928" w:right="1440" w:bottom="1440" w:gutter="0" w:footer="0" w:header="0"/>
        </w:sectPr>
      </w:pPr>
    </w:p>
    <w:bookmarkStart w:id="81" w:name="page82"/>
    <w:bookmarkEnd w:id="81"/>
    <w:tbl>
      <w:tblPr>
        <w:tblLayout w:type="fixed"/>
        <w:tblInd w:w="10" w:type="dxa"/>
        <w:tblCellMar>
          <w:top w:w="0" w:type="dxa"/>
          <w:left w:w="0" w:type="dxa"/>
          <w:bottom w:w="0" w:type="dxa"/>
          <w:right w:w="0" w:type="dxa"/>
        </w:tblCellMar>
      </w:tblPr>
      <w:tr>
        <w:trPr>
          <w:trHeight w:val="274"/>
        </w:trPr>
        <w:tc>
          <w:tcPr>
            <w:tcW w:w="61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401(k) Plan</w:t>
            </w:r>
          </w:p>
        </w:tc>
        <w:tc>
          <w:tcPr>
            <w:tcW w:w="18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11.14(f)</w:t>
            </w:r>
          </w:p>
        </w:tc>
        <w:tc>
          <w:tcPr>
            <w:tcW w:w="172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20"/>
                <w:szCs w:val="20"/>
                <w:color w:val="auto"/>
              </w:rPr>
              <w:t>26</w:t>
            </w:r>
          </w:p>
        </w:tc>
      </w:tr>
      <w:tr>
        <w:trPr>
          <w:trHeight w:val="347"/>
        </w:trPr>
        <w:tc>
          <w:tcPr>
            <w:tcW w:w="6100" w:type="dxa"/>
            <w:vAlign w:val="bottom"/>
            <w:tcBorders>
              <w:left w:val="single" w:sz="8" w:color="auto"/>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54"/>
        </w:trPr>
        <w:tc>
          <w:tcPr>
            <w:tcW w:w="61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Initial Election Period</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2.3(b)</w:t>
            </w:r>
          </w:p>
        </w:tc>
        <w:tc>
          <w:tcPr>
            <w:tcW w:w="172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2</w:t>
            </w:r>
          </w:p>
        </w:tc>
      </w:tr>
      <w:tr>
        <w:trPr>
          <w:trHeight w:val="347"/>
        </w:trPr>
        <w:tc>
          <w:tcPr>
            <w:tcW w:w="6100" w:type="dxa"/>
            <w:vAlign w:val="bottom"/>
            <w:tcBorders>
              <w:left w:val="single" w:sz="8" w:color="auto"/>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54"/>
        </w:trPr>
        <w:tc>
          <w:tcPr>
            <w:tcW w:w="61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Leadership Benefits</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2.1(c)</w:t>
            </w:r>
          </w:p>
        </w:tc>
        <w:tc>
          <w:tcPr>
            <w:tcW w:w="172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2</w:t>
            </w:r>
          </w:p>
        </w:tc>
      </w:tr>
      <w:tr>
        <w:trPr>
          <w:trHeight w:val="347"/>
        </w:trPr>
        <w:tc>
          <w:tcPr>
            <w:tcW w:w="6100" w:type="dxa"/>
            <w:vAlign w:val="bottom"/>
            <w:tcBorders>
              <w:left w:val="single" w:sz="8" w:color="auto"/>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54"/>
        </w:trPr>
        <w:tc>
          <w:tcPr>
            <w:tcW w:w="61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Make-up Contribution</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3.4(a)</w:t>
            </w:r>
          </w:p>
        </w:tc>
        <w:tc>
          <w:tcPr>
            <w:tcW w:w="172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6</w:t>
            </w:r>
          </w:p>
        </w:tc>
      </w:tr>
      <w:tr>
        <w:trPr>
          <w:trHeight w:val="347"/>
        </w:trPr>
        <w:tc>
          <w:tcPr>
            <w:tcW w:w="6100" w:type="dxa"/>
            <w:vAlign w:val="bottom"/>
            <w:tcBorders>
              <w:left w:val="single" w:sz="8" w:color="auto"/>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54"/>
        </w:trPr>
        <w:tc>
          <w:tcPr>
            <w:tcW w:w="61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Normal Retirement Date</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11.14(h)</w:t>
            </w:r>
          </w:p>
        </w:tc>
        <w:tc>
          <w:tcPr>
            <w:tcW w:w="172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26</w:t>
            </w:r>
          </w:p>
        </w:tc>
      </w:tr>
      <w:tr>
        <w:trPr>
          <w:trHeight w:val="347"/>
        </w:trPr>
        <w:tc>
          <w:tcPr>
            <w:tcW w:w="6100" w:type="dxa"/>
            <w:vAlign w:val="bottom"/>
            <w:tcBorders>
              <w:left w:val="single" w:sz="8" w:color="auto"/>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54"/>
        </w:trPr>
        <w:tc>
          <w:tcPr>
            <w:tcW w:w="61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Participant</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2.3</w:t>
            </w:r>
          </w:p>
        </w:tc>
        <w:tc>
          <w:tcPr>
            <w:tcW w:w="172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2</w:t>
            </w:r>
          </w:p>
        </w:tc>
      </w:tr>
      <w:tr>
        <w:trPr>
          <w:trHeight w:val="347"/>
        </w:trPr>
        <w:tc>
          <w:tcPr>
            <w:tcW w:w="6100" w:type="dxa"/>
            <w:vAlign w:val="bottom"/>
            <w:tcBorders>
              <w:left w:val="single" w:sz="8" w:color="auto"/>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54"/>
        </w:trPr>
        <w:tc>
          <w:tcPr>
            <w:tcW w:w="61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Payment Commencement Date</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6.4</w:t>
            </w:r>
          </w:p>
        </w:tc>
        <w:tc>
          <w:tcPr>
            <w:tcW w:w="172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15</w:t>
            </w:r>
          </w:p>
        </w:tc>
      </w:tr>
      <w:tr>
        <w:trPr>
          <w:trHeight w:val="347"/>
        </w:trPr>
        <w:tc>
          <w:tcPr>
            <w:tcW w:w="6100" w:type="dxa"/>
            <w:vAlign w:val="bottom"/>
            <w:tcBorders>
              <w:left w:val="single" w:sz="8" w:color="auto"/>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54"/>
        </w:trPr>
        <w:tc>
          <w:tcPr>
            <w:tcW w:w="61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Performance Share Unit</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3.1(b)(3)</w:t>
            </w:r>
          </w:p>
        </w:tc>
        <w:tc>
          <w:tcPr>
            <w:tcW w:w="172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4</w:t>
            </w:r>
          </w:p>
        </w:tc>
      </w:tr>
      <w:tr>
        <w:trPr>
          <w:trHeight w:val="347"/>
        </w:trPr>
        <w:tc>
          <w:tcPr>
            <w:tcW w:w="6100" w:type="dxa"/>
            <w:vAlign w:val="bottom"/>
            <w:tcBorders>
              <w:left w:val="single" w:sz="8" w:color="auto"/>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54"/>
        </w:trPr>
        <w:tc>
          <w:tcPr>
            <w:tcW w:w="61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Plan Administrator</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8.1</w:t>
            </w:r>
          </w:p>
        </w:tc>
        <w:tc>
          <w:tcPr>
            <w:tcW w:w="172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20</w:t>
            </w:r>
          </w:p>
        </w:tc>
      </w:tr>
      <w:tr>
        <w:trPr>
          <w:trHeight w:val="347"/>
        </w:trPr>
        <w:tc>
          <w:tcPr>
            <w:tcW w:w="6100" w:type="dxa"/>
            <w:vAlign w:val="bottom"/>
            <w:tcBorders>
              <w:left w:val="single" w:sz="8" w:color="auto"/>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54"/>
        </w:trPr>
        <w:tc>
          <w:tcPr>
            <w:tcW w:w="61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Plan Year</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11.14(k)</w:t>
            </w:r>
          </w:p>
        </w:tc>
        <w:tc>
          <w:tcPr>
            <w:tcW w:w="172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26</w:t>
            </w:r>
          </w:p>
        </w:tc>
      </w:tr>
      <w:tr>
        <w:trPr>
          <w:trHeight w:val="347"/>
        </w:trPr>
        <w:tc>
          <w:tcPr>
            <w:tcW w:w="6100" w:type="dxa"/>
            <w:vAlign w:val="bottom"/>
            <w:tcBorders>
              <w:left w:val="single" w:sz="8" w:color="auto"/>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54"/>
        </w:trPr>
        <w:tc>
          <w:tcPr>
            <w:tcW w:w="61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Restoration Contribution</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3.4(c)</w:t>
            </w:r>
          </w:p>
        </w:tc>
        <w:tc>
          <w:tcPr>
            <w:tcW w:w="172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7</w:t>
            </w:r>
          </w:p>
        </w:tc>
      </w:tr>
      <w:tr>
        <w:trPr>
          <w:trHeight w:val="347"/>
        </w:trPr>
        <w:tc>
          <w:tcPr>
            <w:tcW w:w="6100" w:type="dxa"/>
            <w:vAlign w:val="bottom"/>
            <w:tcBorders>
              <w:left w:val="single" w:sz="8" w:color="auto"/>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54"/>
        </w:trPr>
        <w:tc>
          <w:tcPr>
            <w:tcW w:w="61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Restricted Stock Unit</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3.1(b)(4)</w:t>
            </w:r>
          </w:p>
        </w:tc>
        <w:tc>
          <w:tcPr>
            <w:tcW w:w="172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4</w:t>
            </w:r>
          </w:p>
        </w:tc>
      </w:tr>
      <w:tr>
        <w:trPr>
          <w:trHeight w:val="347"/>
        </w:trPr>
        <w:tc>
          <w:tcPr>
            <w:tcW w:w="6100" w:type="dxa"/>
            <w:vAlign w:val="bottom"/>
            <w:tcBorders>
              <w:left w:val="single" w:sz="8" w:color="auto"/>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54"/>
        </w:trPr>
        <w:tc>
          <w:tcPr>
            <w:tcW w:w="61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Specified Employee</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6.5</w:t>
            </w:r>
          </w:p>
        </w:tc>
        <w:tc>
          <w:tcPr>
            <w:tcW w:w="172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15</w:t>
            </w:r>
          </w:p>
        </w:tc>
      </w:tr>
      <w:tr>
        <w:trPr>
          <w:trHeight w:val="347"/>
        </w:trPr>
        <w:tc>
          <w:tcPr>
            <w:tcW w:w="6100" w:type="dxa"/>
            <w:vAlign w:val="bottom"/>
            <w:tcBorders>
              <w:left w:val="single" w:sz="8" w:color="auto"/>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54"/>
        </w:trPr>
        <w:tc>
          <w:tcPr>
            <w:tcW w:w="61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Supplemental Executive Retirement Plan (SERP)</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11.14(d)</w:t>
            </w:r>
          </w:p>
        </w:tc>
        <w:tc>
          <w:tcPr>
            <w:tcW w:w="172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25</w:t>
            </w:r>
          </w:p>
        </w:tc>
      </w:tr>
      <w:tr>
        <w:trPr>
          <w:trHeight w:val="347"/>
        </w:trPr>
        <w:tc>
          <w:tcPr>
            <w:tcW w:w="6100" w:type="dxa"/>
            <w:vAlign w:val="bottom"/>
            <w:tcBorders>
              <w:left w:val="single" w:sz="8" w:color="auto"/>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54"/>
        </w:trPr>
        <w:tc>
          <w:tcPr>
            <w:tcW w:w="61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Termination Date</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11.14(l)</w:t>
            </w:r>
          </w:p>
        </w:tc>
        <w:tc>
          <w:tcPr>
            <w:tcW w:w="172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26</w:t>
            </w:r>
          </w:p>
        </w:tc>
      </w:tr>
      <w:tr>
        <w:trPr>
          <w:trHeight w:val="347"/>
        </w:trPr>
        <w:tc>
          <w:tcPr>
            <w:tcW w:w="6100" w:type="dxa"/>
            <w:vAlign w:val="bottom"/>
            <w:tcBorders>
              <w:left w:val="single" w:sz="8" w:color="auto"/>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54"/>
        </w:trPr>
        <w:tc>
          <w:tcPr>
            <w:tcW w:w="61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Unforeseeable Financial Emergency</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6.2(a)(i)</w:t>
            </w:r>
          </w:p>
        </w:tc>
        <w:tc>
          <w:tcPr>
            <w:tcW w:w="172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14</w:t>
            </w:r>
          </w:p>
        </w:tc>
      </w:tr>
      <w:tr>
        <w:trPr>
          <w:trHeight w:val="347"/>
        </w:trPr>
        <w:tc>
          <w:tcPr>
            <w:tcW w:w="6100" w:type="dxa"/>
            <w:vAlign w:val="bottom"/>
            <w:tcBorders>
              <w:left w:val="single" w:sz="8" w:color="auto"/>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54"/>
        </w:trPr>
        <w:tc>
          <w:tcPr>
            <w:tcW w:w="61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Years of Service</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11.14(m)</w:t>
            </w:r>
          </w:p>
        </w:tc>
        <w:tc>
          <w:tcPr>
            <w:tcW w:w="172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27</w:t>
            </w:r>
          </w:p>
        </w:tc>
      </w:tr>
      <w:tr>
        <w:trPr>
          <w:trHeight w:val="347"/>
        </w:trPr>
        <w:tc>
          <w:tcPr>
            <w:tcW w:w="6100" w:type="dxa"/>
            <w:vAlign w:val="bottom"/>
            <w:tcBorders>
              <w:left w:val="single" w:sz="8" w:color="auto"/>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iv</w:t>
      </w:r>
    </w:p>
    <w:p>
      <w:pPr>
        <w:sectPr>
          <w:pgSz w:w="11900" w:h="16838" w:orient="portrait"/>
          <w:cols w:equalWidth="0" w:num="1">
            <w:col w:w="9640"/>
          </w:cols>
          <w:pgMar w:left="1140" w:top="970" w:right="1119" w:bottom="1440" w:gutter="0" w:footer="0" w:header="0"/>
        </w:sectPr>
      </w:pPr>
    </w:p>
    <w:bookmarkStart w:id="82" w:name="page83"/>
    <w:bookmarkEnd w:id="82"/>
    <w:p>
      <w:pPr>
        <w:jc w:val="center"/>
        <w:ind w:right="-19"/>
        <w:spacing w:after="0"/>
        <w:rPr>
          <w:sz w:val="20"/>
          <w:szCs w:val="20"/>
          <w:color w:val="auto"/>
        </w:rPr>
      </w:pPr>
      <w:r>
        <w:rPr>
          <w:rFonts w:ascii="Arial" w:cs="Arial" w:eastAsia="Arial" w:hAnsi="Arial"/>
          <w:sz w:val="22"/>
          <w:szCs w:val="22"/>
          <w:color w:val="auto"/>
        </w:rPr>
        <w:t>ARTICLE I</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TITLE, PURPOSE AND EFFECTIVE DATE</w:t>
      </w:r>
    </w:p>
    <w:p>
      <w:pPr>
        <w:spacing w:after="0" w:line="202"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 xml:space="preserve">1.1 </w:t>
      </w:r>
      <w:r>
        <w:rPr>
          <w:rFonts w:ascii="Arial" w:cs="Arial" w:eastAsia="Arial" w:hAnsi="Arial"/>
          <w:sz w:val="22"/>
          <w:szCs w:val="22"/>
          <w:u w:val="single" w:color="auto"/>
          <w:color w:val="auto"/>
        </w:rPr>
        <w:t>Title</w:t>
      </w:r>
      <w:r>
        <w:rPr>
          <w:rFonts w:ascii="Arial" w:cs="Arial" w:eastAsia="Arial" w:hAnsi="Arial"/>
          <w:sz w:val="22"/>
          <w:szCs w:val="22"/>
          <w:color w:val="auto"/>
        </w:rPr>
        <w:t>. This plan shall be known as the Nordstrom Executive Deferred Compensation Plan, and any reference in this instrument to the “Plan” shall include the plan as described herein and as amended from time to time.</w:t>
      </w:r>
    </w:p>
    <w:p>
      <w:pPr>
        <w:spacing w:after="0" w:line="215"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 xml:space="preserve">1.2 </w:t>
      </w:r>
      <w:r>
        <w:rPr>
          <w:rFonts w:ascii="Arial" w:cs="Arial" w:eastAsia="Arial" w:hAnsi="Arial"/>
          <w:sz w:val="21"/>
          <w:szCs w:val="21"/>
          <w:u w:val="single" w:color="auto"/>
          <w:color w:val="auto"/>
        </w:rPr>
        <w:t>Purpose</w:t>
      </w:r>
      <w:r>
        <w:rPr>
          <w:rFonts w:ascii="Arial" w:cs="Arial" w:eastAsia="Arial" w:hAnsi="Arial"/>
          <w:sz w:val="21"/>
          <w:szCs w:val="21"/>
          <w:color w:val="auto"/>
        </w:rPr>
        <w:t>. The Plan is intended to constitute an unfunded plan maintained primarily for the purpose of providing an opportunity for deferred compensation for a select group of management or highly compensated employees, within the meaning of Section 201(2), 301(a)(3) and 401(a)(4) of the Employee Retirement Income Security Act of 1974 (“ERISA”), of Nordstrom, Inc., a Washington corporation, and its Participating Subsidiaries and Affiliates (“Company”).</w:t>
      </w:r>
    </w:p>
    <w:p>
      <w:pPr>
        <w:spacing w:after="0" w:line="216" w:lineRule="exact"/>
        <w:rPr>
          <w:sz w:val="20"/>
          <w:szCs w:val="20"/>
          <w:color w:val="auto"/>
        </w:rPr>
      </w:pPr>
    </w:p>
    <w:p>
      <w:pPr>
        <w:jc w:val="both"/>
        <w:spacing w:after="0" w:line="284" w:lineRule="auto"/>
        <w:rPr>
          <w:sz w:val="20"/>
          <w:szCs w:val="20"/>
          <w:color w:val="auto"/>
        </w:rPr>
      </w:pPr>
      <w:r>
        <w:rPr>
          <w:rFonts w:ascii="Arial" w:cs="Arial" w:eastAsia="Arial" w:hAnsi="Arial"/>
          <w:sz w:val="19"/>
          <w:szCs w:val="19"/>
          <w:color w:val="auto"/>
        </w:rPr>
        <w:t xml:space="preserve">1.3 </w:t>
      </w:r>
      <w:r>
        <w:rPr>
          <w:rFonts w:ascii="Arial" w:cs="Arial" w:eastAsia="Arial" w:hAnsi="Arial"/>
          <w:sz w:val="19"/>
          <w:szCs w:val="19"/>
          <w:u w:val="single" w:color="auto"/>
          <w:color w:val="auto"/>
        </w:rPr>
        <w:t>Effective Date</w:t>
      </w:r>
      <w:r>
        <w:rPr>
          <w:rFonts w:ascii="Arial" w:cs="Arial" w:eastAsia="Arial" w:hAnsi="Arial"/>
          <w:sz w:val="19"/>
          <w:szCs w:val="19"/>
          <w:color w:val="auto"/>
        </w:rPr>
        <w:t>. The Plan was originally effective as of January 1, 1994. The Plan was subsequently amended on a number of occasions and most recently was restated effective January 1, 2014. Except as otherwise stated herein, the effective date of this 2017 Restatement is November 1, 2017. Amounts deferred and vested prior to January 1, 2005 (and investment gains and losses attributable to such amounts) are governed by the 2003 Restatement and any amendments to the 2003 Restatement. Amounts initially deferred and vested after December 31, 2004 and before January 1, 2008 are subject to the provisions of the 2007 Restatement, except to the extent modified by transition rules separately documented by the Company. Amounts deferred and vested between January 1, 2008 and December 31, 2013 are similarly subject to the provisions of the 2007 Restatement, except as otherwise provided in the 2014. Amounts deferred and vested between January 1, 2014 and October 31, 2017 are subject to the provisions of the 2014 Restatement, except as otherwise provided in the 2017 Restatement.</w:t>
      </w:r>
    </w:p>
    <w:p>
      <w:pPr>
        <w:jc w:val="center"/>
        <w:ind w:right="-19"/>
        <w:spacing w:after="0"/>
        <w:rPr>
          <w:sz w:val="20"/>
          <w:szCs w:val="20"/>
          <w:color w:val="auto"/>
        </w:rPr>
      </w:pPr>
      <w:r>
        <w:rPr>
          <w:rFonts w:ascii="Arial" w:cs="Arial" w:eastAsia="Arial" w:hAnsi="Arial"/>
          <w:sz w:val="22"/>
          <w:szCs w:val="22"/>
          <w:color w:val="auto"/>
        </w:rPr>
        <w:t>ARTICLE II</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ELIGIBILITY</w:t>
      </w:r>
    </w:p>
    <w:p>
      <w:pPr>
        <w:spacing w:after="0" w:line="242"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u w:val="single" w:color="auto"/>
          <w:color w:val="auto"/>
        </w:rPr>
        <w:t>Eligible Employee</w:t>
      </w:r>
      <w:r>
        <w:rPr>
          <w:rFonts w:ascii="Arial" w:cs="Arial" w:eastAsia="Arial" w:hAnsi="Arial"/>
          <w:sz w:val="19"/>
          <w:szCs w:val="19"/>
          <w:color w:val="auto"/>
        </w:rPr>
        <w:t>. An “Eligible Employee” means, for any Plan Year, any employee of the Company who:</w:t>
      </w:r>
    </w:p>
    <w:p>
      <w:pPr>
        <w:spacing w:after="0" w:line="260" w:lineRule="exact"/>
        <w:rPr>
          <w:sz w:val="20"/>
          <w:szCs w:val="20"/>
          <w:color w:val="auto"/>
        </w:rPr>
      </w:pPr>
    </w:p>
    <w:p>
      <w:pPr>
        <w:ind w:left="1120" w:hanging="464"/>
        <w:spacing w:after="0"/>
        <w:tabs>
          <w:tab w:leader="none" w:pos="1120" w:val="left"/>
        </w:tabs>
        <w:numPr>
          <w:ilvl w:val="0"/>
          <w:numId w:val="76"/>
        </w:numPr>
        <w:rPr>
          <w:rFonts w:ascii="Arial" w:cs="Arial" w:eastAsia="Arial" w:hAnsi="Arial"/>
          <w:sz w:val="22"/>
          <w:szCs w:val="22"/>
          <w:color w:val="auto"/>
        </w:rPr>
      </w:pPr>
      <w:r>
        <w:rPr>
          <w:rFonts w:ascii="Arial" w:cs="Arial" w:eastAsia="Arial" w:hAnsi="Arial"/>
          <w:sz w:val="22"/>
          <w:szCs w:val="22"/>
          <w:color w:val="auto"/>
        </w:rPr>
        <w:t>Is employed in a “Leadership” capacity as defined by the Company’s Human Resources Department; and</w:t>
      </w:r>
    </w:p>
    <w:p>
      <w:pPr>
        <w:spacing w:after="0" w:line="260" w:lineRule="exact"/>
        <w:rPr>
          <w:rFonts w:ascii="Arial" w:cs="Arial" w:eastAsia="Arial" w:hAnsi="Arial"/>
          <w:sz w:val="22"/>
          <w:szCs w:val="22"/>
          <w:color w:val="auto"/>
        </w:rPr>
      </w:pPr>
    </w:p>
    <w:p>
      <w:pPr>
        <w:ind w:left="1120" w:hanging="464"/>
        <w:spacing w:after="0"/>
        <w:tabs>
          <w:tab w:leader="none" w:pos="1120" w:val="left"/>
        </w:tabs>
        <w:numPr>
          <w:ilvl w:val="0"/>
          <w:numId w:val="76"/>
        </w:numPr>
        <w:rPr>
          <w:rFonts w:ascii="Arial" w:cs="Arial" w:eastAsia="Arial" w:hAnsi="Arial"/>
          <w:sz w:val="22"/>
          <w:szCs w:val="22"/>
          <w:color w:val="auto"/>
        </w:rPr>
      </w:pPr>
      <w:r>
        <w:rPr>
          <w:rFonts w:ascii="Arial" w:cs="Arial" w:eastAsia="Arial" w:hAnsi="Arial"/>
          <w:sz w:val="22"/>
          <w:szCs w:val="22"/>
          <w:color w:val="auto"/>
        </w:rPr>
        <w:t>For Plan Years beginning on and after January 1, 2014, either:</w:t>
      </w:r>
    </w:p>
    <w:p>
      <w:pPr>
        <w:spacing w:after="0" w:line="260" w:lineRule="exact"/>
        <w:rPr>
          <w:rFonts w:ascii="Arial" w:cs="Arial" w:eastAsia="Arial" w:hAnsi="Arial"/>
          <w:sz w:val="22"/>
          <w:szCs w:val="22"/>
          <w:color w:val="auto"/>
        </w:rPr>
      </w:pPr>
    </w:p>
    <w:p>
      <w:pPr>
        <w:jc w:val="both"/>
        <w:ind w:left="660" w:firstLine="645"/>
        <w:spacing w:after="0" w:line="253" w:lineRule="auto"/>
        <w:tabs>
          <w:tab w:leader="none" w:pos="1801" w:val="left"/>
        </w:tabs>
        <w:numPr>
          <w:ilvl w:val="1"/>
          <w:numId w:val="76"/>
        </w:numPr>
        <w:rPr>
          <w:rFonts w:ascii="Arial" w:cs="Arial" w:eastAsia="Arial" w:hAnsi="Arial"/>
          <w:sz w:val="22"/>
          <w:szCs w:val="22"/>
          <w:color w:val="auto"/>
        </w:rPr>
      </w:pPr>
      <w:r>
        <w:rPr>
          <w:rFonts w:ascii="Arial" w:cs="Arial" w:eastAsia="Arial" w:hAnsi="Arial"/>
          <w:sz w:val="22"/>
          <w:szCs w:val="22"/>
          <w:color w:val="auto"/>
        </w:rPr>
        <w:t>Has current annualized Base Compensation (as defined in 3.1 (b )(1)) of not less than the Code section 414(q) limitation in effect at the beginning of such Plan Year (e.g., for the Plan Year beginning January 1, 2018, this limitation is $120,000); or</w:t>
      </w:r>
    </w:p>
    <w:p>
      <w:pPr>
        <w:spacing w:after="0" w:line="226" w:lineRule="exact"/>
        <w:rPr>
          <w:rFonts w:ascii="Arial" w:cs="Arial" w:eastAsia="Arial" w:hAnsi="Arial"/>
          <w:sz w:val="22"/>
          <w:szCs w:val="22"/>
          <w:color w:val="auto"/>
        </w:rPr>
      </w:pPr>
    </w:p>
    <w:p>
      <w:pPr>
        <w:jc w:val="both"/>
        <w:ind w:left="660" w:right="120" w:firstLine="645"/>
        <w:spacing w:after="0" w:line="260" w:lineRule="auto"/>
        <w:tabs>
          <w:tab w:leader="none" w:pos="1827" w:val="left"/>
        </w:tabs>
        <w:numPr>
          <w:ilvl w:val="1"/>
          <w:numId w:val="76"/>
        </w:numPr>
        <w:rPr>
          <w:rFonts w:ascii="Arial" w:cs="Arial" w:eastAsia="Arial" w:hAnsi="Arial"/>
          <w:sz w:val="22"/>
          <w:szCs w:val="22"/>
          <w:color w:val="auto"/>
        </w:rPr>
      </w:pPr>
      <w:r>
        <w:rPr>
          <w:rFonts w:ascii="Arial" w:cs="Arial" w:eastAsia="Arial" w:hAnsi="Arial"/>
          <w:sz w:val="22"/>
          <w:szCs w:val="22"/>
          <w:color w:val="auto"/>
        </w:rPr>
        <w:t>Whose total Base Compensation determined in (b</w:t>
      </w:r>
      <w:r>
        <w:rPr>
          <w:rFonts w:ascii="Arial" w:cs="Arial" w:eastAsia="Arial" w:hAnsi="Arial"/>
          <w:sz w:val="20"/>
          <w:szCs w:val="20"/>
          <w:color w:val="auto"/>
        </w:rPr>
        <w:t>)(1)</w:t>
      </w:r>
      <w:r>
        <w:rPr>
          <w:rFonts w:ascii="Arial" w:cs="Arial" w:eastAsia="Arial" w:hAnsi="Arial"/>
          <w:sz w:val="22"/>
          <w:szCs w:val="22"/>
          <w:color w:val="auto"/>
        </w:rPr>
        <w:t xml:space="preserve"> above plus Bonus Compensation (as defined in Section 3.1(b)(2))received in the immediately preceding Plan Year exceeded the Code section 414(q</w:t>
      </w:r>
      <w:r>
        <w:rPr>
          <w:rFonts w:ascii="Arial" w:cs="Arial" w:eastAsia="Arial" w:hAnsi="Arial"/>
          <w:sz w:val="19"/>
          <w:szCs w:val="19"/>
          <w:color w:val="auto"/>
        </w:rPr>
        <w:t>)</w:t>
      </w:r>
      <w:r>
        <w:rPr>
          <w:rFonts w:ascii="Arial" w:cs="Arial" w:eastAsia="Arial" w:hAnsi="Arial"/>
          <w:sz w:val="22"/>
          <w:szCs w:val="22"/>
          <w:color w:val="auto"/>
        </w:rPr>
        <w:t xml:space="preserve"> limitation referenced in (b</w:t>
      </w:r>
      <w:r>
        <w:rPr>
          <w:rFonts w:ascii="Arial" w:cs="Arial" w:eastAsia="Arial" w:hAnsi="Arial"/>
          <w:sz w:val="20"/>
          <w:szCs w:val="20"/>
          <w:color w:val="auto"/>
        </w:rPr>
        <w:t>)(1)</w:t>
      </w:r>
      <w:r>
        <w:rPr>
          <w:rFonts w:ascii="Arial" w:cs="Arial" w:eastAsia="Arial" w:hAnsi="Arial"/>
          <w:sz w:val="22"/>
          <w:szCs w:val="22"/>
          <w:color w:val="auto"/>
        </w:rPr>
        <w:t xml:space="preserve"> above; and</w:t>
      </w:r>
    </w:p>
    <w:p>
      <w:pPr>
        <w:spacing w:after="0" w:line="217" w:lineRule="exact"/>
        <w:rPr>
          <w:rFonts w:ascii="Arial" w:cs="Arial" w:eastAsia="Arial" w:hAnsi="Arial"/>
          <w:sz w:val="22"/>
          <w:szCs w:val="22"/>
          <w:color w:val="auto"/>
        </w:rPr>
      </w:pPr>
    </w:p>
    <w:p>
      <w:pPr>
        <w:ind w:left="1160" w:hanging="504"/>
        <w:spacing w:after="0"/>
        <w:tabs>
          <w:tab w:leader="none" w:pos="1160" w:val="left"/>
        </w:tabs>
        <w:numPr>
          <w:ilvl w:val="0"/>
          <w:numId w:val="76"/>
        </w:numPr>
        <w:rPr>
          <w:rFonts w:ascii="Arial" w:cs="Arial" w:eastAsia="Arial" w:hAnsi="Arial"/>
          <w:sz w:val="22"/>
          <w:szCs w:val="22"/>
          <w:color w:val="auto"/>
        </w:rPr>
      </w:pPr>
      <w:r>
        <w:rPr>
          <w:rFonts w:ascii="Arial" w:cs="Arial" w:eastAsia="Arial" w:hAnsi="Arial"/>
          <w:sz w:val="22"/>
          <w:szCs w:val="22"/>
          <w:color w:val="auto"/>
        </w:rPr>
        <w:t>has been designated as eligible by the Administrative Committee or its delegate.</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847" w:right="239" w:bottom="1440" w:gutter="0" w:footer="0" w:header="0"/>
        </w:sectPr>
      </w:pPr>
    </w:p>
    <w:bookmarkStart w:id="83" w:name="page84"/>
    <w:bookmarkEnd w:id="83"/>
    <w:p>
      <w:pPr>
        <w:spacing w:after="0" w:line="263" w:lineRule="auto"/>
        <w:rPr>
          <w:sz w:val="20"/>
          <w:szCs w:val="20"/>
          <w:color w:val="auto"/>
        </w:rPr>
      </w:pPr>
      <w:r>
        <w:rPr>
          <w:rFonts w:ascii="Arial" w:cs="Arial" w:eastAsia="Arial" w:hAnsi="Arial"/>
          <w:sz w:val="22"/>
          <w:szCs w:val="22"/>
          <w:color w:val="auto"/>
        </w:rPr>
        <w:t>Subject to the provisions of the Plan, all Eligible Employees will be eligible to defer compensation and receive benefits at the time and in the manner provided hereunder.</w:t>
      </w:r>
    </w:p>
    <w:p>
      <w:pPr>
        <w:spacing w:after="0" w:line="215"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19"/>
          <w:szCs w:val="19"/>
          <w:u w:val="single" w:color="auto"/>
          <w:color w:val="auto"/>
        </w:rPr>
        <w:t>Entry Date</w:t>
      </w:r>
      <w:r>
        <w:rPr>
          <w:rFonts w:ascii="Arial" w:cs="Arial" w:eastAsia="Arial" w:hAnsi="Arial"/>
          <w:sz w:val="19"/>
          <w:szCs w:val="19"/>
          <w:color w:val="auto"/>
        </w:rPr>
        <w:t>. An Eligible Employee shall be eligible to participate in the Plan as follows:</w:t>
      </w:r>
    </w:p>
    <w:p>
      <w:pPr>
        <w:spacing w:after="0" w:line="260" w:lineRule="exact"/>
        <w:rPr>
          <w:sz w:val="20"/>
          <w:szCs w:val="20"/>
          <w:color w:val="auto"/>
        </w:rPr>
      </w:pPr>
    </w:p>
    <w:p>
      <w:pPr>
        <w:ind w:firstLine="656"/>
        <w:spacing w:after="0" w:line="263" w:lineRule="auto"/>
        <w:tabs>
          <w:tab w:leader="none" w:pos="1104" w:val="left"/>
        </w:tabs>
        <w:numPr>
          <w:ilvl w:val="0"/>
          <w:numId w:val="77"/>
        </w:numPr>
        <w:rPr>
          <w:rFonts w:ascii="Arial" w:cs="Arial" w:eastAsia="Arial" w:hAnsi="Arial"/>
          <w:sz w:val="22"/>
          <w:szCs w:val="22"/>
          <w:color w:val="auto"/>
        </w:rPr>
      </w:pPr>
      <w:r>
        <w:rPr>
          <w:rFonts w:ascii="Arial" w:cs="Arial" w:eastAsia="Arial" w:hAnsi="Arial"/>
          <w:sz w:val="22"/>
          <w:szCs w:val="22"/>
          <w:color w:val="auto"/>
        </w:rPr>
        <w:t>Eligible Employees who are first hired by the Company during a plan year shall be eligible to participate in the Plan on March 1, June 1 or September 1 following the date he or she first becomes an Eligible Employee.</w:t>
      </w:r>
    </w:p>
    <w:p>
      <w:pPr>
        <w:spacing w:after="0" w:line="215" w:lineRule="exact"/>
        <w:rPr>
          <w:rFonts w:ascii="Arial" w:cs="Arial" w:eastAsia="Arial" w:hAnsi="Arial"/>
          <w:sz w:val="22"/>
          <w:szCs w:val="22"/>
          <w:color w:val="auto"/>
        </w:rPr>
      </w:pPr>
    </w:p>
    <w:p>
      <w:pPr>
        <w:ind w:firstLine="656"/>
        <w:spacing w:after="0" w:line="263" w:lineRule="auto"/>
        <w:tabs>
          <w:tab w:leader="none" w:pos="1135" w:val="left"/>
        </w:tabs>
        <w:numPr>
          <w:ilvl w:val="0"/>
          <w:numId w:val="77"/>
        </w:numPr>
        <w:rPr>
          <w:rFonts w:ascii="Arial" w:cs="Arial" w:eastAsia="Arial" w:hAnsi="Arial"/>
          <w:sz w:val="22"/>
          <w:szCs w:val="22"/>
          <w:color w:val="auto"/>
        </w:rPr>
      </w:pPr>
      <w:r>
        <w:rPr>
          <w:rFonts w:ascii="Arial" w:cs="Arial" w:eastAsia="Arial" w:hAnsi="Arial"/>
          <w:sz w:val="22"/>
          <w:szCs w:val="22"/>
          <w:color w:val="auto"/>
        </w:rPr>
        <w:t>All other Eligible Employees shall be eligible to participate in the Plan on January 1 of the year following the year in which he or she became an Eligible Employee.</w:t>
      </w:r>
    </w:p>
    <w:p>
      <w:pPr>
        <w:spacing w:after="0" w:line="21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2.3 </w:t>
      </w:r>
      <w:r>
        <w:rPr>
          <w:rFonts w:ascii="Arial" w:cs="Arial" w:eastAsia="Arial" w:hAnsi="Arial"/>
          <w:sz w:val="22"/>
          <w:szCs w:val="22"/>
          <w:u w:val="single" w:color="auto"/>
          <w:color w:val="auto"/>
        </w:rPr>
        <w:t>When Participation Begins</w:t>
      </w:r>
      <w:r>
        <w:rPr>
          <w:rFonts w:ascii="Arial" w:cs="Arial" w:eastAsia="Arial" w:hAnsi="Arial"/>
          <w:sz w:val="22"/>
          <w:szCs w:val="22"/>
          <w:color w:val="auto"/>
        </w:rPr>
        <w:t>. An Eligible Employee becomes a “Participant” in the Plan for the Plan Year when he or she elects to defer a portion of Eligible Compensation (defined in 3.1(b)) during the applicable Election Period pursuant to the terms of the Plan and Article III. The “Election Period” is either the Annual Election Period or, for newly hired and eligible Employees, the Initial Election Period, determined as follows:</w:t>
      </w:r>
    </w:p>
    <w:p>
      <w:pPr>
        <w:spacing w:after="0" w:line="229" w:lineRule="exact"/>
        <w:rPr>
          <w:sz w:val="20"/>
          <w:szCs w:val="20"/>
          <w:color w:val="auto"/>
        </w:rPr>
      </w:pPr>
    </w:p>
    <w:p>
      <w:pPr>
        <w:jc w:val="both"/>
        <w:ind w:firstLine="656"/>
        <w:spacing w:after="0" w:line="246" w:lineRule="auto"/>
        <w:tabs>
          <w:tab w:leader="none" w:pos="1239"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Annual Election Period</w:t>
      </w:r>
      <w:r>
        <w:rPr>
          <w:rFonts w:ascii="Arial" w:cs="Arial" w:eastAsia="Arial" w:hAnsi="Arial"/>
          <w:sz w:val="22"/>
          <w:szCs w:val="22"/>
          <w:color w:val="auto"/>
        </w:rPr>
        <w:t>. “Annual Election Period” means the period designated each year during which Eligible Employees submit their elections to defer compensation. Leadership Benefits has discretion to establish the Annual Election Period and may establish different Annual Election Periods for different types of compensation, provided that annual elections must become irrevocable not later than the time specified under Code Section 409A. A Participant’s deferral election with respect to Base Compensation and Bonus Compensation at an Annual Election Period must become irrevocable not later than December 31 of the year preceding the year in which the Participant performs services generating the Base Compensation and the Bonus Compensation.</w:t>
      </w:r>
    </w:p>
    <w:p>
      <w:pPr>
        <w:spacing w:after="0" w:line="237" w:lineRule="exact"/>
        <w:rPr>
          <w:rFonts w:ascii="Arial" w:cs="Arial" w:eastAsia="Arial" w:hAnsi="Arial"/>
          <w:sz w:val="22"/>
          <w:szCs w:val="22"/>
          <w:color w:val="auto"/>
        </w:rPr>
      </w:pPr>
    </w:p>
    <w:p>
      <w:pPr>
        <w:jc w:val="both"/>
        <w:ind w:firstLine="656"/>
        <w:spacing w:after="0" w:line="294" w:lineRule="auto"/>
        <w:tabs>
          <w:tab w:leader="none" w:pos="1211" w:val="left"/>
        </w:tabs>
        <w:numPr>
          <w:ilvl w:val="0"/>
          <w:numId w:val="78"/>
        </w:numPr>
        <w:rPr>
          <w:rFonts w:ascii="Arial" w:cs="Arial" w:eastAsia="Arial" w:hAnsi="Arial"/>
          <w:sz w:val="19"/>
          <w:szCs w:val="19"/>
          <w:color w:val="auto"/>
        </w:rPr>
      </w:pPr>
      <w:r>
        <w:rPr>
          <w:rFonts w:ascii="Arial" w:cs="Arial" w:eastAsia="Arial" w:hAnsi="Arial"/>
          <w:sz w:val="19"/>
          <w:szCs w:val="19"/>
          <w:u w:val="single" w:color="auto"/>
          <w:color w:val="auto"/>
        </w:rPr>
        <w:t>Initial Election Period</w:t>
      </w:r>
      <w:r>
        <w:rPr>
          <w:rFonts w:ascii="Arial" w:cs="Arial" w:eastAsia="Arial" w:hAnsi="Arial"/>
          <w:sz w:val="19"/>
          <w:szCs w:val="19"/>
          <w:color w:val="auto"/>
        </w:rPr>
        <w:t>. The Initial Election Period for any employee who first becomes an Employee and Eligible Employee during the Plan Year is the period of thirty (30) days that begins on his or her Entry Date under 2.2. An Eligible Employee’s election relates only to Compensation paid for services to be performed subsequent to the election and applies only to Base Compensation. Deferral of Bonus Compensation, Performance Share Units and Restricted Stock Units can be elected only during an Annual Election Period and, for Performance Share Units and Restricted Stock Units, can be elected only if the award agreement underlying the Performance Share Units or Restricted Stock Units specifically includes deferral provisions.</w:t>
      </w:r>
    </w:p>
    <w:p>
      <w:pPr>
        <w:spacing w:after="0" w:line="190"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 xml:space="preserve">2.4 </w:t>
      </w:r>
      <w:r>
        <w:rPr>
          <w:rFonts w:ascii="Arial" w:cs="Arial" w:eastAsia="Arial" w:hAnsi="Arial"/>
          <w:sz w:val="21"/>
          <w:szCs w:val="21"/>
          <w:u w:val="single" w:color="auto"/>
          <w:color w:val="auto"/>
        </w:rPr>
        <w:t>Suspension of Participation</w:t>
      </w:r>
      <w:r>
        <w:rPr>
          <w:rFonts w:ascii="Arial" w:cs="Arial" w:eastAsia="Arial" w:hAnsi="Arial"/>
          <w:sz w:val="21"/>
          <w:szCs w:val="21"/>
          <w:color w:val="auto"/>
        </w:rPr>
        <w:t>. If a Participant receives an unscheduled in-service distribution (with penalty) under the 2003 Restatement of this Plan, the Participant’s eligibility to defer under this Plan shall continue for the remainder of the Plan Year in which the unscheduled in-service distribution is received, but shall be suspended for the next two Plan Years.</w:t>
      </w:r>
    </w:p>
    <w:p>
      <w:pPr>
        <w:spacing w:after="0" w:line="20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 xml:space="preserve">2.5 </w:t>
      </w:r>
      <w:r>
        <w:rPr>
          <w:rFonts w:ascii="Arial" w:cs="Arial" w:eastAsia="Arial" w:hAnsi="Arial"/>
          <w:sz w:val="22"/>
          <w:szCs w:val="22"/>
          <w:u w:val="single" w:color="auto"/>
          <w:color w:val="auto"/>
        </w:rPr>
        <w:t>When Participation Ends</w:t>
      </w:r>
      <w:r>
        <w:rPr>
          <w:rFonts w:ascii="Arial" w:cs="Arial" w:eastAsia="Arial" w:hAnsi="Arial"/>
          <w:sz w:val="22"/>
          <w:szCs w:val="22"/>
          <w:color w:val="auto"/>
        </w:rPr>
        <w:t>. An individual remains a Participant as long as he or she has an Account balance that has not yet been entirely distributed. If, prior to a Participant’s Termination Date, a Participant has ceased to be a member of a select group of management or highly</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1104" w:right="239" w:bottom="1440" w:gutter="0" w:footer="0" w:header="0"/>
        </w:sectPr>
      </w:pPr>
    </w:p>
    <w:bookmarkStart w:id="84" w:name="page85"/>
    <w:bookmarkEnd w:id="84"/>
    <w:p>
      <w:pPr>
        <w:jc w:val="both"/>
        <w:spacing w:after="0" w:line="259" w:lineRule="auto"/>
        <w:rPr>
          <w:sz w:val="20"/>
          <w:szCs w:val="20"/>
          <w:color w:val="auto"/>
        </w:rPr>
      </w:pPr>
      <w:r>
        <w:rPr>
          <w:rFonts w:ascii="Arial" w:cs="Arial" w:eastAsia="Arial" w:hAnsi="Arial"/>
          <w:sz w:val="21"/>
          <w:szCs w:val="21"/>
          <w:color w:val="auto"/>
        </w:rPr>
        <w:t>compensated employees of the Company within the meaning of Sections 201(2), 301(a)(3) and 401(a)(4) of ERISA, such Participant’s deferral elections shall continue for the remainder of the Plan Year to which the deferral elections relate. However, the Participant shall become ineligible to defer compensation under the Plan effective with the next Plan Year, and the Participant shall not re-establish eligibility to defer compensation until such time as he or she once again becomes a member of a select group of management or highly compensated employees and meets the other eligibility requirements set forth in the Plan. The Participant’s Account will be distributed at the time and in the form specified by the terms of the Plan and the Participant’s elections. Notwithstanding the forgoing, if an Eligible Employee transfers to a foreign subsidiary of the Company, his or her deferrals under the Plan shall cease upon such transfer and the Participant’s Account will be distributed at the time and in the form specified by the terms of the Plan and the Participant’s elections.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DEFERRAL OF COMPENSATION</w:t>
      </w:r>
    </w:p>
    <w:p>
      <w:pPr>
        <w:spacing w:after="0" w:line="24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 xml:space="preserve">3.1 </w:t>
      </w:r>
      <w:r>
        <w:rPr>
          <w:rFonts w:ascii="Arial" w:cs="Arial" w:eastAsia="Arial" w:hAnsi="Arial"/>
          <w:sz w:val="22"/>
          <w:szCs w:val="22"/>
          <w:u w:val="single" w:color="auto"/>
          <w:color w:val="auto"/>
        </w:rPr>
        <w:t>Deferral Elections</w:t>
      </w:r>
      <w:r>
        <w:rPr>
          <w:rFonts w:ascii="Arial" w:cs="Arial" w:eastAsia="Arial" w:hAnsi="Arial"/>
          <w:sz w:val="22"/>
          <w:szCs w:val="22"/>
          <w:color w:val="auto"/>
        </w:rPr>
        <w:t>. Upon becoming eligible to be a Participant under Section 2.2, and for any Plan Year thereafter (subject to Sections 2.4 and 2.5), an Eligible Employee who wishes to defer compensation under this Plan must properly execute a Deferral Agreement on or before the last day of the applicable Election Period.</w:t>
      </w:r>
    </w:p>
    <w:p>
      <w:pPr>
        <w:spacing w:after="0" w:line="226" w:lineRule="exact"/>
        <w:rPr>
          <w:sz w:val="20"/>
          <w:szCs w:val="20"/>
          <w:color w:val="auto"/>
        </w:rPr>
      </w:pPr>
    </w:p>
    <w:p>
      <w:pPr>
        <w:ind w:firstLine="656"/>
        <w:spacing w:after="0" w:line="263" w:lineRule="auto"/>
        <w:tabs>
          <w:tab w:leader="none" w:pos="1158" w:val="left"/>
        </w:tabs>
        <w:numPr>
          <w:ilvl w:val="0"/>
          <w:numId w:val="79"/>
        </w:numPr>
        <w:rPr>
          <w:rFonts w:ascii="Arial" w:cs="Arial" w:eastAsia="Arial" w:hAnsi="Arial"/>
          <w:sz w:val="22"/>
          <w:szCs w:val="22"/>
          <w:color w:val="auto"/>
        </w:rPr>
      </w:pPr>
      <w:r>
        <w:rPr>
          <w:rFonts w:ascii="Arial" w:cs="Arial" w:eastAsia="Arial" w:hAnsi="Arial"/>
          <w:sz w:val="22"/>
          <w:szCs w:val="22"/>
          <w:u w:val="single" w:color="auto"/>
          <w:color w:val="auto"/>
        </w:rPr>
        <w:t>Deferral Agreement</w:t>
      </w:r>
      <w:r>
        <w:rPr>
          <w:rFonts w:ascii="Arial" w:cs="Arial" w:eastAsia="Arial" w:hAnsi="Arial"/>
          <w:sz w:val="22"/>
          <w:szCs w:val="22"/>
          <w:color w:val="auto"/>
        </w:rPr>
        <w:t>. As used in this Plan, the term “Deferral Agreement” means the form prescribed by Leadership Benefits, by which the Participant:</w:t>
      </w:r>
    </w:p>
    <w:p>
      <w:pPr>
        <w:spacing w:after="0" w:line="215" w:lineRule="exact"/>
        <w:rPr>
          <w:rFonts w:ascii="Arial" w:cs="Arial" w:eastAsia="Arial" w:hAnsi="Arial"/>
          <w:sz w:val="22"/>
          <w:szCs w:val="22"/>
          <w:color w:val="auto"/>
        </w:rPr>
      </w:pPr>
    </w:p>
    <w:p>
      <w:pPr>
        <w:ind w:left="1780" w:hanging="475"/>
        <w:spacing w:after="0"/>
        <w:tabs>
          <w:tab w:leader="none" w:pos="1780" w:val="left"/>
        </w:tabs>
        <w:numPr>
          <w:ilvl w:val="1"/>
          <w:numId w:val="79"/>
        </w:numPr>
        <w:rPr>
          <w:rFonts w:ascii="Arial" w:cs="Arial" w:eastAsia="Arial" w:hAnsi="Arial"/>
          <w:sz w:val="19"/>
          <w:szCs w:val="19"/>
          <w:color w:val="auto"/>
        </w:rPr>
      </w:pPr>
      <w:r>
        <w:rPr>
          <w:rFonts w:ascii="Arial" w:cs="Arial" w:eastAsia="Arial" w:hAnsi="Arial"/>
          <w:sz w:val="19"/>
          <w:szCs w:val="19"/>
          <w:color w:val="auto"/>
        </w:rPr>
        <w:t>indicates and agrees to defer a portion of the Participant’s Eligible Compensation for any Plan Year; and</w:t>
      </w:r>
    </w:p>
    <w:p>
      <w:pPr>
        <w:spacing w:after="0" w:line="294" w:lineRule="exact"/>
        <w:rPr>
          <w:rFonts w:ascii="Arial" w:cs="Arial" w:eastAsia="Arial" w:hAnsi="Arial"/>
          <w:sz w:val="19"/>
          <w:szCs w:val="19"/>
          <w:color w:val="auto"/>
        </w:rPr>
      </w:pPr>
    </w:p>
    <w:p>
      <w:pPr>
        <w:ind w:left="1780" w:hanging="475"/>
        <w:spacing w:after="0"/>
        <w:tabs>
          <w:tab w:leader="none" w:pos="1780" w:val="left"/>
        </w:tabs>
        <w:numPr>
          <w:ilvl w:val="1"/>
          <w:numId w:val="79"/>
        </w:numPr>
        <w:rPr>
          <w:rFonts w:ascii="Arial" w:cs="Arial" w:eastAsia="Arial" w:hAnsi="Arial"/>
          <w:sz w:val="22"/>
          <w:szCs w:val="22"/>
          <w:color w:val="auto"/>
        </w:rPr>
      </w:pPr>
      <w:r>
        <w:rPr>
          <w:rFonts w:ascii="Arial" w:cs="Arial" w:eastAsia="Arial" w:hAnsi="Arial"/>
          <w:sz w:val="22"/>
          <w:szCs w:val="22"/>
          <w:color w:val="auto"/>
        </w:rPr>
        <w:t>specifies the time and form of payment for amounts deferred for the Plan Year.</w:t>
      </w:r>
    </w:p>
    <w:p>
      <w:pPr>
        <w:spacing w:after="0" w:line="260"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For this purpose, an Eligible Employee will be considered to have properly executed a Deferral Agreement when he or she has enrolled via an online system, or completed, signed and returned the appropriate form of Deferral Agreement to Leadership Benefits, each in a manner approved by Leadership Benefits.</w:t>
      </w:r>
    </w:p>
    <w:p>
      <w:pPr>
        <w:spacing w:after="0" w:line="226" w:lineRule="exact"/>
        <w:rPr>
          <w:sz w:val="20"/>
          <w:szCs w:val="20"/>
          <w:color w:val="auto"/>
        </w:rPr>
      </w:pPr>
    </w:p>
    <w:p>
      <w:pPr>
        <w:ind w:right="20" w:firstLine="656"/>
        <w:spacing w:after="0" w:line="263" w:lineRule="auto"/>
        <w:tabs>
          <w:tab w:leader="none" w:pos="1278" w:val="left"/>
        </w:tabs>
        <w:numPr>
          <w:ilvl w:val="0"/>
          <w:numId w:val="80"/>
        </w:numPr>
        <w:rPr>
          <w:rFonts w:ascii="Arial" w:cs="Arial" w:eastAsia="Arial" w:hAnsi="Arial"/>
          <w:sz w:val="22"/>
          <w:szCs w:val="22"/>
          <w:color w:val="auto"/>
        </w:rPr>
      </w:pPr>
      <w:r>
        <w:rPr>
          <w:rFonts w:ascii="Arial" w:cs="Arial" w:eastAsia="Arial" w:hAnsi="Arial"/>
          <w:sz w:val="22"/>
          <w:szCs w:val="22"/>
          <w:u w:val="single" w:color="auto"/>
          <w:color w:val="auto"/>
        </w:rPr>
        <w:t>Eligible Compensation</w:t>
      </w:r>
      <w:r>
        <w:rPr>
          <w:rFonts w:ascii="Arial" w:cs="Arial" w:eastAsia="Arial" w:hAnsi="Arial"/>
          <w:sz w:val="22"/>
          <w:szCs w:val="22"/>
          <w:color w:val="auto"/>
        </w:rPr>
        <w:t>. For purposes of this Plan, the following items of a Participant’s remuneration shall be considered “Eligible Compensation”:</w:t>
      </w:r>
    </w:p>
    <w:p>
      <w:pPr>
        <w:spacing w:after="0" w:line="215" w:lineRule="exact"/>
        <w:rPr>
          <w:rFonts w:ascii="Arial" w:cs="Arial" w:eastAsia="Arial" w:hAnsi="Arial"/>
          <w:sz w:val="22"/>
          <w:szCs w:val="22"/>
          <w:color w:val="auto"/>
        </w:rPr>
      </w:pPr>
    </w:p>
    <w:p>
      <w:pPr>
        <w:jc w:val="both"/>
        <w:ind w:left="660" w:firstLine="645"/>
        <w:spacing w:after="0" w:line="248" w:lineRule="auto"/>
        <w:tabs>
          <w:tab w:leader="none" w:pos="1790" w:val="left"/>
        </w:tabs>
        <w:numPr>
          <w:ilvl w:val="1"/>
          <w:numId w:val="80"/>
        </w:numPr>
        <w:rPr>
          <w:rFonts w:ascii="Arial" w:cs="Arial" w:eastAsia="Arial" w:hAnsi="Arial"/>
          <w:sz w:val="22"/>
          <w:szCs w:val="22"/>
          <w:color w:val="auto"/>
        </w:rPr>
      </w:pPr>
      <w:r>
        <w:rPr>
          <w:rFonts w:ascii="Arial" w:cs="Arial" w:eastAsia="Arial" w:hAnsi="Arial"/>
          <w:sz w:val="22"/>
          <w:szCs w:val="22"/>
          <w:u w:val="single" w:color="auto"/>
          <w:color w:val="auto"/>
        </w:rPr>
        <w:t>Base Compensation</w:t>
      </w:r>
      <w:r>
        <w:rPr>
          <w:rFonts w:ascii="Arial" w:cs="Arial" w:eastAsia="Arial" w:hAnsi="Arial"/>
          <w:sz w:val="22"/>
          <w:szCs w:val="22"/>
          <w:color w:val="auto"/>
        </w:rPr>
        <w:t>. A Participant’s Base Compensation, which means a Participant’s base salary scheduled to be paid in the normal course through the Company’s regular payroll cycles (including amounts characterized by the Company as International Premium Pay). Deferrals to this Plan are calculated and deducted before any deferrals under the 401(k) Plan, the Company’s cafeteria plan under Code Section 125, and the Company’s transportation fringe benefits plan under Code Section 132(f).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847" w:right="239" w:bottom="1440" w:gutter="0" w:footer="0" w:header="0"/>
        </w:sectPr>
      </w:pPr>
    </w:p>
    <w:bookmarkStart w:id="85" w:name="page86"/>
    <w:bookmarkEnd w:id="85"/>
    <w:p>
      <w:pPr>
        <w:jc w:val="both"/>
        <w:ind w:left="660" w:firstLine="645"/>
        <w:spacing w:after="0" w:line="271" w:lineRule="auto"/>
        <w:tabs>
          <w:tab w:leader="none" w:pos="1844" w:val="left"/>
        </w:tabs>
        <w:numPr>
          <w:ilvl w:val="0"/>
          <w:numId w:val="81"/>
        </w:numPr>
        <w:rPr>
          <w:rFonts w:ascii="Arial" w:cs="Arial" w:eastAsia="Arial" w:hAnsi="Arial"/>
          <w:sz w:val="21"/>
          <w:szCs w:val="21"/>
          <w:color w:val="auto"/>
        </w:rPr>
      </w:pPr>
      <w:r>
        <w:rPr>
          <w:rFonts w:ascii="Arial" w:cs="Arial" w:eastAsia="Arial" w:hAnsi="Arial"/>
          <w:sz w:val="21"/>
          <w:szCs w:val="21"/>
          <w:u w:val="single" w:color="auto"/>
          <w:color w:val="auto"/>
        </w:rPr>
        <w:t>Bonus Compensation</w:t>
      </w:r>
      <w:r>
        <w:rPr>
          <w:rFonts w:ascii="Arial" w:cs="Arial" w:eastAsia="Arial" w:hAnsi="Arial"/>
          <w:sz w:val="21"/>
          <w:szCs w:val="21"/>
          <w:color w:val="auto"/>
        </w:rPr>
        <w:t>. A Participant’s Bonus Compensation, scheduled to be paid to the Participant either in cash or stock. Bonus Compensation means the amount, determined annually based on the Participant’s job performance and other factors, that is paid to the Participant in excess of the Participant’s Base Compensation.</w:t>
      </w:r>
    </w:p>
    <w:p>
      <w:pPr>
        <w:spacing w:after="0" w:line="208" w:lineRule="exact"/>
        <w:rPr>
          <w:rFonts w:ascii="Arial" w:cs="Arial" w:eastAsia="Arial" w:hAnsi="Arial"/>
          <w:sz w:val="21"/>
          <w:szCs w:val="21"/>
          <w:color w:val="auto"/>
        </w:rPr>
      </w:pPr>
    </w:p>
    <w:p>
      <w:pPr>
        <w:ind w:left="660" w:firstLine="645"/>
        <w:spacing w:after="0" w:line="263" w:lineRule="auto"/>
        <w:tabs>
          <w:tab w:leader="none" w:pos="1817" w:val="left"/>
        </w:tabs>
        <w:numPr>
          <w:ilvl w:val="0"/>
          <w:numId w:val="81"/>
        </w:numPr>
        <w:rPr>
          <w:rFonts w:ascii="Arial" w:cs="Arial" w:eastAsia="Arial" w:hAnsi="Arial"/>
          <w:sz w:val="22"/>
          <w:szCs w:val="22"/>
          <w:color w:val="auto"/>
        </w:rPr>
      </w:pPr>
      <w:r>
        <w:rPr>
          <w:rFonts w:ascii="Arial" w:cs="Arial" w:eastAsia="Arial" w:hAnsi="Arial"/>
          <w:sz w:val="22"/>
          <w:szCs w:val="22"/>
          <w:u w:val="single" w:color="auto"/>
          <w:color w:val="auto"/>
        </w:rPr>
        <w:t>Performance Share Units</w:t>
      </w:r>
      <w:r>
        <w:rPr>
          <w:rFonts w:ascii="Arial" w:cs="Arial" w:eastAsia="Arial" w:hAnsi="Arial"/>
          <w:sz w:val="22"/>
          <w:szCs w:val="22"/>
          <w:color w:val="auto"/>
        </w:rPr>
        <w:t>. A Participant’s Performance Share Units as defined in and governed by the Equity Incentive Plan.</w:t>
      </w:r>
    </w:p>
    <w:p>
      <w:pPr>
        <w:spacing w:after="0" w:line="215" w:lineRule="exact"/>
        <w:rPr>
          <w:rFonts w:ascii="Arial" w:cs="Arial" w:eastAsia="Arial" w:hAnsi="Arial"/>
          <w:sz w:val="22"/>
          <w:szCs w:val="22"/>
          <w:color w:val="auto"/>
        </w:rPr>
      </w:pPr>
    </w:p>
    <w:p>
      <w:pPr>
        <w:ind w:left="660" w:firstLine="645"/>
        <w:spacing w:after="0" w:line="263" w:lineRule="auto"/>
        <w:tabs>
          <w:tab w:leader="none" w:pos="1925" w:val="left"/>
        </w:tabs>
        <w:numPr>
          <w:ilvl w:val="0"/>
          <w:numId w:val="81"/>
        </w:numPr>
        <w:rPr>
          <w:rFonts w:ascii="Arial" w:cs="Arial" w:eastAsia="Arial" w:hAnsi="Arial"/>
          <w:sz w:val="22"/>
          <w:szCs w:val="22"/>
          <w:color w:val="auto"/>
        </w:rPr>
      </w:pPr>
      <w:r>
        <w:rPr>
          <w:rFonts w:ascii="Arial" w:cs="Arial" w:eastAsia="Arial" w:hAnsi="Arial"/>
          <w:sz w:val="22"/>
          <w:szCs w:val="22"/>
          <w:u w:val="single" w:color="auto"/>
          <w:color w:val="auto"/>
        </w:rPr>
        <w:t>Restricted Stock Units</w:t>
      </w:r>
      <w:r>
        <w:rPr>
          <w:rFonts w:ascii="Arial" w:cs="Arial" w:eastAsia="Arial" w:hAnsi="Arial"/>
          <w:sz w:val="22"/>
          <w:szCs w:val="22"/>
          <w:color w:val="auto"/>
        </w:rPr>
        <w:t>. A Participant’s Restricted Stock Units as defined in and governed by the Equity Incentive Plan.</w:t>
      </w:r>
    </w:p>
    <w:p>
      <w:pPr>
        <w:spacing w:after="0" w:line="215"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Not all forms of Eligible Compensation may be subject to a deferral opportunity. For example, the existence of deferral opportunities for awards of Performance Share Units and Restricted Stock Units depends on whether deferral provisions are included in the agreements underlying such awards.</w:t>
      </w:r>
    </w:p>
    <w:p>
      <w:pPr>
        <w:spacing w:after="0" w:line="226" w:lineRule="exact"/>
        <w:rPr>
          <w:sz w:val="20"/>
          <w:szCs w:val="20"/>
          <w:color w:val="auto"/>
        </w:rPr>
      </w:pPr>
    </w:p>
    <w:p>
      <w:pPr>
        <w:ind w:right="20"/>
        <w:spacing w:after="0" w:line="287" w:lineRule="auto"/>
        <w:rPr>
          <w:sz w:val="20"/>
          <w:szCs w:val="20"/>
          <w:color w:val="auto"/>
        </w:rPr>
      </w:pPr>
      <w:r>
        <w:rPr>
          <w:rFonts w:ascii="Arial" w:cs="Arial" w:eastAsia="Arial" w:hAnsi="Arial"/>
          <w:sz w:val="21"/>
          <w:szCs w:val="21"/>
          <w:color w:val="auto"/>
        </w:rPr>
        <w:t xml:space="preserve">3.2 </w:t>
      </w:r>
      <w:r>
        <w:rPr>
          <w:rFonts w:ascii="Arial" w:cs="Arial" w:eastAsia="Arial" w:hAnsi="Arial"/>
          <w:sz w:val="21"/>
          <w:szCs w:val="21"/>
          <w:u w:val="single" w:color="auto"/>
          <w:color w:val="auto"/>
        </w:rPr>
        <w:t>Amount of Deferral</w:t>
      </w:r>
      <w:r>
        <w:rPr>
          <w:rFonts w:ascii="Arial" w:cs="Arial" w:eastAsia="Arial" w:hAnsi="Arial"/>
          <w:sz w:val="21"/>
          <w:szCs w:val="21"/>
          <w:color w:val="auto"/>
        </w:rPr>
        <w:t>. A Participant may, for any Plan Year, irrevocably elect to have the following amounts of Eligible Compensation deferred and credited to the Participant’s Account in accordance with the terms and conditions of the Plan:</w:t>
      </w:r>
    </w:p>
    <w:p>
      <w:pPr>
        <w:spacing w:after="0" w:line="192" w:lineRule="exact"/>
        <w:rPr>
          <w:sz w:val="20"/>
          <w:szCs w:val="20"/>
          <w:color w:val="auto"/>
        </w:rPr>
      </w:pPr>
    </w:p>
    <w:p>
      <w:pPr>
        <w:jc w:val="both"/>
        <w:ind w:firstLine="656"/>
        <w:spacing w:after="0" w:line="287" w:lineRule="auto"/>
        <w:tabs>
          <w:tab w:leader="none" w:pos="1172" w:val="left"/>
        </w:tabs>
        <w:numPr>
          <w:ilvl w:val="0"/>
          <w:numId w:val="82"/>
        </w:numPr>
        <w:rPr>
          <w:rFonts w:ascii="Arial" w:cs="Arial" w:eastAsia="Arial" w:hAnsi="Arial"/>
          <w:sz w:val="19"/>
          <w:szCs w:val="19"/>
          <w:color w:val="auto"/>
        </w:rPr>
      </w:pPr>
      <w:r>
        <w:rPr>
          <w:rFonts w:ascii="Arial" w:cs="Arial" w:eastAsia="Arial" w:hAnsi="Arial"/>
          <w:sz w:val="19"/>
          <w:szCs w:val="19"/>
          <w:u w:val="single" w:color="auto"/>
          <w:color w:val="auto"/>
        </w:rPr>
        <w:t>Base Compensation</w:t>
      </w:r>
      <w:r>
        <w:rPr>
          <w:rFonts w:ascii="Arial" w:cs="Arial" w:eastAsia="Arial" w:hAnsi="Arial"/>
          <w:sz w:val="19"/>
          <w:szCs w:val="19"/>
          <w:color w:val="auto"/>
        </w:rPr>
        <w:t>. Effective for deferral elections made after January 1, 2015, all or a portion of the Participant’s Base Compensation expressed as either a percentage or a flat dollar amount, provided that, the deferral cannot exceed eighty percent (80%) of the Eligible Employee’s Base Compensation. For deferral elections made on or before January 1, 2015, the terms of the Plan in effect prior to this Amendment 2015-1 shall apply. The deferral percentage applied to a Participant’s Base Compensation each pay period shall be based on a Participant’s annualized Base Compensation over the number of scheduled pay periods during the Plan Year from which deferrals can be taken; this means that the actual deferral made by a Participant in any given Plan Year will not necessarily equal his or her annual Base Compensation multiplied by his or her deferral rate. For example, assume Participant’s annualized Base Compensation is $200,000 and that the election is effective as of the first day of the Plan Year; the maximum annual deferral for such Participant would be $160,000 (= 80% x $200,000). Assume further that Participant’s deferral election is 40% of Base Compensation and that his or her annualized Base Compensation is scheduled to be paid over 23 pay periods; that Participant’s total annualized deferral is $80,000 and is deferred at a rate of $3,478.26 (= $80,000 / 23) per pay period.</w:t>
      </w:r>
    </w:p>
    <w:p>
      <w:pPr>
        <w:spacing w:after="0" w:line="200" w:lineRule="exact"/>
        <w:rPr>
          <w:rFonts w:ascii="Arial" w:cs="Arial" w:eastAsia="Arial" w:hAnsi="Arial"/>
          <w:sz w:val="19"/>
          <w:szCs w:val="19"/>
          <w:color w:val="auto"/>
        </w:rPr>
      </w:pPr>
    </w:p>
    <w:p>
      <w:pPr>
        <w:spacing w:after="0" w:line="261" w:lineRule="exact"/>
        <w:rPr>
          <w:rFonts w:ascii="Arial" w:cs="Arial" w:eastAsia="Arial" w:hAnsi="Arial"/>
          <w:sz w:val="19"/>
          <w:szCs w:val="19"/>
          <w:color w:val="auto"/>
        </w:rPr>
      </w:pPr>
    </w:p>
    <w:p>
      <w:pPr>
        <w:jc w:val="both"/>
        <w:ind w:firstLine="656"/>
        <w:spacing w:after="0" w:line="248" w:lineRule="auto"/>
        <w:tabs>
          <w:tab w:leader="none" w:pos="1238" w:val="left"/>
        </w:tabs>
        <w:numPr>
          <w:ilvl w:val="0"/>
          <w:numId w:val="82"/>
        </w:numPr>
        <w:rPr>
          <w:rFonts w:ascii="Arial" w:cs="Arial" w:eastAsia="Arial" w:hAnsi="Arial"/>
          <w:sz w:val="22"/>
          <w:szCs w:val="22"/>
          <w:color w:val="auto"/>
        </w:rPr>
      </w:pPr>
      <w:r>
        <w:rPr>
          <w:rFonts w:ascii="Arial" w:cs="Arial" w:eastAsia="Arial" w:hAnsi="Arial"/>
          <w:sz w:val="22"/>
          <w:szCs w:val="22"/>
          <w:u w:val="single" w:color="auto"/>
          <w:color w:val="auto"/>
        </w:rPr>
        <w:t>Bonus Compensation</w:t>
      </w:r>
      <w:r>
        <w:rPr>
          <w:rFonts w:ascii="Arial" w:cs="Arial" w:eastAsia="Arial" w:hAnsi="Arial"/>
          <w:sz w:val="22"/>
          <w:szCs w:val="22"/>
          <w:color w:val="auto"/>
        </w:rPr>
        <w:t>. For Participants electing deferrals during an Annual Election Period under 2.3(a), all or a portion of the Participant’s Bonus Compensation that is attributable to services to be performed beginning in the Plan Year immediately following the Annual Election Period. Employees who become newly Eligible Employees and who elect to enroll during an Initial Election Period under 2.3(b) may not defer Bonus Compensation payable for the Plan Year during which their enrollment occurs.</w:t>
      </w:r>
    </w:p>
    <w:p>
      <w:pPr>
        <w:spacing w:after="0" w:line="232" w:lineRule="exact"/>
        <w:rPr>
          <w:rFonts w:ascii="Arial" w:cs="Arial" w:eastAsia="Arial" w:hAnsi="Arial"/>
          <w:sz w:val="22"/>
          <w:szCs w:val="22"/>
          <w:color w:val="auto"/>
        </w:rPr>
      </w:pPr>
    </w:p>
    <w:p>
      <w:pPr>
        <w:ind w:firstLine="656"/>
        <w:spacing w:after="0" w:line="263" w:lineRule="auto"/>
        <w:tabs>
          <w:tab w:leader="none" w:pos="1253" w:val="left"/>
        </w:tabs>
        <w:numPr>
          <w:ilvl w:val="0"/>
          <w:numId w:val="82"/>
        </w:numPr>
        <w:rPr>
          <w:rFonts w:ascii="Arial" w:cs="Arial" w:eastAsia="Arial" w:hAnsi="Arial"/>
          <w:sz w:val="22"/>
          <w:szCs w:val="22"/>
          <w:color w:val="auto"/>
        </w:rPr>
      </w:pPr>
      <w:r>
        <w:rPr>
          <w:rFonts w:ascii="Arial" w:cs="Arial" w:eastAsia="Arial" w:hAnsi="Arial"/>
          <w:sz w:val="22"/>
          <w:szCs w:val="22"/>
          <w:u w:val="single" w:color="auto"/>
          <w:color w:val="auto"/>
        </w:rPr>
        <w:t>Performance Share Units</w:t>
      </w:r>
      <w:r>
        <w:rPr>
          <w:rFonts w:ascii="Arial" w:cs="Arial" w:eastAsia="Arial" w:hAnsi="Arial"/>
          <w:sz w:val="22"/>
          <w:szCs w:val="22"/>
          <w:color w:val="auto"/>
        </w:rPr>
        <w:t>. All or a portion of a Participant’s unvested Performance Share Units awarded by the Company, provided that:</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847" w:right="239" w:bottom="1440" w:gutter="0" w:footer="0" w:header="0"/>
        </w:sectPr>
      </w:pPr>
    </w:p>
    <w:bookmarkStart w:id="86" w:name="page87"/>
    <w:bookmarkEnd w:id="86"/>
    <w:p>
      <w:pPr>
        <w:ind w:left="660" w:firstLine="645"/>
        <w:spacing w:after="0" w:line="263" w:lineRule="auto"/>
        <w:tabs>
          <w:tab w:leader="none" w:pos="1782" w:val="left"/>
        </w:tabs>
        <w:numPr>
          <w:ilvl w:val="1"/>
          <w:numId w:val="83"/>
        </w:numPr>
        <w:rPr>
          <w:rFonts w:ascii="Arial" w:cs="Arial" w:eastAsia="Arial" w:hAnsi="Arial"/>
          <w:sz w:val="22"/>
          <w:szCs w:val="22"/>
          <w:color w:val="auto"/>
        </w:rPr>
      </w:pPr>
      <w:r>
        <w:rPr>
          <w:rFonts w:ascii="Arial" w:cs="Arial" w:eastAsia="Arial" w:hAnsi="Arial"/>
          <w:sz w:val="22"/>
          <w:szCs w:val="22"/>
          <w:color w:val="auto"/>
        </w:rPr>
        <w:t>The Company makes a deferral opportunity available by including deferral provisions within the “Performance Share Unit Agreement” underlying the award of Performance Share Units;</w:t>
      </w:r>
    </w:p>
    <w:p>
      <w:pPr>
        <w:spacing w:after="0" w:line="215" w:lineRule="exact"/>
        <w:rPr>
          <w:rFonts w:ascii="Arial" w:cs="Arial" w:eastAsia="Arial" w:hAnsi="Arial"/>
          <w:sz w:val="22"/>
          <w:szCs w:val="22"/>
          <w:color w:val="auto"/>
        </w:rPr>
      </w:pPr>
    </w:p>
    <w:p>
      <w:pPr>
        <w:jc w:val="both"/>
        <w:ind w:left="660" w:firstLine="645"/>
        <w:spacing w:after="0" w:line="253" w:lineRule="auto"/>
        <w:tabs>
          <w:tab w:leader="none" w:pos="1858" w:val="left"/>
        </w:tabs>
        <w:numPr>
          <w:ilvl w:val="1"/>
          <w:numId w:val="83"/>
        </w:numPr>
        <w:rPr>
          <w:rFonts w:ascii="Arial" w:cs="Arial" w:eastAsia="Arial" w:hAnsi="Arial"/>
          <w:sz w:val="22"/>
          <w:szCs w:val="22"/>
          <w:color w:val="auto"/>
        </w:rPr>
      </w:pPr>
      <w:r>
        <w:rPr>
          <w:rFonts w:ascii="Arial" w:cs="Arial" w:eastAsia="Arial" w:hAnsi="Arial"/>
          <w:sz w:val="22"/>
          <w:szCs w:val="22"/>
          <w:color w:val="auto"/>
        </w:rPr>
        <w:t>The Performance Share Units are scheduled to vest based on the Participant’s achievement of individual or organizational performance criteria that are established within the first 90 days of a performance cycle that will last at least 12 months;</w:t>
      </w:r>
    </w:p>
    <w:p>
      <w:pPr>
        <w:spacing w:after="0" w:line="226" w:lineRule="exact"/>
        <w:rPr>
          <w:rFonts w:ascii="Arial" w:cs="Arial" w:eastAsia="Arial" w:hAnsi="Arial"/>
          <w:sz w:val="22"/>
          <w:szCs w:val="22"/>
          <w:color w:val="auto"/>
        </w:rPr>
      </w:pPr>
    </w:p>
    <w:p>
      <w:pPr>
        <w:ind w:left="1760" w:hanging="455"/>
        <w:spacing w:after="0"/>
        <w:tabs>
          <w:tab w:leader="none" w:pos="1760" w:val="left"/>
        </w:tabs>
        <w:numPr>
          <w:ilvl w:val="1"/>
          <w:numId w:val="83"/>
        </w:numPr>
        <w:rPr>
          <w:rFonts w:ascii="Arial" w:cs="Arial" w:eastAsia="Arial" w:hAnsi="Arial"/>
          <w:sz w:val="21"/>
          <w:szCs w:val="21"/>
          <w:color w:val="auto"/>
        </w:rPr>
      </w:pPr>
      <w:r>
        <w:rPr>
          <w:rFonts w:ascii="Arial" w:cs="Arial" w:eastAsia="Arial" w:hAnsi="Arial"/>
          <w:sz w:val="21"/>
          <w:szCs w:val="21"/>
          <w:color w:val="auto"/>
        </w:rPr>
        <w:t>The deferral election is made at a time when at least six (6) months remain in the performance cycle;</w:t>
      </w:r>
    </w:p>
    <w:p>
      <w:pPr>
        <w:spacing w:after="0" w:line="271" w:lineRule="exact"/>
        <w:rPr>
          <w:rFonts w:ascii="Arial" w:cs="Arial" w:eastAsia="Arial" w:hAnsi="Arial"/>
          <w:sz w:val="21"/>
          <w:szCs w:val="21"/>
          <w:color w:val="auto"/>
        </w:rPr>
      </w:pPr>
    </w:p>
    <w:p>
      <w:pPr>
        <w:ind w:left="660" w:firstLine="645"/>
        <w:spacing w:after="0" w:line="287" w:lineRule="auto"/>
        <w:tabs>
          <w:tab w:leader="none" w:pos="1793" w:val="left"/>
        </w:tabs>
        <w:numPr>
          <w:ilvl w:val="1"/>
          <w:numId w:val="83"/>
        </w:numPr>
        <w:rPr>
          <w:rFonts w:ascii="Arial" w:cs="Arial" w:eastAsia="Arial" w:hAnsi="Arial"/>
          <w:sz w:val="21"/>
          <w:szCs w:val="21"/>
          <w:color w:val="auto"/>
        </w:rPr>
      </w:pPr>
      <w:r>
        <w:rPr>
          <w:rFonts w:ascii="Arial" w:cs="Arial" w:eastAsia="Arial" w:hAnsi="Arial"/>
          <w:sz w:val="21"/>
          <w:szCs w:val="21"/>
          <w:color w:val="auto"/>
        </w:rPr>
        <w:t>The Participant provides services continuously for the period from the first day of the performance cycle (or if later, the date the performance criteria are established) through the date that the deferral election is made; and</w:t>
      </w:r>
    </w:p>
    <w:p>
      <w:pPr>
        <w:spacing w:after="0" w:line="192" w:lineRule="exact"/>
        <w:rPr>
          <w:rFonts w:ascii="Arial" w:cs="Arial" w:eastAsia="Arial" w:hAnsi="Arial"/>
          <w:sz w:val="21"/>
          <w:szCs w:val="21"/>
          <w:color w:val="auto"/>
        </w:rPr>
      </w:pPr>
    </w:p>
    <w:p>
      <w:pPr>
        <w:ind w:left="1900" w:hanging="595"/>
        <w:spacing w:after="0"/>
        <w:tabs>
          <w:tab w:leader="none" w:pos="1900" w:val="left"/>
        </w:tabs>
        <w:numPr>
          <w:ilvl w:val="1"/>
          <w:numId w:val="83"/>
        </w:numPr>
        <w:rPr>
          <w:rFonts w:ascii="Arial" w:cs="Arial" w:eastAsia="Arial" w:hAnsi="Arial"/>
          <w:sz w:val="19"/>
          <w:szCs w:val="19"/>
          <w:color w:val="auto"/>
        </w:rPr>
      </w:pPr>
      <w:r>
        <w:rPr>
          <w:rFonts w:ascii="Arial" w:cs="Arial" w:eastAsia="Arial" w:hAnsi="Arial"/>
          <w:sz w:val="19"/>
          <w:szCs w:val="19"/>
          <w:color w:val="auto"/>
        </w:rPr>
        <w:t>The deferral election is made before the amount of the Performance Share Units that will vest is readily</w:t>
      </w:r>
    </w:p>
    <w:p>
      <w:pPr>
        <w:spacing w:after="0" w:line="56"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ascertainable.</w:t>
      </w:r>
    </w:p>
    <w:p>
      <w:pPr>
        <w:spacing w:after="0" w:line="242" w:lineRule="exact"/>
        <w:rPr>
          <w:rFonts w:ascii="Arial" w:cs="Arial" w:eastAsia="Arial" w:hAnsi="Arial"/>
          <w:sz w:val="19"/>
          <w:szCs w:val="19"/>
          <w:color w:val="auto"/>
        </w:rPr>
      </w:pPr>
    </w:p>
    <w:p>
      <w:pPr>
        <w:ind w:firstLine="656"/>
        <w:spacing w:after="0" w:line="263" w:lineRule="auto"/>
        <w:tabs>
          <w:tab w:leader="none" w:pos="1157" w:val="left"/>
        </w:tabs>
        <w:numPr>
          <w:ilvl w:val="0"/>
          <w:numId w:val="84"/>
        </w:numPr>
        <w:rPr>
          <w:rFonts w:ascii="Arial" w:cs="Arial" w:eastAsia="Arial" w:hAnsi="Arial"/>
          <w:sz w:val="22"/>
          <w:szCs w:val="22"/>
          <w:color w:val="auto"/>
        </w:rPr>
      </w:pPr>
      <w:r>
        <w:rPr>
          <w:rFonts w:ascii="Arial" w:cs="Arial" w:eastAsia="Arial" w:hAnsi="Arial"/>
          <w:sz w:val="22"/>
          <w:szCs w:val="22"/>
          <w:u w:val="single" w:color="auto"/>
          <w:color w:val="auto"/>
        </w:rPr>
        <w:t>Restricted Stock Units</w:t>
      </w:r>
      <w:r>
        <w:rPr>
          <w:rFonts w:ascii="Arial" w:cs="Arial" w:eastAsia="Arial" w:hAnsi="Arial"/>
          <w:sz w:val="22"/>
          <w:szCs w:val="22"/>
          <w:color w:val="auto"/>
        </w:rPr>
        <w:t>. All or a portion of a Participant’s unvested Restricted Stock Units awarded by the Company, provided that:</w:t>
      </w:r>
    </w:p>
    <w:p>
      <w:pPr>
        <w:spacing w:after="0" w:line="215" w:lineRule="exact"/>
        <w:rPr>
          <w:rFonts w:ascii="Arial" w:cs="Arial" w:eastAsia="Arial" w:hAnsi="Arial"/>
          <w:sz w:val="22"/>
          <w:szCs w:val="22"/>
          <w:color w:val="auto"/>
        </w:rPr>
      </w:pPr>
    </w:p>
    <w:p>
      <w:pPr>
        <w:ind w:left="660" w:firstLine="645"/>
        <w:spacing w:after="0" w:line="263" w:lineRule="auto"/>
        <w:tabs>
          <w:tab w:leader="none" w:pos="1940" w:val="left"/>
        </w:tabs>
        <w:numPr>
          <w:ilvl w:val="1"/>
          <w:numId w:val="84"/>
        </w:numPr>
        <w:rPr>
          <w:rFonts w:ascii="Arial" w:cs="Arial" w:eastAsia="Arial" w:hAnsi="Arial"/>
          <w:sz w:val="22"/>
          <w:szCs w:val="22"/>
          <w:color w:val="auto"/>
        </w:rPr>
      </w:pPr>
      <w:r>
        <w:rPr>
          <w:rFonts w:ascii="Arial" w:cs="Arial" w:eastAsia="Arial" w:hAnsi="Arial"/>
          <w:sz w:val="22"/>
          <w:szCs w:val="22"/>
          <w:color w:val="auto"/>
        </w:rPr>
        <w:t>With respect to an award of Restricted Stock Units that is scheduled to vest based on the Participant’s achievement of individual or organizational performance criteria:</w:t>
      </w:r>
    </w:p>
    <w:p>
      <w:pPr>
        <w:spacing w:after="0" w:line="215" w:lineRule="exact"/>
        <w:rPr>
          <w:rFonts w:ascii="Arial" w:cs="Arial" w:eastAsia="Arial" w:hAnsi="Arial"/>
          <w:sz w:val="22"/>
          <w:szCs w:val="22"/>
          <w:color w:val="auto"/>
        </w:rPr>
      </w:pPr>
    </w:p>
    <w:p>
      <w:pPr>
        <w:ind w:left="1300" w:firstLine="653"/>
        <w:spacing w:after="0" w:line="263" w:lineRule="auto"/>
        <w:tabs>
          <w:tab w:leader="none" w:pos="2609" w:val="left"/>
        </w:tabs>
        <w:numPr>
          <w:ilvl w:val="2"/>
          <w:numId w:val="84"/>
        </w:numPr>
        <w:rPr>
          <w:rFonts w:ascii="Arial" w:cs="Arial" w:eastAsia="Arial" w:hAnsi="Arial"/>
          <w:sz w:val="22"/>
          <w:szCs w:val="22"/>
          <w:color w:val="auto"/>
        </w:rPr>
      </w:pPr>
      <w:r>
        <w:rPr>
          <w:rFonts w:ascii="Arial" w:cs="Arial" w:eastAsia="Arial" w:hAnsi="Arial"/>
          <w:sz w:val="22"/>
          <w:szCs w:val="22"/>
          <w:color w:val="auto"/>
        </w:rPr>
        <w:t>The Company makes a deferral opportunity available by including deferral provisions within the “Restricted Stock Unit Agreement” underlying the award of Restricted Stock Units;</w:t>
      </w:r>
    </w:p>
    <w:p>
      <w:pPr>
        <w:spacing w:after="0" w:line="215" w:lineRule="exact"/>
        <w:rPr>
          <w:rFonts w:ascii="Arial" w:cs="Arial" w:eastAsia="Arial" w:hAnsi="Arial"/>
          <w:sz w:val="22"/>
          <w:szCs w:val="22"/>
          <w:color w:val="auto"/>
        </w:rPr>
      </w:pPr>
    </w:p>
    <w:p>
      <w:pPr>
        <w:ind w:left="1300" w:firstLine="653"/>
        <w:spacing w:after="0" w:line="263" w:lineRule="auto"/>
        <w:tabs>
          <w:tab w:leader="none" w:pos="2458" w:val="left"/>
        </w:tabs>
        <w:numPr>
          <w:ilvl w:val="2"/>
          <w:numId w:val="84"/>
        </w:numPr>
        <w:rPr>
          <w:rFonts w:ascii="Arial" w:cs="Arial" w:eastAsia="Arial" w:hAnsi="Arial"/>
          <w:sz w:val="22"/>
          <w:szCs w:val="22"/>
          <w:color w:val="auto"/>
        </w:rPr>
      </w:pPr>
      <w:r>
        <w:rPr>
          <w:rFonts w:ascii="Arial" w:cs="Arial" w:eastAsia="Arial" w:hAnsi="Arial"/>
          <w:sz w:val="22"/>
          <w:szCs w:val="22"/>
          <w:color w:val="auto"/>
        </w:rPr>
        <w:t>The applicable individual or organizational performance criteria are established within the first 90 days of a performance cycle that will last at least 12 months;</w:t>
      </w:r>
    </w:p>
    <w:p>
      <w:pPr>
        <w:spacing w:after="0" w:line="215" w:lineRule="exact"/>
        <w:rPr>
          <w:rFonts w:ascii="Arial" w:cs="Arial" w:eastAsia="Arial" w:hAnsi="Arial"/>
          <w:sz w:val="22"/>
          <w:szCs w:val="22"/>
          <w:color w:val="auto"/>
        </w:rPr>
      </w:pPr>
    </w:p>
    <w:p>
      <w:pPr>
        <w:ind w:left="1300" w:firstLine="653"/>
        <w:spacing w:after="0" w:line="263" w:lineRule="auto"/>
        <w:tabs>
          <w:tab w:leader="none" w:pos="2502" w:val="left"/>
        </w:tabs>
        <w:numPr>
          <w:ilvl w:val="2"/>
          <w:numId w:val="84"/>
        </w:numPr>
        <w:rPr>
          <w:rFonts w:ascii="Arial" w:cs="Arial" w:eastAsia="Arial" w:hAnsi="Arial"/>
          <w:sz w:val="22"/>
          <w:szCs w:val="22"/>
          <w:color w:val="auto"/>
        </w:rPr>
      </w:pPr>
      <w:r>
        <w:rPr>
          <w:rFonts w:ascii="Arial" w:cs="Arial" w:eastAsia="Arial" w:hAnsi="Arial"/>
          <w:sz w:val="22"/>
          <w:szCs w:val="22"/>
          <w:color w:val="auto"/>
        </w:rPr>
        <w:t>The deferral election is made at a time when at least six (6) months remain in the applicable award’s performance cycle;</w:t>
      </w:r>
    </w:p>
    <w:p>
      <w:pPr>
        <w:spacing w:after="0" w:line="215" w:lineRule="exact"/>
        <w:rPr>
          <w:rFonts w:ascii="Arial" w:cs="Arial" w:eastAsia="Arial" w:hAnsi="Arial"/>
          <w:sz w:val="22"/>
          <w:szCs w:val="22"/>
          <w:color w:val="auto"/>
        </w:rPr>
      </w:pPr>
    </w:p>
    <w:p>
      <w:pPr>
        <w:jc w:val="both"/>
        <w:ind w:left="1300" w:firstLine="653"/>
        <w:spacing w:after="0" w:line="253" w:lineRule="auto"/>
        <w:tabs>
          <w:tab w:leader="none" w:pos="2553" w:val="left"/>
        </w:tabs>
        <w:numPr>
          <w:ilvl w:val="2"/>
          <w:numId w:val="84"/>
        </w:numPr>
        <w:rPr>
          <w:rFonts w:ascii="Arial" w:cs="Arial" w:eastAsia="Arial" w:hAnsi="Arial"/>
          <w:sz w:val="22"/>
          <w:szCs w:val="22"/>
          <w:color w:val="auto"/>
        </w:rPr>
      </w:pPr>
      <w:r>
        <w:rPr>
          <w:rFonts w:ascii="Arial" w:cs="Arial" w:eastAsia="Arial" w:hAnsi="Arial"/>
          <w:sz w:val="22"/>
          <w:szCs w:val="22"/>
          <w:color w:val="auto"/>
        </w:rPr>
        <w:t>The Participant provides services continuously for the period from the first day of the performance cycle (or if later, the date the performance criteria are established) through the date that the deferral election is made; and</w:t>
      </w:r>
    </w:p>
    <w:p>
      <w:pPr>
        <w:spacing w:after="0" w:line="226" w:lineRule="exact"/>
        <w:rPr>
          <w:rFonts w:ascii="Arial" w:cs="Arial" w:eastAsia="Arial" w:hAnsi="Arial"/>
          <w:sz w:val="22"/>
          <w:szCs w:val="22"/>
          <w:color w:val="auto"/>
        </w:rPr>
      </w:pPr>
    </w:p>
    <w:p>
      <w:pPr>
        <w:ind w:left="1300" w:firstLine="653"/>
        <w:spacing w:after="0" w:line="263" w:lineRule="auto"/>
        <w:tabs>
          <w:tab w:leader="none" w:pos="2483" w:val="left"/>
        </w:tabs>
        <w:numPr>
          <w:ilvl w:val="2"/>
          <w:numId w:val="84"/>
        </w:numPr>
        <w:rPr>
          <w:rFonts w:ascii="Arial" w:cs="Arial" w:eastAsia="Arial" w:hAnsi="Arial"/>
          <w:sz w:val="22"/>
          <w:szCs w:val="22"/>
          <w:color w:val="auto"/>
        </w:rPr>
      </w:pPr>
      <w:r>
        <w:rPr>
          <w:rFonts w:ascii="Arial" w:cs="Arial" w:eastAsia="Arial" w:hAnsi="Arial"/>
          <w:sz w:val="22"/>
          <w:szCs w:val="22"/>
          <w:color w:val="auto"/>
        </w:rPr>
        <w:t>The deferral election is made before the amount of the Restricted Stock Units that will vest under the applicable award is readily ascertainable.</w:t>
      </w:r>
    </w:p>
    <w:p>
      <w:pPr>
        <w:spacing w:after="0" w:line="215" w:lineRule="exact"/>
        <w:rPr>
          <w:rFonts w:ascii="Arial" w:cs="Arial" w:eastAsia="Arial" w:hAnsi="Arial"/>
          <w:sz w:val="22"/>
          <w:szCs w:val="22"/>
          <w:color w:val="auto"/>
        </w:rPr>
      </w:pPr>
    </w:p>
    <w:p>
      <w:pPr>
        <w:ind w:left="1760" w:hanging="455"/>
        <w:spacing w:after="0"/>
        <w:tabs>
          <w:tab w:leader="none" w:pos="1760" w:val="left"/>
        </w:tabs>
        <w:numPr>
          <w:ilvl w:val="1"/>
          <w:numId w:val="84"/>
        </w:numPr>
        <w:rPr>
          <w:rFonts w:ascii="Arial" w:cs="Arial" w:eastAsia="Arial" w:hAnsi="Arial"/>
          <w:sz w:val="19"/>
          <w:szCs w:val="19"/>
          <w:color w:val="auto"/>
        </w:rPr>
      </w:pPr>
      <w:r>
        <w:rPr>
          <w:rFonts w:ascii="Arial" w:cs="Arial" w:eastAsia="Arial" w:hAnsi="Arial"/>
          <w:sz w:val="19"/>
          <w:szCs w:val="19"/>
          <w:color w:val="auto"/>
        </w:rPr>
        <w:t>With respect to an award of Restricted Stock Units that are scheduled to vest based solely on the lapse of time:</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1104" w:right="239" w:bottom="1440" w:gutter="0" w:footer="0" w:header="0"/>
        </w:sectPr>
      </w:pPr>
    </w:p>
    <w:bookmarkStart w:id="87" w:name="page88"/>
    <w:bookmarkEnd w:id="87"/>
    <w:p>
      <w:pPr>
        <w:ind w:left="1300" w:firstLine="653"/>
        <w:spacing w:after="0" w:line="263" w:lineRule="auto"/>
        <w:tabs>
          <w:tab w:leader="none" w:pos="2609" w:val="left"/>
        </w:tabs>
        <w:numPr>
          <w:ilvl w:val="0"/>
          <w:numId w:val="85"/>
        </w:numPr>
        <w:rPr>
          <w:rFonts w:ascii="Arial" w:cs="Arial" w:eastAsia="Arial" w:hAnsi="Arial"/>
          <w:sz w:val="22"/>
          <w:szCs w:val="22"/>
          <w:color w:val="auto"/>
        </w:rPr>
      </w:pPr>
      <w:r>
        <w:rPr>
          <w:rFonts w:ascii="Arial" w:cs="Arial" w:eastAsia="Arial" w:hAnsi="Arial"/>
          <w:sz w:val="22"/>
          <w:szCs w:val="22"/>
          <w:color w:val="auto"/>
        </w:rPr>
        <w:t>The Company makes a deferral opportunity available by including deferral provisions within the “Restricted Stock Unit Agreement” underlying the award of Restricted Stock Units; and</w:t>
      </w:r>
    </w:p>
    <w:p>
      <w:pPr>
        <w:spacing w:after="0" w:line="215" w:lineRule="exact"/>
        <w:rPr>
          <w:rFonts w:ascii="Arial" w:cs="Arial" w:eastAsia="Arial" w:hAnsi="Arial"/>
          <w:sz w:val="22"/>
          <w:szCs w:val="22"/>
          <w:color w:val="auto"/>
        </w:rPr>
      </w:pPr>
    </w:p>
    <w:p>
      <w:pPr>
        <w:ind w:left="1300" w:firstLine="653"/>
        <w:spacing w:after="0" w:line="263" w:lineRule="auto"/>
        <w:tabs>
          <w:tab w:leader="none" w:pos="2456" w:val="left"/>
        </w:tabs>
        <w:numPr>
          <w:ilvl w:val="0"/>
          <w:numId w:val="85"/>
        </w:numPr>
        <w:rPr>
          <w:rFonts w:ascii="Arial" w:cs="Arial" w:eastAsia="Arial" w:hAnsi="Arial"/>
          <w:sz w:val="22"/>
          <w:szCs w:val="22"/>
          <w:color w:val="auto"/>
        </w:rPr>
      </w:pPr>
      <w:r>
        <w:rPr>
          <w:rFonts w:ascii="Arial" w:cs="Arial" w:eastAsia="Arial" w:hAnsi="Arial"/>
          <w:sz w:val="22"/>
          <w:szCs w:val="22"/>
          <w:color w:val="auto"/>
        </w:rPr>
        <w:t>The deferral election must be made by the end of the Plan Year immediately preceding the Plan Year in which the award of Restricted Stock Units is initially granted.</w:t>
      </w:r>
    </w:p>
    <w:p>
      <w:pPr>
        <w:spacing w:after="0" w:line="215"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 xml:space="preserve">3.3 </w:t>
      </w:r>
      <w:r>
        <w:rPr>
          <w:rFonts w:ascii="Arial" w:cs="Arial" w:eastAsia="Arial" w:hAnsi="Arial"/>
          <w:sz w:val="22"/>
          <w:szCs w:val="22"/>
          <w:u w:val="single" w:color="auto"/>
          <w:color w:val="auto"/>
        </w:rPr>
        <w:t>Minimum Deferral</w:t>
      </w:r>
      <w:r>
        <w:rPr>
          <w:rFonts w:ascii="Arial" w:cs="Arial" w:eastAsia="Arial" w:hAnsi="Arial"/>
          <w:sz w:val="22"/>
          <w:szCs w:val="22"/>
          <w:color w:val="auto"/>
        </w:rPr>
        <w:t>. Effective for Plan Years beginning on and after January 1, 2014, there is no minimum deferral limitation under this Plan.</w:t>
      </w:r>
    </w:p>
    <w:p>
      <w:pPr>
        <w:spacing w:after="0" w:line="215"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3.4</w:t>
      </w:r>
      <w:r>
        <w:rPr>
          <w:sz w:val="20"/>
          <w:szCs w:val="20"/>
          <w:color w:val="auto"/>
        </w:rPr>
        <w:tab/>
      </w:r>
      <w:r>
        <w:rPr>
          <w:rFonts w:ascii="Arial" w:cs="Arial" w:eastAsia="Arial" w:hAnsi="Arial"/>
          <w:sz w:val="19"/>
          <w:szCs w:val="19"/>
          <w:u w:val="single" w:color="auto"/>
          <w:color w:val="auto"/>
        </w:rPr>
        <w:t>Company Contribution Allocations</w:t>
      </w:r>
      <w:r>
        <w:rPr>
          <w:rFonts w:ascii="Arial" w:cs="Arial" w:eastAsia="Arial" w:hAnsi="Arial"/>
          <w:sz w:val="19"/>
          <w:szCs w:val="19"/>
          <w:color w:val="auto"/>
        </w:rPr>
        <w:t>. The following Company contributions are permitted under the Plan:</w:t>
      </w:r>
    </w:p>
    <w:p>
      <w:pPr>
        <w:spacing w:after="0" w:line="260" w:lineRule="exact"/>
        <w:rPr>
          <w:sz w:val="20"/>
          <w:szCs w:val="20"/>
          <w:color w:val="auto"/>
        </w:rPr>
      </w:pPr>
    </w:p>
    <w:p>
      <w:pPr>
        <w:ind w:firstLine="656"/>
        <w:spacing w:after="0" w:line="287" w:lineRule="auto"/>
        <w:tabs>
          <w:tab w:leader="none" w:pos="1311" w:val="left"/>
        </w:tabs>
        <w:numPr>
          <w:ilvl w:val="0"/>
          <w:numId w:val="86"/>
        </w:numPr>
        <w:rPr>
          <w:rFonts w:ascii="Arial" w:cs="Arial" w:eastAsia="Arial" w:hAnsi="Arial"/>
          <w:sz w:val="21"/>
          <w:szCs w:val="21"/>
          <w:color w:val="auto"/>
        </w:rPr>
      </w:pPr>
      <w:r>
        <w:rPr>
          <w:rFonts w:ascii="Arial" w:cs="Arial" w:eastAsia="Arial" w:hAnsi="Arial"/>
          <w:sz w:val="21"/>
          <w:szCs w:val="21"/>
          <w:color w:val="auto"/>
        </w:rPr>
        <w:t>Make-up Contribution. Each Plan Year, the Company shall allocate to each Participant’s Account an amount corresponding to the Participant’s lost share of Company contributions to its 401(k) Plan, determined as follows:</w:t>
      </w:r>
    </w:p>
    <w:p>
      <w:pPr>
        <w:spacing w:after="0" w:line="192" w:lineRule="exact"/>
        <w:rPr>
          <w:rFonts w:ascii="Arial" w:cs="Arial" w:eastAsia="Arial" w:hAnsi="Arial"/>
          <w:sz w:val="21"/>
          <w:szCs w:val="21"/>
          <w:color w:val="auto"/>
        </w:rPr>
      </w:pPr>
    </w:p>
    <w:p>
      <w:pPr>
        <w:ind w:left="1900" w:hanging="595"/>
        <w:spacing w:after="0"/>
        <w:tabs>
          <w:tab w:leader="none" w:pos="1900" w:val="left"/>
        </w:tabs>
        <w:numPr>
          <w:ilvl w:val="1"/>
          <w:numId w:val="86"/>
        </w:numPr>
        <w:rPr>
          <w:rFonts w:ascii="Arial" w:cs="Arial" w:eastAsia="Arial" w:hAnsi="Arial"/>
          <w:sz w:val="19"/>
          <w:szCs w:val="19"/>
          <w:color w:val="auto"/>
        </w:rPr>
      </w:pPr>
      <w:r>
        <w:rPr>
          <w:rFonts w:ascii="Arial" w:cs="Arial" w:eastAsia="Arial" w:hAnsi="Arial"/>
          <w:sz w:val="19"/>
          <w:szCs w:val="19"/>
          <w:color w:val="auto"/>
        </w:rPr>
        <w:t>an amount, if any, equal to such Participant’s lost share of non-elective contributions under the 401(k) Plan;</w:t>
      </w:r>
    </w:p>
    <w:p>
      <w:pPr>
        <w:spacing w:after="0" w:line="56"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and</w:t>
      </w:r>
    </w:p>
    <w:p>
      <w:pPr>
        <w:spacing w:after="0" w:line="242" w:lineRule="exact"/>
        <w:rPr>
          <w:rFonts w:ascii="Arial" w:cs="Arial" w:eastAsia="Arial" w:hAnsi="Arial"/>
          <w:sz w:val="19"/>
          <w:szCs w:val="19"/>
          <w:color w:val="auto"/>
        </w:rPr>
      </w:pPr>
    </w:p>
    <w:p>
      <w:pPr>
        <w:ind w:left="1820" w:hanging="515"/>
        <w:spacing w:after="0"/>
        <w:tabs>
          <w:tab w:leader="none" w:pos="1820" w:val="left"/>
        </w:tabs>
        <w:numPr>
          <w:ilvl w:val="1"/>
          <w:numId w:val="86"/>
        </w:numPr>
        <w:rPr>
          <w:rFonts w:ascii="Arial" w:cs="Arial" w:eastAsia="Arial" w:hAnsi="Arial"/>
          <w:sz w:val="19"/>
          <w:szCs w:val="19"/>
          <w:color w:val="auto"/>
        </w:rPr>
      </w:pPr>
      <w:r>
        <w:rPr>
          <w:rFonts w:ascii="Arial" w:cs="Arial" w:eastAsia="Arial" w:hAnsi="Arial"/>
          <w:sz w:val="19"/>
          <w:szCs w:val="19"/>
          <w:color w:val="auto"/>
        </w:rPr>
        <w:t>an amount, if any, equal to such Participant’s lost share of matching contributions under the 401(k) Plan.</w:t>
      </w:r>
    </w:p>
    <w:p>
      <w:pPr>
        <w:spacing w:after="0" w:line="295" w:lineRule="exact"/>
        <w:rPr>
          <w:sz w:val="20"/>
          <w:szCs w:val="20"/>
          <w:color w:val="auto"/>
        </w:rPr>
      </w:pPr>
    </w:p>
    <w:p>
      <w:pPr>
        <w:ind w:left="660"/>
        <w:spacing w:after="0" w:line="251" w:lineRule="auto"/>
        <w:rPr>
          <w:sz w:val="20"/>
          <w:szCs w:val="20"/>
          <w:color w:val="auto"/>
        </w:rPr>
      </w:pPr>
      <w:r>
        <w:rPr>
          <w:rFonts w:ascii="Arial" w:cs="Arial" w:eastAsia="Arial" w:hAnsi="Arial"/>
          <w:sz w:val="22"/>
          <w:szCs w:val="22"/>
          <w:color w:val="auto"/>
        </w:rPr>
        <w:t>For purposes of this allocation, a Participant’s “lost share” of non-elective and matching contributions is the amount of contributions not allocated to Participant’s 401(k) Plan account because of:</w:t>
      </w:r>
    </w:p>
    <w:p>
      <w:pPr>
        <w:spacing w:after="0" w:line="2" w:lineRule="exact"/>
        <w:rPr>
          <w:sz w:val="20"/>
          <w:szCs w:val="20"/>
          <w:color w:val="auto"/>
        </w:rPr>
      </w:pPr>
    </w:p>
    <w:p>
      <w:pPr>
        <w:ind w:left="1300" w:right="20" w:firstLine="653"/>
        <w:spacing w:after="0" w:line="246" w:lineRule="auto"/>
        <w:tabs>
          <w:tab w:leader="none" w:pos="2552" w:val="left"/>
        </w:tabs>
        <w:numPr>
          <w:ilvl w:val="0"/>
          <w:numId w:val="87"/>
        </w:numPr>
        <w:rPr>
          <w:rFonts w:ascii="Arial" w:cs="Arial" w:eastAsia="Arial" w:hAnsi="Arial"/>
          <w:sz w:val="22"/>
          <w:szCs w:val="22"/>
          <w:color w:val="auto"/>
        </w:rPr>
      </w:pPr>
      <w:r>
        <w:rPr>
          <w:rFonts w:ascii="Arial" w:cs="Arial" w:eastAsia="Arial" w:hAnsi="Arial"/>
          <w:sz w:val="22"/>
          <w:szCs w:val="22"/>
          <w:color w:val="auto"/>
        </w:rPr>
        <w:t>The reduction in the Participant’s compensation (as defined under the Participant’s 401(k) Plan) by reason of deferrals under this Plan, or</w:t>
      </w:r>
    </w:p>
    <w:p>
      <w:pPr>
        <w:spacing w:after="0" w:line="233" w:lineRule="exact"/>
        <w:rPr>
          <w:rFonts w:ascii="Arial" w:cs="Arial" w:eastAsia="Arial" w:hAnsi="Arial"/>
          <w:sz w:val="22"/>
          <w:szCs w:val="22"/>
          <w:color w:val="auto"/>
        </w:rPr>
      </w:pPr>
    </w:p>
    <w:p>
      <w:pPr>
        <w:ind w:left="1300" w:firstLine="653"/>
        <w:spacing w:after="0" w:line="343" w:lineRule="auto"/>
        <w:tabs>
          <w:tab w:leader="none" w:pos="2448" w:val="left"/>
        </w:tabs>
        <w:numPr>
          <w:ilvl w:val="0"/>
          <w:numId w:val="87"/>
        </w:numPr>
        <w:rPr>
          <w:rFonts w:ascii="Arial" w:cs="Arial" w:eastAsia="Arial" w:hAnsi="Arial"/>
          <w:sz w:val="19"/>
          <w:szCs w:val="19"/>
          <w:color w:val="auto"/>
        </w:rPr>
      </w:pPr>
      <w:r>
        <w:rPr>
          <w:rFonts w:ascii="Arial" w:cs="Arial" w:eastAsia="Arial" w:hAnsi="Arial"/>
          <w:sz w:val="19"/>
          <w:szCs w:val="19"/>
          <w:color w:val="auto"/>
        </w:rPr>
        <w:t>The Participant’s exclusion from receiving a Company non-elective contribution under the Participant’s 401(k) Plan on account of being considered “otherwise excludible” under Code section 410(b)(4).</w:t>
      </w:r>
    </w:p>
    <w:p>
      <w:pPr>
        <w:spacing w:after="0" w:line="145" w:lineRule="exact"/>
        <w:rPr>
          <w:sz w:val="20"/>
          <w:szCs w:val="20"/>
          <w:color w:val="auto"/>
        </w:rPr>
      </w:pPr>
    </w:p>
    <w:p>
      <w:pPr>
        <w:jc w:val="both"/>
        <w:ind w:left="660"/>
        <w:spacing w:after="0" w:line="246" w:lineRule="auto"/>
        <w:rPr>
          <w:sz w:val="20"/>
          <w:szCs w:val="20"/>
          <w:color w:val="auto"/>
        </w:rPr>
      </w:pPr>
      <w:r>
        <w:rPr>
          <w:rFonts w:ascii="Arial" w:cs="Arial" w:eastAsia="Arial" w:hAnsi="Arial"/>
          <w:sz w:val="22"/>
          <w:szCs w:val="22"/>
          <w:color w:val="auto"/>
        </w:rPr>
        <w:t>The time and form of payment of Make-up Contributions shall be determined by the Participant’s deferral elections applicable for the Plan Year preceding the Plan Year in which the Make-up Contribution is actually credited to the Participant’s Account. For example, the time and form of payment of Make-up Contributions credited in early 2015 with respect to Participant’s Excess Compensation earned in the 2014 Plan Year shall be determined on the Participant’s deferral elections applicable for Base Compensation paid during the 2014 Plan Year. If no such deferral election exists, then the time and form of payment of the Participant’s Make-up Contribution for such Plan Year shall be as a single lump sum payment made at Participant’s Separation.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1104" w:right="239" w:bottom="1440" w:gutter="0" w:footer="0" w:header="0"/>
        </w:sectPr>
      </w:pPr>
    </w:p>
    <w:bookmarkStart w:id="88" w:name="page89"/>
    <w:bookmarkEnd w:id="88"/>
    <w:p>
      <w:pPr>
        <w:jc w:val="both"/>
        <w:ind w:left="660"/>
        <w:spacing w:after="0" w:line="250" w:lineRule="auto"/>
        <w:rPr>
          <w:sz w:val="20"/>
          <w:szCs w:val="20"/>
          <w:color w:val="auto"/>
        </w:rPr>
      </w:pPr>
      <w:r>
        <w:rPr>
          <w:rFonts w:ascii="Arial" w:cs="Arial" w:eastAsia="Arial" w:hAnsi="Arial"/>
          <w:sz w:val="22"/>
          <w:szCs w:val="22"/>
          <w:color w:val="auto"/>
        </w:rPr>
        <w:t>Effective for Make-up Contributions made in 2015 and thereafter for the Participant’s lost share of Company contributions to the Participant’s 401(k) Plan for the 401(k) Plan’s fiscal year ending December 31, 2014, and later, those Make-up Contributions will be subject to the same vesting schedule that would have applied had they been made as Company contributions to the Participant under the Participant’s 401(k) Plan.</w:t>
      </w:r>
    </w:p>
    <w:p>
      <w:pPr>
        <w:spacing w:after="0" w:line="229" w:lineRule="exact"/>
        <w:rPr>
          <w:sz w:val="20"/>
          <w:szCs w:val="20"/>
          <w:color w:val="auto"/>
        </w:rPr>
      </w:pPr>
    </w:p>
    <w:p>
      <w:pPr>
        <w:jc w:val="both"/>
        <w:ind w:left="660"/>
        <w:spacing w:after="0" w:line="263" w:lineRule="auto"/>
        <w:rPr>
          <w:sz w:val="20"/>
          <w:szCs w:val="20"/>
          <w:color w:val="auto"/>
        </w:rPr>
      </w:pPr>
      <w:r>
        <w:rPr>
          <w:rFonts w:ascii="Arial" w:cs="Arial" w:eastAsia="Arial" w:hAnsi="Arial"/>
          <w:sz w:val="22"/>
          <w:szCs w:val="22"/>
          <w:color w:val="auto"/>
        </w:rPr>
        <w:t>For the avoidance of doubt, to receive a Make-up Contribution with respect to a given Plan Year, the Participant must have made a deferral under this Plan for such Plan Year.</w:t>
      </w:r>
    </w:p>
    <w:p>
      <w:pPr>
        <w:spacing w:after="0" w:line="215" w:lineRule="exact"/>
        <w:rPr>
          <w:sz w:val="20"/>
          <w:szCs w:val="20"/>
          <w:color w:val="auto"/>
        </w:rPr>
      </w:pPr>
    </w:p>
    <w:p>
      <w:pPr>
        <w:jc w:val="both"/>
        <w:ind w:firstLine="656"/>
        <w:spacing w:after="0" w:line="297" w:lineRule="auto"/>
        <w:tabs>
          <w:tab w:leader="none" w:pos="1139" w:val="left"/>
        </w:tabs>
        <w:numPr>
          <w:ilvl w:val="0"/>
          <w:numId w:val="88"/>
        </w:numPr>
        <w:rPr>
          <w:rFonts w:ascii="Arial" w:cs="Arial" w:eastAsia="Arial" w:hAnsi="Arial"/>
          <w:sz w:val="19"/>
          <w:szCs w:val="19"/>
          <w:color w:val="auto"/>
        </w:rPr>
      </w:pPr>
      <w:r>
        <w:rPr>
          <w:rFonts w:ascii="Arial" w:cs="Arial" w:eastAsia="Arial" w:hAnsi="Arial"/>
          <w:sz w:val="19"/>
          <w:szCs w:val="19"/>
          <w:color w:val="auto"/>
        </w:rPr>
        <w:t>Company Discretionary Contributions. In addition to any Company contributions made in accordance with 3.4(a), the Company may, in its sole discretion, make discretionary contributions to the Accounts of one or more Participants at such times, in such amounts, and vested in such manner, as the Board or the Compensation Committee may determine. Such discretionary contributions shall be credited to the applicable Participant’s Deemed Investment Sub-Account. The Company must designate the time and form of distribution at the time that the discretionary contributions are allocated to the Participant’s Account.</w:t>
      </w:r>
    </w:p>
    <w:p>
      <w:pPr>
        <w:spacing w:after="0" w:line="187" w:lineRule="exact"/>
        <w:rPr>
          <w:rFonts w:ascii="Arial" w:cs="Arial" w:eastAsia="Arial" w:hAnsi="Arial"/>
          <w:sz w:val="19"/>
          <w:szCs w:val="19"/>
          <w:color w:val="auto"/>
        </w:rPr>
      </w:pPr>
    </w:p>
    <w:p>
      <w:pPr>
        <w:jc w:val="both"/>
        <w:ind w:firstLine="656"/>
        <w:spacing w:after="0" w:line="253" w:lineRule="auto"/>
        <w:tabs>
          <w:tab w:leader="none" w:pos="1185" w:val="left"/>
        </w:tabs>
        <w:numPr>
          <w:ilvl w:val="0"/>
          <w:numId w:val="88"/>
        </w:numPr>
        <w:rPr>
          <w:rFonts w:ascii="Arial" w:cs="Arial" w:eastAsia="Arial" w:hAnsi="Arial"/>
          <w:sz w:val="22"/>
          <w:szCs w:val="22"/>
          <w:color w:val="auto"/>
        </w:rPr>
      </w:pPr>
      <w:r>
        <w:rPr>
          <w:rFonts w:ascii="Arial" w:cs="Arial" w:eastAsia="Arial" w:hAnsi="Arial"/>
          <w:sz w:val="22"/>
          <w:szCs w:val="22"/>
          <w:color w:val="auto"/>
        </w:rPr>
        <w:t>Restoration Contributions. Beginning with Plan Years commencing January 1, 2014, the Company shall allocate to certain Participants’ Accounts a Restoration Contribution, which shall be based on each Participant’s Excess Compensation (defined below).</w:t>
      </w:r>
    </w:p>
    <w:p>
      <w:pPr>
        <w:spacing w:after="0" w:line="226" w:lineRule="exact"/>
        <w:rPr>
          <w:sz w:val="20"/>
          <w:szCs w:val="20"/>
          <w:color w:val="auto"/>
        </w:rPr>
      </w:pPr>
    </w:p>
    <w:p>
      <w:pPr>
        <w:jc w:val="both"/>
        <w:ind w:left="1300"/>
        <w:spacing w:after="0" w:line="247" w:lineRule="auto"/>
        <w:rPr>
          <w:sz w:val="20"/>
          <w:szCs w:val="20"/>
          <w:color w:val="auto"/>
        </w:rPr>
      </w:pPr>
      <w:r>
        <w:rPr>
          <w:rFonts w:ascii="Arial" w:cs="Arial" w:eastAsia="Arial" w:hAnsi="Arial"/>
          <w:sz w:val="22"/>
          <w:szCs w:val="22"/>
          <w:color w:val="auto"/>
        </w:rPr>
        <w:t>A Participant’s “Excess Compensation” for Restoration Contribution allocation purposes means the excess of a Participant’s Unlimited 401(k) Plan Compensation (defined below) over the Participant’s actual 401(k) Plan Compensation for that Plan Year. Moreover, “Excess Compensation” shall exclude performance-based or other incentive compensation received by a Participant that both (i) relates to the economic performance of an entity other than Nordstrom, Inc. and (ii) was adopted as part of, in recognition of, or in concert with, the merger, acquisition or change in control of such entity.</w:t>
      </w:r>
    </w:p>
    <w:p>
      <w:pPr>
        <w:spacing w:after="0" w:line="207" w:lineRule="exact"/>
        <w:rPr>
          <w:sz w:val="20"/>
          <w:szCs w:val="20"/>
          <w:color w:val="auto"/>
        </w:rPr>
      </w:pPr>
    </w:p>
    <w:p>
      <w:pPr>
        <w:jc w:val="both"/>
        <w:ind w:left="1300"/>
        <w:spacing w:after="0" w:line="285" w:lineRule="auto"/>
        <w:rPr>
          <w:sz w:val="20"/>
          <w:szCs w:val="20"/>
          <w:color w:val="auto"/>
        </w:rPr>
      </w:pPr>
      <w:r>
        <w:rPr>
          <w:rFonts w:ascii="Arial" w:cs="Arial" w:eastAsia="Arial" w:hAnsi="Arial"/>
          <w:sz w:val="19"/>
          <w:szCs w:val="19"/>
          <w:color w:val="auto"/>
        </w:rPr>
        <w:t xml:space="preserve">A Participant’s “Unlimited 401(k) Plan Compensation” for Restoration Contribution allocation purposes means Participant’s 401(k) Plan Compensation for a Plan Year determined without regard to the 401(a)(17) Limit (defined below) </w:t>
      </w:r>
      <w:r>
        <w:rPr>
          <w:rFonts w:ascii="Arial" w:cs="Arial" w:eastAsia="Arial" w:hAnsi="Arial"/>
          <w:sz w:val="19"/>
          <w:szCs w:val="19"/>
          <w:b w:val="1"/>
          <w:bCs w:val="1"/>
          <w:color w:val="auto"/>
        </w:rPr>
        <w:t>plus</w:t>
      </w:r>
      <w:r>
        <w:rPr>
          <w:rFonts w:ascii="Arial" w:cs="Arial" w:eastAsia="Arial" w:hAnsi="Arial"/>
          <w:sz w:val="19"/>
          <w:szCs w:val="19"/>
          <w:color w:val="auto"/>
        </w:rPr>
        <w:t xml:space="preserve"> the amount deferred by Participant into this Plan during that Plan Year. The 401(a)(17) Limit for a Plan Year means the compensation limitation under Code section 401(a)(17) (or the limit under Section 1081.01(a)(12) of the Puerto Rico Internal Revenue Code (the “PR Code”), whichever applies) in effect for such Plan Year. For the Plan Year beginning January 1, 2018, the 401(a)(17) Limit is $275,000 and is thereafter indexed for inflation.</w:t>
      </w:r>
    </w:p>
    <w:p>
      <w:pPr>
        <w:spacing w:after="0" w:line="1" w:lineRule="exact"/>
        <w:rPr>
          <w:sz w:val="20"/>
          <w:szCs w:val="20"/>
          <w:color w:val="auto"/>
        </w:rPr>
      </w:pPr>
    </w:p>
    <w:p>
      <w:pPr>
        <w:jc w:val="both"/>
        <w:ind w:left="1960" w:firstLine="648"/>
        <w:spacing w:after="0" w:line="295" w:lineRule="auto"/>
        <w:rPr>
          <w:sz w:val="20"/>
          <w:szCs w:val="20"/>
          <w:color w:val="auto"/>
        </w:rPr>
      </w:pPr>
      <w:r>
        <w:rPr>
          <w:rFonts w:ascii="Arial" w:cs="Arial" w:eastAsia="Arial" w:hAnsi="Arial"/>
          <w:sz w:val="19"/>
          <w:szCs w:val="19"/>
          <w:color w:val="auto"/>
        </w:rPr>
        <w:t>Example 1: Assume that for the 2018 Plan Year, Participant A is also a participant in the Nordstrom 401(k) Plan &amp; Profit Sharing (the “Qualified Plan” for purposes of this Section 3.4(c)). During the 2018 Plan Year, Participant A’s 401(k) Plan Compensation was $275,000 and Participant A deferred $10,000 into this Plan. The 401(a)(17) Limitation in effect for the 2018 Plan Year was $275,000. Participant A’s 2018 401(k)</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847" w:right="239" w:bottom="1440" w:gutter="0" w:footer="0" w:header="0"/>
        </w:sectPr>
      </w:pPr>
    </w:p>
    <w:bookmarkStart w:id="89" w:name="page90"/>
    <w:bookmarkEnd w:id="89"/>
    <w:p>
      <w:pPr>
        <w:jc w:val="both"/>
        <w:ind w:left="760" w:firstLine="648"/>
        <w:spacing w:after="0" w:line="250" w:lineRule="auto"/>
        <w:rPr>
          <w:sz w:val="20"/>
          <w:szCs w:val="20"/>
          <w:color w:val="auto"/>
        </w:rPr>
      </w:pPr>
      <w:r>
        <w:rPr>
          <w:rFonts w:ascii="Arial" w:cs="Arial" w:eastAsia="Arial" w:hAnsi="Arial"/>
          <w:sz w:val="22"/>
          <w:szCs w:val="22"/>
          <w:color w:val="auto"/>
        </w:rPr>
        <w:t>Plan Compensation determined without regard to the 401(a)(17) Limit was $305,000. Consequently, Participant A’s Unlimited 401(k) Plan Compensation for the 2018 Plan Year was $315,000 ($305,000 plus $10,000). Participant A’s Excess Compensation was $40,000 ($315,000 less Participant’s $275,000 401(k) Plan Compensation).</w:t>
      </w:r>
    </w:p>
    <w:p>
      <w:pPr>
        <w:spacing w:after="0" w:line="229" w:lineRule="exact"/>
        <w:rPr>
          <w:sz w:val="20"/>
          <w:szCs w:val="20"/>
          <w:color w:val="auto"/>
        </w:rPr>
      </w:pPr>
    </w:p>
    <w:p>
      <w:pPr>
        <w:ind w:left="100"/>
        <w:spacing w:after="0"/>
        <w:rPr>
          <w:sz w:val="20"/>
          <w:szCs w:val="20"/>
          <w:color w:val="auto"/>
        </w:rPr>
      </w:pPr>
      <w:r>
        <w:rPr>
          <w:rFonts w:ascii="Arial" w:cs="Arial" w:eastAsia="Arial" w:hAnsi="Arial"/>
          <w:sz w:val="19"/>
          <w:szCs w:val="19"/>
          <w:color w:val="auto"/>
        </w:rPr>
        <w:t>The Restoration Contribution allocable with respect to a Participant’s Excess Compensation shall be the lesser of:</w:t>
      </w:r>
    </w:p>
    <w:p>
      <w:pPr>
        <w:spacing w:after="0" w:line="295" w:lineRule="exact"/>
        <w:rPr>
          <w:sz w:val="20"/>
          <w:szCs w:val="20"/>
          <w:color w:val="auto"/>
        </w:rPr>
      </w:pPr>
    </w:p>
    <w:p>
      <w:pPr>
        <w:jc w:val="both"/>
        <w:ind w:left="760" w:hanging="7"/>
        <w:spacing w:after="0" w:line="253" w:lineRule="auto"/>
        <w:tabs>
          <w:tab w:leader="none" w:pos="1431" w:val="left"/>
        </w:tabs>
        <w:numPr>
          <w:ilvl w:val="0"/>
          <w:numId w:val="89"/>
        </w:numPr>
        <w:rPr>
          <w:rFonts w:ascii="Arial" w:cs="Arial" w:eastAsia="Arial" w:hAnsi="Arial"/>
          <w:sz w:val="22"/>
          <w:szCs w:val="22"/>
          <w:color w:val="auto"/>
        </w:rPr>
      </w:pPr>
      <w:r>
        <w:rPr>
          <w:rFonts w:ascii="Arial" w:cs="Arial" w:eastAsia="Arial" w:hAnsi="Arial"/>
          <w:sz w:val="22"/>
          <w:szCs w:val="22"/>
          <w:color w:val="auto"/>
        </w:rPr>
        <w:t>the maximum matching contribution amount that could be generated by applying the matching contribution formula in effect under the Participant’s 401(k) Plan for such Plan Year to the Participant’s Excess Compensation, if any; and</w:t>
      </w:r>
    </w:p>
    <w:p>
      <w:pPr>
        <w:spacing w:after="0" w:line="226" w:lineRule="exact"/>
        <w:rPr>
          <w:rFonts w:ascii="Arial" w:cs="Arial" w:eastAsia="Arial" w:hAnsi="Arial"/>
          <w:sz w:val="22"/>
          <w:szCs w:val="22"/>
          <w:color w:val="auto"/>
        </w:rPr>
      </w:pPr>
    </w:p>
    <w:p>
      <w:pPr>
        <w:ind w:left="1220" w:hanging="467"/>
        <w:spacing w:after="0"/>
        <w:tabs>
          <w:tab w:leader="none" w:pos="1220" w:val="left"/>
        </w:tabs>
        <w:numPr>
          <w:ilvl w:val="0"/>
          <w:numId w:val="89"/>
        </w:numPr>
        <w:rPr>
          <w:rFonts w:ascii="Arial" w:cs="Arial" w:eastAsia="Arial" w:hAnsi="Arial"/>
          <w:sz w:val="22"/>
          <w:szCs w:val="22"/>
          <w:color w:val="auto"/>
        </w:rPr>
      </w:pPr>
      <w:r>
        <w:rPr>
          <w:rFonts w:ascii="Arial" w:cs="Arial" w:eastAsia="Arial" w:hAnsi="Arial"/>
          <w:sz w:val="22"/>
          <w:szCs w:val="22"/>
          <w:color w:val="auto"/>
        </w:rPr>
        <w:t>the amount actually deferred by Participant into this Plan for such Plan Year, if any.</w:t>
      </w:r>
    </w:p>
    <w:p>
      <w:pPr>
        <w:spacing w:after="0" w:line="260" w:lineRule="exact"/>
        <w:rPr>
          <w:sz w:val="20"/>
          <w:szCs w:val="20"/>
          <w:color w:val="auto"/>
        </w:rPr>
      </w:pPr>
    </w:p>
    <w:p>
      <w:pPr>
        <w:jc w:val="both"/>
        <w:ind w:left="760" w:firstLine="648"/>
        <w:spacing w:after="0" w:line="259" w:lineRule="auto"/>
        <w:rPr>
          <w:sz w:val="20"/>
          <w:szCs w:val="20"/>
          <w:color w:val="auto"/>
        </w:rPr>
      </w:pPr>
      <w:r>
        <w:rPr>
          <w:rFonts w:ascii="Arial" w:cs="Arial" w:eastAsia="Arial" w:hAnsi="Arial"/>
          <w:sz w:val="21"/>
          <w:szCs w:val="21"/>
          <w:color w:val="auto"/>
        </w:rPr>
        <w:t>Example 2: Same facts as in Example 1. Assume further that the matching formula under the Qualified Plan was 100% of Participant’s elective deferrals under the Qualified Plan, up to 4% of Participant’s 401(k) Plan Compensation. From Example 1, Participant A’s Excess Compensation for the 2018 Plan Year was $40,000. Applying the Qualified Plan’s matching contribution to Participant A’s Excess Compensation, the maximum match generated by the Excess Compensation would be $1,600 (i.e., dollar for dollar, up to 4% of Participant’s Excess Compensation). Accordingly, the Restoration Contribution allocable to Participant A under this Plan with respect to the 2018 Plan Year would be $1,600 (the lesser of (i) the maximum matching contribution generated by Participant A’s Excess Compensation and (ii) Participant A’s $10,000 Plan deferral.)</w:t>
      </w:r>
    </w:p>
    <w:p>
      <w:pPr>
        <w:spacing w:after="0" w:line="221" w:lineRule="exact"/>
        <w:rPr>
          <w:sz w:val="20"/>
          <w:szCs w:val="20"/>
          <w:color w:val="auto"/>
        </w:rPr>
      </w:pPr>
    </w:p>
    <w:p>
      <w:pPr>
        <w:jc w:val="both"/>
        <w:ind w:left="100"/>
        <w:spacing w:after="0" w:line="265" w:lineRule="auto"/>
        <w:rPr>
          <w:sz w:val="20"/>
          <w:szCs w:val="20"/>
          <w:color w:val="auto"/>
        </w:rPr>
      </w:pPr>
      <w:r>
        <w:rPr>
          <w:rFonts w:ascii="Arial" w:cs="Arial" w:eastAsia="Arial" w:hAnsi="Arial"/>
          <w:sz w:val="21"/>
          <w:szCs w:val="21"/>
          <w:color w:val="auto"/>
        </w:rPr>
        <w:t>In the event that the Participant is eligible to receive matching contributions under Participant’s 401(k) Plan under more than one formula during a given Plan Year, then the Restoration Contribution above shall be calculated through application of each applicable 401(k) Plan matching formula under (1) and (2) above, with the resulting amounts added together to arrive at the total Restoration Contribution for that Plan Year.</w:t>
      </w:r>
    </w:p>
    <w:p>
      <w:pPr>
        <w:spacing w:after="0" w:line="216" w:lineRule="exact"/>
        <w:rPr>
          <w:sz w:val="20"/>
          <w:szCs w:val="20"/>
          <w:color w:val="auto"/>
        </w:rPr>
      </w:pPr>
    </w:p>
    <w:p>
      <w:pPr>
        <w:jc w:val="both"/>
        <w:ind w:left="760" w:firstLine="648"/>
        <w:spacing w:after="0" w:line="294" w:lineRule="auto"/>
        <w:rPr>
          <w:sz w:val="20"/>
          <w:szCs w:val="20"/>
          <w:color w:val="auto"/>
        </w:rPr>
      </w:pPr>
      <w:r>
        <w:rPr>
          <w:rFonts w:ascii="Arial" w:cs="Arial" w:eastAsia="Arial" w:hAnsi="Arial"/>
          <w:sz w:val="19"/>
          <w:szCs w:val="19"/>
          <w:color w:val="auto"/>
        </w:rPr>
        <w:t>Example 3: Same facts as in Example 2. Assume further that a second matching contribution is declared under the Qualified Plan for the 2018 Plan Year. The formula for this second matching contribution was 50% of Participant’s elective deferrals under the Qualified Plan, up to 4% of Participant’s 401(k) Plan Compensation. Applying the Qualified Plan’s second matching contribution to Participant A’s Excess Compensation, the maximum match generated by the Excess Compensation would be $800 (i.e., fifty percent (50%) of the lesser of (i) the amount deferred into this Plan or</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0220"/>
          </w:cols>
          <w:pgMar w:left="1440" w:top="847" w:right="239" w:bottom="1440" w:gutter="0" w:footer="0" w:header="0"/>
        </w:sectPr>
      </w:pPr>
    </w:p>
    <w:bookmarkStart w:id="90" w:name="page91"/>
    <w:bookmarkEnd w:id="90"/>
    <w:p>
      <w:pPr>
        <w:jc w:val="both"/>
        <w:ind w:left="1960" w:hanging="7"/>
        <w:spacing w:after="0" w:line="250" w:lineRule="auto"/>
        <w:tabs>
          <w:tab w:leader="none" w:pos="2337" w:val="left"/>
        </w:tabs>
        <w:numPr>
          <w:ilvl w:val="0"/>
          <w:numId w:val="90"/>
        </w:numPr>
        <w:rPr>
          <w:rFonts w:ascii="Arial" w:cs="Arial" w:eastAsia="Arial" w:hAnsi="Arial"/>
          <w:sz w:val="22"/>
          <w:szCs w:val="22"/>
          <w:color w:val="auto"/>
        </w:rPr>
      </w:pPr>
      <w:r>
        <w:rPr>
          <w:rFonts w:ascii="Arial" w:cs="Arial" w:eastAsia="Arial" w:hAnsi="Arial"/>
          <w:sz w:val="22"/>
          <w:szCs w:val="22"/>
          <w:color w:val="auto"/>
        </w:rPr>
        <w:t>4% of Participant’s Excess Compensation). Accordingly, the Restoration Contribution allocable to Participant A under this Plan with respect to the 2018 Plan Year would be $800 (the lesser of (i) the maximum matching contribution generated by Participant A’s Excess Compensation and (ii) Participant A’s $10,000 Plan deferral.)</w:t>
      </w:r>
    </w:p>
    <w:p>
      <w:pPr>
        <w:spacing w:after="0" w:line="229" w:lineRule="exact"/>
        <w:rPr>
          <w:sz w:val="20"/>
          <w:szCs w:val="20"/>
          <w:color w:val="auto"/>
        </w:rPr>
      </w:pPr>
    </w:p>
    <w:p>
      <w:pPr>
        <w:ind w:left="1960" w:right="20"/>
        <w:spacing w:after="0" w:line="287" w:lineRule="auto"/>
        <w:rPr>
          <w:sz w:val="20"/>
          <w:szCs w:val="20"/>
          <w:color w:val="auto"/>
        </w:rPr>
      </w:pPr>
      <w:r>
        <w:rPr>
          <w:rFonts w:ascii="Arial" w:cs="Arial" w:eastAsia="Arial" w:hAnsi="Arial"/>
          <w:sz w:val="21"/>
          <w:szCs w:val="21"/>
          <w:color w:val="auto"/>
        </w:rPr>
        <w:t>Participant A’s total Restoration Contribution for the 2018 Plan Year would be $2,400 ($1,600 under the first matching contribution formula plus $800 under the second matching contribution formula).</w:t>
      </w:r>
    </w:p>
    <w:p>
      <w:pPr>
        <w:spacing w:after="0" w:line="192" w:lineRule="exact"/>
        <w:rPr>
          <w:sz w:val="20"/>
          <w:szCs w:val="20"/>
          <w:color w:val="auto"/>
        </w:rPr>
      </w:pPr>
    </w:p>
    <w:p>
      <w:pPr>
        <w:jc w:val="both"/>
        <w:ind w:left="1300"/>
        <w:spacing w:after="0" w:line="258" w:lineRule="auto"/>
        <w:rPr>
          <w:sz w:val="20"/>
          <w:szCs w:val="20"/>
          <w:color w:val="auto"/>
        </w:rPr>
      </w:pPr>
      <w:r>
        <w:rPr>
          <w:rFonts w:ascii="Arial" w:cs="Arial" w:eastAsia="Arial" w:hAnsi="Arial"/>
          <w:sz w:val="21"/>
          <w:szCs w:val="21"/>
          <w:color w:val="auto"/>
        </w:rPr>
        <w:t>The time and form of payment of Restoration Contributions shall be determined by the Participant’s deferral elections applicable for Base Compensation paid during the Plan Year preceding the Plan Year in which the Restoration Contribution is actually credited to the Participant’s Account. For example, the time and form of payment of Restoration Contributions credited in early 2015 with respect to Participant’s Excess Compensation earned in the 2014 Plan Year shall be determined on the Participant’s deferral elections applicable for Base Compensation paid during the 2014 Plan Year. If no such deferral election exists, then the time and form of payment of the Participant’s Restoration Contribution for such Plan Year shall be as a single lump sum payment made at Participant’s Separation. Restoration Contributions will be subject to the same vesting schedule that would have applied to such Restoration Contributions had they been made as Company matching contributions to the Participant under the 401(k) Plan.</w:t>
      </w:r>
    </w:p>
    <w:p>
      <w:pPr>
        <w:spacing w:after="0" w:line="227" w:lineRule="exact"/>
        <w:rPr>
          <w:sz w:val="20"/>
          <w:szCs w:val="20"/>
          <w:color w:val="auto"/>
        </w:rPr>
      </w:pPr>
    </w:p>
    <w:p>
      <w:pPr>
        <w:jc w:val="both"/>
        <w:ind w:left="1300"/>
        <w:spacing w:after="0" w:line="302" w:lineRule="auto"/>
        <w:rPr>
          <w:sz w:val="20"/>
          <w:szCs w:val="20"/>
          <w:color w:val="auto"/>
        </w:rPr>
      </w:pPr>
      <w:r>
        <w:rPr>
          <w:rFonts w:ascii="Arial" w:cs="Arial" w:eastAsia="Arial" w:hAnsi="Arial"/>
          <w:sz w:val="19"/>
          <w:szCs w:val="19"/>
          <w:color w:val="auto"/>
        </w:rPr>
        <w:t>A Participant is ineligible to receive a Restoration Contribution for any Plan Year in which such Participant either (i) is ineligible to receive a Company matching contribution allocation under the 401(k) Plan due to application of the 401(k) Plan’s employment and/or hours of service requirements to receive such matching contribution allocation or (ii) is a participant in the SERP, unless the Compensation Committee determines otherwise.</w:t>
      </w:r>
    </w:p>
    <w:p>
      <w:pPr>
        <w:spacing w:after="0" w:line="183" w:lineRule="exact"/>
        <w:rPr>
          <w:sz w:val="20"/>
          <w:szCs w:val="20"/>
          <w:color w:val="auto"/>
        </w:rPr>
      </w:pPr>
    </w:p>
    <w:p>
      <w:pPr>
        <w:jc w:val="both"/>
        <w:spacing w:after="0" w:line="249" w:lineRule="auto"/>
        <w:rPr>
          <w:sz w:val="20"/>
          <w:szCs w:val="20"/>
          <w:color w:val="auto"/>
        </w:rPr>
      </w:pPr>
      <w:r>
        <w:rPr>
          <w:rFonts w:ascii="Arial" w:cs="Arial" w:eastAsia="Arial" w:hAnsi="Arial"/>
          <w:sz w:val="22"/>
          <w:szCs w:val="22"/>
          <w:color w:val="auto"/>
        </w:rPr>
        <w:t>For the avoidance of doubt, (x) to receive a Restoration Contribution with respect to a given Plan Year, the Participant must have made a deferral under this Plan for such Plan Year and (y) a Participant can receive a Restoration Contribution under this Plan with respect to a given Plan</w:t>
      </w:r>
    </w:p>
    <w:p>
      <w:pPr>
        <w:spacing w:after="0"/>
        <w:rPr>
          <w:sz w:val="20"/>
          <w:szCs w:val="20"/>
          <w:color w:val="auto"/>
        </w:rPr>
      </w:pPr>
      <w:r>
        <w:rPr>
          <w:rFonts w:ascii="Arial" w:cs="Arial" w:eastAsia="Arial" w:hAnsi="Arial"/>
          <w:sz w:val="22"/>
          <w:szCs w:val="22"/>
          <w:color w:val="auto"/>
        </w:rPr>
        <w:t>Year whether or not the Participant made a deferral election under the 401(k) Plan for such Plan Year.</w:t>
      </w:r>
    </w:p>
    <w:p>
      <w:pPr>
        <w:spacing w:after="0" w:line="242"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 xml:space="preserve">3.5 </w:t>
      </w:r>
      <w:r>
        <w:rPr>
          <w:rFonts w:ascii="Arial" w:cs="Arial" w:eastAsia="Arial" w:hAnsi="Arial"/>
          <w:sz w:val="19"/>
          <w:szCs w:val="19"/>
          <w:u w:val="single" w:color="auto"/>
          <w:color w:val="auto"/>
        </w:rPr>
        <w:t>Deferral of Signing Bonus, Retention Bonus or Separation Payments Prohibited</w:t>
      </w:r>
      <w:r>
        <w:rPr>
          <w:rFonts w:ascii="Arial" w:cs="Arial" w:eastAsia="Arial" w:hAnsi="Arial"/>
          <w:sz w:val="19"/>
          <w:szCs w:val="19"/>
          <w:color w:val="auto"/>
        </w:rPr>
        <w:t>. A Participant may not defer any amounts paid to the Participant that are designated by the Company as a signing bonus, a retention bonus, or separation payments. A “signing bonus” is any amount paid to a newly hired Employee specifically as an incentive to accept a position with the Company. A “retention bonus” is any amount paid to an existing Employee specifically in exchange for an agreement to remain an Employee of the Company for a specified period. A “separation payment” is any amount paid to an Employee as a result of termination of employment with the Company; provided, however, that nothing in this Section 3.5 shall prevent the Company from negotiating a</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847" w:right="239" w:bottom="1440" w:gutter="0" w:footer="0" w:header="0"/>
        </w:sectPr>
      </w:pPr>
    </w:p>
    <w:bookmarkStart w:id="91" w:name="page92"/>
    <w:bookmarkEnd w:id="91"/>
    <w:p>
      <w:pPr>
        <w:spacing w:after="0"/>
        <w:rPr>
          <w:sz w:val="20"/>
          <w:szCs w:val="20"/>
          <w:color w:val="auto"/>
        </w:rPr>
      </w:pPr>
      <w:r>
        <w:rPr>
          <w:rFonts w:ascii="Arial" w:cs="Arial" w:eastAsia="Arial" w:hAnsi="Arial"/>
          <w:sz w:val="22"/>
          <w:szCs w:val="22"/>
          <w:color w:val="auto"/>
        </w:rPr>
        <w:t>separation agreement, the provisions of which include a Company Discretionary Contribution under Section 3.4(b).</w:t>
      </w:r>
    </w:p>
    <w:p>
      <w:pPr>
        <w:spacing w:after="0" w:line="26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 xml:space="preserve">3.6 </w:t>
      </w:r>
      <w:r>
        <w:rPr>
          <w:rFonts w:ascii="Arial" w:cs="Arial" w:eastAsia="Arial" w:hAnsi="Arial"/>
          <w:sz w:val="22"/>
          <w:szCs w:val="22"/>
          <w:u w:val="single" w:color="auto"/>
          <w:color w:val="auto"/>
        </w:rPr>
        <w:t>Requirement for Deferral Agreement</w:t>
      </w:r>
      <w:r>
        <w:rPr>
          <w:rFonts w:ascii="Arial" w:cs="Arial" w:eastAsia="Arial" w:hAnsi="Arial"/>
          <w:sz w:val="22"/>
          <w:szCs w:val="22"/>
          <w:color w:val="auto"/>
        </w:rPr>
        <w:t>. A Participant who has not timely submitted a valid Deferral Agreement may not defer any Eligible Compensation (or receive the corresponding Company Make-up Contribution or Restoration Contribution allocation under 3.4) for the applicable Plan Year under the Plan.</w:t>
      </w:r>
    </w:p>
    <w:p>
      <w:pPr>
        <w:spacing w:after="0" w:line="226" w:lineRule="exact"/>
        <w:rPr>
          <w:sz w:val="20"/>
          <w:szCs w:val="20"/>
          <w:color w:val="auto"/>
        </w:rPr>
      </w:pPr>
    </w:p>
    <w:p>
      <w:pPr>
        <w:spacing w:after="0"/>
        <w:tabs>
          <w:tab w:leader="none" w:pos="480" w:val="left"/>
          <w:tab w:leader="none" w:pos="3860" w:val="left"/>
        </w:tabs>
        <w:rPr>
          <w:sz w:val="20"/>
          <w:szCs w:val="20"/>
          <w:color w:val="auto"/>
        </w:rPr>
      </w:pPr>
      <w:r>
        <w:rPr>
          <w:rFonts w:ascii="Arial" w:cs="Arial" w:eastAsia="Arial" w:hAnsi="Arial"/>
          <w:sz w:val="22"/>
          <w:szCs w:val="22"/>
          <w:color w:val="auto"/>
        </w:rPr>
        <w:t>3.7</w:t>
        <w:tab/>
        <w:t>Applicability of Deferral Agreement</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-17780</wp:posOffset>
            </wp:positionV>
            <wp:extent cx="214503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70">
                      <a:extLst>
                        <a:ext uri="{28A0092B-C50C-407E-A947-70E740481C1C}"/>
                      </a:extLst>
                    </a:blip>
                    <a:srcRect/>
                    <a:stretch>
                      <a:fillRect/>
                    </a:stretch>
                  </pic:blipFill>
                  <pic:spPr bwMode="auto">
                    <a:xfrm>
                      <a:off x="0" y="0"/>
                      <a:ext cx="2145030" cy="8890"/>
                    </a:xfrm>
                    <a:prstGeom prst="rect">
                      <a:avLst/>
                    </a:prstGeom>
                    <a:noFill/>
                  </pic:spPr>
                </pic:pic>
              </a:graphicData>
            </a:graphic>
          </wp:anchor>
        </w:drawing>
      </w:r>
    </w:p>
    <w:p>
      <w:pPr>
        <w:spacing w:after="0" w:line="240" w:lineRule="exact"/>
        <w:rPr>
          <w:sz w:val="20"/>
          <w:szCs w:val="20"/>
          <w:color w:val="auto"/>
        </w:rPr>
      </w:pPr>
    </w:p>
    <w:p>
      <w:pPr>
        <w:jc w:val="both"/>
        <w:ind w:firstLine="656"/>
        <w:spacing w:after="0" w:line="250" w:lineRule="auto"/>
        <w:tabs>
          <w:tab w:leader="none" w:pos="1131" w:val="left"/>
        </w:tabs>
        <w:numPr>
          <w:ilvl w:val="0"/>
          <w:numId w:val="91"/>
        </w:numPr>
        <w:rPr>
          <w:rFonts w:ascii="Arial" w:cs="Arial" w:eastAsia="Arial" w:hAnsi="Arial"/>
          <w:sz w:val="22"/>
          <w:szCs w:val="22"/>
          <w:color w:val="auto"/>
        </w:rPr>
      </w:pPr>
      <w:r>
        <w:rPr>
          <w:rFonts w:ascii="Arial" w:cs="Arial" w:eastAsia="Arial" w:hAnsi="Arial"/>
          <w:sz w:val="22"/>
          <w:szCs w:val="22"/>
          <w:u w:val="single" w:color="auto"/>
          <w:color w:val="auto"/>
        </w:rPr>
        <w:t>General Rule</w:t>
      </w:r>
      <w:r>
        <w:rPr>
          <w:rFonts w:ascii="Arial" w:cs="Arial" w:eastAsia="Arial" w:hAnsi="Arial"/>
          <w:sz w:val="22"/>
          <w:szCs w:val="22"/>
          <w:color w:val="auto"/>
        </w:rPr>
        <w:t>. Except as provided in this Section 3.7, a Deferral Agreement shall be irrevocable and remains in effect for the entire Plan Year to which it applies. A Participant must file a new Deferral Agreement to continue deferrals in any subsequent Plan Year. The terms of any Deferral Agreement may, but need not be, similar to the terms of any prior Deferral Agreement.</w:t>
      </w:r>
    </w:p>
    <w:p>
      <w:pPr>
        <w:spacing w:after="0" w:line="228" w:lineRule="exact"/>
        <w:rPr>
          <w:rFonts w:ascii="Arial" w:cs="Arial" w:eastAsia="Arial" w:hAnsi="Arial"/>
          <w:sz w:val="22"/>
          <w:szCs w:val="22"/>
          <w:color w:val="auto"/>
        </w:rPr>
      </w:pPr>
    </w:p>
    <w:p>
      <w:pPr>
        <w:ind w:left="1120" w:hanging="464"/>
        <w:spacing w:after="0"/>
        <w:tabs>
          <w:tab w:leader="none" w:pos="1120" w:val="left"/>
        </w:tabs>
        <w:numPr>
          <w:ilvl w:val="0"/>
          <w:numId w:val="91"/>
        </w:numPr>
        <w:rPr>
          <w:rFonts w:ascii="Arial" w:cs="Arial" w:eastAsia="Arial" w:hAnsi="Arial"/>
          <w:sz w:val="22"/>
          <w:szCs w:val="22"/>
          <w:color w:val="auto"/>
        </w:rPr>
      </w:pPr>
      <w:r>
        <w:rPr>
          <w:rFonts w:ascii="Arial" w:cs="Arial" w:eastAsia="Arial" w:hAnsi="Arial"/>
          <w:sz w:val="22"/>
          <w:szCs w:val="22"/>
          <w:u w:val="single" w:color="auto"/>
          <w:color w:val="auto"/>
        </w:rPr>
        <w:t>Exceptions to Irrevocability</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ind w:left="660" w:firstLine="645"/>
        <w:spacing w:after="0" w:line="263" w:lineRule="auto"/>
        <w:tabs>
          <w:tab w:leader="none" w:pos="1871" w:val="left"/>
        </w:tabs>
        <w:numPr>
          <w:ilvl w:val="1"/>
          <w:numId w:val="91"/>
        </w:numPr>
        <w:rPr>
          <w:rFonts w:ascii="Arial" w:cs="Arial" w:eastAsia="Arial" w:hAnsi="Arial"/>
          <w:sz w:val="22"/>
          <w:szCs w:val="22"/>
          <w:color w:val="auto"/>
        </w:rPr>
      </w:pPr>
      <w:r>
        <w:rPr>
          <w:rFonts w:ascii="Arial" w:cs="Arial" w:eastAsia="Arial" w:hAnsi="Arial"/>
          <w:sz w:val="22"/>
          <w:szCs w:val="22"/>
          <w:u w:val="single" w:color="auto"/>
          <w:color w:val="auto"/>
        </w:rPr>
        <w:t>Financial Hardship</w:t>
      </w:r>
      <w:r>
        <w:rPr>
          <w:rFonts w:ascii="Arial" w:cs="Arial" w:eastAsia="Arial" w:hAnsi="Arial"/>
          <w:sz w:val="22"/>
          <w:szCs w:val="22"/>
          <w:color w:val="auto"/>
        </w:rPr>
        <w:t>. A Participant’s Deferral Agreement shall be automatically canceled and deferrals shall cease for the remainder of the Plan Year if the Participant:</w:t>
      </w:r>
    </w:p>
    <w:p>
      <w:pPr>
        <w:spacing w:after="0" w:line="215" w:lineRule="exact"/>
        <w:rPr>
          <w:rFonts w:ascii="Arial" w:cs="Arial" w:eastAsia="Arial" w:hAnsi="Arial"/>
          <w:sz w:val="22"/>
          <w:szCs w:val="22"/>
          <w:color w:val="auto"/>
        </w:rPr>
      </w:pPr>
    </w:p>
    <w:p>
      <w:pPr>
        <w:ind w:left="2520" w:hanging="567"/>
        <w:spacing w:after="0"/>
        <w:tabs>
          <w:tab w:leader="none" w:pos="2520" w:val="left"/>
        </w:tabs>
        <w:numPr>
          <w:ilvl w:val="2"/>
          <w:numId w:val="91"/>
        </w:numPr>
        <w:rPr>
          <w:rFonts w:ascii="Arial" w:cs="Arial" w:eastAsia="Arial" w:hAnsi="Arial"/>
          <w:sz w:val="19"/>
          <w:szCs w:val="19"/>
          <w:color w:val="auto"/>
        </w:rPr>
      </w:pPr>
      <w:r>
        <w:rPr>
          <w:rFonts w:ascii="Arial" w:cs="Arial" w:eastAsia="Arial" w:hAnsi="Arial"/>
          <w:sz w:val="19"/>
          <w:szCs w:val="19"/>
          <w:color w:val="auto"/>
        </w:rPr>
        <w:t>receives a distribution due to an unforeseeable financial emergency, as described in Section 6.2(a)(1),</w:t>
      </w:r>
    </w:p>
    <w:p>
      <w:pPr>
        <w:spacing w:after="0" w:line="56" w:lineRule="exact"/>
        <w:rPr>
          <w:rFonts w:ascii="Arial" w:cs="Arial" w:eastAsia="Arial" w:hAnsi="Arial"/>
          <w:sz w:val="19"/>
          <w:szCs w:val="19"/>
          <w:color w:val="auto"/>
        </w:rPr>
      </w:pPr>
    </w:p>
    <w:p>
      <w:pPr>
        <w:ind w:left="1300"/>
        <w:spacing w:after="0"/>
        <w:rPr>
          <w:rFonts w:ascii="Arial" w:cs="Arial" w:eastAsia="Arial" w:hAnsi="Arial"/>
          <w:sz w:val="19"/>
          <w:szCs w:val="19"/>
          <w:color w:val="auto"/>
        </w:rPr>
      </w:pPr>
      <w:r>
        <w:rPr>
          <w:rFonts w:ascii="Arial" w:cs="Arial" w:eastAsia="Arial" w:hAnsi="Arial"/>
          <w:sz w:val="22"/>
          <w:szCs w:val="22"/>
          <w:color w:val="auto"/>
        </w:rPr>
        <w:t>or</w:t>
      </w:r>
    </w:p>
    <w:p>
      <w:pPr>
        <w:spacing w:after="0" w:line="242" w:lineRule="exact"/>
        <w:rPr>
          <w:rFonts w:ascii="Arial" w:cs="Arial" w:eastAsia="Arial" w:hAnsi="Arial"/>
          <w:sz w:val="19"/>
          <w:szCs w:val="19"/>
          <w:color w:val="auto"/>
        </w:rPr>
      </w:pPr>
    </w:p>
    <w:p>
      <w:pPr>
        <w:ind w:left="2460" w:hanging="507"/>
        <w:spacing w:after="0"/>
        <w:tabs>
          <w:tab w:leader="none" w:pos="2460" w:val="left"/>
        </w:tabs>
        <w:numPr>
          <w:ilvl w:val="2"/>
          <w:numId w:val="91"/>
        </w:numPr>
        <w:rPr>
          <w:rFonts w:ascii="Arial" w:cs="Arial" w:eastAsia="Arial" w:hAnsi="Arial"/>
          <w:sz w:val="19"/>
          <w:szCs w:val="19"/>
          <w:color w:val="auto"/>
        </w:rPr>
      </w:pPr>
      <w:r>
        <w:rPr>
          <w:rFonts w:ascii="Arial" w:cs="Arial" w:eastAsia="Arial" w:hAnsi="Arial"/>
          <w:sz w:val="19"/>
          <w:szCs w:val="19"/>
          <w:color w:val="auto"/>
        </w:rPr>
        <w:t>receives a hardship distribution from the 401(k) Plan pursuant to Treasury Regulation 1.401(k)-1(d)(3).</w:t>
      </w:r>
    </w:p>
    <w:p>
      <w:pPr>
        <w:spacing w:after="0" w:line="294" w:lineRule="exact"/>
        <w:rPr>
          <w:rFonts w:ascii="Arial" w:cs="Arial" w:eastAsia="Arial" w:hAnsi="Arial"/>
          <w:sz w:val="19"/>
          <w:szCs w:val="19"/>
          <w:color w:val="auto"/>
        </w:rPr>
      </w:pPr>
    </w:p>
    <w:p>
      <w:pPr>
        <w:jc w:val="both"/>
        <w:ind w:left="660" w:firstLine="645"/>
        <w:spacing w:after="0" w:line="250" w:lineRule="auto"/>
        <w:tabs>
          <w:tab w:leader="none" w:pos="1857" w:val="left"/>
        </w:tabs>
        <w:numPr>
          <w:ilvl w:val="1"/>
          <w:numId w:val="91"/>
        </w:numPr>
        <w:rPr>
          <w:rFonts w:ascii="Arial" w:cs="Arial" w:eastAsia="Arial" w:hAnsi="Arial"/>
          <w:sz w:val="22"/>
          <w:szCs w:val="22"/>
          <w:color w:val="auto"/>
        </w:rPr>
      </w:pPr>
      <w:r>
        <w:rPr>
          <w:rFonts w:ascii="Arial" w:cs="Arial" w:eastAsia="Arial" w:hAnsi="Arial"/>
          <w:sz w:val="22"/>
          <w:szCs w:val="22"/>
          <w:u w:val="single" w:color="auto"/>
          <w:color w:val="auto"/>
        </w:rPr>
        <w:t>Disability</w:t>
      </w:r>
      <w:r>
        <w:rPr>
          <w:rFonts w:ascii="Arial" w:cs="Arial" w:eastAsia="Arial" w:hAnsi="Arial"/>
          <w:sz w:val="22"/>
          <w:szCs w:val="22"/>
          <w:color w:val="auto"/>
        </w:rPr>
        <w:t>. A Deferral Agreement shall be canceled if a Participant becomes Disabled. For purposes of this section, “Disabled” means that a Participant suffers from a medically determinable physical or mental impairment resulting in his or her inability to perform the duties of his or her position or any substantially similar position for a continuous period of not less than six months.</w:t>
      </w:r>
    </w:p>
    <w:p>
      <w:pPr>
        <w:spacing w:after="0" w:line="228" w:lineRule="exact"/>
        <w:rPr>
          <w:rFonts w:ascii="Arial" w:cs="Arial" w:eastAsia="Arial" w:hAnsi="Arial"/>
          <w:sz w:val="22"/>
          <w:szCs w:val="22"/>
          <w:color w:val="auto"/>
        </w:rPr>
      </w:pPr>
    </w:p>
    <w:p>
      <w:pPr>
        <w:jc w:val="both"/>
        <w:ind w:firstLine="656"/>
        <w:spacing w:after="0" w:line="263" w:lineRule="auto"/>
        <w:tabs>
          <w:tab w:leader="none" w:pos="1104" w:val="left"/>
        </w:tabs>
        <w:numPr>
          <w:ilvl w:val="0"/>
          <w:numId w:val="91"/>
        </w:numPr>
        <w:rPr>
          <w:rFonts w:ascii="Arial" w:cs="Arial" w:eastAsia="Arial" w:hAnsi="Arial"/>
          <w:sz w:val="21"/>
          <w:szCs w:val="21"/>
          <w:color w:val="auto"/>
        </w:rPr>
      </w:pPr>
      <w:r>
        <w:rPr>
          <w:rFonts w:ascii="Arial" w:cs="Arial" w:eastAsia="Arial" w:hAnsi="Arial"/>
          <w:sz w:val="21"/>
          <w:szCs w:val="21"/>
          <w:u w:val="single" w:color="auto"/>
          <w:color w:val="auto"/>
        </w:rPr>
        <w:t>Resuming Participation</w:t>
      </w:r>
      <w:r>
        <w:rPr>
          <w:rFonts w:ascii="Arial" w:cs="Arial" w:eastAsia="Arial" w:hAnsi="Arial"/>
          <w:sz w:val="21"/>
          <w:szCs w:val="21"/>
          <w:color w:val="auto"/>
        </w:rPr>
        <w:t>. A Participant may elect to resume deferrals under this Plan at any subsequent Annual Election Period, provided that the Participant satisfies the Plan’s eligibility requirements in effect at that time. In addition, if the reason for revocation of the Deferral Agreement was receipt of a hardship distribution under the 401(k) Plan, the Participant must wait until an Annual Election Period that begins at least six months after the Participant received the hardship distribution from the 401(k) Plan before electing to resume deferrals under this Plan.</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IV</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DEFERRAL ACCOUNT AND CREDITING</w:t>
      </w:r>
    </w:p>
    <w:p>
      <w:pPr>
        <w:spacing w:after="0" w:line="242"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 xml:space="preserve">4.1 </w:t>
      </w:r>
      <w:r>
        <w:rPr>
          <w:rFonts w:ascii="Arial" w:cs="Arial" w:eastAsia="Arial" w:hAnsi="Arial"/>
          <w:sz w:val="22"/>
          <w:szCs w:val="22"/>
          <w:u w:val="single" w:color="auto"/>
          <w:color w:val="auto"/>
        </w:rPr>
        <w:t>Account</w:t>
      </w:r>
      <w:r>
        <w:rPr>
          <w:rFonts w:ascii="Arial" w:cs="Arial" w:eastAsia="Arial" w:hAnsi="Arial"/>
          <w:sz w:val="22"/>
          <w:szCs w:val="22"/>
          <w:color w:val="auto"/>
        </w:rPr>
        <w:t>. A Participant’s “Account” is the account established on the books of the Company as a record of each Participant’s Plan balance. An Account may, at the discretion of the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847" w:right="239" w:bottom="1440" w:gutter="0" w:footer="0" w:header="0"/>
        </w:sectPr>
      </w:pPr>
    </w:p>
    <w:bookmarkStart w:id="92" w:name="page93"/>
    <w:bookmarkEnd w:id="92"/>
    <w:p>
      <w:pPr>
        <w:spacing w:after="0" w:line="265" w:lineRule="exact"/>
        <w:rPr>
          <w:sz w:val="20"/>
          <w:szCs w:val="20"/>
          <w:color w:val="auto"/>
        </w:rPr>
      </w:pPr>
      <w:r>
        <w:rPr>
          <w:rFonts w:ascii="Arial" w:cs="Arial" w:eastAsia="Arial" w:hAnsi="Arial"/>
          <w:sz w:val="19"/>
          <w:szCs w:val="19"/>
          <w:color w:val="auto"/>
        </w:rPr>
        <w:t>Administrative Committee, include one or more sub</w:t>
      </w:r>
      <w:r>
        <w:rPr>
          <w:rFonts w:ascii="MS PGothic" w:cs="MS PGothic" w:eastAsia="MS PGothic" w:hAnsi="MS PGothic"/>
          <w:sz w:val="19"/>
          <w:szCs w:val="19"/>
          <w:color w:val="auto"/>
        </w:rPr>
        <w:t>‑</w:t>
      </w:r>
      <w:r>
        <w:rPr>
          <w:rFonts w:ascii="Arial" w:cs="Arial" w:eastAsia="Arial" w:hAnsi="Arial"/>
          <w:sz w:val="19"/>
          <w:szCs w:val="19"/>
          <w:color w:val="auto"/>
        </w:rPr>
        <w:t>accounts to reflect amounts credited to a Participant under the various terms of the Plan. As of the effective date of this Restatement, the Administrative Committee has established the following sub-accounts:</w:t>
      </w:r>
    </w:p>
    <w:p>
      <w:pPr>
        <w:spacing w:after="0" w:line="240" w:lineRule="exact"/>
        <w:rPr>
          <w:sz w:val="20"/>
          <w:szCs w:val="20"/>
          <w:color w:val="auto"/>
        </w:rPr>
      </w:pPr>
    </w:p>
    <w:p>
      <w:pPr>
        <w:jc w:val="both"/>
        <w:ind w:firstLine="656"/>
        <w:spacing w:after="0" w:line="265" w:lineRule="auto"/>
        <w:tabs>
          <w:tab w:leader="none" w:pos="1172" w:val="left"/>
        </w:tabs>
        <w:numPr>
          <w:ilvl w:val="0"/>
          <w:numId w:val="92"/>
        </w:numPr>
        <w:rPr>
          <w:rFonts w:ascii="Arial" w:cs="Arial" w:eastAsia="Arial" w:hAnsi="Arial"/>
          <w:sz w:val="21"/>
          <w:szCs w:val="21"/>
          <w:color w:val="auto"/>
        </w:rPr>
      </w:pPr>
      <w:r>
        <w:rPr>
          <w:rFonts w:ascii="Arial" w:cs="Arial" w:eastAsia="Arial" w:hAnsi="Arial"/>
          <w:sz w:val="21"/>
          <w:szCs w:val="21"/>
          <w:u w:val="single" w:color="auto"/>
          <w:color w:val="auto"/>
        </w:rPr>
        <w:t>Deemed Investment Sub-Account</w:t>
      </w:r>
      <w:r>
        <w:rPr>
          <w:rFonts w:ascii="Arial" w:cs="Arial" w:eastAsia="Arial" w:hAnsi="Arial"/>
          <w:sz w:val="21"/>
          <w:szCs w:val="21"/>
          <w:color w:val="auto"/>
        </w:rPr>
        <w:t>: A Deemed Investment Sub-Account, reflecting the Participant’s account balance resulting from the deferral of Eligible Compensation (other than Performance Share Units, Restricted Stock Units or other stock-based compensation), Company Contribution allocations under Section 3.4, and the Participant’s deemed investment of such amounts under Section 4.3. The balance in such sub-account shall be expressed as a dollar amount.</w:t>
      </w:r>
    </w:p>
    <w:p>
      <w:pPr>
        <w:spacing w:after="0" w:line="216" w:lineRule="exact"/>
        <w:rPr>
          <w:rFonts w:ascii="Arial" w:cs="Arial" w:eastAsia="Arial" w:hAnsi="Arial"/>
          <w:sz w:val="21"/>
          <w:szCs w:val="21"/>
          <w:color w:val="auto"/>
        </w:rPr>
      </w:pPr>
    </w:p>
    <w:p>
      <w:pPr>
        <w:jc w:val="both"/>
        <w:ind w:firstLine="656"/>
        <w:spacing w:after="0" w:line="250" w:lineRule="auto"/>
        <w:tabs>
          <w:tab w:leader="none" w:pos="1143" w:val="left"/>
        </w:tabs>
        <w:numPr>
          <w:ilvl w:val="0"/>
          <w:numId w:val="92"/>
        </w:numPr>
        <w:rPr>
          <w:rFonts w:ascii="Arial" w:cs="Arial" w:eastAsia="Arial" w:hAnsi="Arial"/>
          <w:sz w:val="22"/>
          <w:szCs w:val="22"/>
          <w:color w:val="auto"/>
        </w:rPr>
      </w:pPr>
      <w:r>
        <w:rPr>
          <w:rFonts w:ascii="Arial" w:cs="Arial" w:eastAsia="Arial" w:hAnsi="Arial"/>
          <w:sz w:val="22"/>
          <w:szCs w:val="22"/>
          <w:u w:val="single" w:color="auto"/>
          <w:color w:val="auto"/>
        </w:rPr>
        <w:t>Common Stock Unit Sub-Account</w:t>
      </w:r>
      <w:r>
        <w:rPr>
          <w:rFonts w:ascii="Arial" w:cs="Arial" w:eastAsia="Arial" w:hAnsi="Arial"/>
          <w:sz w:val="22"/>
          <w:szCs w:val="22"/>
          <w:color w:val="auto"/>
        </w:rPr>
        <w:t>. A Common Stock Unit Sub-Account reflecting the number of Performance Share Units, Restricted Stock Units, or other stock-based compensation in which the Participant is vested and which the Participant has deferred under the Plan. The balance in such sub-account shall be expressed in units, with each unit representing the value of one share of the Company’s Common Stock.</w:t>
      </w:r>
    </w:p>
    <w:p>
      <w:pPr>
        <w:spacing w:after="0" w:line="229"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 xml:space="preserve">4.2 </w:t>
      </w:r>
      <w:r>
        <w:rPr>
          <w:rFonts w:ascii="Arial" w:cs="Arial" w:eastAsia="Arial" w:hAnsi="Arial"/>
          <w:sz w:val="19"/>
          <w:szCs w:val="19"/>
          <w:u w:val="single" w:color="auto"/>
          <w:color w:val="auto"/>
        </w:rPr>
        <w:t>Time of Crediting Accounts</w:t>
      </w:r>
      <w:r>
        <w:rPr>
          <w:rFonts w:ascii="Arial" w:cs="Arial" w:eastAsia="Arial" w:hAnsi="Arial"/>
          <w:sz w:val="19"/>
          <w:szCs w:val="19"/>
          <w:color w:val="auto"/>
        </w:rPr>
        <w:t>. Amounts deferred by a Participant under the Plan and any Company Contribution allocations made on behalf of that Participant shall be credited to the Participant’s Account as soon as administratively practicable after the date deferred amounts would otherwise have been received (or beneficially received in the case of Company contributions) by the Participant. Subject to 4.4(c)(2) regarding the underwriting of the Plan’s investment vehicles, Earnings shall be credited to a Participant’s Account on the date determined by the Administrative Committee, but no later than the month following the month in which deferrals and Company contributions were credited to the Account in accordance with the preceding sentence. Earnings are based on the performance of the investment options selected by Participants in accordance with Section 4.3.</w:t>
      </w:r>
    </w:p>
    <w:p>
      <w:pPr>
        <w:spacing w:after="0" w:line="19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4.3 </w:t>
      </w:r>
      <w:r>
        <w:rPr>
          <w:rFonts w:ascii="Arial" w:cs="Arial" w:eastAsia="Arial" w:hAnsi="Arial"/>
          <w:sz w:val="22"/>
          <w:szCs w:val="22"/>
          <w:u w:val="single" w:color="auto"/>
          <w:color w:val="auto"/>
        </w:rPr>
        <w:t>Participant Deemed Investments</w:t>
      </w:r>
      <w:r>
        <w:rPr>
          <w:rFonts w:ascii="Arial" w:cs="Arial" w:eastAsia="Arial" w:hAnsi="Arial"/>
          <w:sz w:val="22"/>
          <w:szCs w:val="22"/>
          <w:color w:val="auto"/>
        </w:rPr>
        <w:t>. Subject to Section 4.3(b), each Participant may, from time to time, select from the various indices provided by the Administrative Committee (under Section 4.4(b)) in which his or her Account will be deemed invested; provided, however, that the Administrative Committee is under no obligation to acquire or provide any of the investments designated by the Participant.</w:t>
      </w:r>
    </w:p>
    <w:p>
      <w:pPr>
        <w:spacing w:after="0" w:line="229" w:lineRule="exact"/>
        <w:rPr>
          <w:sz w:val="20"/>
          <w:szCs w:val="20"/>
          <w:color w:val="auto"/>
        </w:rPr>
      </w:pPr>
    </w:p>
    <w:p>
      <w:pPr>
        <w:jc w:val="both"/>
        <w:ind w:firstLine="656"/>
        <w:spacing w:after="0" w:line="297" w:lineRule="auto"/>
        <w:tabs>
          <w:tab w:leader="none" w:pos="1199" w:val="left"/>
        </w:tabs>
        <w:numPr>
          <w:ilvl w:val="0"/>
          <w:numId w:val="93"/>
        </w:numPr>
        <w:rPr>
          <w:rFonts w:ascii="Arial" w:cs="Arial" w:eastAsia="Arial" w:hAnsi="Arial"/>
          <w:sz w:val="19"/>
          <w:szCs w:val="19"/>
          <w:color w:val="auto"/>
        </w:rPr>
      </w:pPr>
      <w:r>
        <w:rPr>
          <w:rFonts w:ascii="Arial" w:cs="Arial" w:eastAsia="Arial" w:hAnsi="Arial"/>
          <w:sz w:val="19"/>
          <w:szCs w:val="19"/>
          <w:u w:val="single" w:color="auto"/>
          <w:color w:val="auto"/>
        </w:rPr>
        <w:t>Deemed Investment Sub-Account Valuation</w:t>
      </w:r>
      <w:r>
        <w:rPr>
          <w:rFonts w:ascii="Arial" w:cs="Arial" w:eastAsia="Arial" w:hAnsi="Arial"/>
          <w:sz w:val="19"/>
          <w:szCs w:val="19"/>
          <w:color w:val="auto"/>
        </w:rPr>
        <w:t>. A Participant’s Deemed Investment Sub-Account shall be credited or debited from time to time, as determined by the Administrative Committee, with additional amounts equal to the appreciation (or loss) such accounts would have experienced had they actually been invested in the specified fund indices at the relevant times. This crediting and debiting will take into account the date that a Participant’s Account transactions (such as deferrals, contributions, distributions and transfers among funds) are actually reflected by the Plan’s record-keeping system.</w:t>
      </w:r>
    </w:p>
    <w:p>
      <w:pPr>
        <w:spacing w:after="0" w:line="187" w:lineRule="exact"/>
        <w:rPr>
          <w:rFonts w:ascii="Arial" w:cs="Arial" w:eastAsia="Arial" w:hAnsi="Arial"/>
          <w:sz w:val="19"/>
          <w:szCs w:val="19"/>
          <w:color w:val="auto"/>
        </w:rPr>
      </w:pPr>
    </w:p>
    <w:p>
      <w:pPr>
        <w:jc w:val="both"/>
        <w:ind w:firstLine="656"/>
        <w:spacing w:after="0" w:line="271" w:lineRule="auto"/>
        <w:tabs>
          <w:tab w:leader="none" w:pos="1116" w:val="left"/>
        </w:tabs>
        <w:numPr>
          <w:ilvl w:val="0"/>
          <w:numId w:val="93"/>
        </w:numPr>
        <w:rPr>
          <w:rFonts w:ascii="Arial" w:cs="Arial" w:eastAsia="Arial" w:hAnsi="Arial"/>
          <w:sz w:val="21"/>
          <w:szCs w:val="21"/>
          <w:color w:val="auto"/>
        </w:rPr>
      </w:pPr>
      <w:r>
        <w:rPr>
          <w:rFonts w:ascii="Arial" w:cs="Arial" w:eastAsia="Arial" w:hAnsi="Arial"/>
          <w:sz w:val="21"/>
          <w:szCs w:val="21"/>
          <w:u w:val="single" w:color="auto"/>
          <w:color w:val="auto"/>
        </w:rPr>
        <w:t>Common Stock Unit Sub-Account Valuation</w:t>
      </w:r>
      <w:r>
        <w:rPr>
          <w:rFonts w:ascii="Arial" w:cs="Arial" w:eastAsia="Arial" w:hAnsi="Arial"/>
          <w:sz w:val="21"/>
          <w:szCs w:val="21"/>
          <w:color w:val="auto"/>
        </w:rPr>
        <w:t>. The number of units in a Participant’s Common Stock Unit Sub-Account shall be appropriately adjusted periodically to reflect any dividend, split, split-up or any combination or exchange, however accomplished, with respect to the shares of the Company’s Common Stock represented by such units.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847" w:right="239" w:bottom="1440" w:gutter="0" w:footer="0" w:header="0"/>
        </w:sectPr>
      </w:pPr>
    </w:p>
    <w:bookmarkStart w:id="93" w:name="page94"/>
    <w:bookmarkEnd w:id="93"/>
    <w:p>
      <w:pPr>
        <w:jc w:val="both"/>
        <w:spacing w:after="0" w:line="250" w:lineRule="auto"/>
        <w:rPr>
          <w:sz w:val="20"/>
          <w:szCs w:val="20"/>
          <w:color w:val="auto"/>
        </w:rPr>
      </w:pPr>
      <w:r>
        <w:rPr>
          <w:rFonts w:ascii="Arial" w:cs="Arial" w:eastAsia="Arial" w:hAnsi="Arial"/>
          <w:sz w:val="22"/>
          <w:szCs w:val="22"/>
          <w:color w:val="auto"/>
        </w:rPr>
        <w:t>4.4 Investments by the Company . In order to provide funds to satisfy its obligations under the Plan, the Company may, but shall not be required to, keep cash or invest and reinvest in mutual funds, stocks, bonds, securities or any other assets as may be reasonably selected by the Administrative Committee in its discretion. Such investments may, but need not, follow the investment indices chosen by the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-526415</wp:posOffset>
            </wp:positionV>
            <wp:extent cx="181038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71">
                      <a:extLst>
                        <a:ext uri="{28A0092B-C50C-407E-A947-70E740481C1C}"/>
                      </a:extLst>
                    </a:blip>
                    <a:srcRect/>
                    <a:stretch>
                      <a:fillRect/>
                    </a:stretch>
                  </pic:blipFill>
                  <pic:spPr bwMode="auto">
                    <a:xfrm>
                      <a:off x="0" y="0"/>
                      <a:ext cx="1810385" cy="8890"/>
                    </a:xfrm>
                    <a:prstGeom prst="rect">
                      <a:avLst/>
                    </a:prstGeom>
                    <a:noFill/>
                  </pic:spPr>
                </pic:pic>
              </a:graphicData>
            </a:graphic>
          </wp:anchor>
        </w:drawing>
      </w:r>
    </w:p>
    <w:p>
      <w:pPr>
        <w:spacing w:after="0" w:line="209" w:lineRule="exact"/>
        <w:rPr>
          <w:sz w:val="20"/>
          <w:szCs w:val="20"/>
          <w:color w:val="auto"/>
        </w:rPr>
      </w:pPr>
    </w:p>
    <w:p>
      <w:pPr>
        <w:jc w:val="both"/>
        <w:ind w:firstLine="656"/>
        <w:spacing w:after="0" w:line="250" w:lineRule="auto"/>
        <w:tabs>
          <w:tab w:leader="none" w:pos="1172" w:val="left"/>
        </w:tabs>
        <w:numPr>
          <w:ilvl w:val="0"/>
          <w:numId w:val="94"/>
        </w:numPr>
        <w:rPr>
          <w:rFonts w:ascii="Arial" w:cs="Arial" w:eastAsia="Arial" w:hAnsi="Arial"/>
          <w:sz w:val="22"/>
          <w:szCs w:val="22"/>
          <w:color w:val="auto"/>
        </w:rPr>
      </w:pPr>
      <w:r>
        <w:rPr>
          <w:rFonts w:ascii="Arial" w:cs="Arial" w:eastAsia="Arial" w:hAnsi="Arial"/>
          <w:sz w:val="22"/>
          <w:szCs w:val="22"/>
          <w:u w:val="single" w:color="auto"/>
          <w:color w:val="auto"/>
        </w:rPr>
        <w:t>Investment Advice</w:t>
      </w:r>
      <w:r>
        <w:rPr>
          <w:rFonts w:ascii="Arial" w:cs="Arial" w:eastAsia="Arial" w:hAnsi="Arial"/>
          <w:sz w:val="22"/>
          <w:szCs w:val="22"/>
          <w:color w:val="auto"/>
        </w:rPr>
        <w:t>. In the exercise of the foregoing investment powers, the Administrative Committee may engage investment consultants and, if the Administrative Committee so desires, may delegate to such consultants full or limited authority to select the assets in which the funds are to be selected. Investment consultants may be officers or employees of the Company or outside consultants.</w:t>
      </w:r>
    </w:p>
    <w:p>
      <w:pPr>
        <w:spacing w:after="0" w:line="228" w:lineRule="exact"/>
        <w:rPr>
          <w:rFonts w:ascii="Arial" w:cs="Arial" w:eastAsia="Arial" w:hAnsi="Arial"/>
          <w:sz w:val="22"/>
          <w:szCs w:val="22"/>
          <w:color w:val="auto"/>
        </w:rPr>
      </w:pPr>
    </w:p>
    <w:p>
      <w:pPr>
        <w:jc w:val="both"/>
        <w:ind w:firstLine="656"/>
        <w:spacing w:after="0" w:line="302" w:lineRule="auto"/>
        <w:tabs>
          <w:tab w:leader="none" w:pos="1130" w:val="left"/>
        </w:tabs>
        <w:numPr>
          <w:ilvl w:val="0"/>
          <w:numId w:val="94"/>
        </w:numPr>
        <w:rPr>
          <w:rFonts w:ascii="Arial" w:cs="Arial" w:eastAsia="Arial" w:hAnsi="Arial"/>
          <w:sz w:val="19"/>
          <w:szCs w:val="19"/>
          <w:color w:val="auto"/>
        </w:rPr>
      </w:pPr>
      <w:r>
        <w:rPr>
          <w:rFonts w:ascii="Arial" w:cs="Arial" w:eastAsia="Arial" w:hAnsi="Arial"/>
          <w:sz w:val="19"/>
          <w:szCs w:val="19"/>
          <w:u w:val="single" w:color="auto"/>
          <w:color w:val="auto"/>
        </w:rPr>
        <w:t>Choice of Investment Indices</w:t>
      </w:r>
      <w:r>
        <w:rPr>
          <w:rFonts w:ascii="Arial" w:cs="Arial" w:eastAsia="Arial" w:hAnsi="Arial"/>
          <w:sz w:val="19"/>
          <w:szCs w:val="19"/>
          <w:color w:val="auto"/>
        </w:rPr>
        <w:t>. The Administrative Committee, or its investment consultants, may specify one or more investment funds to serve as indices for the investment performance of amounts credited under the Accounts. The Administrative Committee has the authority to expand or limit the type or number of fund indices and to prescribe, in conjunction with Leadership Benefits, the frequency with which Participants may change their deemed investment elections.</w:t>
      </w:r>
    </w:p>
    <w:p>
      <w:pPr>
        <w:spacing w:after="0" w:line="183" w:lineRule="exact"/>
        <w:rPr>
          <w:rFonts w:ascii="Arial" w:cs="Arial" w:eastAsia="Arial" w:hAnsi="Arial"/>
          <w:sz w:val="19"/>
          <w:szCs w:val="19"/>
          <w:color w:val="auto"/>
        </w:rPr>
      </w:pPr>
    </w:p>
    <w:p>
      <w:pPr>
        <w:ind w:firstLine="656"/>
        <w:spacing w:after="0" w:line="263" w:lineRule="auto"/>
        <w:tabs>
          <w:tab w:leader="none" w:pos="1145" w:val="left"/>
        </w:tabs>
        <w:numPr>
          <w:ilvl w:val="0"/>
          <w:numId w:val="94"/>
        </w:numPr>
        <w:rPr>
          <w:rFonts w:ascii="Arial" w:cs="Arial" w:eastAsia="Arial" w:hAnsi="Arial"/>
          <w:sz w:val="22"/>
          <w:szCs w:val="22"/>
          <w:color w:val="auto"/>
        </w:rPr>
      </w:pPr>
      <w:r>
        <w:rPr>
          <w:rFonts w:ascii="Arial" w:cs="Arial" w:eastAsia="Arial" w:hAnsi="Arial"/>
          <w:sz w:val="22"/>
          <w:szCs w:val="22"/>
          <w:u w:val="single" w:color="auto"/>
          <w:color w:val="auto"/>
        </w:rPr>
        <w:t>Insurance</w:t>
      </w:r>
      <w:r>
        <w:rPr>
          <w:rFonts w:ascii="Arial" w:cs="Arial" w:eastAsia="Arial" w:hAnsi="Arial"/>
          <w:sz w:val="22"/>
          <w:szCs w:val="22"/>
          <w:color w:val="auto"/>
        </w:rPr>
        <w:t>. If the Administrative Committee elects to purchase an insurance policy or policies insuring the life of the Participant to allow the Company to recover the cost of providing the benefits hereunder:</w:t>
      </w:r>
    </w:p>
    <w:p>
      <w:pPr>
        <w:spacing w:after="0" w:line="215" w:lineRule="exact"/>
        <w:rPr>
          <w:rFonts w:ascii="Arial" w:cs="Arial" w:eastAsia="Arial" w:hAnsi="Arial"/>
          <w:sz w:val="22"/>
          <w:szCs w:val="22"/>
          <w:color w:val="auto"/>
        </w:rPr>
      </w:pPr>
    </w:p>
    <w:p>
      <w:pPr>
        <w:ind w:left="660" w:firstLine="645"/>
        <w:spacing w:after="0" w:line="263" w:lineRule="auto"/>
        <w:tabs>
          <w:tab w:leader="none" w:pos="1839" w:val="left"/>
        </w:tabs>
        <w:numPr>
          <w:ilvl w:val="1"/>
          <w:numId w:val="94"/>
        </w:numPr>
        <w:rPr>
          <w:rFonts w:ascii="Arial" w:cs="Arial" w:eastAsia="Arial" w:hAnsi="Arial"/>
          <w:sz w:val="22"/>
          <w:szCs w:val="22"/>
          <w:color w:val="auto"/>
        </w:rPr>
      </w:pPr>
      <w:r>
        <w:rPr>
          <w:rFonts w:ascii="Arial" w:cs="Arial" w:eastAsia="Arial" w:hAnsi="Arial"/>
          <w:sz w:val="22"/>
          <w:szCs w:val="22"/>
          <w:color w:val="auto"/>
        </w:rPr>
        <w:t>The Participant shall, as a condition to continued participation in the Plan, sign any papers and undergo any medical examinations or tests that may be necessary or required for such purpose;</w:t>
      </w:r>
    </w:p>
    <w:p>
      <w:pPr>
        <w:spacing w:after="0" w:line="215" w:lineRule="exact"/>
        <w:rPr>
          <w:rFonts w:ascii="Arial" w:cs="Arial" w:eastAsia="Arial" w:hAnsi="Arial"/>
          <w:sz w:val="22"/>
          <w:szCs w:val="22"/>
          <w:color w:val="auto"/>
        </w:rPr>
      </w:pPr>
    </w:p>
    <w:p>
      <w:pPr>
        <w:jc w:val="both"/>
        <w:ind w:left="660" w:firstLine="645"/>
        <w:spacing w:after="0" w:line="312" w:lineRule="auto"/>
        <w:tabs>
          <w:tab w:leader="none" w:pos="1953" w:val="left"/>
        </w:tabs>
        <w:numPr>
          <w:ilvl w:val="1"/>
          <w:numId w:val="94"/>
        </w:numPr>
        <w:rPr>
          <w:rFonts w:ascii="Arial" w:cs="Arial" w:eastAsia="Arial" w:hAnsi="Arial"/>
          <w:sz w:val="19"/>
          <w:szCs w:val="19"/>
          <w:color w:val="auto"/>
        </w:rPr>
      </w:pPr>
      <w:r>
        <w:rPr>
          <w:rFonts w:ascii="Arial" w:cs="Arial" w:eastAsia="Arial" w:hAnsi="Arial"/>
          <w:sz w:val="19"/>
          <w:szCs w:val="19"/>
          <w:color w:val="auto"/>
        </w:rPr>
        <w:t>Notwithstanding the Participant’s election or direction or any provision in the Plan to the contrary, the Participant’s Account may be deemed invested in a money market fund or instrument or other liquid asset selected by the Administrative Committee or its delegate, pending the underwriting and delivery of such policy or annuity; and</w:t>
      </w:r>
    </w:p>
    <w:p>
      <w:pPr>
        <w:spacing w:after="0" w:line="174" w:lineRule="exact"/>
        <w:rPr>
          <w:rFonts w:ascii="Arial" w:cs="Arial" w:eastAsia="Arial" w:hAnsi="Arial"/>
          <w:sz w:val="19"/>
          <w:szCs w:val="19"/>
          <w:color w:val="auto"/>
        </w:rPr>
      </w:pPr>
    </w:p>
    <w:p>
      <w:pPr>
        <w:ind w:left="660" w:firstLine="645"/>
        <w:spacing w:after="0" w:line="263" w:lineRule="auto"/>
        <w:tabs>
          <w:tab w:leader="none" w:pos="1787" w:val="left"/>
        </w:tabs>
        <w:numPr>
          <w:ilvl w:val="1"/>
          <w:numId w:val="94"/>
        </w:numPr>
        <w:rPr>
          <w:rFonts w:ascii="Arial" w:cs="Arial" w:eastAsia="Arial" w:hAnsi="Arial"/>
          <w:sz w:val="22"/>
          <w:szCs w:val="22"/>
          <w:color w:val="auto"/>
        </w:rPr>
      </w:pPr>
      <w:r>
        <w:rPr>
          <w:rFonts w:ascii="Arial" w:cs="Arial" w:eastAsia="Arial" w:hAnsi="Arial"/>
          <w:sz w:val="22"/>
          <w:szCs w:val="22"/>
          <w:color w:val="auto"/>
        </w:rPr>
        <w:t>The Participant, Participant’s Beneficiary, and any other person claiming through the Participant shall not have or acquire any rights whatsoever in such policy or policies or in the proceeds of the policies.</w:t>
      </w:r>
    </w:p>
    <w:p>
      <w:pPr>
        <w:spacing w:after="0" w:line="21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 xml:space="preserve">4.5 </w:t>
      </w:r>
      <w:r>
        <w:rPr>
          <w:rFonts w:ascii="Arial" w:cs="Arial" w:eastAsia="Arial" w:hAnsi="Arial"/>
          <w:sz w:val="22"/>
          <w:szCs w:val="22"/>
          <w:u w:val="single" w:color="auto"/>
          <w:color w:val="auto"/>
        </w:rPr>
        <w:t>Limited Effect of Allocation</w:t>
      </w:r>
      <w:r>
        <w:rPr>
          <w:rFonts w:ascii="Arial" w:cs="Arial" w:eastAsia="Arial" w:hAnsi="Arial"/>
          <w:sz w:val="22"/>
          <w:szCs w:val="22"/>
          <w:color w:val="auto"/>
        </w:rPr>
        <w:t>. The fact that any allocation shall be made and credited to an Account shall not vest in a Participant any right, title or interest in or to any assets of the Company, or in any right to payment, except at the time(s) and upon the conditions elsewhere set forth in the Plan.</w:t>
      </w:r>
    </w:p>
    <w:p>
      <w:pPr>
        <w:spacing w:after="0" w:line="22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 xml:space="preserve">4.6 </w:t>
      </w:r>
      <w:r>
        <w:rPr>
          <w:rFonts w:ascii="Arial" w:cs="Arial" w:eastAsia="Arial" w:hAnsi="Arial"/>
          <w:sz w:val="22"/>
          <w:szCs w:val="22"/>
          <w:u w:val="single" w:color="auto"/>
          <w:color w:val="auto"/>
        </w:rPr>
        <w:t>Report of Account</w:t>
      </w:r>
      <w:r>
        <w:rPr>
          <w:rFonts w:ascii="Arial" w:cs="Arial" w:eastAsia="Arial" w:hAnsi="Arial"/>
          <w:sz w:val="22"/>
          <w:szCs w:val="22"/>
          <w:color w:val="auto"/>
        </w:rPr>
        <w:t>. A Participant shall be provided information regarding Participant’s Bookkeeping Account balance within a reasonable time after requesting such information from Leadership Benefits. Leadership Benefits shall furnish each Participant statements on a periodic</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1104" w:right="239" w:bottom="1440" w:gutter="0" w:footer="0" w:header="0"/>
        </w:sectPr>
      </w:pPr>
    </w:p>
    <w:bookmarkStart w:id="94" w:name="page95"/>
    <w:bookmarkEnd w:id="94"/>
    <w:p>
      <w:pPr>
        <w:jc w:val="both"/>
        <w:spacing w:after="0" w:line="249" w:lineRule="auto"/>
        <w:rPr>
          <w:sz w:val="20"/>
          <w:szCs w:val="20"/>
          <w:color w:val="auto"/>
        </w:rPr>
      </w:pPr>
      <w:r>
        <w:rPr>
          <w:rFonts w:ascii="Arial" w:cs="Arial" w:eastAsia="Arial" w:hAnsi="Arial"/>
          <w:sz w:val="22"/>
          <w:szCs w:val="22"/>
          <w:color w:val="auto"/>
        </w:rPr>
        <w:t>basis, no less frequently than annually, as soon as administratively practicable after the allocations for the end of the Plan Year have been completed. Leadership Benefits may, in its discretion, provide Participants with account balance statements more frequently than provided in the preceding sentence.</w:t>
      </w:r>
    </w:p>
    <w:p>
      <w:pPr>
        <w:jc w:val="center"/>
        <w:spacing w:after="0"/>
        <w:rPr>
          <w:sz w:val="20"/>
          <w:szCs w:val="20"/>
          <w:color w:val="auto"/>
        </w:rPr>
      </w:pPr>
      <w:r>
        <w:rPr>
          <w:rFonts w:ascii="Arial" w:cs="Arial" w:eastAsia="Arial" w:hAnsi="Arial"/>
          <w:sz w:val="22"/>
          <w:szCs w:val="22"/>
          <w:color w:val="auto"/>
        </w:rPr>
        <w:t>ARTICLE V</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RIGHTS OF PARTICIPANT IN PLAN</w:t>
      </w:r>
    </w:p>
    <w:p>
      <w:pPr>
        <w:spacing w:after="0" w:line="242"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5.1 Ownership Rights in Account . Subject to the restrictions provided in this Article and in Section 3.2(c), each Participant shall at all times have a vested right to the value of such Participant’s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-208915</wp:posOffset>
            </wp:positionV>
            <wp:extent cx="184086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72">
                      <a:extLst>
                        <a:ext uri="{28A0092B-C50C-407E-A947-70E740481C1C}"/>
                      </a:extLst>
                    </a:blip>
                    <a:srcRect/>
                    <a:stretch>
                      <a:fillRect/>
                    </a:stretch>
                  </pic:blipFill>
                  <pic:spPr bwMode="auto">
                    <a:xfrm>
                      <a:off x="0" y="0"/>
                      <a:ext cx="1840865" cy="8890"/>
                    </a:xfrm>
                    <a:prstGeom prst="rect">
                      <a:avLst/>
                    </a:prstGeom>
                    <a:noFill/>
                  </pic:spPr>
                </pic:pic>
              </a:graphicData>
            </a:graphic>
          </wp:anchor>
        </w:drawing>
      </w:r>
    </w:p>
    <w:p>
      <w:pPr>
        <w:spacing w:after="0" w:line="195"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 xml:space="preserve">5.2 </w:t>
      </w:r>
      <w:r>
        <w:rPr>
          <w:rFonts w:ascii="Arial" w:cs="Arial" w:eastAsia="Arial" w:hAnsi="Arial"/>
          <w:sz w:val="19"/>
          <w:szCs w:val="19"/>
          <w:u w:val="single" w:color="auto"/>
          <w:color w:val="auto"/>
        </w:rPr>
        <w:t>Rights in Plan are Unfunded and Unsecured</w:t>
      </w:r>
      <w:r>
        <w:rPr>
          <w:rFonts w:ascii="Arial" w:cs="Arial" w:eastAsia="Arial" w:hAnsi="Arial"/>
          <w:sz w:val="19"/>
          <w:szCs w:val="19"/>
          <w:color w:val="auto"/>
        </w:rPr>
        <w:t>. The Company’s obligation under the Plan shall in every case be an unfunded and unsecured promise to pay. A Participant’s right to Plan distributions shall be no greater than the rights to payment of general, unsecured creditors of the Company. The Company may establish one or more grantor trusts (as defined in Code Section 671 et seq.) to facilitate the payment of benefits hereunder; however, the Company shall not be obligated under any circumstances to fund its financial obligations under the Plan. Any assets which the Company may acquire or set aside to defray its financial liabilities shall be subject to the claims of its general creditors in the event of the Company’s insolvency.</w:t>
      </w:r>
    </w:p>
    <w:p>
      <w:pPr>
        <w:spacing w:after="0" w:line="190"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 xml:space="preserve">5.3 </w:t>
      </w:r>
      <w:r>
        <w:rPr>
          <w:rFonts w:ascii="Arial" w:cs="Arial" w:eastAsia="Arial" w:hAnsi="Arial"/>
          <w:sz w:val="19"/>
          <w:szCs w:val="19"/>
          <w:u w:val="single" w:color="auto"/>
          <w:color w:val="auto"/>
        </w:rPr>
        <w:t>No Transfer of Interest in Plan Allowed</w:t>
      </w:r>
      <w:r>
        <w:rPr>
          <w:rFonts w:ascii="Arial" w:cs="Arial" w:eastAsia="Arial" w:hAnsi="Arial"/>
          <w:sz w:val="19"/>
          <w:szCs w:val="19"/>
          <w:color w:val="auto"/>
        </w:rPr>
        <w:t>. Except as permitted by applicable law, no sale, transfer, alienation, assignment, pledge, collateralization or attachment of any benefits under the Plan shall be valid or recognized by the Company. The Participant, the Participant’s spouse and a designated Beneficiary shall not have any power to hypothecate, mortgage, commute, modify or otherwise encumber in advance any of the benefits payable under the Plan. Said benefits shall not be subject to seizure for the payment of any debts, judgments, alimony, maintenance owed by the Participant or a Beneficiary, or be transferable by operation of law in the event of bankruptcy, insolvency, or otherwise. Notwithstanding the foregoing, the Company may, if the Administrative Committee so determines in its sole discretion, follow the terms of any court order issued in connection with any domestic relations proceeding including but not limited to marital dissolution or child support.</w:t>
      </w:r>
    </w:p>
    <w:p>
      <w:pPr>
        <w:spacing w:after="0" w:line="197"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 xml:space="preserve">5.4 </w:t>
      </w:r>
      <w:r>
        <w:rPr>
          <w:rFonts w:ascii="Arial" w:cs="Arial" w:eastAsia="Arial" w:hAnsi="Arial"/>
          <w:sz w:val="22"/>
          <w:szCs w:val="22"/>
          <w:u w:val="single" w:color="auto"/>
          <w:color w:val="auto"/>
        </w:rPr>
        <w:t>Plan Binding Upon Parties</w:t>
      </w:r>
      <w:r>
        <w:rPr>
          <w:rFonts w:ascii="Arial" w:cs="Arial" w:eastAsia="Arial" w:hAnsi="Arial"/>
          <w:sz w:val="22"/>
          <w:szCs w:val="22"/>
          <w:color w:val="auto"/>
        </w:rPr>
        <w:t>. The Plan shall be binding upon the Company, its assigns, and any successor company that acquires substantially all of its assets and business through merger, acquisition or consolidation; and upon all Participants and any Participant’s Beneficiaries, assigns, heirs, executors and administrators.</w:t>
      </w:r>
    </w:p>
    <w:p>
      <w:pPr>
        <w:spacing w:after="0" w:line="226"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 xml:space="preserve">5.5 </w:t>
      </w:r>
      <w:r>
        <w:rPr>
          <w:rFonts w:ascii="Arial" w:cs="Arial" w:eastAsia="Arial" w:hAnsi="Arial"/>
          <w:sz w:val="21"/>
          <w:szCs w:val="21"/>
          <w:u w:val="single" w:color="auto"/>
          <w:color w:val="auto"/>
        </w:rPr>
        <w:t>Application of Clawback Policy</w:t>
      </w:r>
      <w:r>
        <w:rPr>
          <w:rFonts w:ascii="Arial" w:cs="Arial" w:eastAsia="Arial" w:hAnsi="Arial"/>
          <w:sz w:val="21"/>
          <w:szCs w:val="21"/>
          <w:color w:val="auto"/>
        </w:rPr>
        <w:t>. This section applies if the Board elects to apply the compensation recovery policy contained in the Nordstrom Corporate Governance Guidelines (the “Clawback Policy”) to a Participant. To the extent that any amount in a Participant’s Account is attributable to contributions based on compensation that is subject to recovery under the Clawback Policy, such amount (adjusted for investment gains and losses) shall be removed from the Participant’s Account and shall be permanently and irrevocably forfeited. The provisions of this section for removal of amounts from a Participant’s Account shall also apply to the Beneficiary of a Participant after the Participant’s death.</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847" w:right="239" w:bottom="1440" w:gutter="0" w:footer="0" w:header="0"/>
        </w:sectPr>
      </w:pPr>
    </w:p>
    <w:bookmarkStart w:id="95" w:name="page96"/>
    <w:bookmarkEnd w:id="95"/>
    <w:p>
      <w:pPr>
        <w:jc w:val="center"/>
        <w:spacing w:after="0"/>
        <w:rPr>
          <w:sz w:val="20"/>
          <w:szCs w:val="20"/>
          <w:color w:val="auto"/>
        </w:rPr>
      </w:pPr>
      <w:r>
        <w:rPr>
          <w:rFonts w:ascii="Arial" w:cs="Arial" w:eastAsia="Arial" w:hAnsi="Arial"/>
          <w:sz w:val="22"/>
          <w:szCs w:val="22"/>
          <w:color w:val="auto"/>
        </w:rPr>
        <w:t>ARTICLE VI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DISTRIBUTIONS</w:t>
      </w:r>
    </w:p>
    <w:p>
      <w:pPr>
        <w:spacing w:after="0" w:line="242"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19"/>
          <w:szCs w:val="19"/>
          <w:u w:val="single" w:color="auto"/>
          <w:color w:val="auto"/>
        </w:rPr>
        <w:t>Separation Distributions</w:t>
      </w:r>
      <w:r>
        <w:rPr>
          <w:rFonts w:ascii="Arial" w:cs="Arial" w:eastAsia="Arial" w:hAnsi="Arial"/>
          <w:sz w:val="19"/>
          <w:szCs w:val="19"/>
          <w:color w:val="auto"/>
        </w:rPr>
        <w:t>.</w:t>
      </w:r>
    </w:p>
    <w:p>
      <w:pPr>
        <w:spacing w:after="0" w:line="260" w:lineRule="exact"/>
        <w:rPr>
          <w:sz w:val="20"/>
          <w:szCs w:val="20"/>
          <w:color w:val="auto"/>
        </w:rPr>
      </w:pPr>
    </w:p>
    <w:p>
      <w:pPr>
        <w:ind w:firstLine="656"/>
        <w:spacing w:after="0" w:line="263" w:lineRule="auto"/>
        <w:tabs>
          <w:tab w:leader="none" w:pos="1145" w:val="left"/>
        </w:tabs>
        <w:numPr>
          <w:ilvl w:val="0"/>
          <w:numId w:val="95"/>
        </w:numPr>
        <w:rPr>
          <w:rFonts w:ascii="Arial" w:cs="Arial" w:eastAsia="Arial" w:hAnsi="Arial"/>
          <w:sz w:val="22"/>
          <w:szCs w:val="22"/>
          <w:color w:val="auto"/>
        </w:rPr>
      </w:pPr>
      <w:r>
        <w:rPr>
          <w:rFonts w:ascii="Arial" w:cs="Arial" w:eastAsia="Arial" w:hAnsi="Arial"/>
          <w:sz w:val="22"/>
          <w:szCs w:val="22"/>
          <w:u w:val="single" w:color="auto"/>
          <w:color w:val="auto"/>
        </w:rPr>
        <w:t>Separation Events</w:t>
      </w:r>
      <w:r>
        <w:rPr>
          <w:rFonts w:ascii="Arial" w:cs="Arial" w:eastAsia="Arial" w:hAnsi="Arial"/>
          <w:sz w:val="22"/>
          <w:szCs w:val="22"/>
          <w:color w:val="auto"/>
        </w:rPr>
        <w:t>. A Participant may elect in a Deferral Agreement to receive a distribution of his or her Account at Separation. A Participant’s “Separation” shall mean the Participant’s Termination Date.</w:t>
      </w:r>
    </w:p>
    <w:p>
      <w:pPr>
        <w:spacing w:after="0" w:line="215" w:lineRule="exact"/>
        <w:rPr>
          <w:rFonts w:ascii="Arial" w:cs="Arial" w:eastAsia="Arial" w:hAnsi="Arial"/>
          <w:sz w:val="22"/>
          <w:szCs w:val="22"/>
          <w:color w:val="auto"/>
        </w:rPr>
      </w:pPr>
    </w:p>
    <w:p>
      <w:pPr>
        <w:jc w:val="both"/>
        <w:ind w:right="20" w:firstLine="656"/>
        <w:spacing w:after="0" w:line="312" w:lineRule="auto"/>
        <w:tabs>
          <w:tab w:leader="none" w:pos="1292" w:val="left"/>
        </w:tabs>
        <w:numPr>
          <w:ilvl w:val="0"/>
          <w:numId w:val="95"/>
        </w:numPr>
        <w:rPr>
          <w:rFonts w:ascii="Arial" w:cs="Arial" w:eastAsia="Arial" w:hAnsi="Arial"/>
          <w:sz w:val="19"/>
          <w:szCs w:val="19"/>
          <w:color w:val="auto"/>
        </w:rPr>
      </w:pPr>
      <w:r>
        <w:rPr>
          <w:rFonts w:ascii="Arial" w:cs="Arial" w:eastAsia="Arial" w:hAnsi="Arial"/>
          <w:sz w:val="19"/>
          <w:szCs w:val="19"/>
          <w:u w:val="single" w:color="auto"/>
          <w:color w:val="auto"/>
        </w:rPr>
        <w:t>Separation Distribution Forms</w:t>
      </w:r>
      <w:r>
        <w:rPr>
          <w:rFonts w:ascii="Arial" w:cs="Arial" w:eastAsia="Arial" w:hAnsi="Arial"/>
          <w:sz w:val="19"/>
          <w:szCs w:val="19"/>
          <w:color w:val="auto"/>
        </w:rPr>
        <w:t>. Distribution of a Participant’s Account balance shall be made according to the distribution options specified in the Participant’s Deferral Agreement(s). Portions of Accounts subject to installment payment shall continue to be valued as provided in Section 4.3 until distributed. The distribution options available to a Participant are:</w:t>
      </w:r>
    </w:p>
    <w:p>
      <w:pPr>
        <w:spacing w:after="0" w:line="174" w:lineRule="exact"/>
        <w:rPr>
          <w:rFonts w:ascii="Arial" w:cs="Arial" w:eastAsia="Arial" w:hAnsi="Arial"/>
          <w:sz w:val="19"/>
          <w:szCs w:val="19"/>
          <w:color w:val="auto"/>
        </w:rPr>
      </w:pPr>
    </w:p>
    <w:p>
      <w:pPr>
        <w:ind w:left="1780" w:hanging="475"/>
        <w:spacing w:after="0"/>
        <w:tabs>
          <w:tab w:leader="none" w:pos="1780" w:val="left"/>
        </w:tabs>
        <w:numPr>
          <w:ilvl w:val="1"/>
          <w:numId w:val="95"/>
        </w:numPr>
        <w:rPr>
          <w:rFonts w:ascii="Arial" w:cs="Arial" w:eastAsia="Arial" w:hAnsi="Arial"/>
          <w:sz w:val="22"/>
          <w:szCs w:val="22"/>
          <w:color w:val="auto"/>
        </w:rPr>
      </w:pPr>
      <w:r>
        <w:rPr>
          <w:rFonts w:ascii="Arial" w:cs="Arial" w:eastAsia="Arial" w:hAnsi="Arial"/>
          <w:sz w:val="22"/>
          <w:szCs w:val="22"/>
          <w:color w:val="auto"/>
        </w:rPr>
        <w:t>single lump sum payment; or</w:t>
      </w:r>
    </w:p>
    <w:p>
      <w:pPr>
        <w:spacing w:after="0" w:line="260" w:lineRule="exact"/>
        <w:rPr>
          <w:rFonts w:ascii="Arial" w:cs="Arial" w:eastAsia="Arial" w:hAnsi="Arial"/>
          <w:sz w:val="22"/>
          <w:szCs w:val="22"/>
          <w:color w:val="auto"/>
        </w:rPr>
      </w:pPr>
    </w:p>
    <w:p>
      <w:pPr>
        <w:jc w:val="both"/>
        <w:ind w:left="660" w:firstLine="645"/>
        <w:spacing w:after="0" w:line="253" w:lineRule="auto"/>
        <w:tabs>
          <w:tab w:leader="none" w:pos="1788" w:val="left"/>
        </w:tabs>
        <w:numPr>
          <w:ilvl w:val="1"/>
          <w:numId w:val="95"/>
        </w:numPr>
        <w:rPr>
          <w:rFonts w:ascii="Arial" w:cs="Arial" w:eastAsia="Arial" w:hAnsi="Arial"/>
          <w:sz w:val="22"/>
          <w:szCs w:val="22"/>
          <w:color w:val="auto"/>
        </w:rPr>
      </w:pPr>
      <w:r>
        <w:rPr>
          <w:rFonts w:ascii="Arial" w:cs="Arial" w:eastAsia="Arial" w:hAnsi="Arial"/>
          <w:sz w:val="22"/>
          <w:szCs w:val="22"/>
          <w:color w:val="auto"/>
        </w:rPr>
        <w:t>installment payments for a period of five (5), ten (10) or fifteen (15) years. The amount of lump sum payments under this subsection (b) shall be determined as of the last day of the month in which the Participant's Termination Date occurs.</w:t>
      </w:r>
    </w:p>
    <w:p>
      <w:pPr>
        <w:spacing w:after="0" w:line="226" w:lineRule="exact"/>
        <w:rPr>
          <w:rFonts w:ascii="Arial" w:cs="Arial" w:eastAsia="Arial" w:hAnsi="Arial"/>
          <w:sz w:val="22"/>
          <w:szCs w:val="22"/>
          <w:color w:val="auto"/>
        </w:rPr>
      </w:pPr>
    </w:p>
    <w:p>
      <w:pPr>
        <w:jc w:val="both"/>
        <w:ind w:firstLine="656"/>
        <w:spacing w:after="0" w:line="297" w:lineRule="auto"/>
        <w:tabs>
          <w:tab w:leader="none" w:pos="1131" w:val="left"/>
        </w:tabs>
        <w:numPr>
          <w:ilvl w:val="0"/>
          <w:numId w:val="95"/>
        </w:numPr>
        <w:rPr>
          <w:rFonts w:ascii="Arial" w:cs="Arial" w:eastAsia="Arial" w:hAnsi="Arial"/>
          <w:sz w:val="19"/>
          <w:szCs w:val="19"/>
          <w:color w:val="auto"/>
        </w:rPr>
      </w:pPr>
      <w:r>
        <w:rPr>
          <w:rFonts w:ascii="Arial" w:cs="Arial" w:eastAsia="Arial" w:hAnsi="Arial"/>
          <w:sz w:val="19"/>
          <w:szCs w:val="19"/>
          <w:u w:val="single" w:color="auto"/>
          <w:color w:val="auto"/>
        </w:rPr>
        <w:t>Lump Sum in Lieu of Installments</w:t>
      </w:r>
      <w:r>
        <w:rPr>
          <w:rFonts w:ascii="Arial" w:cs="Arial" w:eastAsia="Arial" w:hAnsi="Arial"/>
          <w:sz w:val="19"/>
          <w:szCs w:val="19"/>
          <w:color w:val="auto"/>
        </w:rPr>
        <w:t>. If the Participant’s Account balance as of his or her Separation is equal to or less than $10,000, Leadership Benefits may order the distribution of the Participant’s entire Account in a single lump sum rather than in installments, provided that the lump sum payment results in the termination and liquidation of the Participant’s entire interest under this Plan and all other plans or arrangements that must be aggregated with this Plan under the rules set forth under Code Section 409A. The Participant may not exercise any discretion to convert an installment election into a lump sum under this provision.</w:t>
      </w:r>
    </w:p>
    <w:p>
      <w:pPr>
        <w:spacing w:after="0" w:line="187" w:lineRule="exact"/>
        <w:rPr>
          <w:rFonts w:ascii="Arial" w:cs="Arial" w:eastAsia="Arial" w:hAnsi="Arial"/>
          <w:sz w:val="19"/>
          <w:szCs w:val="19"/>
          <w:color w:val="auto"/>
        </w:rPr>
      </w:pPr>
    </w:p>
    <w:p>
      <w:pPr>
        <w:jc w:val="both"/>
        <w:ind w:firstLine="656"/>
        <w:spacing w:after="0" w:line="258" w:lineRule="auto"/>
        <w:tabs>
          <w:tab w:leader="none" w:pos="1116" w:val="left"/>
        </w:tabs>
        <w:numPr>
          <w:ilvl w:val="0"/>
          <w:numId w:val="95"/>
        </w:numPr>
        <w:rPr>
          <w:rFonts w:ascii="Arial" w:cs="Arial" w:eastAsia="Arial" w:hAnsi="Arial"/>
          <w:sz w:val="21"/>
          <w:szCs w:val="21"/>
          <w:color w:val="auto"/>
        </w:rPr>
      </w:pPr>
      <w:r>
        <w:rPr>
          <w:rFonts w:ascii="Arial" w:cs="Arial" w:eastAsia="Arial" w:hAnsi="Arial"/>
          <w:sz w:val="21"/>
          <w:szCs w:val="21"/>
          <w:u w:val="single" w:color="auto"/>
          <w:color w:val="auto"/>
        </w:rPr>
        <w:t>Amount and Timing of Installment Payments</w:t>
      </w:r>
      <w:r>
        <w:rPr>
          <w:rFonts w:ascii="Arial" w:cs="Arial" w:eastAsia="Arial" w:hAnsi="Arial"/>
          <w:sz w:val="21"/>
          <w:szCs w:val="21"/>
          <w:color w:val="auto"/>
        </w:rPr>
        <w:t>. The first installment shall be paid on the Payment Commencement Date as defined in 6.4. Subsequent installments shall be paid annually in January of each succeeding year. The amount of each installment shall be determined by multiplying the Participant’s account balance as of the end of the month in which the scheduled distribution date occurs (as determined under Section 6.2(b) for In-Service Distributions or upon Separation for all other distributions) by a fraction, the numerator of which is one (1) and the denominator of which is (N minus P), where N is the total number of annual installments and P is the number of annual installments previously paid to the Participant. For example, if the form of payment is five annual installments, the first annual distribution is the account balance divided by 5 (5 minus 0), the second annual distribution is the account balance divided by 4 (5 minus 1), the third annual distribution is the account balance divided by 3 (5 minus 2), the fourth annual distribution is the account balance divided by 2 (5 minus 3), and the fifth annual distribution is the entire remaining account balance (5 minus 4).</w:t>
      </w:r>
    </w:p>
    <w:p>
      <w:pPr>
        <w:spacing w:after="0" w:line="227"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 xml:space="preserve">6.2 </w:t>
      </w:r>
      <w:r>
        <w:rPr>
          <w:rFonts w:ascii="Arial" w:cs="Arial" w:eastAsia="Arial" w:hAnsi="Arial"/>
          <w:sz w:val="22"/>
          <w:szCs w:val="22"/>
          <w:u w:val="single" w:color="auto"/>
          <w:color w:val="auto"/>
        </w:rPr>
        <w:t>In-Service Distributions</w:t>
      </w:r>
      <w:r>
        <w:rPr>
          <w:rFonts w:ascii="Arial" w:cs="Arial" w:eastAsia="Arial" w:hAnsi="Arial"/>
          <w:sz w:val="22"/>
          <w:szCs w:val="22"/>
          <w:color w:val="auto"/>
        </w:rPr>
        <w:t>. While a Participant is employed by the Company, a subsidiary or affiliate, the Participant may receive in-service Plan distributions as provided in this Section 6.2.</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20"/>
          </w:cols>
          <w:pgMar w:left="240" w:top="1104" w:right="239" w:bottom="1440" w:gutter="0" w:footer="0" w:header="0"/>
        </w:sectPr>
      </w:pPr>
    </w:p>
    <w:bookmarkStart w:id="96" w:name="page97"/>
    <w:bookmarkEnd w:id="96"/>
    <w:p>
      <w:pPr>
        <w:ind w:right="20" w:firstLine="656"/>
        <w:spacing w:after="0" w:line="343" w:lineRule="auto"/>
        <w:tabs>
          <w:tab w:leader="none" w:pos="1185" w:val="left"/>
        </w:tabs>
        <w:numPr>
          <w:ilvl w:val="0"/>
          <w:numId w:val="96"/>
        </w:numPr>
        <w:rPr>
          <w:rFonts w:ascii="Arial" w:cs="Arial" w:eastAsia="Arial" w:hAnsi="Arial"/>
          <w:sz w:val="19"/>
          <w:szCs w:val="19"/>
          <w:color w:val="auto"/>
        </w:rPr>
      </w:pPr>
      <w:r>
        <w:rPr>
          <w:rFonts w:ascii="Arial" w:cs="Arial" w:eastAsia="Arial" w:hAnsi="Arial"/>
          <w:sz w:val="19"/>
          <w:szCs w:val="19"/>
          <w:u w:val="single" w:color="auto"/>
          <w:color w:val="auto"/>
        </w:rPr>
        <w:t>Unforeseeable Financial Emergency</w:t>
      </w:r>
      <w:r>
        <w:rPr>
          <w:rFonts w:ascii="Arial" w:cs="Arial" w:eastAsia="Arial" w:hAnsi="Arial"/>
          <w:sz w:val="19"/>
          <w:szCs w:val="19"/>
          <w:color w:val="auto"/>
        </w:rPr>
        <w:t>. At the request of a Participant, the Administrative Committee may, in its sole discretion, pay all or part of the value of the Participant’s Account in the event of an unforeseeable financial emergency.</w:t>
      </w:r>
    </w:p>
    <w:p>
      <w:pPr>
        <w:spacing w:after="0" w:line="145" w:lineRule="exact"/>
        <w:rPr>
          <w:rFonts w:ascii="Arial" w:cs="Arial" w:eastAsia="Arial" w:hAnsi="Arial"/>
          <w:sz w:val="19"/>
          <w:szCs w:val="19"/>
          <w:color w:val="auto"/>
        </w:rPr>
      </w:pPr>
    </w:p>
    <w:p>
      <w:pPr>
        <w:ind w:left="660" w:right="20" w:firstLine="645"/>
        <w:spacing w:after="0" w:line="263" w:lineRule="auto"/>
        <w:tabs>
          <w:tab w:leader="none" w:pos="1817" w:val="left"/>
        </w:tabs>
        <w:numPr>
          <w:ilvl w:val="1"/>
          <w:numId w:val="96"/>
        </w:numPr>
        <w:rPr>
          <w:rFonts w:ascii="Arial" w:cs="Arial" w:eastAsia="Arial" w:hAnsi="Arial"/>
          <w:sz w:val="22"/>
          <w:szCs w:val="22"/>
          <w:color w:val="auto"/>
        </w:rPr>
      </w:pPr>
      <w:r>
        <w:rPr>
          <w:rFonts w:ascii="Arial" w:cs="Arial" w:eastAsia="Arial" w:hAnsi="Arial"/>
          <w:sz w:val="22"/>
          <w:szCs w:val="22"/>
          <w:u w:val="single" w:color="auto"/>
          <w:color w:val="auto"/>
        </w:rPr>
        <w:t>Financial Emergency</w:t>
      </w:r>
      <w:r>
        <w:rPr>
          <w:rFonts w:ascii="Arial" w:cs="Arial" w:eastAsia="Arial" w:hAnsi="Arial"/>
          <w:sz w:val="22"/>
          <w:szCs w:val="22"/>
          <w:color w:val="auto"/>
        </w:rPr>
        <w:t>. In this context, an “unforeseeable financial emergency” is defined as a severe financial hardship resulting from one of the following:</w:t>
      </w:r>
    </w:p>
    <w:p>
      <w:pPr>
        <w:spacing w:after="0" w:line="215" w:lineRule="exact"/>
        <w:rPr>
          <w:rFonts w:ascii="Arial" w:cs="Arial" w:eastAsia="Arial" w:hAnsi="Arial"/>
          <w:sz w:val="22"/>
          <w:szCs w:val="22"/>
          <w:color w:val="auto"/>
        </w:rPr>
      </w:pPr>
    </w:p>
    <w:p>
      <w:pPr>
        <w:ind w:left="1300" w:firstLine="653"/>
        <w:spacing w:after="0" w:line="263" w:lineRule="auto"/>
        <w:tabs>
          <w:tab w:leader="none" w:pos="2481" w:val="left"/>
        </w:tabs>
        <w:numPr>
          <w:ilvl w:val="2"/>
          <w:numId w:val="96"/>
        </w:numPr>
        <w:rPr>
          <w:rFonts w:ascii="Arial" w:cs="Arial" w:eastAsia="Arial" w:hAnsi="Arial"/>
          <w:sz w:val="22"/>
          <w:szCs w:val="22"/>
          <w:color w:val="auto"/>
        </w:rPr>
      </w:pPr>
      <w:r>
        <w:rPr>
          <w:rFonts w:ascii="Arial" w:cs="Arial" w:eastAsia="Arial" w:hAnsi="Arial"/>
          <w:sz w:val="22"/>
          <w:szCs w:val="22"/>
          <w:color w:val="auto"/>
        </w:rPr>
        <w:t>illness or accident of the Participant, the Participant’s spouse or dependent (as defined in Code Section 152(a)), or the Participant’s designated Beneficiary;</w:t>
      </w:r>
    </w:p>
    <w:p>
      <w:pPr>
        <w:spacing w:after="0" w:line="215" w:lineRule="exact"/>
        <w:rPr>
          <w:rFonts w:ascii="Arial" w:cs="Arial" w:eastAsia="Arial" w:hAnsi="Arial"/>
          <w:sz w:val="22"/>
          <w:szCs w:val="22"/>
          <w:color w:val="auto"/>
        </w:rPr>
      </w:pPr>
    </w:p>
    <w:p>
      <w:pPr>
        <w:ind w:left="2460" w:hanging="507"/>
        <w:spacing w:after="0"/>
        <w:tabs>
          <w:tab w:leader="none" w:pos="2460" w:val="left"/>
        </w:tabs>
        <w:numPr>
          <w:ilvl w:val="2"/>
          <w:numId w:val="96"/>
        </w:numPr>
        <w:rPr>
          <w:rFonts w:ascii="Arial" w:cs="Arial" w:eastAsia="Arial" w:hAnsi="Arial"/>
          <w:sz w:val="22"/>
          <w:szCs w:val="22"/>
          <w:color w:val="auto"/>
        </w:rPr>
      </w:pPr>
      <w:r>
        <w:rPr>
          <w:rFonts w:ascii="Arial" w:cs="Arial" w:eastAsia="Arial" w:hAnsi="Arial"/>
          <w:sz w:val="22"/>
          <w:szCs w:val="22"/>
          <w:color w:val="auto"/>
        </w:rPr>
        <w:t>loss of the Participant’s property due to casualty; or</w:t>
      </w:r>
    </w:p>
    <w:p>
      <w:pPr>
        <w:spacing w:after="0" w:line="260" w:lineRule="exact"/>
        <w:rPr>
          <w:rFonts w:ascii="Arial" w:cs="Arial" w:eastAsia="Arial" w:hAnsi="Arial"/>
          <w:sz w:val="22"/>
          <w:szCs w:val="22"/>
          <w:color w:val="auto"/>
        </w:rPr>
      </w:pPr>
    </w:p>
    <w:p>
      <w:pPr>
        <w:ind w:left="1300" w:firstLine="653"/>
        <w:spacing w:after="0" w:line="263" w:lineRule="auto"/>
        <w:tabs>
          <w:tab w:leader="none" w:pos="2532" w:val="left"/>
        </w:tabs>
        <w:numPr>
          <w:ilvl w:val="2"/>
          <w:numId w:val="96"/>
        </w:numPr>
        <w:rPr>
          <w:rFonts w:ascii="Arial" w:cs="Arial" w:eastAsia="Arial" w:hAnsi="Arial"/>
          <w:sz w:val="22"/>
          <w:szCs w:val="22"/>
          <w:color w:val="auto"/>
        </w:rPr>
      </w:pPr>
      <w:r>
        <w:rPr>
          <w:rFonts w:ascii="Arial" w:cs="Arial" w:eastAsia="Arial" w:hAnsi="Arial"/>
          <w:sz w:val="22"/>
          <w:szCs w:val="22"/>
          <w:color w:val="auto"/>
        </w:rPr>
        <w:t>other similar extraordinary and unforeseeable circumstances arising as a result of events beyond the control of the Participant.</w:t>
      </w:r>
    </w:p>
    <w:p>
      <w:pPr>
        <w:spacing w:after="0" w:line="215" w:lineRule="exact"/>
        <w:rPr>
          <w:rFonts w:ascii="Arial" w:cs="Arial" w:eastAsia="Arial" w:hAnsi="Arial"/>
          <w:sz w:val="22"/>
          <w:szCs w:val="22"/>
          <w:color w:val="auto"/>
        </w:rPr>
      </w:pPr>
    </w:p>
    <w:p>
      <w:pPr>
        <w:jc w:val="both"/>
        <w:ind w:left="660" w:firstLine="645"/>
        <w:spacing w:after="0" w:line="294" w:lineRule="auto"/>
        <w:tabs>
          <w:tab w:leader="none" w:pos="1857" w:val="left"/>
        </w:tabs>
        <w:numPr>
          <w:ilvl w:val="1"/>
          <w:numId w:val="96"/>
        </w:numPr>
        <w:rPr>
          <w:rFonts w:ascii="Arial" w:cs="Arial" w:eastAsia="Arial" w:hAnsi="Arial"/>
          <w:sz w:val="19"/>
          <w:szCs w:val="19"/>
          <w:color w:val="auto"/>
        </w:rPr>
      </w:pPr>
      <w:r>
        <w:rPr>
          <w:rFonts w:ascii="Arial" w:cs="Arial" w:eastAsia="Arial" w:hAnsi="Arial"/>
          <w:sz w:val="19"/>
          <w:szCs w:val="19"/>
          <w:u w:val="single" w:color="auto"/>
          <w:color w:val="auto"/>
        </w:rPr>
        <w:t>Amount</w:t>
      </w:r>
      <w:r>
        <w:rPr>
          <w:rFonts w:ascii="Arial" w:cs="Arial" w:eastAsia="Arial" w:hAnsi="Arial"/>
          <w:sz w:val="19"/>
          <w:szCs w:val="19"/>
          <w:color w:val="auto"/>
        </w:rPr>
        <w:t>. The amount of an accelerated distribution shall be limited to an amount necessary to relieve such emergency, which may include amounts necessary to pay any federal, state, and local taxes or penalties reasonably anticipated to result from the distribution. Amounts available to the Participant due to the cancellation of the Participant’s deferral election for the remainder of the Plan Year must be taken into account in determining the amount necessary to satisfy the emergency need. If the Participant’s entire Account balance is distributed pursuant to this Section 6.2(a), the amount of the distribution shall be determined as of the end of the month preceding the distribution date</w:t>
      </w:r>
    </w:p>
    <w:p>
      <w:pPr>
        <w:spacing w:after="0" w:line="190" w:lineRule="exact"/>
        <w:rPr>
          <w:rFonts w:ascii="Arial" w:cs="Arial" w:eastAsia="Arial" w:hAnsi="Arial"/>
          <w:sz w:val="19"/>
          <w:szCs w:val="19"/>
          <w:color w:val="auto"/>
        </w:rPr>
      </w:pPr>
    </w:p>
    <w:p>
      <w:pPr>
        <w:jc w:val="both"/>
        <w:ind w:left="660" w:firstLine="645"/>
        <w:spacing w:after="0" w:line="250" w:lineRule="auto"/>
        <w:tabs>
          <w:tab w:leader="none" w:pos="1817" w:val="left"/>
        </w:tabs>
        <w:numPr>
          <w:ilvl w:val="1"/>
          <w:numId w:val="96"/>
        </w:numPr>
        <w:rPr>
          <w:rFonts w:ascii="Arial" w:cs="Arial" w:eastAsia="Arial" w:hAnsi="Arial"/>
          <w:sz w:val="22"/>
          <w:szCs w:val="22"/>
          <w:color w:val="auto"/>
        </w:rPr>
      </w:pPr>
      <w:r>
        <w:rPr>
          <w:rFonts w:ascii="Arial" w:cs="Arial" w:eastAsia="Arial" w:hAnsi="Arial"/>
          <w:sz w:val="22"/>
          <w:szCs w:val="22"/>
          <w:u w:val="single" w:color="auto"/>
          <w:color w:val="auto"/>
        </w:rPr>
        <w:t>Effect of Other Financial Resources</w:t>
      </w:r>
      <w:r>
        <w:rPr>
          <w:rFonts w:ascii="Arial" w:cs="Arial" w:eastAsia="Arial" w:hAnsi="Arial"/>
          <w:sz w:val="22"/>
          <w:szCs w:val="22"/>
          <w:color w:val="auto"/>
        </w:rPr>
        <w:t>. A distribution on account of unforeseeable emergency may not be made to the extent that such emergency is or may be alleviated by reimbursement or compensation from insurance, liquidation of other assets (provided that the liquidation would not itself cause a severe hardship), or the cancellation of deferrals for the remainder of the Plan Year under the Plan.</w:t>
      </w:r>
    </w:p>
    <w:p>
      <w:pPr>
        <w:spacing w:after="0" w:line="228" w:lineRule="exact"/>
        <w:rPr>
          <w:rFonts w:ascii="Arial" w:cs="Arial" w:eastAsia="Arial" w:hAnsi="Arial"/>
          <w:sz w:val="22"/>
          <w:szCs w:val="22"/>
          <w:color w:val="auto"/>
        </w:rPr>
      </w:pPr>
    </w:p>
    <w:p>
      <w:pPr>
        <w:jc w:val="both"/>
        <w:ind w:left="660" w:firstLine="645"/>
        <w:spacing w:after="0" w:line="253" w:lineRule="auto"/>
        <w:tabs>
          <w:tab w:leader="none" w:pos="1844" w:val="left"/>
        </w:tabs>
        <w:numPr>
          <w:ilvl w:val="1"/>
          <w:numId w:val="96"/>
        </w:numPr>
        <w:rPr>
          <w:rFonts w:ascii="Arial" w:cs="Arial" w:eastAsia="Arial" w:hAnsi="Arial"/>
          <w:sz w:val="22"/>
          <w:szCs w:val="22"/>
          <w:color w:val="auto"/>
        </w:rPr>
      </w:pPr>
      <w:r>
        <w:rPr>
          <w:rFonts w:ascii="Arial" w:cs="Arial" w:eastAsia="Arial" w:hAnsi="Arial"/>
          <w:sz w:val="22"/>
          <w:szCs w:val="22"/>
          <w:u w:val="single" w:color="auto"/>
          <w:color w:val="auto"/>
        </w:rPr>
        <w:t>Distribution Hierarchy</w:t>
      </w:r>
      <w:r>
        <w:rPr>
          <w:rFonts w:ascii="Arial" w:cs="Arial" w:eastAsia="Arial" w:hAnsi="Arial"/>
          <w:sz w:val="22"/>
          <w:szCs w:val="22"/>
          <w:color w:val="auto"/>
        </w:rPr>
        <w:t>. If a Participant qualifies for a distribution due to unforeseeable financial emergency, the Participant must first exhaust amounts available from his or her paid-time off bank under the Company’s Sabbatical Program before receiving a distribution from this Plan.</w:t>
      </w:r>
    </w:p>
    <w:p>
      <w:pPr>
        <w:spacing w:after="0" w:line="226" w:lineRule="exact"/>
        <w:rPr>
          <w:rFonts w:ascii="Arial" w:cs="Arial" w:eastAsia="Arial" w:hAnsi="Arial"/>
          <w:sz w:val="22"/>
          <w:szCs w:val="22"/>
          <w:color w:val="auto"/>
        </w:rPr>
      </w:pPr>
    </w:p>
    <w:p>
      <w:pPr>
        <w:jc w:val="both"/>
        <w:ind w:firstLine="656"/>
        <w:spacing w:after="0" w:line="294" w:lineRule="auto"/>
        <w:tabs>
          <w:tab w:leader="none" w:pos="1130" w:val="left"/>
        </w:tabs>
        <w:numPr>
          <w:ilvl w:val="0"/>
          <w:numId w:val="96"/>
        </w:numPr>
        <w:rPr>
          <w:rFonts w:ascii="Arial" w:cs="Arial" w:eastAsia="Arial" w:hAnsi="Arial"/>
          <w:sz w:val="19"/>
          <w:szCs w:val="19"/>
          <w:color w:val="auto"/>
        </w:rPr>
      </w:pPr>
      <w:r>
        <w:rPr>
          <w:rFonts w:ascii="Arial" w:cs="Arial" w:eastAsia="Arial" w:hAnsi="Arial"/>
          <w:sz w:val="19"/>
          <w:szCs w:val="19"/>
          <w:u w:val="single" w:color="auto"/>
          <w:color w:val="auto"/>
        </w:rPr>
        <w:t>Scheduled Distributions</w:t>
      </w:r>
      <w:r>
        <w:rPr>
          <w:rFonts w:ascii="Arial" w:cs="Arial" w:eastAsia="Arial" w:hAnsi="Arial"/>
          <w:sz w:val="19"/>
          <w:szCs w:val="19"/>
          <w:color w:val="auto"/>
        </w:rPr>
        <w:t>. During any Election Period, a Participant may, in connection with his or her election to defer compensation, specify a withdrawal date for all or part of his or her compensation deferred pursuant to the election made during the Election Period. A Participant’s scheduled distribution election must specify a distribution date that occurs after the Participant’s deferrals that are subject to the election have been in the Plan for at least two complete Plan Years (for example, deferrals elected during the 2017 Annual Election Period can first be scheduled for distribution in 2021). The Participant must elect the calendar year and the month (either January or June) of the scheduled distribution. The amount payable to a Participant in</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20"/>
          </w:cols>
          <w:pgMar w:left="240" w:top="1104" w:right="239" w:bottom="1440" w:gutter="0" w:footer="0" w:header="0"/>
        </w:sectPr>
      </w:pPr>
    </w:p>
    <w:bookmarkStart w:id="97" w:name="page98"/>
    <w:bookmarkEnd w:id="97"/>
    <w:p>
      <w:pPr>
        <w:jc w:val="both"/>
        <w:spacing w:after="0" w:line="263" w:lineRule="auto"/>
        <w:rPr>
          <w:sz w:val="20"/>
          <w:szCs w:val="20"/>
          <w:color w:val="auto"/>
        </w:rPr>
      </w:pPr>
      <w:r>
        <w:rPr>
          <w:rFonts w:ascii="Arial" w:cs="Arial" w:eastAsia="Arial" w:hAnsi="Arial"/>
          <w:sz w:val="21"/>
          <w:szCs w:val="21"/>
          <w:color w:val="auto"/>
        </w:rPr>
        <w:t>connection with a scheduled distribution shall in all cases be a specified dollar amount or a specified percentage of the Participant’s Account balance for the Plan Year to which the Deferral Agreement applies. If a distribution event occurs with respect to a Participant before the scheduled distribution date, the Plan provisions applicable to the distribution event will take precedence over the Participant’s scheduled distribution election. The amount of the distribution under this subsection (b) shall be determined as of the last day of the month before the scheduled distribution.</w:t>
      </w:r>
    </w:p>
    <w:p>
      <w:pPr>
        <w:spacing w:after="0" w:line="216"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 xml:space="preserve">6.3 </w:t>
      </w:r>
      <w:r>
        <w:rPr>
          <w:rFonts w:ascii="Arial" w:cs="Arial" w:eastAsia="Arial" w:hAnsi="Arial"/>
          <w:sz w:val="21"/>
          <w:szCs w:val="21"/>
          <w:u w:val="single" w:color="auto"/>
          <w:color w:val="auto"/>
        </w:rPr>
        <w:t>Pre-Retirement Separation</w:t>
      </w:r>
      <w:r>
        <w:rPr>
          <w:rFonts w:ascii="Arial" w:cs="Arial" w:eastAsia="Arial" w:hAnsi="Arial"/>
          <w:sz w:val="21"/>
          <w:szCs w:val="21"/>
          <w:color w:val="auto"/>
        </w:rPr>
        <w:t>. For Plan Years commencing prior to January 1, 2014, and for the portion of a Participant’s Account that is attributable to elective deferrals and Company contributions credited to the Account for Plan Years ending through December 31, 2013, if a Participant’s Termination Date occurs prior to his or her Early Retirement Date, Normal Retirement Date, or Deferred Retirement Date (a “Pre-Retirement Separation”), the time and form of payment elections in the Participant’s Deferral Agreements shall be disregarded and, in lieu of those elections, the Participant shall receive the value of his or her Account in a single lump sum payment on the Payment Commencement Date set forth in Section 6.4(b) and the amount of the distribution shall be determined as of the last day of the month in which the Participant’s Termination Date occurs. Commencing on and after January 1, 2014, the provisions of this Section 6.3 shall not apply to the portion of a Participant’s Account that is attributable to deferrals and Company contributions made with respect to Plan Years commencing January 1, 2014 and thereafter, including Earnings thereon; instead, this portion of a Participant’s Account shall at all times be distributable as provided in Section 6.1(b) (subject to 6.1(c)).</w:t>
      </w:r>
    </w:p>
    <w:p>
      <w:pPr>
        <w:spacing w:after="0" w:line="224"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 xml:space="preserve">6.4 </w:t>
      </w:r>
      <w:r>
        <w:rPr>
          <w:rFonts w:ascii="Arial" w:cs="Arial" w:eastAsia="Arial" w:hAnsi="Arial"/>
          <w:sz w:val="22"/>
          <w:szCs w:val="22"/>
          <w:u w:val="single" w:color="auto"/>
          <w:color w:val="auto"/>
        </w:rPr>
        <w:t>Payment Commencement Date</w:t>
      </w:r>
      <w:r>
        <w:rPr>
          <w:rFonts w:ascii="Arial" w:cs="Arial" w:eastAsia="Arial" w:hAnsi="Arial"/>
          <w:sz w:val="22"/>
          <w:szCs w:val="22"/>
          <w:color w:val="auto"/>
        </w:rPr>
        <w:t>. Distributions will begin to be paid on the following dates, subject to the delay for Specified Employees set forth in 6.5.</w:t>
      </w:r>
    </w:p>
    <w:p>
      <w:pPr>
        <w:spacing w:after="0" w:line="215" w:lineRule="exact"/>
        <w:rPr>
          <w:sz w:val="20"/>
          <w:szCs w:val="20"/>
          <w:color w:val="auto"/>
        </w:rPr>
      </w:pPr>
    </w:p>
    <w:p>
      <w:pPr>
        <w:ind w:firstLine="656"/>
        <w:spacing w:after="0" w:line="263" w:lineRule="auto"/>
        <w:tabs>
          <w:tab w:leader="none" w:pos="1104" w:val="left"/>
        </w:tabs>
        <w:numPr>
          <w:ilvl w:val="0"/>
          <w:numId w:val="97"/>
        </w:numPr>
        <w:rPr>
          <w:rFonts w:ascii="Arial" w:cs="Arial" w:eastAsia="Arial" w:hAnsi="Arial"/>
          <w:sz w:val="22"/>
          <w:szCs w:val="22"/>
          <w:color w:val="auto"/>
        </w:rPr>
      </w:pPr>
      <w:r>
        <w:rPr>
          <w:rFonts w:ascii="Arial" w:cs="Arial" w:eastAsia="Arial" w:hAnsi="Arial"/>
          <w:sz w:val="22"/>
          <w:szCs w:val="22"/>
          <w:u w:val="single" w:color="auto"/>
          <w:color w:val="auto"/>
        </w:rPr>
        <w:t>Scheduled Distribution</w:t>
      </w:r>
      <w:r>
        <w:rPr>
          <w:rFonts w:ascii="Arial" w:cs="Arial" w:eastAsia="Arial" w:hAnsi="Arial"/>
          <w:sz w:val="22"/>
          <w:szCs w:val="22"/>
          <w:color w:val="auto"/>
        </w:rPr>
        <w:t>. During the calendar month (January or June) and year specified by the Participant in his or her deferral election.</w:t>
      </w:r>
    </w:p>
    <w:p>
      <w:pPr>
        <w:spacing w:after="0" w:line="215" w:lineRule="exact"/>
        <w:rPr>
          <w:rFonts w:ascii="Arial" w:cs="Arial" w:eastAsia="Arial" w:hAnsi="Arial"/>
          <w:sz w:val="22"/>
          <w:szCs w:val="22"/>
          <w:color w:val="auto"/>
        </w:rPr>
      </w:pPr>
    </w:p>
    <w:p>
      <w:pPr>
        <w:ind w:firstLine="656"/>
        <w:spacing w:after="0" w:line="263" w:lineRule="auto"/>
        <w:tabs>
          <w:tab w:leader="none" w:pos="1305" w:val="left"/>
        </w:tabs>
        <w:numPr>
          <w:ilvl w:val="0"/>
          <w:numId w:val="97"/>
        </w:numPr>
        <w:rPr>
          <w:rFonts w:ascii="Arial" w:cs="Arial" w:eastAsia="Arial" w:hAnsi="Arial"/>
          <w:sz w:val="22"/>
          <w:szCs w:val="22"/>
          <w:color w:val="auto"/>
        </w:rPr>
      </w:pPr>
      <w:r>
        <w:rPr>
          <w:rFonts w:ascii="Arial" w:cs="Arial" w:eastAsia="Arial" w:hAnsi="Arial"/>
          <w:sz w:val="22"/>
          <w:szCs w:val="22"/>
          <w:u w:val="single" w:color="auto"/>
          <w:color w:val="auto"/>
        </w:rPr>
        <w:t>Separation Distributions</w:t>
      </w:r>
      <w:r>
        <w:rPr>
          <w:rFonts w:ascii="Arial" w:cs="Arial" w:eastAsia="Arial" w:hAnsi="Arial"/>
          <w:sz w:val="22"/>
          <w:szCs w:val="22"/>
          <w:color w:val="auto"/>
        </w:rPr>
        <w:t>. Within 90 days after Leadership Benefits confirms the Separation, provided that the Participant does not have the right to designate the taxable year of payment.</w:t>
      </w:r>
    </w:p>
    <w:p>
      <w:pPr>
        <w:spacing w:after="0" w:line="215" w:lineRule="exact"/>
        <w:rPr>
          <w:rFonts w:ascii="Arial" w:cs="Arial" w:eastAsia="Arial" w:hAnsi="Arial"/>
          <w:sz w:val="22"/>
          <w:szCs w:val="22"/>
          <w:color w:val="auto"/>
        </w:rPr>
      </w:pPr>
    </w:p>
    <w:p>
      <w:pPr>
        <w:jc w:val="both"/>
        <w:ind w:firstLine="656"/>
        <w:spacing w:after="0" w:line="253" w:lineRule="auto"/>
        <w:tabs>
          <w:tab w:leader="none" w:pos="1118" w:val="left"/>
        </w:tabs>
        <w:numPr>
          <w:ilvl w:val="0"/>
          <w:numId w:val="97"/>
        </w:numPr>
        <w:rPr>
          <w:rFonts w:ascii="Arial" w:cs="Arial" w:eastAsia="Arial" w:hAnsi="Arial"/>
          <w:sz w:val="22"/>
          <w:szCs w:val="22"/>
          <w:color w:val="auto"/>
        </w:rPr>
      </w:pPr>
      <w:r>
        <w:rPr>
          <w:rFonts w:ascii="Arial" w:cs="Arial" w:eastAsia="Arial" w:hAnsi="Arial"/>
          <w:sz w:val="22"/>
          <w:szCs w:val="22"/>
          <w:u w:val="single" w:color="auto"/>
          <w:color w:val="auto"/>
        </w:rPr>
        <w:t>Unforeseeable Financial Emergency</w:t>
      </w:r>
      <w:r>
        <w:rPr>
          <w:rFonts w:ascii="Arial" w:cs="Arial" w:eastAsia="Arial" w:hAnsi="Arial"/>
          <w:sz w:val="22"/>
          <w:szCs w:val="22"/>
          <w:color w:val="auto"/>
        </w:rPr>
        <w:t>. Within 90 days after Leadership Benefits receives confirmation of the amount of distribution approved by the Administrative Committee, provided that the Participant does not have the right to designate the taxable year of payment.</w:t>
      </w:r>
    </w:p>
    <w:p>
      <w:pPr>
        <w:spacing w:after="0" w:line="226"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 xml:space="preserve">6.5 </w:t>
      </w:r>
      <w:r>
        <w:rPr>
          <w:rFonts w:ascii="Arial" w:cs="Arial" w:eastAsia="Arial" w:hAnsi="Arial"/>
          <w:sz w:val="19"/>
          <w:szCs w:val="19"/>
          <w:u w:val="single" w:color="auto"/>
          <w:color w:val="auto"/>
        </w:rPr>
        <w:t>Delayed Payment Date</w:t>
      </w:r>
      <w:r>
        <w:rPr>
          <w:rFonts w:ascii="Arial" w:cs="Arial" w:eastAsia="Arial" w:hAnsi="Arial"/>
          <w:sz w:val="19"/>
          <w:szCs w:val="19"/>
          <w:color w:val="auto"/>
        </w:rPr>
        <w:t>. If a distribution is made to a Specified Employee following his or her Separation, the first payment may not be made earlier than six months after the Specified Employee’s Payment Commencement Date. If the form of distributions is installments, any installments that would have been paid in the absence of this six-month delay will be accrued and paid at the end of the six-month period. Any installments that are due after the six-month period expires will be paid as if they were not subject to this provision. A Specified Employee means an individual who meets the requirements to be a “key employee” as defined in Code Section 416(i) (without regard to Section 416(i)(5)). If the individual is a key employee as of September 30 of a given year, the individual is treated as a Specified Employee for the entire next calendar year. This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420"/>
          </w:cols>
          <w:pgMar w:left="240" w:top="847" w:right="239" w:bottom="1440" w:gutter="0" w:footer="0" w:header="0"/>
        </w:sectPr>
      </w:pPr>
    </w:p>
    <w:bookmarkStart w:id="98" w:name="page99"/>
    <w:bookmarkEnd w:id="98"/>
    <w:p>
      <w:pPr>
        <w:jc w:val="both"/>
        <w:spacing w:after="0" w:line="263" w:lineRule="auto"/>
        <w:rPr>
          <w:sz w:val="20"/>
          <w:szCs w:val="20"/>
          <w:color w:val="auto"/>
        </w:rPr>
      </w:pPr>
      <w:r>
        <w:rPr>
          <w:rFonts w:ascii="Arial" w:cs="Arial" w:eastAsia="Arial" w:hAnsi="Arial"/>
          <w:sz w:val="22"/>
          <w:szCs w:val="22"/>
          <w:color w:val="auto"/>
        </w:rPr>
        <w:t>delayed payment date rule does not apply to scheduled in-service distributions, financial emergency distributions, or distributions due to the Participant’s death.</w:t>
      </w:r>
    </w:p>
    <w:p>
      <w:pPr>
        <w:spacing w:after="0" w:line="21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6.6 </w:t>
      </w:r>
      <w:r>
        <w:rPr>
          <w:rFonts w:ascii="Arial" w:cs="Arial" w:eastAsia="Arial" w:hAnsi="Arial"/>
          <w:sz w:val="22"/>
          <w:szCs w:val="22"/>
          <w:u w:val="single" w:color="auto"/>
          <w:color w:val="auto"/>
        </w:rPr>
        <w:t>Changing the Time or Form of Distribution</w:t>
      </w:r>
      <w:r>
        <w:rPr>
          <w:rFonts w:ascii="Arial" w:cs="Arial" w:eastAsia="Arial" w:hAnsi="Arial"/>
          <w:sz w:val="22"/>
          <w:szCs w:val="22"/>
          <w:color w:val="auto"/>
        </w:rPr>
        <w:t>. The time and form of payment elected in a Participant’s Deferral Agreements cannot be changed by the Participant after the last day of an Election Period except as provided in this section. A Participant may change his or her form of Retirement distribution under 6.1(b) or the timing of a scheduled in-service distribution under 6.2(b), provided that:</w:t>
      </w:r>
    </w:p>
    <w:p>
      <w:pPr>
        <w:spacing w:after="0" w:line="229" w:lineRule="exact"/>
        <w:rPr>
          <w:sz w:val="20"/>
          <w:szCs w:val="20"/>
          <w:color w:val="auto"/>
        </w:rPr>
      </w:pPr>
    </w:p>
    <w:p>
      <w:pPr>
        <w:ind w:right="20" w:firstLine="656"/>
        <w:spacing w:after="0" w:line="263" w:lineRule="auto"/>
        <w:tabs>
          <w:tab w:leader="none" w:pos="1134" w:val="left"/>
        </w:tabs>
        <w:numPr>
          <w:ilvl w:val="0"/>
          <w:numId w:val="98"/>
        </w:numPr>
        <w:rPr>
          <w:rFonts w:ascii="Arial" w:cs="Arial" w:eastAsia="Arial" w:hAnsi="Arial"/>
          <w:sz w:val="22"/>
          <w:szCs w:val="22"/>
          <w:color w:val="auto"/>
        </w:rPr>
      </w:pPr>
      <w:r>
        <w:rPr>
          <w:rFonts w:ascii="Arial" w:cs="Arial" w:eastAsia="Arial" w:hAnsi="Arial"/>
          <w:sz w:val="22"/>
          <w:szCs w:val="22"/>
          <w:color w:val="auto"/>
        </w:rPr>
        <w:t>For a scheduled in-service or Separation distribution, his or her change is filed with Leadership Benefits no later than the last day of the Plan Year that ends at least 12 months before the Payment Commencement Date;</w:t>
      </w:r>
    </w:p>
    <w:p>
      <w:pPr>
        <w:spacing w:after="0" w:line="215" w:lineRule="exact"/>
        <w:rPr>
          <w:rFonts w:ascii="Arial" w:cs="Arial" w:eastAsia="Arial" w:hAnsi="Arial"/>
          <w:sz w:val="22"/>
          <w:szCs w:val="22"/>
          <w:color w:val="auto"/>
        </w:rPr>
      </w:pPr>
    </w:p>
    <w:p>
      <w:pPr>
        <w:ind w:left="1120" w:hanging="464"/>
        <w:spacing w:after="0"/>
        <w:tabs>
          <w:tab w:leader="none" w:pos="1120" w:val="left"/>
        </w:tabs>
        <w:numPr>
          <w:ilvl w:val="0"/>
          <w:numId w:val="98"/>
        </w:numPr>
        <w:rPr>
          <w:rFonts w:ascii="Arial" w:cs="Arial" w:eastAsia="Arial" w:hAnsi="Arial"/>
          <w:sz w:val="22"/>
          <w:szCs w:val="22"/>
          <w:color w:val="auto"/>
        </w:rPr>
      </w:pPr>
      <w:r>
        <w:rPr>
          <w:rFonts w:ascii="Arial" w:cs="Arial" w:eastAsia="Arial" w:hAnsi="Arial"/>
          <w:sz w:val="22"/>
          <w:szCs w:val="22"/>
          <w:color w:val="auto"/>
        </w:rPr>
        <w:t>His or her change cannot take effect earlier than twelve months after the change is requested; and</w:t>
      </w:r>
    </w:p>
    <w:p>
      <w:pPr>
        <w:spacing w:after="0" w:line="260" w:lineRule="exact"/>
        <w:rPr>
          <w:rFonts w:ascii="Arial" w:cs="Arial" w:eastAsia="Arial" w:hAnsi="Arial"/>
          <w:sz w:val="22"/>
          <w:szCs w:val="22"/>
          <w:color w:val="auto"/>
        </w:rPr>
      </w:pPr>
    </w:p>
    <w:p>
      <w:pPr>
        <w:ind w:right="20" w:firstLine="656"/>
        <w:spacing w:after="0" w:line="263" w:lineRule="auto"/>
        <w:tabs>
          <w:tab w:leader="none" w:pos="1151" w:val="left"/>
        </w:tabs>
        <w:numPr>
          <w:ilvl w:val="0"/>
          <w:numId w:val="98"/>
        </w:numPr>
        <w:rPr>
          <w:rFonts w:ascii="Arial" w:cs="Arial" w:eastAsia="Arial" w:hAnsi="Arial"/>
          <w:sz w:val="22"/>
          <w:szCs w:val="22"/>
          <w:color w:val="auto"/>
        </w:rPr>
      </w:pPr>
      <w:r>
        <w:rPr>
          <w:rFonts w:ascii="Arial" w:cs="Arial" w:eastAsia="Arial" w:hAnsi="Arial"/>
          <w:sz w:val="22"/>
          <w:szCs w:val="22"/>
          <w:color w:val="auto"/>
        </w:rPr>
        <w:t>the first payment under the newly elected form of payment cannot be made sooner than five years after the Payment Commencement Date for the form of payment that the Participant has elected to change.</w:t>
      </w:r>
    </w:p>
    <w:p>
      <w:pPr>
        <w:spacing w:after="0" w:line="21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Payment Commencement Date for a series of installment payments is treated as the date on which the first of such installment payments would be made under the terms of this Plan. Where the Payment Commencement Date is stated as a period of time (e.g., a 90-day period following a distribution event), the Payment Commencement Date for purposes of this section is the first day of such period.</w:t>
      </w:r>
    </w:p>
    <w:p>
      <w:pPr>
        <w:spacing w:after="0" w:line="229"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 xml:space="preserve">6.7 </w:t>
      </w:r>
      <w:r>
        <w:rPr>
          <w:rFonts w:ascii="Arial" w:cs="Arial" w:eastAsia="Arial" w:hAnsi="Arial"/>
          <w:sz w:val="19"/>
          <w:szCs w:val="19"/>
          <w:u w:val="single" w:color="auto"/>
          <w:color w:val="auto"/>
        </w:rPr>
        <w:t>Cash and Stock Distributions</w:t>
      </w:r>
      <w:r>
        <w:rPr>
          <w:rFonts w:ascii="Arial" w:cs="Arial" w:eastAsia="Arial" w:hAnsi="Arial"/>
          <w:sz w:val="19"/>
          <w:szCs w:val="19"/>
          <w:color w:val="auto"/>
        </w:rPr>
        <w:t>. Distributions of a Participant’s Deemed Investment Sub-Account Account shall be made in cash only. Distributions of a Participant’s Common Stock Unit Sub-Account shall be made in Common Stock of the Company.</w:t>
      </w:r>
    </w:p>
    <w:p>
      <w:pPr>
        <w:spacing w:after="0" w:line="145"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6.8</w:t>
      </w:r>
      <w:r>
        <w:rPr>
          <w:sz w:val="20"/>
          <w:szCs w:val="20"/>
          <w:color w:val="auto"/>
        </w:rPr>
        <w:tab/>
      </w:r>
      <w:r>
        <w:rPr>
          <w:rFonts w:ascii="Arial" w:cs="Arial" w:eastAsia="Arial" w:hAnsi="Arial"/>
          <w:sz w:val="19"/>
          <w:szCs w:val="19"/>
          <w:u w:val="single" w:color="auto"/>
          <w:color w:val="auto"/>
        </w:rPr>
        <w:t>Postponement of Non-Deductible Distributions</w:t>
      </w:r>
      <w:r>
        <w:rPr>
          <w:rFonts w:ascii="Arial" w:cs="Arial" w:eastAsia="Arial" w:hAnsi="Arial"/>
          <w:sz w:val="19"/>
          <w:szCs w:val="19"/>
          <w:color w:val="auto"/>
        </w:rPr>
        <w:t>.</w:t>
      </w:r>
    </w:p>
    <w:p>
      <w:pPr>
        <w:spacing w:after="0" w:line="260" w:lineRule="exact"/>
        <w:rPr>
          <w:sz w:val="20"/>
          <w:szCs w:val="20"/>
          <w:color w:val="auto"/>
        </w:rPr>
      </w:pPr>
    </w:p>
    <w:p>
      <w:pPr>
        <w:jc w:val="both"/>
        <w:ind w:firstLine="656"/>
        <w:spacing w:after="0" w:line="246" w:lineRule="auto"/>
        <w:tabs>
          <w:tab w:leader="none" w:pos="1118" w:val="left"/>
        </w:tabs>
        <w:numPr>
          <w:ilvl w:val="0"/>
          <w:numId w:val="99"/>
        </w:numPr>
        <w:rPr>
          <w:rFonts w:ascii="Arial" w:cs="Arial" w:eastAsia="Arial" w:hAnsi="Arial"/>
          <w:sz w:val="22"/>
          <w:szCs w:val="22"/>
          <w:color w:val="auto"/>
        </w:rPr>
      </w:pPr>
      <w:r>
        <w:rPr>
          <w:rFonts w:ascii="Arial" w:cs="Arial" w:eastAsia="Arial" w:hAnsi="Arial"/>
          <w:sz w:val="22"/>
          <w:szCs w:val="22"/>
          <w:u w:val="single" w:color="auto"/>
          <w:color w:val="auto"/>
        </w:rPr>
        <w:t>When Applicable</w:t>
      </w:r>
      <w:r>
        <w:rPr>
          <w:rFonts w:ascii="Arial" w:cs="Arial" w:eastAsia="Arial" w:hAnsi="Arial"/>
          <w:sz w:val="22"/>
          <w:szCs w:val="22"/>
          <w:color w:val="auto"/>
        </w:rPr>
        <w:t>. If the Administrative Committee determines in good faith prior to a Change in Control that there is a reasonable likelihood that any Compensation paid to a Participant for a taxable year of the Company would not be deductible by the Company solely by reason of the limitation under Code section 162(m), then to the extent deemed necessary by the Administrative Committee to ensure that the entire amount of any distribution to the Participant pursuant to this Plan prior to the Change in Control is deductible, the Administrative Committee may defer all or any portion of the distribution. After a Change in Control, the Administrative Committee shall not have discretion to postpone payments under this provision, and all payments will be made on the dates provided in the Plan.</w:t>
      </w:r>
    </w:p>
    <w:p>
      <w:pPr>
        <w:spacing w:after="0" w:line="237" w:lineRule="exact"/>
        <w:rPr>
          <w:rFonts w:ascii="Arial" w:cs="Arial" w:eastAsia="Arial" w:hAnsi="Arial"/>
          <w:sz w:val="22"/>
          <w:szCs w:val="22"/>
          <w:color w:val="auto"/>
        </w:rPr>
      </w:pPr>
    </w:p>
    <w:p>
      <w:pPr>
        <w:jc w:val="both"/>
        <w:ind w:firstLine="656"/>
        <w:spacing w:after="0" w:line="253" w:lineRule="auto"/>
        <w:tabs>
          <w:tab w:leader="none" w:pos="1184" w:val="left"/>
        </w:tabs>
        <w:numPr>
          <w:ilvl w:val="0"/>
          <w:numId w:val="99"/>
        </w:numPr>
        <w:rPr>
          <w:rFonts w:ascii="Arial" w:cs="Arial" w:eastAsia="Arial" w:hAnsi="Arial"/>
          <w:sz w:val="22"/>
          <w:szCs w:val="22"/>
          <w:color w:val="auto"/>
        </w:rPr>
      </w:pPr>
      <w:r>
        <w:rPr>
          <w:rFonts w:ascii="Arial" w:cs="Arial" w:eastAsia="Arial" w:hAnsi="Arial"/>
          <w:sz w:val="22"/>
          <w:szCs w:val="22"/>
          <w:u w:val="single" w:color="auto"/>
          <w:color w:val="auto"/>
        </w:rPr>
        <w:t>Administration of Deferred Distributions</w:t>
      </w:r>
      <w:r>
        <w:rPr>
          <w:rFonts w:ascii="Arial" w:cs="Arial" w:eastAsia="Arial" w:hAnsi="Arial"/>
          <w:sz w:val="22"/>
          <w:szCs w:val="22"/>
          <w:color w:val="auto"/>
        </w:rPr>
        <w:t>. Any distributions deferred pursuant to this limitation shall continue to be credited with interest or earnings pursuant to the terms hereof. Where a payment to a Participant is delayed under this provision, all other payments to that same</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420"/>
          </w:cols>
          <w:pgMar w:left="240" w:top="847" w:right="239" w:bottom="1440" w:gutter="0" w:footer="0" w:header="0"/>
        </w:sectPr>
      </w:pPr>
    </w:p>
    <w:bookmarkStart w:id="99" w:name="page100"/>
    <w:bookmarkEnd w:id="99"/>
    <w:p>
      <w:pPr>
        <w:jc w:val="both"/>
        <w:spacing w:after="0" w:line="248" w:lineRule="auto"/>
        <w:rPr>
          <w:sz w:val="20"/>
          <w:szCs w:val="20"/>
          <w:color w:val="auto"/>
        </w:rPr>
      </w:pPr>
      <w:r>
        <w:rPr>
          <w:rFonts w:ascii="Arial" w:cs="Arial" w:eastAsia="Arial" w:hAnsi="Arial"/>
          <w:sz w:val="22"/>
          <w:szCs w:val="22"/>
          <w:color w:val="auto"/>
        </w:rPr>
        <w:t>Participant that could be delayed under this provision must also be delayed. The amounts so deferred and interest thereon shall be distributed to the Participant or his or her Beneficiary (in the event of a death benefit required hereunder) at the earliest possible date, as determined by the Administrative Committee in good faith, on which the deductibility of compensation paid or payable to the Participant for the taxable year of the Company during which the distribution is made will not be limited by Code section 162(m), or if earlier, the effective date of a Change in Control.</w:t>
      </w:r>
    </w:p>
    <w:p>
      <w:pPr>
        <w:spacing w:after="0" w:line="233" w:lineRule="exact"/>
        <w:rPr>
          <w:sz w:val="20"/>
          <w:szCs w:val="20"/>
          <w:color w:val="auto"/>
        </w:rPr>
      </w:pPr>
    </w:p>
    <w:p>
      <w:pPr>
        <w:ind w:left="1120" w:hanging="464"/>
        <w:spacing w:after="0"/>
        <w:tabs>
          <w:tab w:leader="none" w:pos="1120" w:val="left"/>
        </w:tabs>
        <w:numPr>
          <w:ilvl w:val="1"/>
          <w:numId w:val="100"/>
        </w:numPr>
        <w:rPr>
          <w:rFonts w:ascii="Arial" w:cs="Arial" w:eastAsia="Arial" w:hAnsi="Arial"/>
          <w:sz w:val="19"/>
          <w:szCs w:val="19"/>
          <w:color w:val="auto"/>
        </w:rPr>
      </w:pPr>
      <w:r>
        <w:rPr>
          <w:rFonts w:ascii="Arial" w:cs="Arial" w:eastAsia="Arial" w:hAnsi="Arial"/>
          <w:sz w:val="19"/>
          <w:szCs w:val="19"/>
          <w:u w:val="single" w:color="auto"/>
          <w:color w:val="auto"/>
        </w:rPr>
        <w:t>“Change in Control” Defined</w:t>
      </w:r>
      <w:r>
        <w:rPr>
          <w:rFonts w:ascii="Arial" w:cs="Arial" w:eastAsia="Arial" w:hAnsi="Arial"/>
          <w:sz w:val="19"/>
          <w:szCs w:val="19"/>
          <w:color w:val="auto"/>
        </w:rPr>
        <w:t>. For purposes of this Plan, Change in Control means the first of the following (1), (2), or</w:t>
      </w:r>
    </w:p>
    <w:p>
      <w:pPr>
        <w:spacing w:after="0" w:line="56" w:lineRule="exact"/>
        <w:rPr>
          <w:rFonts w:ascii="Arial" w:cs="Arial" w:eastAsia="Arial" w:hAnsi="Arial"/>
          <w:sz w:val="19"/>
          <w:szCs w:val="19"/>
          <w:color w:val="auto"/>
        </w:rPr>
      </w:pPr>
    </w:p>
    <w:p>
      <w:pPr>
        <w:ind w:left="320" w:hanging="312"/>
        <w:spacing w:after="0"/>
        <w:tabs>
          <w:tab w:leader="none" w:pos="320" w:val="left"/>
        </w:tabs>
        <w:numPr>
          <w:ilvl w:val="0"/>
          <w:numId w:val="101"/>
        </w:numPr>
        <w:rPr>
          <w:rFonts w:ascii="Arial" w:cs="Arial" w:eastAsia="Arial" w:hAnsi="Arial"/>
          <w:sz w:val="22"/>
          <w:szCs w:val="22"/>
          <w:color w:val="auto"/>
        </w:rPr>
      </w:pPr>
      <w:r>
        <w:rPr>
          <w:rFonts w:ascii="Arial" w:cs="Arial" w:eastAsia="Arial" w:hAnsi="Arial"/>
          <w:sz w:val="22"/>
          <w:szCs w:val="22"/>
          <w:color w:val="auto"/>
        </w:rPr>
        <w:t>to occur.</w:t>
      </w:r>
    </w:p>
    <w:p>
      <w:pPr>
        <w:spacing w:after="0" w:line="242" w:lineRule="exact"/>
        <w:rPr>
          <w:rFonts w:ascii="Arial" w:cs="Arial" w:eastAsia="Arial" w:hAnsi="Arial"/>
          <w:sz w:val="22"/>
          <w:szCs w:val="22"/>
          <w:color w:val="auto"/>
        </w:rPr>
      </w:pPr>
    </w:p>
    <w:p>
      <w:pPr>
        <w:jc w:val="both"/>
        <w:ind w:left="660" w:firstLine="645"/>
        <w:spacing w:after="0" w:line="248" w:lineRule="auto"/>
        <w:tabs>
          <w:tab w:leader="none" w:pos="1898" w:val="left"/>
        </w:tabs>
        <w:numPr>
          <w:ilvl w:val="2"/>
          <w:numId w:val="101"/>
        </w:numPr>
        <w:rPr>
          <w:rFonts w:ascii="Arial" w:cs="Arial" w:eastAsia="Arial" w:hAnsi="Arial"/>
          <w:sz w:val="22"/>
          <w:szCs w:val="22"/>
          <w:color w:val="auto"/>
        </w:rPr>
      </w:pPr>
      <w:r>
        <w:rPr>
          <w:rFonts w:ascii="Arial" w:cs="Arial" w:eastAsia="Arial" w:hAnsi="Arial"/>
          <w:sz w:val="22"/>
          <w:szCs w:val="22"/>
          <w:u w:val="single" w:color="auto"/>
          <w:color w:val="auto"/>
        </w:rPr>
        <w:t>Change in Ownership of Stock</w:t>
      </w:r>
      <w:r>
        <w:rPr>
          <w:rFonts w:ascii="Arial" w:cs="Arial" w:eastAsia="Arial" w:hAnsi="Arial"/>
          <w:sz w:val="22"/>
          <w:szCs w:val="22"/>
          <w:color w:val="auto"/>
        </w:rPr>
        <w:t>. Any person, entity or group of persons purchases or acquires, within the meaning of section 13(d) or 14(d) of the Securities Exchange Act of 1934 (“Act”), or any comparable successor provisions, beneficial ownership (within the meaning of Rule 13d-3 promulgated under the Act) of Company stock that, together with stock already held by such person, entity, or group, constitutes more than 50% of the total fair market value or total voting power of the stock of the Company.</w:t>
      </w:r>
    </w:p>
    <w:p>
      <w:pPr>
        <w:spacing w:after="0" w:line="232" w:lineRule="exact"/>
        <w:rPr>
          <w:rFonts w:ascii="Arial" w:cs="Arial" w:eastAsia="Arial" w:hAnsi="Arial"/>
          <w:sz w:val="22"/>
          <w:szCs w:val="22"/>
          <w:color w:val="auto"/>
        </w:rPr>
      </w:pPr>
    </w:p>
    <w:p>
      <w:pPr>
        <w:ind w:left="1820" w:hanging="515"/>
        <w:spacing w:after="0"/>
        <w:tabs>
          <w:tab w:leader="none" w:pos="1820" w:val="left"/>
        </w:tabs>
        <w:numPr>
          <w:ilvl w:val="2"/>
          <w:numId w:val="101"/>
        </w:numPr>
        <w:rPr>
          <w:rFonts w:ascii="Arial" w:cs="Arial" w:eastAsia="Arial" w:hAnsi="Arial"/>
          <w:sz w:val="19"/>
          <w:szCs w:val="19"/>
          <w:color w:val="auto"/>
        </w:rPr>
      </w:pPr>
      <w:r>
        <w:rPr>
          <w:rFonts w:ascii="Arial" w:cs="Arial" w:eastAsia="Arial" w:hAnsi="Arial"/>
          <w:sz w:val="19"/>
          <w:szCs w:val="19"/>
          <w:u w:val="single" w:color="auto"/>
          <w:color w:val="auto"/>
        </w:rPr>
        <w:t>Change in Effective Control</w:t>
      </w:r>
      <w:r>
        <w:rPr>
          <w:rFonts w:ascii="Arial" w:cs="Arial" w:eastAsia="Arial" w:hAnsi="Arial"/>
          <w:sz w:val="19"/>
          <w:szCs w:val="19"/>
          <w:color w:val="auto"/>
        </w:rPr>
        <w:t>. Either of the following occurs, representing a change in effective control of the</w:t>
      </w:r>
    </w:p>
    <w:p>
      <w:pPr>
        <w:spacing w:after="0" w:line="56"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Company:</w:t>
      </w:r>
    </w:p>
    <w:p>
      <w:pPr>
        <w:spacing w:after="0" w:line="242" w:lineRule="exact"/>
        <w:rPr>
          <w:rFonts w:ascii="Arial" w:cs="Arial" w:eastAsia="Arial" w:hAnsi="Arial"/>
          <w:sz w:val="19"/>
          <w:szCs w:val="19"/>
          <w:color w:val="auto"/>
        </w:rPr>
      </w:pPr>
    </w:p>
    <w:p>
      <w:pPr>
        <w:jc w:val="both"/>
        <w:ind w:left="1300" w:firstLine="653"/>
        <w:spacing w:after="0" w:line="271" w:lineRule="auto"/>
        <w:tabs>
          <w:tab w:leader="none" w:pos="2518" w:val="left"/>
        </w:tabs>
        <w:numPr>
          <w:ilvl w:val="3"/>
          <w:numId w:val="101"/>
        </w:numPr>
        <w:rPr>
          <w:rFonts w:ascii="Arial" w:cs="Arial" w:eastAsia="Arial" w:hAnsi="Arial"/>
          <w:sz w:val="21"/>
          <w:szCs w:val="21"/>
          <w:color w:val="auto"/>
        </w:rPr>
      </w:pPr>
      <w:r>
        <w:rPr>
          <w:rFonts w:ascii="Arial" w:cs="Arial" w:eastAsia="Arial" w:hAnsi="Arial"/>
          <w:sz w:val="21"/>
          <w:szCs w:val="21"/>
          <w:u w:val="single" w:color="auto"/>
          <w:color w:val="auto"/>
        </w:rPr>
        <w:t>Voting Power</w:t>
      </w:r>
      <w:r>
        <w:rPr>
          <w:rFonts w:ascii="Arial" w:cs="Arial" w:eastAsia="Arial" w:hAnsi="Arial"/>
          <w:sz w:val="21"/>
          <w:szCs w:val="21"/>
          <w:color w:val="auto"/>
        </w:rPr>
        <w:t>. Any one person, or more than one person acting as a group, acquires (or has acquired during the 12-month period ending on the date of the most recent acquisition by the person or group) ownership of Company stock constituting 30% or more of the total voting power of Company stock; or</w:t>
      </w:r>
    </w:p>
    <w:p>
      <w:pPr>
        <w:spacing w:after="0" w:line="208" w:lineRule="exact"/>
        <w:rPr>
          <w:rFonts w:ascii="Arial" w:cs="Arial" w:eastAsia="Arial" w:hAnsi="Arial"/>
          <w:sz w:val="21"/>
          <w:szCs w:val="21"/>
          <w:color w:val="auto"/>
        </w:rPr>
      </w:pPr>
    </w:p>
    <w:p>
      <w:pPr>
        <w:jc w:val="both"/>
        <w:ind w:left="1300" w:firstLine="653"/>
        <w:spacing w:after="0" w:line="312" w:lineRule="auto"/>
        <w:tabs>
          <w:tab w:leader="none" w:pos="2574" w:val="left"/>
        </w:tabs>
        <w:numPr>
          <w:ilvl w:val="3"/>
          <w:numId w:val="101"/>
        </w:numPr>
        <w:rPr>
          <w:rFonts w:ascii="Arial" w:cs="Arial" w:eastAsia="Arial" w:hAnsi="Arial"/>
          <w:sz w:val="19"/>
          <w:szCs w:val="19"/>
          <w:color w:val="auto"/>
        </w:rPr>
      </w:pPr>
      <w:r>
        <w:rPr>
          <w:rFonts w:ascii="Arial" w:cs="Arial" w:eastAsia="Arial" w:hAnsi="Arial"/>
          <w:sz w:val="19"/>
          <w:szCs w:val="19"/>
          <w:u w:val="single" w:color="auto"/>
          <w:color w:val="auto"/>
        </w:rPr>
        <w:t>Board Composition</w:t>
      </w:r>
      <w:r>
        <w:rPr>
          <w:rFonts w:ascii="Arial" w:cs="Arial" w:eastAsia="Arial" w:hAnsi="Arial"/>
          <w:sz w:val="19"/>
          <w:szCs w:val="19"/>
          <w:color w:val="auto"/>
        </w:rPr>
        <w:t>. A majority of the members of the Company’s Board of Directors is replaced during any period of 12 consecutive months by directors whose appointment or election is not endorsed by a majority of the members of the Company’s Board of Directors prior to the date of the appointment or election.</w:t>
      </w:r>
    </w:p>
    <w:p>
      <w:pPr>
        <w:spacing w:after="0" w:line="174" w:lineRule="exact"/>
        <w:rPr>
          <w:rFonts w:ascii="Arial" w:cs="Arial" w:eastAsia="Arial" w:hAnsi="Arial"/>
          <w:sz w:val="19"/>
          <w:szCs w:val="19"/>
          <w:color w:val="auto"/>
        </w:rPr>
      </w:pPr>
    </w:p>
    <w:p>
      <w:pPr>
        <w:jc w:val="both"/>
        <w:ind w:left="660" w:firstLine="645"/>
        <w:spacing w:after="0" w:line="261" w:lineRule="auto"/>
        <w:tabs>
          <w:tab w:leader="none" w:pos="1803" w:val="left"/>
        </w:tabs>
        <w:numPr>
          <w:ilvl w:val="2"/>
          <w:numId w:val="101"/>
        </w:numPr>
        <w:rPr>
          <w:rFonts w:ascii="Arial" w:cs="Arial" w:eastAsia="Arial" w:hAnsi="Arial"/>
          <w:sz w:val="21"/>
          <w:szCs w:val="21"/>
          <w:color w:val="auto"/>
        </w:rPr>
      </w:pPr>
      <w:r>
        <w:rPr>
          <w:rFonts w:ascii="Arial" w:cs="Arial" w:eastAsia="Arial" w:hAnsi="Arial"/>
          <w:sz w:val="21"/>
          <w:szCs w:val="21"/>
          <w:u w:val="single" w:color="auto"/>
          <w:color w:val="auto"/>
        </w:rPr>
        <w:t>Change in Ownership of Assets</w:t>
      </w:r>
      <w:r>
        <w:rPr>
          <w:rFonts w:ascii="Arial" w:cs="Arial" w:eastAsia="Arial" w:hAnsi="Arial"/>
          <w:sz w:val="21"/>
          <w:szCs w:val="21"/>
          <w:color w:val="auto"/>
        </w:rPr>
        <w:t>. Any one person, or more than one person acting as a group, acquires (or has acquired during the 12-month period ending on the date of the most recent acquisition by such person or persons) Company assets that have a total gross fair market value equal to or greater than 40% of the total gross fair market value of all of the assets of the Company immediately prior to such acquisition or acquisitions. Gross value means the value of the assets determined without regard to any liabilities associated with such assets. However, a Change in Control does not occur to the extent that ownership of assets is transferred to:</w:t>
      </w:r>
    </w:p>
    <w:p>
      <w:pPr>
        <w:spacing w:after="0" w:line="220" w:lineRule="exact"/>
        <w:rPr>
          <w:rFonts w:ascii="Arial" w:cs="Arial" w:eastAsia="Arial" w:hAnsi="Arial"/>
          <w:sz w:val="21"/>
          <w:szCs w:val="21"/>
          <w:color w:val="auto"/>
        </w:rPr>
      </w:pPr>
    </w:p>
    <w:p>
      <w:pPr>
        <w:ind w:left="1300" w:firstLine="653"/>
        <w:spacing w:after="0" w:line="263" w:lineRule="auto"/>
        <w:tabs>
          <w:tab w:leader="none" w:pos="2464" w:val="left"/>
        </w:tabs>
        <w:numPr>
          <w:ilvl w:val="3"/>
          <w:numId w:val="101"/>
        </w:numPr>
        <w:rPr>
          <w:rFonts w:ascii="Arial" w:cs="Arial" w:eastAsia="Arial" w:hAnsi="Arial"/>
          <w:sz w:val="22"/>
          <w:szCs w:val="22"/>
          <w:color w:val="auto"/>
        </w:rPr>
      </w:pPr>
      <w:r>
        <w:rPr>
          <w:rFonts w:ascii="Arial" w:cs="Arial" w:eastAsia="Arial" w:hAnsi="Arial"/>
          <w:sz w:val="22"/>
          <w:szCs w:val="22"/>
          <w:color w:val="auto"/>
        </w:rPr>
        <w:t>a Company shareholder (immediately before the asset transfer) in exchange for or with respect to his or her Company stock;</w:t>
      </w:r>
    </w:p>
    <w:p>
      <w:pPr>
        <w:spacing w:after="0" w:line="215" w:lineRule="exact"/>
        <w:rPr>
          <w:rFonts w:ascii="Arial" w:cs="Arial" w:eastAsia="Arial" w:hAnsi="Arial"/>
          <w:sz w:val="22"/>
          <w:szCs w:val="22"/>
          <w:color w:val="auto"/>
        </w:rPr>
      </w:pPr>
    </w:p>
    <w:p>
      <w:pPr>
        <w:ind w:left="1300" w:firstLine="653"/>
        <w:spacing w:after="0" w:line="263" w:lineRule="auto"/>
        <w:tabs>
          <w:tab w:leader="none" w:pos="2504" w:val="left"/>
        </w:tabs>
        <w:numPr>
          <w:ilvl w:val="3"/>
          <w:numId w:val="101"/>
        </w:numPr>
        <w:rPr>
          <w:rFonts w:ascii="Arial" w:cs="Arial" w:eastAsia="Arial" w:hAnsi="Arial"/>
          <w:sz w:val="22"/>
          <w:szCs w:val="22"/>
          <w:color w:val="auto"/>
        </w:rPr>
      </w:pPr>
      <w:r>
        <w:rPr>
          <w:rFonts w:ascii="Arial" w:cs="Arial" w:eastAsia="Arial" w:hAnsi="Arial"/>
          <w:sz w:val="22"/>
          <w:szCs w:val="22"/>
          <w:color w:val="auto"/>
        </w:rPr>
        <w:t>an entity, 50% or more of the total value or voting power of which is owned directly or indirectly by the Company;</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420"/>
          </w:cols>
          <w:pgMar w:left="240" w:top="847" w:right="239" w:bottom="1440" w:gutter="0" w:footer="0" w:header="0"/>
        </w:sectPr>
      </w:pPr>
    </w:p>
    <w:bookmarkStart w:id="100" w:name="page101"/>
    <w:bookmarkEnd w:id="100"/>
    <w:p>
      <w:pPr>
        <w:ind w:left="1300" w:firstLine="653"/>
        <w:spacing w:after="0" w:line="263" w:lineRule="auto"/>
        <w:tabs>
          <w:tab w:leader="none" w:pos="2506" w:val="left"/>
        </w:tabs>
        <w:numPr>
          <w:ilvl w:val="0"/>
          <w:numId w:val="102"/>
        </w:numPr>
        <w:rPr>
          <w:rFonts w:ascii="Arial" w:cs="Arial" w:eastAsia="Arial" w:hAnsi="Arial"/>
          <w:sz w:val="22"/>
          <w:szCs w:val="22"/>
          <w:color w:val="auto"/>
        </w:rPr>
      </w:pPr>
      <w:r>
        <w:rPr>
          <w:rFonts w:ascii="Arial" w:cs="Arial" w:eastAsia="Arial" w:hAnsi="Arial"/>
          <w:sz w:val="22"/>
          <w:szCs w:val="22"/>
          <w:color w:val="auto"/>
        </w:rPr>
        <w:t>a person, or more than one person acting as a group, that owns directly or indirectly 50% or more of the total value or voting power of the Company;</w:t>
      </w:r>
    </w:p>
    <w:p>
      <w:pPr>
        <w:spacing w:after="0" w:line="215" w:lineRule="exact"/>
        <w:rPr>
          <w:rFonts w:ascii="Arial" w:cs="Arial" w:eastAsia="Arial" w:hAnsi="Arial"/>
          <w:sz w:val="22"/>
          <w:szCs w:val="22"/>
          <w:color w:val="auto"/>
        </w:rPr>
      </w:pPr>
    </w:p>
    <w:p>
      <w:pPr>
        <w:ind w:left="1300" w:firstLine="653"/>
        <w:spacing w:after="0" w:line="263" w:lineRule="auto"/>
        <w:tabs>
          <w:tab w:leader="none" w:pos="2498" w:val="left"/>
        </w:tabs>
        <w:numPr>
          <w:ilvl w:val="0"/>
          <w:numId w:val="102"/>
        </w:numPr>
        <w:rPr>
          <w:rFonts w:ascii="Arial" w:cs="Arial" w:eastAsia="Arial" w:hAnsi="Arial"/>
          <w:sz w:val="22"/>
          <w:szCs w:val="22"/>
          <w:color w:val="auto"/>
        </w:rPr>
      </w:pPr>
      <w:r>
        <w:rPr>
          <w:rFonts w:ascii="Arial" w:cs="Arial" w:eastAsia="Arial" w:hAnsi="Arial"/>
          <w:sz w:val="22"/>
          <w:szCs w:val="22"/>
          <w:color w:val="auto"/>
        </w:rPr>
        <w:t>an entity, at least 50% of the total value or voting power of which is owned directly or indirectly by a person described in (C).</w:t>
      </w:r>
    </w:p>
    <w:p>
      <w:pPr>
        <w:spacing w:after="0" w:line="215" w:lineRule="exact"/>
        <w:rPr>
          <w:sz w:val="20"/>
          <w:szCs w:val="20"/>
          <w:color w:val="auto"/>
        </w:rPr>
      </w:pPr>
    </w:p>
    <w:p>
      <w:pPr>
        <w:ind w:left="660" w:firstLine="645"/>
        <w:spacing w:after="0" w:line="263" w:lineRule="auto"/>
        <w:tabs>
          <w:tab w:leader="none" w:pos="1776" w:val="left"/>
        </w:tabs>
        <w:numPr>
          <w:ilvl w:val="0"/>
          <w:numId w:val="103"/>
        </w:numPr>
        <w:rPr>
          <w:rFonts w:ascii="Arial" w:cs="Arial" w:eastAsia="Arial" w:hAnsi="Arial"/>
          <w:sz w:val="22"/>
          <w:szCs w:val="22"/>
          <w:color w:val="auto"/>
        </w:rPr>
      </w:pPr>
      <w:r>
        <w:rPr>
          <w:rFonts w:ascii="Arial" w:cs="Arial" w:eastAsia="Arial" w:hAnsi="Arial"/>
          <w:sz w:val="22"/>
          <w:szCs w:val="22"/>
          <w:u w:val="single" w:color="auto"/>
          <w:color w:val="auto"/>
        </w:rPr>
        <w:t>Interpretation</w:t>
      </w:r>
      <w:r>
        <w:rPr>
          <w:rFonts w:ascii="Arial" w:cs="Arial" w:eastAsia="Arial" w:hAnsi="Arial"/>
          <w:sz w:val="22"/>
          <w:szCs w:val="22"/>
          <w:color w:val="auto"/>
        </w:rPr>
        <w:t>. These provisions shall be interpreted and applied in a manner that is consistent with Department of Treasury regulations under Section 409A of the Code.</w:t>
      </w:r>
    </w:p>
    <w:p>
      <w:pPr>
        <w:spacing w:after="0" w:line="215"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 xml:space="preserve">6.9 </w:t>
      </w:r>
      <w:r>
        <w:rPr>
          <w:rFonts w:ascii="Arial" w:cs="Arial" w:eastAsia="Arial" w:hAnsi="Arial"/>
          <w:sz w:val="19"/>
          <w:szCs w:val="19"/>
          <w:u w:val="single" w:color="auto"/>
          <w:color w:val="auto"/>
        </w:rPr>
        <w:t>Acceleration of Payment</w:t>
      </w:r>
      <w:r>
        <w:rPr>
          <w:rFonts w:ascii="Arial" w:cs="Arial" w:eastAsia="Arial" w:hAnsi="Arial"/>
          <w:sz w:val="19"/>
          <w:szCs w:val="19"/>
          <w:color w:val="auto"/>
        </w:rPr>
        <w:t>. Generally, neither the Company nor any Participant may accelerate the timing of any payment under the Plan, except as specifically set forth in this Plan document. However, the Administrative Committee retains the discretion to accelerate distribution of any payment to the extent such acceleration is specifically permitted under the final regulations under Code Section 409A. Such accelerations include, but are not limited to, a distribution to permit a Participant to pay taxes on amounts deferred under this Plan, including any taxes that may be imposed under Code Section 409A, and distribution pursuant to a domestic relations order (as defined in Section 414(p)(1)(B) of the Code).</w:t>
      </w:r>
    </w:p>
    <w:p>
      <w:pPr>
        <w:spacing w:after="0" w:line="204" w:lineRule="exact"/>
        <w:rPr>
          <w:sz w:val="20"/>
          <w:szCs w:val="20"/>
          <w:color w:val="auto"/>
        </w:rPr>
      </w:pPr>
    </w:p>
    <w:p>
      <w:pPr>
        <w:jc w:val="both"/>
        <w:spacing w:after="0" w:line="298" w:lineRule="auto"/>
        <w:rPr>
          <w:sz w:val="20"/>
          <w:szCs w:val="20"/>
          <w:color w:val="auto"/>
        </w:rPr>
      </w:pPr>
      <w:r>
        <w:rPr>
          <w:rFonts w:ascii="Arial" w:cs="Arial" w:eastAsia="Arial" w:hAnsi="Arial"/>
          <w:sz w:val="22"/>
          <w:szCs w:val="22"/>
          <w:color w:val="auto"/>
        </w:rPr>
        <w:t xml:space="preserve">6.10 </w:t>
      </w:r>
      <w:r>
        <w:rPr>
          <w:rFonts w:ascii="Arial" w:cs="Arial" w:eastAsia="Arial" w:hAnsi="Arial"/>
          <w:sz w:val="22"/>
          <w:szCs w:val="22"/>
          <w:u w:val="single" w:color="auto"/>
          <w:color w:val="auto"/>
        </w:rPr>
        <w:t>Post-Distribution Allocations</w:t>
      </w:r>
      <w:r>
        <w:rPr>
          <w:rFonts w:ascii="Arial" w:cs="Arial" w:eastAsia="Arial" w:hAnsi="Arial"/>
          <w:sz w:val="22"/>
          <w:szCs w:val="22"/>
          <w:color w:val="auto"/>
        </w:rPr>
        <w:t>. If a Participant’s Account is credited after the Participant has received a full distribution of his or her Account, the remaining balance in the Account shall be paid to the Participant in a lump sum as soon as administratively practical.</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DEATH BENEFITS</w:t>
      </w:r>
    </w:p>
    <w:p>
      <w:pPr>
        <w:spacing w:after="0" w:line="242"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 xml:space="preserve">7.1 </w:t>
      </w:r>
      <w:r>
        <w:rPr>
          <w:rFonts w:ascii="Arial" w:cs="Arial" w:eastAsia="Arial" w:hAnsi="Arial"/>
          <w:sz w:val="22"/>
          <w:szCs w:val="22"/>
          <w:u w:val="single" w:color="auto"/>
          <w:color w:val="auto"/>
        </w:rPr>
        <w:t>Designation of Beneficiary</w:t>
      </w:r>
      <w:r>
        <w:rPr>
          <w:rFonts w:ascii="Arial" w:cs="Arial" w:eastAsia="Arial" w:hAnsi="Arial"/>
          <w:sz w:val="22"/>
          <w:szCs w:val="22"/>
          <w:color w:val="auto"/>
        </w:rPr>
        <w:t>. A Participant shall designate a Beneficiary to receive death benefits under the Plan by completing the beneficiary designation form specified by the Administrative Committee. A Participant shall have the right to change the Beneficiary by submitting a form designating the Participant’s change of Beneficiary in accordance with procedures established by the Administrative Committee. No beneficiary designation or change of beneficiary shall be effective until approved by Leadership Benefits.</w:t>
      </w:r>
    </w:p>
    <w:p>
      <w:pPr>
        <w:spacing w:after="0" w:line="233" w:lineRule="exact"/>
        <w:rPr>
          <w:sz w:val="20"/>
          <w:szCs w:val="20"/>
          <w:color w:val="auto"/>
        </w:rPr>
      </w:pPr>
    </w:p>
    <w:p>
      <w:pPr>
        <w:jc w:val="both"/>
        <w:spacing w:after="0" w:line="287" w:lineRule="auto"/>
        <w:rPr>
          <w:sz w:val="20"/>
          <w:szCs w:val="20"/>
          <w:color w:val="auto"/>
        </w:rPr>
      </w:pPr>
      <w:r>
        <w:rPr>
          <w:rFonts w:ascii="Arial" w:cs="Arial" w:eastAsia="Arial" w:hAnsi="Arial"/>
          <w:sz w:val="21"/>
          <w:szCs w:val="21"/>
          <w:color w:val="auto"/>
        </w:rPr>
        <w:t xml:space="preserve">7.2 </w:t>
      </w:r>
      <w:r>
        <w:rPr>
          <w:rFonts w:ascii="Arial" w:cs="Arial" w:eastAsia="Arial" w:hAnsi="Arial"/>
          <w:sz w:val="21"/>
          <w:szCs w:val="21"/>
          <w:u w:val="single" w:color="auto"/>
          <w:color w:val="auto"/>
        </w:rPr>
        <w:t>Married Participants</w:t>
      </w:r>
      <w:r>
        <w:rPr>
          <w:rFonts w:ascii="Arial" w:cs="Arial" w:eastAsia="Arial" w:hAnsi="Arial"/>
          <w:sz w:val="21"/>
          <w:szCs w:val="21"/>
          <w:color w:val="auto"/>
        </w:rPr>
        <w:t>. If a Participant is married, his or her legal spouse shall be the designated Beneficiary, unless the spouse consents in writing to designation of a different Beneficiary on a form acceptable to the Administrative Committee.</w:t>
      </w:r>
    </w:p>
    <w:p>
      <w:pPr>
        <w:spacing w:after="0" w:line="192"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 xml:space="preserve">7.3 </w:t>
      </w:r>
      <w:r>
        <w:rPr>
          <w:rFonts w:ascii="Arial" w:cs="Arial" w:eastAsia="Arial" w:hAnsi="Arial"/>
          <w:sz w:val="19"/>
          <w:szCs w:val="19"/>
          <w:u w:val="single" w:color="auto"/>
          <w:color w:val="auto"/>
        </w:rPr>
        <w:t>Deemed Beneficiary</w:t>
      </w:r>
      <w:r>
        <w:rPr>
          <w:rFonts w:ascii="Arial" w:cs="Arial" w:eastAsia="Arial" w:hAnsi="Arial"/>
          <w:sz w:val="19"/>
          <w:szCs w:val="19"/>
          <w:color w:val="auto"/>
        </w:rPr>
        <w:t>. For Participants who die on or after January 1, 2011, if a valid beneficiary designation has not been made, or if the designated beneficiary has predeceased the Participant, then the Participant will be deemed to have designated the following as his or her surviving beneficiaries and contingent beneficiaries with priority in the order named below:</w:t>
      </w:r>
    </w:p>
    <w:p>
      <w:pPr>
        <w:spacing w:after="0" w:line="174" w:lineRule="exact"/>
        <w:rPr>
          <w:sz w:val="20"/>
          <w:szCs w:val="20"/>
          <w:color w:val="auto"/>
        </w:rPr>
      </w:pPr>
    </w:p>
    <w:p>
      <w:pPr>
        <w:ind w:firstLine="656"/>
        <w:spacing w:after="0" w:line="263" w:lineRule="auto"/>
        <w:tabs>
          <w:tab w:leader="none" w:pos="1151" w:val="left"/>
        </w:tabs>
        <w:numPr>
          <w:ilvl w:val="0"/>
          <w:numId w:val="104"/>
        </w:numPr>
        <w:rPr>
          <w:rFonts w:ascii="Arial" w:cs="Arial" w:eastAsia="Arial" w:hAnsi="Arial"/>
          <w:sz w:val="22"/>
          <w:szCs w:val="22"/>
          <w:color w:val="auto"/>
        </w:rPr>
      </w:pPr>
      <w:r>
        <w:rPr>
          <w:rFonts w:ascii="Arial" w:cs="Arial" w:eastAsia="Arial" w:hAnsi="Arial"/>
          <w:sz w:val="22"/>
          <w:szCs w:val="22"/>
          <w:color w:val="auto"/>
        </w:rPr>
        <w:t>first, to the Participant’s surviving spouse, as defined under federal law, or the Participant’s registered life partner, as defined under the Nordstrom Welfare Benefit Plan;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420"/>
          </w:cols>
          <w:pgMar w:left="240" w:top="847" w:right="239" w:bottom="1440" w:gutter="0" w:footer="0" w:header="0"/>
        </w:sectPr>
      </w:pPr>
    </w:p>
    <w:bookmarkStart w:id="101" w:name="page102"/>
    <w:bookmarkEnd w:id="101"/>
    <w:p>
      <w:pPr>
        <w:ind w:left="1120" w:hanging="464"/>
        <w:spacing w:after="0"/>
        <w:tabs>
          <w:tab w:leader="none" w:pos="1120" w:val="left"/>
        </w:tabs>
        <w:numPr>
          <w:ilvl w:val="0"/>
          <w:numId w:val="105"/>
        </w:numPr>
        <w:rPr>
          <w:rFonts w:ascii="Arial" w:cs="Arial" w:eastAsia="Arial" w:hAnsi="Arial"/>
          <w:sz w:val="22"/>
          <w:szCs w:val="22"/>
          <w:color w:val="auto"/>
        </w:rPr>
      </w:pPr>
      <w:r>
        <w:rPr>
          <w:rFonts w:ascii="Arial" w:cs="Arial" w:eastAsia="Arial" w:hAnsi="Arial"/>
          <w:sz w:val="22"/>
          <w:szCs w:val="22"/>
          <w:color w:val="auto"/>
        </w:rPr>
        <w:t>if the Participant does not have a surviving spouse or registered life partner, to his or her estate.</w:t>
      </w:r>
    </w:p>
    <w:p>
      <w:pPr>
        <w:spacing w:after="0" w:line="260"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Notwithstanding the foregoing, the 2007 Restatement of this Plan, and not this Restatement, shall apply to determine beneficiaries of Participants who died prior to January 1, 2011.</w:t>
      </w:r>
    </w:p>
    <w:p>
      <w:pPr>
        <w:spacing w:after="0" w:line="21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7.4 Surviving Beneficiary . For purposes of determining the appropriate named or deemed beneficiary or contingent beneficiary, an individual is considered to survive the Participant if that individual is alive seven (7) days after the date of the Participant’s death.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-365125</wp:posOffset>
            </wp:positionV>
            <wp:extent cx="150685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73">
                      <a:extLst>
                        <a:ext uri="{28A0092B-C50C-407E-A947-70E740481C1C}"/>
                      </a:extLst>
                    </a:blip>
                    <a:srcRect/>
                    <a:stretch>
                      <a:fillRect/>
                    </a:stretch>
                  </pic:blipFill>
                  <pic:spPr bwMode="auto">
                    <a:xfrm>
                      <a:off x="0" y="0"/>
                      <a:ext cx="1506855" cy="8890"/>
                    </a:xfrm>
                    <a:prstGeom prst="rect">
                      <a:avLst/>
                    </a:prstGeom>
                    <a:noFill/>
                  </pic:spPr>
                </pic:pic>
              </a:graphicData>
            </a:graphic>
          </wp:anchor>
        </w:drawing>
      </w:r>
    </w:p>
    <w:p>
      <w:pPr>
        <w:spacing w:after="0" w:line="206"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 xml:space="preserve">7.5 </w:t>
      </w:r>
      <w:r>
        <w:rPr>
          <w:rFonts w:ascii="Arial" w:cs="Arial" w:eastAsia="Arial" w:hAnsi="Arial"/>
          <w:sz w:val="21"/>
          <w:szCs w:val="21"/>
          <w:u w:val="single" w:color="auto"/>
          <w:color w:val="auto"/>
        </w:rPr>
        <w:t>Determination of Account Balance at Death</w:t>
      </w:r>
      <w:r>
        <w:rPr>
          <w:rFonts w:ascii="Arial" w:cs="Arial" w:eastAsia="Arial" w:hAnsi="Arial"/>
          <w:sz w:val="21"/>
          <w:szCs w:val="21"/>
          <w:color w:val="auto"/>
        </w:rPr>
        <w:t>. The value of a Participant’s Account shall be determined as of the later of: (a) the date of the Participant’s death; or (b) the date the Administrative Committee approves the distribution under Section 7.6. The amounts in such Account shall be maintained in the deemed investment Sub-Accounts under Section 4.3 after the Participant’s death and until the time of distribution, unless the Participant’s Beneficiary elects in writing to transfer such amounts from the deemed investment accounts into a separate interest-bearing account designated by the Administrative Committee for this purpose. Upon transfer to the interest-bearing account, the Account shall no longer be deemed invested under Section 4.3(a) and will not be adjusted for deemed investment gains and losses.</w:t>
      </w:r>
    </w:p>
    <w:p>
      <w:pPr>
        <w:spacing w:after="0" w:line="222"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 xml:space="preserve">7.6 </w:t>
      </w:r>
      <w:r>
        <w:rPr>
          <w:rFonts w:ascii="Arial" w:cs="Arial" w:eastAsia="Arial" w:hAnsi="Arial"/>
          <w:sz w:val="19"/>
          <w:szCs w:val="19"/>
          <w:u w:val="single" w:color="auto"/>
          <w:color w:val="auto"/>
        </w:rPr>
        <w:t>Distribution of Account Balance at Death</w:t>
      </w:r>
      <w:r>
        <w:rPr>
          <w:rFonts w:ascii="Arial" w:cs="Arial" w:eastAsia="Arial" w:hAnsi="Arial"/>
          <w:sz w:val="19"/>
          <w:szCs w:val="19"/>
          <w:color w:val="auto"/>
        </w:rPr>
        <w:t>. Upon a Participant’s death, the portion of a Participant’s Account that is attributable to deferrals and Company contributions made with respect to Plan Years commencing January 1, 2014 and later, including Earnings thereon, shall at all times be distributable as provided in Section 7.6. Distributions of the portion of a Participant’s Account that is attributable to deferrals and Company contributions made with respect to Plan Years ending prior to January 1, 2014 shall be governed by the Plan provisions in effect in the previous version of this Plan document. By way of reference, and as provided in Section 7.6 of the previous version of this Plan document, if the Participant dies prior to “Retirement” (as that term is defined in the previous version of this Plan document) while an employee of the Company and such Participant’s death is not attributable to suicide committed within two years after becoming a Participant, such Beneficiary shall receive an amount equal to twice the Participant’s actual deferrals under Section 3.2 that have been credited to the Participant’s Account as of December 31, 2007 (exclusive of any earnings thereon). Compensation deferred after December 31, 2007 shall not be taken into account in calculating this pre-retirement death benefit.</w:t>
      </w:r>
    </w:p>
    <w:p>
      <w:pPr>
        <w:spacing w:after="0" w:line="200" w:lineRule="exact"/>
        <w:rPr>
          <w:sz w:val="20"/>
          <w:szCs w:val="20"/>
          <w:color w:val="auto"/>
        </w:rPr>
      </w:pPr>
    </w:p>
    <w:p>
      <w:pPr>
        <w:spacing w:after="0" w:line="257"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 xml:space="preserve">7.7 </w:t>
      </w:r>
      <w:r>
        <w:rPr>
          <w:rFonts w:ascii="Arial" w:cs="Arial" w:eastAsia="Arial" w:hAnsi="Arial"/>
          <w:sz w:val="21"/>
          <w:szCs w:val="21"/>
          <w:u w:val="single" w:color="auto"/>
          <w:color w:val="auto"/>
        </w:rPr>
        <w:t>Determination of Beneficiary</w:t>
      </w:r>
      <w:r>
        <w:rPr>
          <w:rFonts w:ascii="Arial" w:cs="Arial" w:eastAsia="Arial" w:hAnsi="Arial"/>
          <w:sz w:val="21"/>
          <w:szCs w:val="21"/>
          <w:color w:val="auto"/>
        </w:rPr>
        <w:t>. If the Administrative Committee has any doubt as to the proper Beneficiary to receive payments hereunder, the Administrative Committee shall have the right to direct the Company to withhold such payments until the matter is finally adjudicated. However, as provided in Section 11.8, any payment made by the Company, in good faith and in accordance with the Plan and the directions of the Administrative Committee shall fully discharge the Company, the Board and the Administrative Committee from all further obligations with respect to that payment.</w:t>
      </w:r>
    </w:p>
    <w:p>
      <w:pPr>
        <w:spacing w:after="0" w:line="21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 xml:space="preserve">7.8 </w:t>
      </w:r>
      <w:r>
        <w:rPr>
          <w:rFonts w:ascii="Arial" w:cs="Arial" w:eastAsia="Arial" w:hAnsi="Arial"/>
          <w:sz w:val="22"/>
          <w:szCs w:val="22"/>
          <w:u w:val="single" w:color="auto"/>
          <w:color w:val="auto"/>
        </w:rPr>
        <w:t>Payments to Minor or Incapacitated Beneficiaries</w:t>
      </w:r>
      <w:r>
        <w:rPr>
          <w:rFonts w:ascii="Arial" w:cs="Arial" w:eastAsia="Arial" w:hAnsi="Arial"/>
          <w:sz w:val="22"/>
          <w:szCs w:val="22"/>
          <w:color w:val="auto"/>
        </w:rPr>
        <w:t>. In making distributions from the Plan to or for the benefit of any minor or incapacitated Beneficiary, the Administrative Committee, in</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420"/>
          </w:cols>
          <w:pgMar w:left="240" w:top="847" w:right="239" w:bottom="1440" w:gutter="0" w:footer="0" w:header="0"/>
        </w:sectPr>
      </w:pPr>
    </w:p>
    <w:bookmarkStart w:id="102" w:name="page103"/>
    <w:bookmarkEnd w:id="102"/>
    <w:p>
      <w:pPr>
        <w:jc w:val="both"/>
        <w:spacing w:after="0" w:line="248" w:lineRule="auto"/>
        <w:rPr>
          <w:sz w:val="20"/>
          <w:szCs w:val="20"/>
          <w:color w:val="auto"/>
        </w:rPr>
      </w:pPr>
      <w:r>
        <w:rPr>
          <w:rFonts w:ascii="Arial" w:cs="Arial" w:eastAsia="Arial" w:hAnsi="Arial"/>
          <w:sz w:val="22"/>
          <w:szCs w:val="22"/>
          <w:color w:val="auto"/>
        </w:rPr>
        <w:t>its sole and absolute discretion, may direct the Company to make such distribution to a legal or natural guardian of such Beneficiary, or to any adult with whom the minor or incompetent temporarily or permanently resides. The receipt by such guardian or other adult shall be a complete discharge of liability to the Company, the Board, and the Administrative Committee. Neither the Board, the Administrative Committee, nor the Company shall have any responsibility to see to the proper application of any payments so made.</w:t>
      </w:r>
    </w:p>
    <w:p>
      <w:pPr>
        <w:spacing w:after="0" w:line="233"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 xml:space="preserve">7.9 </w:t>
      </w:r>
      <w:r>
        <w:rPr>
          <w:rFonts w:ascii="Arial" w:cs="Arial" w:eastAsia="Arial" w:hAnsi="Arial"/>
          <w:sz w:val="22"/>
          <w:szCs w:val="22"/>
          <w:u w:val="single" w:color="auto"/>
          <w:color w:val="auto"/>
        </w:rPr>
        <w:t>Effect of Divorce</w:t>
      </w:r>
      <w:r>
        <w:rPr>
          <w:rFonts w:ascii="Arial" w:cs="Arial" w:eastAsia="Arial" w:hAnsi="Arial"/>
          <w:sz w:val="22"/>
          <w:szCs w:val="22"/>
          <w:color w:val="auto"/>
        </w:rPr>
        <w:t>. If a Participant and his or her Designated Beneficiary are or become married and thereafter their marriage is dissolved by entry of a decree of dissolution or other court order having the effect of dissolving the marriage, then any such pre-divorce Beneficiary designation shall be deemed automatically revoked as to such Beneficiary spouse as of the date of such dissolution unless the death benefit rights of such former spouse are subsequently reaffirmed by a qualified domestic relations order or the Participant’s subsequent written designation.</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VIII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ADMINISTRATION OF THE PLAN</w:t>
      </w:r>
    </w:p>
    <w:p>
      <w:pPr>
        <w:spacing w:after="0" w:line="242"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 xml:space="preserve">8.1 </w:t>
      </w:r>
      <w:r>
        <w:rPr>
          <w:rFonts w:ascii="Arial" w:cs="Arial" w:eastAsia="Arial" w:hAnsi="Arial"/>
          <w:sz w:val="22"/>
          <w:szCs w:val="22"/>
          <w:u w:val="single" w:color="auto"/>
          <w:color w:val="auto"/>
        </w:rPr>
        <w:t>Plan Sponsor and Administrator</w:t>
      </w:r>
      <w:r>
        <w:rPr>
          <w:rFonts w:ascii="Arial" w:cs="Arial" w:eastAsia="Arial" w:hAnsi="Arial"/>
          <w:sz w:val="22"/>
          <w:szCs w:val="22"/>
          <w:color w:val="auto"/>
        </w:rPr>
        <w:t>. The Company is the “Plan Sponsor,” and its address is: Nordstrom, Inc., 1700 Seventh Avenue, Seattle, Washington 98101-4407. The Administrative Committee is the “Plan Administrator.”</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 xml:space="preserve">8.2 </w:t>
      </w:r>
      <w:r>
        <w:rPr>
          <w:rFonts w:ascii="Arial" w:cs="Arial" w:eastAsia="Arial" w:hAnsi="Arial"/>
          <w:sz w:val="22"/>
          <w:szCs w:val="22"/>
          <w:u w:val="single" w:color="auto"/>
          <w:color w:val="auto"/>
        </w:rPr>
        <w:t>Powers and Authority of the Company</w:t>
      </w:r>
      <w:r>
        <w:rPr>
          <w:rFonts w:ascii="Arial" w:cs="Arial" w:eastAsia="Arial" w:hAnsi="Arial"/>
          <w:sz w:val="22"/>
          <w:szCs w:val="22"/>
          <w:color w:val="auto"/>
        </w:rPr>
        <w:t>. The Company, acting through the Compensation Committee of its Board of Directors, has the following absolute powers and authority under the Plan:</w:t>
      </w:r>
    </w:p>
    <w:p>
      <w:pPr>
        <w:spacing w:after="0" w:line="215" w:lineRule="exact"/>
        <w:rPr>
          <w:sz w:val="20"/>
          <w:szCs w:val="20"/>
          <w:color w:val="auto"/>
        </w:rPr>
      </w:pPr>
    </w:p>
    <w:p>
      <w:pPr>
        <w:ind w:left="1100" w:hanging="444"/>
        <w:spacing w:after="0"/>
        <w:tabs>
          <w:tab w:leader="none" w:pos="1100" w:val="left"/>
        </w:tabs>
        <w:numPr>
          <w:ilvl w:val="0"/>
          <w:numId w:val="106"/>
        </w:numPr>
        <w:rPr>
          <w:rFonts w:ascii="Arial" w:cs="Arial" w:eastAsia="Arial" w:hAnsi="Arial"/>
          <w:sz w:val="22"/>
          <w:szCs w:val="22"/>
          <w:color w:val="auto"/>
        </w:rPr>
      </w:pPr>
      <w:r>
        <w:rPr>
          <w:rFonts w:ascii="Arial" w:cs="Arial" w:eastAsia="Arial" w:hAnsi="Arial"/>
          <w:sz w:val="22"/>
          <w:szCs w:val="22"/>
          <w:color w:val="auto"/>
        </w:rPr>
        <w:t>To amend or terminate the Plan, at any time and for any reason;</w:t>
      </w:r>
    </w:p>
    <w:p>
      <w:pPr>
        <w:spacing w:after="0" w:line="260" w:lineRule="exact"/>
        <w:rPr>
          <w:rFonts w:ascii="Arial" w:cs="Arial" w:eastAsia="Arial" w:hAnsi="Arial"/>
          <w:sz w:val="22"/>
          <w:szCs w:val="22"/>
          <w:color w:val="auto"/>
        </w:rPr>
      </w:pPr>
    </w:p>
    <w:p>
      <w:pPr>
        <w:ind w:left="1120" w:hanging="464"/>
        <w:spacing w:after="0"/>
        <w:tabs>
          <w:tab w:leader="none" w:pos="1120" w:val="left"/>
        </w:tabs>
        <w:numPr>
          <w:ilvl w:val="0"/>
          <w:numId w:val="106"/>
        </w:numPr>
        <w:rPr>
          <w:rFonts w:ascii="Arial" w:cs="Arial" w:eastAsia="Arial" w:hAnsi="Arial"/>
          <w:sz w:val="21"/>
          <w:szCs w:val="21"/>
          <w:color w:val="auto"/>
        </w:rPr>
      </w:pPr>
      <w:r>
        <w:rPr>
          <w:rFonts w:ascii="Arial" w:cs="Arial" w:eastAsia="Arial" w:hAnsi="Arial"/>
          <w:sz w:val="21"/>
          <w:szCs w:val="21"/>
          <w:color w:val="auto"/>
        </w:rPr>
        <w:t>To determine the amount, timing, vesting, and other conditions applicable to Plan contributions and benefits;</w:t>
      </w:r>
    </w:p>
    <w:p>
      <w:pPr>
        <w:spacing w:after="0" w:line="271" w:lineRule="exact"/>
        <w:rPr>
          <w:rFonts w:ascii="Arial" w:cs="Arial" w:eastAsia="Arial" w:hAnsi="Arial"/>
          <w:sz w:val="21"/>
          <w:szCs w:val="21"/>
          <w:color w:val="auto"/>
        </w:rPr>
      </w:pPr>
    </w:p>
    <w:p>
      <w:pPr>
        <w:ind w:firstLine="656"/>
        <w:spacing w:after="0" w:line="263" w:lineRule="auto"/>
        <w:tabs>
          <w:tab w:leader="none" w:pos="1107" w:val="left"/>
        </w:tabs>
        <w:numPr>
          <w:ilvl w:val="0"/>
          <w:numId w:val="106"/>
        </w:numPr>
        <w:rPr>
          <w:rFonts w:ascii="Arial" w:cs="Arial" w:eastAsia="Arial" w:hAnsi="Arial"/>
          <w:sz w:val="22"/>
          <w:szCs w:val="22"/>
          <w:color w:val="auto"/>
        </w:rPr>
      </w:pPr>
      <w:r>
        <w:rPr>
          <w:rFonts w:ascii="Arial" w:cs="Arial" w:eastAsia="Arial" w:hAnsi="Arial"/>
          <w:sz w:val="22"/>
          <w:szCs w:val="22"/>
          <w:color w:val="auto"/>
        </w:rPr>
        <w:t>To set aside funds to assist the Company to meet its obligations under this Plan, provided that the funds are set aside in a manner that does not result in immediate taxation to Participants;</w:t>
      </w:r>
    </w:p>
    <w:p>
      <w:pPr>
        <w:spacing w:after="0" w:line="215" w:lineRule="exact"/>
        <w:rPr>
          <w:rFonts w:ascii="Arial" w:cs="Arial" w:eastAsia="Arial" w:hAnsi="Arial"/>
          <w:sz w:val="22"/>
          <w:szCs w:val="22"/>
          <w:color w:val="auto"/>
        </w:rPr>
      </w:pPr>
    </w:p>
    <w:p>
      <w:pPr>
        <w:ind w:left="1120" w:hanging="464"/>
        <w:spacing w:after="0"/>
        <w:tabs>
          <w:tab w:leader="none" w:pos="1120" w:val="left"/>
        </w:tabs>
        <w:numPr>
          <w:ilvl w:val="0"/>
          <w:numId w:val="106"/>
        </w:numPr>
        <w:rPr>
          <w:rFonts w:ascii="Arial" w:cs="Arial" w:eastAsia="Arial" w:hAnsi="Arial"/>
          <w:sz w:val="22"/>
          <w:szCs w:val="22"/>
          <w:color w:val="auto"/>
        </w:rPr>
      </w:pPr>
      <w:r>
        <w:rPr>
          <w:rFonts w:ascii="Arial" w:cs="Arial" w:eastAsia="Arial" w:hAnsi="Arial"/>
          <w:sz w:val="22"/>
          <w:szCs w:val="22"/>
          <w:color w:val="auto"/>
        </w:rPr>
        <w:t>To establish investment policy guidelines applicable to funds (if any) set aside under (c);</w:t>
      </w:r>
    </w:p>
    <w:p>
      <w:pPr>
        <w:spacing w:after="0" w:line="260" w:lineRule="exact"/>
        <w:rPr>
          <w:rFonts w:ascii="Arial" w:cs="Arial" w:eastAsia="Arial" w:hAnsi="Arial"/>
          <w:sz w:val="22"/>
          <w:szCs w:val="22"/>
          <w:color w:val="auto"/>
        </w:rPr>
      </w:pPr>
    </w:p>
    <w:p>
      <w:pPr>
        <w:ind w:firstLine="656"/>
        <w:spacing w:after="0" w:line="263" w:lineRule="auto"/>
        <w:tabs>
          <w:tab w:leader="none" w:pos="1159" w:val="left"/>
        </w:tabs>
        <w:numPr>
          <w:ilvl w:val="0"/>
          <w:numId w:val="106"/>
        </w:numPr>
        <w:rPr>
          <w:rFonts w:ascii="Arial" w:cs="Arial" w:eastAsia="Arial" w:hAnsi="Arial"/>
          <w:sz w:val="22"/>
          <w:szCs w:val="22"/>
          <w:color w:val="auto"/>
        </w:rPr>
      </w:pPr>
      <w:r>
        <w:rPr>
          <w:rFonts w:ascii="Arial" w:cs="Arial" w:eastAsia="Arial" w:hAnsi="Arial"/>
          <w:sz w:val="22"/>
          <w:szCs w:val="22"/>
          <w:color w:val="auto"/>
        </w:rPr>
        <w:t>To establish one or more grantor trusts (as defined in Code Section 671 et seq.) to facilitate the payment of benefits under the Plan;</w:t>
      </w:r>
    </w:p>
    <w:p>
      <w:pPr>
        <w:spacing w:after="0" w:line="215" w:lineRule="exact"/>
        <w:rPr>
          <w:rFonts w:ascii="Arial" w:cs="Arial" w:eastAsia="Arial" w:hAnsi="Arial"/>
          <w:sz w:val="22"/>
          <w:szCs w:val="22"/>
          <w:color w:val="auto"/>
        </w:rPr>
      </w:pPr>
    </w:p>
    <w:p>
      <w:pPr>
        <w:ind w:left="1080" w:hanging="424"/>
        <w:spacing w:after="0"/>
        <w:tabs>
          <w:tab w:leader="none" w:pos="1080" w:val="left"/>
        </w:tabs>
        <w:numPr>
          <w:ilvl w:val="0"/>
          <w:numId w:val="106"/>
        </w:numPr>
        <w:rPr>
          <w:rFonts w:ascii="Arial" w:cs="Arial" w:eastAsia="Arial" w:hAnsi="Arial"/>
          <w:sz w:val="22"/>
          <w:szCs w:val="22"/>
          <w:color w:val="auto"/>
        </w:rPr>
      </w:pPr>
      <w:r>
        <w:rPr>
          <w:rFonts w:ascii="Arial" w:cs="Arial" w:eastAsia="Arial" w:hAnsi="Arial"/>
          <w:sz w:val="22"/>
          <w:szCs w:val="22"/>
          <w:color w:val="auto"/>
        </w:rPr>
        <w:t>To take any such other actions as it deems advisable to carry out the purposes of the Plan; and</w:t>
      </w:r>
    </w:p>
    <w:p>
      <w:pPr>
        <w:spacing w:after="0" w:line="260" w:lineRule="exact"/>
        <w:rPr>
          <w:rFonts w:ascii="Arial" w:cs="Arial" w:eastAsia="Arial" w:hAnsi="Arial"/>
          <w:sz w:val="22"/>
          <w:szCs w:val="22"/>
          <w:color w:val="auto"/>
        </w:rPr>
      </w:pPr>
    </w:p>
    <w:p>
      <w:pPr>
        <w:ind w:firstLine="656"/>
        <w:spacing w:after="0" w:line="263" w:lineRule="auto"/>
        <w:tabs>
          <w:tab w:leader="none" w:pos="1162" w:val="left"/>
        </w:tabs>
        <w:numPr>
          <w:ilvl w:val="0"/>
          <w:numId w:val="106"/>
        </w:numPr>
        <w:rPr>
          <w:rFonts w:ascii="Arial" w:cs="Arial" w:eastAsia="Arial" w:hAnsi="Arial"/>
          <w:sz w:val="22"/>
          <w:szCs w:val="22"/>
          <w:color w:val="auto"/>
        </w:rPr>
      </w:pPr>
      <w:r>
        <w:rPr>
          <w:rFonts w:ascii="Arial" w:cs="Arial" w:eastAsia="Arial" w:hAnsi="Arial"/>
          <w:sz w:val="22"/>
          <w:szCs w:val="22"/>
          <w:color w:val="auto"/>
        </w:rPr>
        <w:t>To delegate its authority to any officer, employee, committee or agent of the Company, as it deems advisable for the effective administration of the Plan.</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420"/>
          </w:cols>
          <w:pgMar w:left="240" w:top="847" w:right="239" w:bottom="1440" w:gutter="0" w:footer="0" w:header="0"/>
        </w:sectPr>
      </w:pPr>
    </w:p>
    <w:bookmarkStart w:id="103" w:name="page104"/>
    <w:bookmarkEnd w:id="103"/>
    <w:p>
      <w:pPr>
        <w:spacing w:after="0"/>
        <w:tabs>
          <w:tab w:leader="none" w:pos="480" w:val="left"/>
        </w:tabs>
        <w:rPr>
          <w:sz w:val="20"/>
          <w:szCs w:val="20"/>
          <w:color w:val="auto"/>
        </w:rPr>
      </w:pPr>
      <w:r>
        <w:rPr>
          <w:rFonts w:ascii="Arial" w:cs="Arial" w:eastAsia="Arial" w:hAnsi="Arial"/>
          <w:sz w:val="22"/>
          <w:szCs w:val="22"/>
          <w:color w:val="auto"/>
        </w:rPr>
        <w:t>8.3</w:t>
      </w:r>
      <w:r>
        <w:rPr>
          <w:sz w:val="20"/>
          <w:szCs w:val="20"/>
          <w:color w:val="auto"/>
        </w:rPr>
        <w:tab/>
      </w:r>
      <w:r>
        <w:rPr>
          <w:rFonts w:ascii="Arial" w:cs="Arial" w:eastAsia="Arial" w:hAnsi="Arial"/>
          <w:sz w:val="19"/>
          <w:szCs w:val="19"/>
          <w:u w:val="single" w:color="auto"/>
          <w:color w:val="auto"/>
        </w:rPr>
        <w:t>Administrative Committee</w:t>
      </w:r>
      <w:r>
        <w:rPr>
          <w:rFonts w:ascii="Arial" w:cs="Arial" w:eastAsia="Arial" w:hAnsi="Arial"/>
          <w:sz w:val="19"/>
          <w:szCs w:val="19"/>
          <w:color w:val="auto"/>
        </w:rPr>
        <w:t>.</w:t>
      </w:r>
    </w:p>
    <w:p>
      <w:pPr>
        <w:spacing w:after="0" w:line="260" w:lineRule="exact"/>
        <w:rPr>
          <w:sz w:val="20"/>
          <w:szCs w:val="20"/>
          <w:color w:val="auto"/>
        </w:rPr>
      </w:pPr>
    </w:p>
    <w:p>
      <w:pPr>
        <w:jc w:val="both"/>
        <w:ind w:left="80" w:firstLine="576"/>
        <w:spacing w:after="0" w:line="248" w:lineRule="auto"/>
        <w:tabs>
          <w:tab w:leader="none" w:pos="1279" w:val="left"/>
        </w:tabs>
        <w:numPr>
          <w:ilvl w:val="0"/>
          <w:numId w:val="107"/>
        </w:numPr>
        <w:rPr>
          <w:rFonts w:ascii="Arial" w:cs="Arial" w:eastAsia="Arial" w:hAnsi="Arial"/>
          <w:sz w:val="22"/>
          <w:szCs w:val="22"/>
          <w:color w:val="auto"/>
        </w:rPr>
      </w:pPr>
      <w:r>
        <w:rPr>
          <w:rFonts w:ascii="Arial" w:cs="Arial" w:eastAsia="Arial" w:hAnsi="Arial"/>
          <w:sz w:val="22"/>
          <w:szCs w:val="22"/>
          <w:u w:val="single" w:color="auto"/>
          <w:color w:val="auto"/>
        </w:rPr>
        <w:t>Role of Administrative Committee</w:t>
      </w:r>
      <w:r>
        <w:rPr>
          <w:rFonts w:ascii="Arial" w:cs="Arial" w:eastAsia="Arial" w:hAnsi="Arial"/>
          <w:sz w:val="22"/>
          <w:szCs w:val="22"/>
          <w:color w:val="auto"/>
        </w:rPr>
        <w:t>. The Company has appointed the Administrative Committee to act as Plan Administrator. All actions taken by the Administrative Committee, or by its delegate, as Plan Administrator will be conclusive and binding on all persons having any interest under the Plan, subject only to the provisions of Article IX. All findings, decisions and determinations of any kind made by the Administrative Committee or its delegate shall not be disturbed unless the Administrative Committee has acted in an arbitrary and capricious manner.</w:t>
      </w:r>
    </w:p>
    <w:p>
      <w:pPr>
        <w:spacing w:after="0" w:line="232" w:lineRule="exact"/>
        <w:rPr>
          <w:rFonts w:ascii="Arial" w:cs="Arial" w:eastAsia="Arial" w:hAnsi="Arial"/>
          <w:sz w:val="22"/>
          <w:szCs w:val="22"/>
          <w:color w:val="auto"/>
        </w:rPr>
      </w:pPr>
    </w:p>
    <w:p>
      <w:pPr>
        <w:ind w:left="1120" w:hanging="464"/>
        <w:spacing w:after="0"/>
        <w:tabs>
          <w:tab w:leader="none" w:pos="1120" w:val="left"/>
        </w:tabs>
        <w:numPr>
          <w:ilvl w:val="0"/>
          <w:numId w:val="107"/>
        </w:numPr>
        <w:rPr>
          <w:rFonts w:ascii="Arial" w:cs="Arial" w:eastAsia="Arial" w:hAnsi="Arial"/>
          <w:sz w:val="21"/>
          <w:szCs w:val="21"/>
          <w:color w:val="auto"/>
        </w:rPr>
      </w:pPr>
      <w:r>
        <w:rPr>
          <w:rFonts w:ascii="Arial" w:cs="Arial" w:eastAsia="Arial" w:hAnsi="Arial"/>
          <w:sz w:val="21"/>
          <w:szCs w:val="21"/>
          <w:u w:val="single" w:color="auto"/>
          <w:color w:val="auto"/>
        </w:rPr>
        <w:t>Powers and Authority</w:t>
      </w:r>
      <w:r>
        <w:rPr>
          <w:rFonts w:ascii="Arial" w:cs="Arial" w:eastAsia="Arial" w:hAnsi="Arial"/>
          <w:sz w:val="21"/>
          <w:szCs w:val="21"/>
          <w:color w:val="auto"/>
        </w:rPr>
        <w:t>. The Administrative Committee has the following powers and authority under the Plan:</w:t>
      </w:r>
    </w:p>
    <w:p>
      <w:pPr>
        <w:spacing w:after="0" w:line="271" w:lineRule="exact"/>
        <w:rPr>
          <w:rFonts w:ascii="Arial" w:cs="Arial" w:eastAsia="Arial" w:hAnsi="Arial"/>
          <w:sz w:val="21"/>
          <w:szCs w:val="21"/>
          <w:color w:val="auto"/>
        </w:rPr>
      </w:pPr>
    </w:p>
    <w:p>
      <w:pPr>
        <w:jc w:val="both"/>
        <w:ind w:left="660" w:firstLine="645"/>
        <w:spacing w:after="0" w:line="253" w:lineRule="auto"/>
        <w:tabs>
          <w:tab w:leader="none" w:pos="1792" w:val="left"/>
        </w:tabs>
        <w:numPr>
          <w:ilvl w:val="1"/>
          <w:numId w:val="107"/>
        </w:numPr>
        <w:rPr>
          <w:rFonts w:ascii="Arial" w:cs="Arial" w:eastAsia="Arial" w:hAnsi="Arial"/>
          <w:sz w:val="22"/>
          <w:szCs w:val="22"/>
          <w:color w:val="auto"/>
        </w:rPr>
      </w:pPr>
      <w:r>
        <w:rPr>
          <w:rFonts w:ascii="Arial" w:cs="Arial" w:eastAsia="Arial" w:hAnsi="Arial"/>
          <w:sz w:val="22"/>
          <w:szCs w:val="22"/>
          <w:color w:val="auto"/>
        </w:rPr>
        <w:t>In the exercise of its sole, absolute, and exclusive discretion, to construe and interpret the terms and provisions of the Plan, to remedy and resolve ambiguities, to grant or deny any and all non-routine claims for benefits and to determine all issues relating to eligibility for benefits;</w:t>
      </w:r>
    </w:p>
    <w:p>
      <w:pPr>
        <w:spacing w:after="0" w:line="226" w:lineRule="exact"/>
        <w:rPr>
          <w:rFonts w:ascii="Arial" w:cs="Arial" w:eastAsia="Arial" w:hAnsi="Arial"/>
          <w:sz w:val="22"/>
          <w:szCs w:val="22"/>
          <w:color w:val="auto"/>
        </w:rPr>
      </w:pPr>
    </w:p>
    <w:p>
      <w:pPr>
        <w:ind w:left="1760" w:hanging="455"/>
        <w:spacing w:after="0"/>
        <w:tabs>
          <w:tab w:leader="none" w:pos="1760" w:val="left"/>
        </w:tabs>
        <w:numPr>
          <w:ilvl w:val="1"/>
          <w:numId w:val="107"/>
        </w:numPr>
        <w:rPr>
          <w:rFonts w:ascii="Arial" w:cs="Arial" w:eastAsia="Arial" w:hAnsi="Arial"/>
          <w:sz w:val="22"/>
          <w:szCs w:val="22"/>
          <w:color w:val="auto"/>
        </w:rPr>
      </w:pPr>
      <w:r>
        <w:rPr>
          <w:rFonts w:ascii="Arial" w:cs="Arial" w:eastAsia="Arial" w:hAnsi="Arial"/>
          <w:sz w:val="22"/>
          <w:szCs w:val="22"/>
          <w:color w:val="auto"/>
        </w:rPr>
        <w:t>To authorize withdrawals due to unforeseeable financial emergency;</w:t>
      </w:r>
    </w:p>
    <w:p>
      <w:pPr>
        <w:spacing w:after="0" w:line="260" w:lineRule="exact"/>
        <w:rPr>
          <w:rFonts w:ascii="Arial" w:cs="Arial" w:eastAsia="Arial" w:hAnsi="Arial"/>
          <w:sz w:val="22"/>
          <w:szCs w:val="22"/>
          <w:color w:val="auto"/>
        </w:rPr>
      </w:pPr>
    </w:p>
    <w:p>
      <w:pPr>
        <w:ind w:left="1900" w:hanging="595"/>
        <w:spacing w:after="0"/>
        <w:tabs>
          <w:tab w:leader="none" w:pos="1900" w:val="left"/>
        </w:tabs>
        <w:numPr>
          <w:ilvl w:val="1"/>
          <w:numId w:val="107"/>
        </w:numPr>
        <w:rPr>
          <w:rFonts w:ascii="Arial" w:cs="Arial" w:eastAsia="Arial" w:hAnsi="Arial"/>
          <w:sz w:val="19"/>
          <w:szCs w:val="19"/>
          <w:color w:val="auto"/>
        </w:rPr>
      </w:pPr>
      <w:r>
        <w:rPr>
          <w:rFonts w:ascii="Arial" w:cs="Arial" w:eastAsia="Arial" w:hAnsi="Arial"/>
          <w:sz w:val="19"/>
          <w:szCs w:val="19"/>
          <w:color w:val="auto"/>
        </w:rPr>
        <w:t>To amend the Plan for legal, technical, administrative, or compliance purposes, as recommended by legal</w:t>
      </w:r>
    </w:p>
    <w:p>
      <w:pPr>
        <w:spacing w:after="0" w:line="56"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counsel;</w:t>
      </w:r>
    </w:p>
    <w:p>
      <w:pPr>
        <w:spacing w:after="0" w:line="242" w:lineRule="exact"/>
        <w:rPr>
          <w:rFonts w:ascii="Arial" w:cs="Arial" w:eastAsia="Arial" w:hAnsi="Arial"/>
          <w:sz w:val="19"/>
          <w:szCs w:val="19"/>
          <w:color w:val="auto"/>
        </w:rPr>
      </w:pPr>
    </w:p>
    <w:p>
      <w:pPr>
        <w:ind w:left="660" w:firstLine="645"/>
        <w:spacing w:after="0" w:line="263" w:lineRule="auto"/>
        <w:tabs>
          <w:tab w:leader="none" w:pos="1781" w:val="left"/>
        </w:tabs>
        <w:numPr>
          <w:ilvl w:val="1"/>
          <w:numId w:val="107"/>
        </w:numPr>
        <w:rPr>
          <w:rFonts w:ascii="Arial" w:cs="Arial" w:eastAsia="Arial" w:hAnsi="Arial"/>
          <w:sz w:val="22"/>
          <w:szCs w:val="22"/>
          <w:color w:val="auto"/>
        </w:rPr>
      </w:pPr>
      <w:r>
        <w:rPr>
          <w:rFonts w:ascii="Arial" w:cs="Arial" w:eastAsia="Arial" w:hAnsi="Arial"/>
          <w:sz w:val="22"/>
          <w:szCs w:val="22"/>
          <w:color w:val="auto"/>
        </w:rPr>
        <w:t>To retain and pay service providers whose services the Administrative Committee deems necessary to effective administration of the Plan;</w:t>
      </w:r>
    </w:p>
    <w:p>
      <w:pPr>
        <w:spacing w:after="0" w:line="215" w:lineRule="exact"/>
        <w:rPr>
          <w:rFonts w:ascii="Arial" w:cs="Arial" w:eastAsia="Arial" w:hAnsi="Arial"/>
          <w:sz w:val="22"/>
          <w:szCs w:val="22"/>
          <w:color w:val="auto"/>
        </w:rPr>
      </w:pPr>
    </w:p>
    <w:p>
      <w:pPr>
        <w:ind w:left="660" w:right="20" w:firstLine="645"/>
        <w:spacing w:after="0" w:line="263" w:lineRule="auto"/>
        <w:tabs>
          <w:tab w:leader="none" w:pos="1953" w:val="left"/>
        </w:tabs>
        <w:numPr>
          <w:ilvl w:val="1"/>
          <w:numId w:val="107"/>
        </w:numPr>
        <w:rPr>
          <w:rFonts w:ascii="Arial" w:cs="Arial" w:eastAsia="Arial" w:hAnsi="Arial"/>
          <w:sz w:val="22"/>
          <w:szCs w:val="22"/>
          <w:color w:val="auto"/>
        </w:rPr>
      </w:pPr>
      <w:r>
        <w:rPr>
          <w:rFonts w:ascii="Arial" w:cs="Arial" w:eastAsia="Arial" w:hAnsi="Arial"/>
          <w:sz w:val="22"/>
          <w:szCs w:val="22"/>
          <w:color w:val="auto"/>
        </w:rPr>
        <w:t>To implement, in the manner it deems appropriate, the investment policy guidelines established by the Compensation Committee; and</w:t>
      </w:r>
    </w:p>
    <w:p>
      <w:pPr>
        <w:spacing w:after="0" w:line="215" w:lineRule="exact"/>
        <w:rPr>
          <w:rFonts w:ascii="Arial" w:cs="Arial" w:eastAsia="Arial" w:hAnsi="Arial"/>
          <w:sz w:val="22"/>
          <w:szCs w:val="22"/>
          <w:color w:val="auto"/>
        </w:rPr>
      </w:pPr>
    </w:p>
    <w:p>
      <w:pPr>
        <w:jc w:val="both"/>
        <w:ind w:left="660" w:firstLine="645"/>
        <w:spacing w:after="0" w:line="253" w:lineRule="auto"/>
        <w:tabs>
          <w:tab w:leader="none" w:pos="1821" w:val="left"/>
        </w:tabs>
        <w:numPr>
          <w:ilvl w:val="1"/>
          <w:numId w:val="107"/>
        </w:numPr>
        <w:rPr>
          <w:rFonts w:ascii="Arial" w:cs="Arial" w:eastAsia="Arial" w:hAnsi="Arial"/>
          <w:sz w:val="22"/>
          <w:szCs w:val="22"/>
          <w:color w:val="auto"/>
        </w:rPr>
      </w:pPr>
      <w:r>
        <w:rPr>
          <w:rFonts w:ascii="Arial" w:cs="Arial" w:eastAsia="Arial" w:hAnsi="Arial"/>
          <w:sz w:val="22"/>
          <w:szCs w:val="22"/>
          <w:color w:val="auto"/>
        </w:rPr>
        <w:t>To delegate its authority to any officer, employee, committee or agent of the Company, as it deems advisable for the effective administration of the Plan, any such delegation to carry with it the full discretion and authority vested in the Administrative Committee.</w:t>
      </w:r>
    </w:p>
    <w:p>
      <w:pPr>
        <w:spacing w:after="0" w:line="239" w:lineRule="exact"/>
        <w:rPr>
          <w:rFonts w:ascii="Arial" w:cs="Arial" w:eastAsia="Arial" w:hAnsi="Arial"/>
          <w:sz w:val="22"/>
          <w:szCs w:val="22"/>
          <w:color w:val="auto"/>
        </w:rPr>
      </w:pPr>
    </w:p>
    <w:p>
      <w:pPr>
        <w:ind w:left="660" w:firstLine="645"/>
        <w:spacing w:after="0" w:line="302" w:lineRule="auto"/>
        <w:tabs>
          <w:tab w:leader="none" w:pos="1956" w:val="left"/>
        </w:tabs>
        <w:numPr>
          <w:ilvl w:val="1"/>
          <w:numId w:val="107"/>
        </w:numPr>
        <w:rPr>
          <w:rFonts w:ascii="Arial" w:cs="Arial" w:eastAsia="Arial" w:hAnsi="Arial"/>
          <w:sz w:val="22"/>
          <w:szCs w:val="22"/>
          <w:color w:val="auto"/>
        </w:rPr>
      </w:pPr>
      <w:r>
        <w:rPr>
          <w:rFonts w:ascii="Arial" w:cs="Arial" w:eastAsia="Arial" w:hAnsi="Arial"/>
          <w:sz w:val="22"/>
          <w:szCs w:val="22"/>
          <w:color w:val="auto"/>
        </w:rPr>
        <w:t>To adopt such administrative policies, procedures and protocols as it deems advisable for the effective administration of the Plan.</w:t>
      </w:r>
    </w:p>
    <w:p>
      <w:pPr>
        <w:spacing w:after="0" w:line="200" w:lineRule="exact"/>
        <w:rPr>
          <w:rFonts w:ascii="Arial" w:cs="Arial" w:eastAsia="Arial" w:hAnsi="Arial"/>
          <w:sz w:val="22"/>
          <w:szCs w:val="22"/>
          <w:color w:val="auto"/>
        </w:rPr>
      </w:pPr>
    </w:p>
    <w:p>
      <w:pPr>
        <w:spacing w:after="0" w:line="216" w:lineRule="exact"/>
        <w:rPr>
          <w:rFonts w:ascii="Arial" w:cs="Arial" w:eastAsia="Arial" w:hAnsi="Arial"/>
          <w:sz w:val="22"/>
          <w:szCs w:val="22"/>
          <w:color w:val="auto"/>
        </w:rPr>
      </w:pPr>
    </w:p>
    <w:p>
      <w:pPr>
        <w:jc w:val="both"/>
        <w:ind w:firstLine="656"/>
        <w:spacing w:after="0" w:line="253" w:lineRule="auto"/>
        <w:tabs>
          <w:tab w:leader="none" w:pos="1145" w:val="left"/>
        </w:tabs>
        <w:numPr>
          <w:ilvl w:val="0"/>
          <w:numId w:val="107"/>
        </w:numPr>
        <w:rPr>
          <w:rFonts w:ascii="Arial" w:cs="Arial" w:eastAsia="Arial" w:hAnsi="Arial"/>
          <w:sz w:val="22"/>
          <w:szCs w:val="22"/>
          <w:color w:val="auto"/>
        </w:rPr>
      </w:pPr>
      <w:r>
        <w:rPr>
          <w:rFonts w:ascii="Arial" w:cs="Arial" w:eastAsia="Arial" w:hAnsi="Arial"/>
          <w:sz w:val="22"/>
          <w:szCs w:val="22"/>
          <w:u w:val="single" w:color="auto"/>
          <w:color w:val="auto"/>
        </w:rPr>
        <w:t>Exercise of Authority</w:t>
      </w:r>
      <w:r>
        <w:rPr>
          <w:rFonts w:ascii="Arial" w:cs="Arial" w:eastAsia="Arial" w:hAnsi="Arial"/>
          <w:sz w:val="22"/>
          <w:szCs w:val="22"/>
          <w:color w:val="auto"/>
        </w:rPr>
        <w:t>. All resolutions or other actions taken by the Administrative Committee shall be either: (1) by vote of a majority of those present at a meeting at which a majority of the members are present; or (2) in writing by a majority of all the members at the time in office if they act without a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420"/>
          </w:cols>
          <w:pgMar w:left="240" w:top="1104" w:right="239" w:bottom="1440" w:gutter="0" w:footer="0" w:header="0"/>
        </w:sectPr>
      </w:pPr>
    </w:p>
    <w:bookmarkStart w:id="104" w:name="page105"/>
    <w:bookmarkEnd w:id="104"/>
    <w:p>
      <w:pPr>
        <w:spacing w:after="0" w:line="343" w:lineRule="auto"/>
        <w:rPr>
          <w:sz w:val="20"/>
          <w:szCs w:val="20"/>
          <w:color w:val="auto"/>
        </w:rPr>
      </w:pPr>
      <w:r>
        <w:rPr>
          <w:rFonts w:ascii="Arial" w:cs="Arial" w:eastAsia="Arial" w:hAnsi="Arial"/>
          <w:sz w:val="19"/>
          <w:szCs w:val="19"/>
          <w:color w:val="auto"/>
        </w:rPr>
        <w:t xml:space="preserve">8.4 </w:t>
      </w:r>
      <w:r>
        <w:rPr>
          <w:rFonts w:ascii="Arial" w:cs="Arial" w:eastAsia="Arial" w:hAnsi="Arial"/>
          <w:sz w:val="19"/>
          <w:szCs w:val="19"/>
          <w:u w:val="single" w:color="auto"/>
          <w:color w:val="auto"/>
        </w:rPr>
        <w:t>Powers and Authority of Leadership Benefits</w:t>
      </w:r>
      <w:r>
        <w:rPr>
          <w:rFonts w:ascii="Arial" w:cs="Arial" w:eastAsia="Arial" w:hAnsi="Arial"/>
          <w:sz w:val="19"/>
          <w:szCs w:val="19"/>
          <w:color w:val="auto"/>
        </w:rPr>
        <w:t>. Leadership Benefits, or any other person(s), committee(s), department or group appointed by the Company’s Chief Human Resources Officer, has the following powers and authority under the Plan:</w:t>
      </w:r>
    </w:p>
    <w:p>
      <w:pPr>
        <w:spacing w:after="0" w:line="145" w:lineRule="exact"/>
        <w:rPr>
          <w:sz w:val="20"/>
          <w:szCs w:val="20"/>
          <w:color w:val="auto"/>
        </w:rPr>
      </w:pPr>
    </w:p>
    <w:p>
      <w:pPr>
        <w:jc w:val="both"/>
        <w:ind w:left="80" w:firstLine="576"/>
        <w:spacing w:after="0" w:line="250" w:lineRule="auto"/>
        <w:tabs>
          <w:tab w:leader="none" w:pos="1178" w:val="left"/>
        </w:tabs>
        <w:numPr>
          <w:ilvl w:val="0"/>
          <w:numId w:val="108"/>
        </w:numPr>
        <w:rPr>
          <w:rFonts w:ascii="Arial" w:cs="Arial" w:eastAsia="Arial" w:hAnsi="Arial"/>
          <w:sz w:val="22"/>
          <w:szCs w:val="22"/>
          <w:color w:val="auto"/>
        </w:rPr>
      </w:pPr>
      <w:r>
        <w:rPr>
          <w:rFonts w:ascii="Arial" w:cs="Arial" w:eastAsia="Arial" w:hAnsi="Arial"/>
          <w:sz w:val="22"/>
          <w:szCs w:val="22"/>
          <w:color w:val="auto"/>
        </w:rPr>
        <w:t>To carry out day-to-day administration of the Plan, including notifying Eligible Employees of the provisions of the Plan, approving and processing Deferral Agreements, providing Participants with statements of Account, approving and processing changes in the time and/or form of distributions, and forwarding non-routine distribution requests to the Administrative Committee;</w:t>
      </w:r>
    </w:p>
    <w:p>
      <w:pPr>
        <w:spacing w:after="0" w:line="228" w:lineRule="exact"/>
        <w:rPr>
          <w:rFonts w:ascii="Arial" w:cs="Arial" w:eastAsia="Arial" w:hAnsi="Arial"/>
          <w:sz w:val="22"/>
          <w:szCs w:val="22"/>
          <w:color w:val="auto"/>
        </w:rPr>
      </w:pPr>
    </w:p>
    <w:p>
      <w:pPr>
        <w:jc w:val="both"/>
        <w:ind w:right="20" w:firstLine="656"/>
        <w:spacing w:after="0" w:line="343" w:lineRule="auto"/>
        <w:tabs>
          <w:tab w:leader="none" w:pos="1127" w:val="left"/>
        </w:tabs>
        <w:numPr>
          <w:ilvl w:val="0"/>
          <w:numId w:val="108"/>
        </w:numPr>
        <w:rPr>
          <w:rFonts w:ascii="Arial" w:cs="Arial" w:eastAsia="Arial" w:hAnsi="Arial"/>
          <w:sz w:val="19"/>
          <w:szCs w:val="19"/>
          <w:color w:val="auto"/>
        </w:rPr>
      </w:pPr>
      <w:r>
        <w:rPr>
          <w:rFonts w:ascii="Arial" w:cs="Arial" w:eastAsia="Arial" w:hAnsi="Arial"/>
          <w:sz w:val="19"/>
          <w:szCs w:val="19"/>
          <w:color w:val="auto"/>
        </w:rPr>
        <w:t>To prepare forms necessary for the administration of the Plan, including Deferral Agreements, beneficiary designation forms, investment designation forms, and any other form or document deemed necessary to the effective administration of the Plan;</w:t>
      </w:r>
    </w:p>
    <w:p>
      <w:pPr>
        <w:spacing w:after="0" w:line="145" w:lineRule="exact"/>
        <w:rPr>
          <w:rFonts w:ascii="Arial" w:cs="Arial" w:eastAsia="Arial" w:hAnsi="Arial"/>
          <w:sz w:val="19"/>
          <w:szCs w:val="19"/>
          <w:color w:val="auto"/>
        </w:rPr>
      </w:pPr>
    </w:p>
    <w:p>
      <w:pPr>
        <w:ind w:firstLine="656"/>
        <w:spacing w:after="0" w:line="263" w:lineRule="auto"/>
        <w:tabs>
          <w:tab w:leader="none" w:pos="1226" w:val="left"/>
        </w:tabs>
        <w:numPr>
          <w:ilvl w:val="0"/>
          <w:numId w:val="108"/>
        </w:numPr>
        <w:rPr>
          <w:rFonts w:ascii="Arial" w:cs="Arial" w:eastAsia="Arial" w:hAnsi="Arial"/>
          <w:sz w:val="22"/>
          <w:szCs w:val="22"/>
          <w:color w:val="auto"/>
        </w:rPr>
      </w:pPr>
      <w:r>
        <w:rPr>
          <w:rFonts w:ascii="Arial" w:cs="Arial" w:eastAsia="Arial" w:hAnsi="Arial"/>
          <w:sz w:val="22"/>
          <w:szCs w:val="22"/>
          <w:color w:val="auto"/>
        </w:rPr>
        <w:t>To approve and adopt communications to be furnished to Eligible Employees explaining the material provisions, terms, and conditions of the Plan;</w:t>
      </w:r>
    </w:p>
    <w:p>
      <w:pPr>
        <w:spacing w:after="0" w:line="215" w:lineRule="exact"/>
        <w:rPr>
          <w:rFonts w:ascii="Arial" w:cs="Arial" w:eastAsia="Arial" w:hAnsi="Arial"/>
          <w:sz w:val="22"/>
          <w:szCs w:val="22"/>
          <w:color w:val="auto"/>
        </w:rPr>
      </w:pPr>
    </w:p>
    <w:p>
      <w:pPr>
        <w:ind w:firstLine="656"/>
        <w:spacing w:after="0" w:line="263" w:lineRule="auto"/>
        <w:tabs>
          <w:tab w:leader="none" w:pos="141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To process routine distributions and to process non-routine distributions that have been approved by the Administrative Committee;</w:t>
      </w:r>
    </w:p>
    <w:p>
      <w:pPr>
        <w:spacing w:after="0" w:line="215" w:lineRule="exact"/>
        <w:rPr>
          <w:rFonts w:ascii="Arial" w:cs="Arial" w:eastAsia="Arial" w:hAnsi="Arial"/>
          <w:sz w:val="22"/>
          <w:szCs w:val="22"/>
          <w:color w:val="auto"/>
        </w:rPr>
      </w:pPr>
    </w:p>
    <w:p>
      <w:pPr>
        <w:ind w:left="1180" w:hanging="524"/>
        <w:spacing w:after="0"/>
        <w:tabs>
          <w:tab w:leader="none" w:pos="1180" w:val="left"/>
        </w:tabs>
        <w:numPr>
          <w:ilvl w:val="0"/>
          <w:numId w:val="108"/>
        </w:numPr>
        <w:rPr>
          <w:rFonts w:ascii="Arial" w:cs="Arial" w:eastAsia="Arial" w:hAnsi="Arial"/>
          <w:sz w:val="19"/>
          <w:szCs w:val="19"/>
          <w:color w:val="auto"/>
        </w:rPr>
      </w:pPr>
      <w:r>
        <w:rPr>
          <w:rFonts w:ascii="Arial" w:cs="Arial" w:eastAsia="Arial" w:hAnsi="Arial"/>
          <w:sz w:val="19"/>
          <w:szCs w:val="19"/>
          <w:color w:val="auto"/>
        </w:rPr>
        <w:t>To negotiate and document agreements with Plan service providers, subject to final approval by the Administrative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Committee;</w:t>
      </w:r>
    </w:p>
    <w:p>
      <w:pPr>
        <w:spacing w:after="0" w:line="242" w:lineRule="exact"/>
        <w:rPr>
          <w:rFonts w:ascii="Arial" w:cs="Arial" w:eastAsia="Arial" w:hAnsi="Arial"/>
          <w:sz w:val="19"/>
          <w:szCs w:val="19"/>
          <w:color w:val="auto"/>
        </w:rPr>
      </w:pPr>
    </w:p>
    <w:p>
      <w:pPr>
        <w:ind w:left="1080" w:hanging="424"/>
        <w:spacing w:after="0"/>
        <w:tabs>
          <w:tab w:leader="none" w:pos="108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To implement any policies or procedures approved by the Company or the Administrative Committee;</w:t>
      </w:r>
    </w:p>
    <w:p>
      <w:pPr>
        <w:spacing w:after="0" w:line="260" w:lineRule="exact"/>
        <w:rPr>
          <w:rFonts w:ascii="Arial" w:cs="Arial" w:eastAsia="Arial" w:hAnsi="Arial"/>
          <w:sz w:val="22"/>
          <w:szCs w:val="22"/>
          <w:color w:val="auto"/>
        </w:rPr>
      </w:pPr>
    </w:p>
    <w:p>
      <w:pPr>
        <w:ind w:left="1120" w:hanging="464"/>
        <w:spacing w:after="0"/>
        <w:tabs>
          <w:tab w:leader="none" w:pos="112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To recommend amendments to the Plan for adoption by the Company or the Administrative Committee;</w:t>
      </w:r>
    </w:p>
    <w:p>
      <w:pPr>
        <w:spacing w:after="0" w:line="260" w:lineRule="exact"/>
        <w:rPr>
          <w:rFonts w:ascii="Arial" w:cs="Arial" w:eastAsia="Arial" w:hAnsi="Arial"/>
          <w:sz w:val="22"/>
          <w:szCs w:val="22"/>
          <w:color w:val="auto"/>
        </w:rPr>
      </w:pPr>
    </w:p>
    <w:p>
      <w:pPr>
        <w:ind w:left="1120" w:hanging="464"/>
        <w:spacing w:after="0"/>
        <w:tabs>
          <w:tab w:leader="none" w:pos="112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To work with Plan service providers to ensure the effective administration of the Plan; and</w:t>
      </w:r>
    </w:p>
    <w:p>
      <w:pPr>
        <w:spacing w:after="0" w:line="260" w:lineRule="exact"/>
        <w:rPr>
          <w:rFonts w:ascii="Arial" w:cs="Arial" w:eastAsia="Arial" w:hAnsi="Arial"/>
          <w:sz w:val="22"/>
          <w:szCs w:val="22"/>
          <w:color w:val="auto"/>
        </w:rPr>
      </w:pPr>
    </w:p>
    <w:p>
      <w:pPr>
        <w:ind w:left="1080" w:hanging="424"/>
        <w:spacing w:after="0"/>
        <w:tabs>
          <w:tab w:leader="none" w:pos="1080" w:val="left"/>
        </w:tabs>
        <w:numPr>
          <w:ilvl w:val="0"/>
          <w:numId w:val="108"/>
        </w:numPr>
        <w:rPr>
          <w:rFonts w:ascii="Arial" w:cs="Arial" w:eastAsia="Arial" w:hAnsi="Arial"/>
          <w:sz w:val="19"/>
          <w:szCs w:val="19"/>
          <w:color w:val="auto"/>
        </w:rPr>
      </w:pPr>
      <w:r>
        <w:rPr>
          <w:rFonts w:ascii="Arial" w:cs="Arial" w:eastAsia="Arial" w:hAnsi="Arial"/>
          <w:sz w:val="19"/>
          <w:szCs w:val="19"/>
          <w:color w:val="auto"/>
        </w:rPr>
        <w:t>To perform any and all tasks, duties, and responsibilities delegated by the Company or the Administrative Committee.</w:t>
      </w:r>
    </w:p>
    <w:p>
      <w:pPr>
        <w:spacing w:after="0" w:line="29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 xml:space="preserve">8.5 </w:t>
      </w:r>
      <w:r>
        <w:rPr>
          <w:rFonts w:ascii="Arial" w:cs="Arial" w:eastAsia="Arial" w:hAnsi="Arial"/>
          <w:sz w:val="22"/>
          <w:szCs w:val="22"/>
          <w:u w:val="single" w:color="auto"/>
          <w:color w:val="auto"/>
        </w:rPr>
        <w:t>Reliance on Opinions</w:t>
      </w:r>
      <w:r>
        <w:rPr>
          <w:rFonts w:ascii="Arial" w:cs="Arial" w:eastAsia="Arial" w:hAnsi="Arial"/>
          <w:sz w:val="22"/>
          <w:szCs w:val="22"/>
          <w:color w:val="auto"/>
        </w:rPr>
        <w:t>. Each person or entity authorized to act under this Plan shall be entitled to rely on all certificates and reports made by any duly appointed accountants, and on all opinions given by any duly appointed legal counsel, including legal counsel for the Company.</w:t>
      </w:r>
    </w:p>
    <w:p>
      <w:pPr>
        <w:spacing w:after="0" w:line="22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 xml:space="preserve">8.6 </w:t>
      </w:r>
      <w:r>
        <w:rPr>
          <w:rFonts w:ascii="Arial" w:cs="Arial" w:eastAsia="Arial" w:hAnsi="Arial"/>
          <w:sz w:val="22"/>
          <w:szCs w:val="22"/>
          <w:u w:val="single" w:color="auto"/>
          <w:color w:val="auto"/>
        </w:rPr>
        <w:t>Information</w:t>
      </w:r>
      <w:r>
        <w:rPr>
          <w:rFonts w:ascii="Arial" w:cs="Arial" w:eastAsia="Arial" w:hAnsi="Arial"/>
          <w:sz w:val="22"/>
          <w:szCs w:val="22"/>
          <w:color w:val="auto"/>
        </w:rPr>
        <w:t>. The Company shall supply full and timely information on all matters relating to the compensation of Participants, the date and circumstances of the termination of employment or death of a Participant and such other pertinent information as may be necessary for the effective administration of the Plan.</w:t>
      </w:r>
    </w:p>
    <w:p>
      <w:pPr>
        <w:spacing w:after="0" w:line="22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 xml:space="preserve">8.7 </w:t>
      </w:r>
      <w:r>
        <w:rPr>
          <w:rFonts w:ascii="Arial" w:cs="Arial" w:eastAsia="Arial" w:hAnsi="Arial"/>
          <w:sz w:val="22"/>
          <w:szCs w:val="22"/>
          <w:u w:val="single" w:color="auto"/>
          <w:color w:val="auto"/>
        </w:rPr>
        <w:t>Indemnification</w:t>
      </w:r>
      <w:r>
        <w:rPr>
          <w:rFonts w:ascii="Arial" w:cs="Arial" w:eastAsia="Arial" w:hAnsi="Arial"/>
          <w:sz w:val="22"/>
          <w:szCs w:val="22"/>
          <w:color w:val="auto"/>
        </w:rPr>
        <w:t>. The Company shall indemnify and hold harmless each Administrative Committee or Board member, and each Company employee performing services or acting in any</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420"/>
          </w:cols>
          <w:pgMar w:left="240" w:top="847" w:right="239" w:bottom="1440" w:gutter="0" w:footer="0" w:header="0"/>
        </w:sectPr>
      </w:pPr>
    </w:p>
    <w:bookmarkStart w:id="105" w:name="page106"/>
    <w:bookmarkEnd w:id="105"/>
    <w:p>
      <w:pPr>
        <w:jc w:val="both"/>
        <w:spacing w:after="0" w:line="246" w:lineRule="auto"/>
        <w:rPr>
          <w:sz w:val="20"/>
          <w:szCs w:val="20"/>
          <w:color w:val="auto"/>
        </w:rPr>
      </w:pPr>
      <w:r>
        <w:rPr>
          <w:rFonts w:ascii="Arial" w:cs="Arial" w:eastAsia="Arial" w:hAnsi="Arial"/>
          <w:sz w:val="22"/>
          <w:szCs w:val="22"/>
          <w:color w:val="auto"/>
        </w:rPr>
        <w:t>capacity with respect to the Plan, from and against any and all expenses and liabilities arising in connection with services performed in regard to this Plan. Expenses against which such individual shall be indemnified hereunder shall include, without limitation, the amount of any settlement or judgment, costs, counsel fees and related charges reasonably incurred in connection with a claim asserted, or a proceeding brought or settlement thereof. The foregoing right of indemnification shall be in addition to any other rights to which any such individual may be entitled as a matter of law or other agreement. However, the right to indemnification does not apply where an expense or liability is incurred due to an individual’s fraudulent or intentionally dishonest acts.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IX</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CLAIMS PROCEDURE</w:t>
      </w:r>
    </w:p>
    <w:p>
      <w:pPr>
        <w:spacing w:after="0" w:line="24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9.1 </w:t>
      </w:r>
      <w:r>
        <w:rPr>
          <w:rFonts w:ascii="Arial" w:cs="Arial" w:eastAsia="Arial" w:hAnsi="Arial"/>
          <w:sz w:val="22"/>
          <w:szCs w:val="22"/>
          <w:u w:val="single" w:color="auto"/>
          <w:color w:val="auto"/>
        </w:rPr>
        <w:t>Submission of Claim</w:t>
      </w:r>
      <w:r>
        <w:rPr>
          <w:rFonts w:ascii="Arial" w:cs="Arial" w:eastAsia="Arial" w:hAnsi="Arial"/>
          <w:sz w:val="22"/>
          <w:szCs w:val="22"/>
          <w:color w:val="auto"/>
        </w:rPr>
        <w:t>. Benefits shall be paid in accordance with the provisions of this Plan. The Participant, or any person claiming through the Participant (“Claiming Party”), shall make a written request for benefits under this Plan, mailed or delivered to Leadership Benefits. If the claim cannot be processed as a routine payment of benefits, Leadership Benefits will forward the claim to the Administrative Committee for review.</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 xml:space="preserve">9.2 </w:t>
      </w:r>
      <w:r>
        <w:rPr>
          <w:rFonts w:ascii="Arial" w:cs="Arial" w:eastAsia="Arial" w:hAnsi="Arial"/>
          <w:sz w:val="19"/>
          <w:szCs w:val="19"/>
          <w:u w:val="single" w:color="auto"/>
          <w:color w:val="auto"/>
        </w:rPr>
        <w:t>Denial of Claim</w:t>
      </w:r>
      <w:r>
        <w:rPr>
          <w:rFonts w:ascii="Arial" w:cs="Arial" w:eastAsia="Arial" w:hAnsi="Arial"/>
          <w:sz w:val="19"/>
          <w:szCs w:val="19"/>
          <w:color w:val="auto"/>
        </w:rPr>
        <w:t>. If a claim for payment of benefits is denied in full or in part, the Administrative Committee or its delegate shall provide a written notice to the Claiming Party within ninety days after receipt of the claim setting forth: (a) the specific reasons for denial; (b) any additional material or information necessary to perfect the claim; (c) an explanation of why such material or information is necessary; and (d) an explanation of the steps to be taken for a review of the denial. A claim shall be deemed denied if the Administrative Committee or its delegate does not take any action within the aforesaid ninety day period.</w:t>
      </w:r>
    </w:p>
    <w:p>
      <w:pPr>
        <w:spacing w:after="0" w:line="188"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 xml:space="preserve">9.3 </w:t>
      </w:r>
      <w:r>
        <w:rPr>
          <w:rFonts w:ascii="Arial" w:cs="Arial" w:eastAsia="Arial" w:hAnsi="Arial"/>
          <w:sz w:val="22"/>
          <w:szCs w:val="22"/>
          <w:u w:val="single" w:color="auto"/>
          <w:color w:val="auto"/>
        </w:rPr>
        <w:t>Review of Denied Claim</w:t>
      </w:r>
      <w:r>
        <w:rPr>
          <w:rFonts w:ascii="Arial" w:cs="Arial" w:eastAsia="Arial" w:hAnsi="Arial"/>
          <w:sz w:val="22"/>
          <w:szCs w:val="22"/>
          <w:color w:val="auto"/>
        </w:rPr>
        <w:t>. If the Claiming Party desires Administrative Committee review of a denied claim, the Claiming Party shall notify the Administrative Committee or its delegate in writing within sixty days after receipt of the written notice of denial. As part of such written request, the Claiming Party may request a review of the Plan document or other pertinent documents, may submit any written issues and comments, and may request an extension of time for such written submission of issues and comments.</w:t>
      </w:r>
    </w:p>
    <w:p>
      <w:pPr>
        <w:spacing w:after="0" w:line="233"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 xml:space="preserve">9.4 </w:t>
      </w:r>
      <w:r>
        <w:rPr>
          <w:rFonts w:ascii="Arial" w:cs="Arial" w:eastAsia="Arial" w:hAnsi="Arial"/>
          <w:sz w:val="22"/>
          <w:szCs w:val="22"/>
          <w:u w:val="single" w:color="auto"/>
          <w:color w:val="auto"/>
        </w:rPr>
        <w:t>Decision upon Review of Denied Claim</w:t>
      </w:r>
      <w:r>
        <w:rPr>
          <w:rFonts w:ascii="Arial" w:cs="Arial" w:eastAsia="Arial" w:hAnsi="Arial"/>
          <w:sz w:val="22"/>
          <w:szCs w:val="22"/>
          <w:color w:val="auto"/>
        </w:rPr>
        <w:t>. The decision on the review of the denied claim shall be rendered by the Administrative Committee within sixty days after receipt of the request for review. The Administrative Committee may extend this period for up to sixty additional days with advance notice to the Claiming Party, an explanation of why the extension is necessary, and an estimated date of decision. The decision shall be in writing and shall state the specific reasons for the decision, including reference to specific provisions of the Plan on which the decision is based.</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X</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AMENDMENT AND TERMINATION</w:t>
      </w:r>
    </w:p>
    <w:p>
      <w:pPr>
        <w:spacing w:after="0" w:line="242"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 Plan may be amended or terminated at any time for any reason. Such amendment or termination may modify or eliminate any benefit hereunder, provided that no such amendment or termination</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420"/>
          </w:cols>
          <w:pgMar w:left="240" w:top="847" w:right="239" w:bottom="1440" w:gutter="0" w:footer="0" w:header="0"/>
        </w:sectPr>
      </w:pPr>
    </w:p>
    <w:bookmarkStart w:id="106" w:name="page107"/>
    <w:bookmarkEnd w:id="106"/>
    <w:p>
      <w:pPr>
        <w:jc w:val="both"/>
        <w:spacing w:after="0" w:line="251" w:lineRule="auto"/>
        <w:rPr>
          <w:sz w:val="20"/>
          <w:szCs w:val="20"/>
          <w:color w:val="auto"/>
        </w:rPr>
      </w:pPr>
      <w:r>
        <w:rPr>
          <w:rFonts w:ascii="Arial" w:cs="Arial" w:eastAsia="Arial" w:hAnsi="Arial"/>
          <w:sz w:val="22"/>
          <w:szCs w:val="22"/>
          <w:color w:val="auto"/>
        </w:rPr>
        <w:t>shall in any way reduce the vested portion of the affected Participants’ or Beneficiaries’ Accounts. To be effective, an amendment must be in writing and must be signed</w:t>
      </w:r>
    </w:p>
    <w:p>
      <w:pPr>
        <w:spacing w:after="0" w:line="2" w:lineRule="exact"/>
        <w:rPr>
          <w:sz w:val="20"/>
          <w:szCs w:val="20"/>
          <w:color w:val="auto"/>
        </w:rPr>
      </w:pPr>
    </w:p>
    <w:p>
      <w:pPr>
        <w:jc w:val="both"/>
        <w:spacing w:after="0" w:line="255" w:lineRule="auto"/>
        <w:rPr>
          <w:sz w:val="20"/>
          <w:szCs w:val="20"/>
          <w:color w:val="auto"/>
        </w:rPr>
      </w:pPr>
      <w:r>
        <w:rPr>
          <w:rFonts w:ascii="Arial" w:cs="Arial" w:eastAsia="Arial" w:hAnsi="Arial"/>
          <w:sz w:val="21"/>
          <w:szCs w:val="21"/>
          <w:color w:val="auto"/>
        </w:rPr>
        <w:t>by a person who has amendment authority under the terms of the Plan. Oral amendments or modifications to the Plan, and any written amendments that are not signed by an authorized person, are not valid or binding on the Company or any other person. Upon termination of the Plan, the Board of Directors may elect to accelerate distribution of Participant Accounts, but only if the accelerated distribution would not result in additional tax to the Participant under Code Section 409A.</w:t>
      </w:r>
    </w:p>
    <w:p>
      <w:pPr>
        <w:jc w:val="center"/>
        <w:spacing w:after="0"/>
        <w:rPr>
          <w:sz w:val="20"/>
          <w:szCs w:val="20"/>
          <w:color w:val="auto"/>
        </w:rPr>
      </w:pPr>
      <w:r>
        <w:rPr>
          <w:rFonts w:ascii="Arial" w:cs="Arial" w:eastAsia="Arial" w:hAnsi="Arial"/>
          <w:sz w:val="22"/>
          <w:szCs w:val="22"/>
          <w:color w:val="auto"/>
        </w:rPr>
        <w:t>ARTICLE XI</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MISCELLANEOUS</w:t>
      </w:r>
    </w:p>
    <w:p>
      <w:pPr>
        <w:spacing w:after="0" w:line="24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11.1 </w:t>
      </w:r>
      <w:r>
        <w:rPr>
          <w:rFonts w:ascii="Arial" w:cs="Arial" w:eastAsia="Arial" w:hAnsi="Arial"/>
          <w:sz w:val="22"/>
          <w:szCs w:val="22"/>
          <w:u w:val="single" w:color="auto"/>
          <w:color w:val="auto"/>
        </w:rPr>
        <w:t>No Employment Contract</w:t>
      </w:r>
      <w:r>
        <w:rPr>
          <w:rFonts w:ascii="Arial" w:cs="Arial" w:eastAsia="Arial" w:hAnsi="Arial"/>
          <w:sz w:val="22"/>
          <w:szCs w:val="22"/>
          <w:color w:val="auto"/>
        </w:rPr>
        <w:t>. The terms and conditions of the Plan shall not be deemed to constitute a contract of employment between the Company and an employee. Nothing in this Plan shall be deemed to give an Eligible Employee the right to be retained in the service of the Company, its subsidiaries or affiliates or to interfere with any right of the Company, its subsidiaries or affiliates to discipline or discharge the Eligible Employee at any time.</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 xml:space="preserve">11.2 </w:t>
      </w:r>
      <w:r>
        <w:rPr>
          <w:rFonts w:ascii="Arial" w:cs="Arial" w:eastAsia="Arial" w:hAnsi="Arial"/>
          <w:sz w:val="21"/>
          <w:szCs w:val="21"/>
          <w:u w:val="single" w:color="auto"/>
          <w:color w:val="auto"/>
        </w:rPr>
        <w:t>Employee Cooperation</w:t>
      </w:r>
      <w:r>
        <w:rPr>
          <w:rFonts w:ascii="Arial" w:cs="Arial" w:eastAsia="Arial" w:hAnsi="Arial"/>
          <w:sz w:val="21"/>
          <w:szCs w:val="21"/>
          <w:color w:val="auto"/>
        </w:rPr>
        <w:t>. As a condition to participation in the Plan, an Eligible Employee must cooperate with the Company by furnishing any and all information reasonably requested by any of the Company, its subsidiaries or affiliates, and take such other actions as may be requested to facilitate Plan administration and the payment of benefits hereunder.</w:t>
      </w:r>
    </w:p>
    <w:p>
      <w:pPr>
        <w:spacing w:after="0" w:line="20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 xml:space="preserve">11.3 </w:t>
      </w:r>
      <w:r>
        <w:rPr>
          <w:rFonts w:ascii="Arial" w:cs="Arial" w:eastAsia="Arial" w:hAnsi="Arial"/>
          <w:sz w:val="22"/>
          <w:szCs w:val="22"/>
          <w:u w:val="single" w:color="auto"/>
          <w:color w:val="auto"/>
        </w:rPr>
        <w:t>Illegality and Invalidity</w:t>
      </w:r>
      <w:r>
        <w:rPr>
          <w:rFonts w:ascii="Arial" w:cs="Arial" w:eastAsia="Arial" w:hAnsi="Arial"/>
          <w:sz w:val="22"/>
          <w:szCs w:val="22"/>
          <w:color w:val="auto"/>
        </w:rPr>
        <w:t>. If any provision of this Plan is found illegal or invalid, said illegality or invalidity shall not affect the remaining parts hereof, but the Plan shall be construed and enforced as if such illegal and invalid provision had not been included herein.</w:t>
      </w:r>
    </w:p>
    <w:p>
      <w:pPr>
        <w:spacing w:after="0" w:line="226" w:lineRule="exact"/>
        <w:rPr>
          <w:sz w:val="20"/>
          <w:szCs w:val="20"/>
          <w:color w:val="auto"/>
        </w:rPr>
      </w:pPr>
    </w:p>
    <w:p>
      <w:pPr>
        <w:jc w:val="both"/>
        <w:spacing w:after="0" w:line="259" w:lineRule="exact"/>
        <w:rPr>
          <w:sz w:val="20"/>
          <w:szCs w:val="20"/>
          <w:color w:val="auto"/>
        </w:rPr>
      </w:pPr>
      <w:r>
        <w:rPr>
          <w:rFonts w:ascii="Arial" w:cs="Arial" w:eastAsia="Arial" w:hAnsi="Arial"/>
          <w:sz w:val="19"/>
          <w:szCs w:val="19"/>
          <w:color w:val="auto"/>
        </w:rPr>
        <w:t xml:space="preserve">11.4 </w:t>
      </w:r>
      <w:r>
        <w:rPr>
          <w:rFonts w:ascii="Arial" w:cs="Arial" w:eastAsia="Arial" w:hAnsi="Arial"/>
          <w:sz w:val="19"/>
          <w:szCs w:val="19"/>
          <w:u w:val="single" w:color="auto"/>
          <w:color w:val="auto"/>
        </w:rPr>
        <w:t>Required Notice</w:t>
      </w:r>
      <w:r>
        <w:rPr>
          <w:rFonts w:ascii="Arial" w:cs="Arial" w:eastAsia="Arial" w:hAnsi="Arial"/>
          <w:sz w:val="19"/>
          <w:szCs w:val="19"/>
          <w:color w:val="auto"/>
        </w:rPr>
        <w:t>. Any notice which shall be or may be given under the Plan or a Deferral Agreement shall be in writing and shall be mailed by United States mail, postage prepaid, or in such other manner as the Company determines is appropriate. If notice is to be given to the Company, such notice shall be addressed to the Company c/o Leadership Benefits Department, at 1700 Seventh Avenue, Suite 1000, Seattle Washington 98101-4407. The appeal from a denied claim must be in writing and sent physically by mail or courier to Leadership Benefits. If notice is to be given to a Participant, such notice shall be addressed to the last known address, either geographic or electronic, in the Company’s Human Resources records. Any notice or filing required or permitted to be given to a Participant under this Plan shall be sufficient if in writing and hand</w:t>
      </w:r>
      <w:r>
        <w:rPr>
          <w:rFonts w:ascii="MS PGothic" w:cs="MS PGothic" w:eastAsia="MS PGothic" w:hAnsi="MS PGothic"/>
          <w:sz w:val="19"/>
          <w:szCs w:val="19"/>
          <w:color w:val="auto"/>
        </w:rPr>
        <w:t>‑</w:t>
      </w:r>
      <w:r>
        <w:rPr>
          <w:rFonts w:ascii="Arial" w:cs="Arial" w:eastAsia="Arial" w:hAnsi="Arial"/>
          <w:sz w:val="19"/>
          <w:szCs w:val="19"/>
          <w:color w:val="auto"/>
        </w:rPr>
        <w:t>delivered, or sent by mail (either physical or electronic), to the last known address of the Participant. Any party may, from time to time, change the address to which notices shall be mailed by giving written notice of such new address.</w:t>
      </w:r>
    </w:p>
    <w:p>
      <w:pPr>
        <w:spacing w:after="0" w:line="239"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 xml:space="preserve">11.5 </w:t>
      </w:r>
      <w:r>
        <w:rPr>
          <w:rFonts w:ascii="Arial" w:cs="Arial" w:eastAsia="Arial" w:hAnsi="Arial"/>
          <w:sz w:val="21"/>
          <w:szCs w:val="21"/>
          <w:u w:val="single" w:color="auto"/>
          <w:color w:val="auto"/>
        </w:rPr>
        <w:t>Interest of Participant’s Spouse</w:t>
      </w:r>
      <w:r>
        <w:rPr>
          <w:rFonts w:ascii="Arial" w:cs="Arial" w:eastAsia="Arial" w:hAnsi="Arial"/>
          <w:sz w:val="21"/>
          <w:szCs w:val="21"/>
          <w:color w:val="auto"/>
        </w:rPr>
        <w:t>. The interest in the benefits hereunder of a spouse of a Participant who has predeceased the Participant shall automatically pass to the Participant and shall not be transferable by such spouse in any manner, including but not limited to such spouse’s will, nor shall such interest pass under the laws of intestate succession.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420"/>
          </w:cols>
          <w:pgMar w:left="240" w:top="847" w:right="239" w:bottom="1440" w:gutter="0" w:footer="0" w:header="0"/>
        </w:sectPr>
      </w:pPr>
    </w:p>
    <w:bookmarkStart w:id="107" w:name="page108"/>
    <w:bookmarkEnd w:id="107"/>
    <w:p>
      <w:pPr>
        <w:jc w:val="both"/>
        <w:spacing w:after="0" w:line="250" w:lineRule="auto"/>
        <w:rPr>
          <w:sz w:val="20"/>
          <w:szCs w:val="20"/>
          <w:color w:val="auto"/>
        </w:rPr>
      </w:pPr>
      <w:r>
        <w:rPr>
          <w:rFonts w:ascii="Arial" w:cs="Arial" w:eastAsia="Arial" w:hAnsi="Arial"/>
          <w:sz w:val="22"/>
          <w:szCs w:val="22"/>
          <w:color w:val="auto"/>
        </w:rPr>
        <w:t xml:space="preserve">11.6 </w:t>
      </w:r>
      <w:r>
        <w:rPr>
          <w:rFonts w:ascii="Arial" w:cs="Arial" w:eastAsia="Arial" w:hAnsi="Arial"/>
          <w:sz w:val="22"/>
          <w:szCs w:val="22"/>
          <w:u w:val="single" w:color="auto"/>
          <w:color w:val="auto"/>
        </w:rPr>
        <w:t>Tax Liabilities from Plan</w:t>
      </w:r>
      <w:r>
        <w:rPr>
          <w:rFonts w:ascii="Arial" w:cs="Arial" w:eastAsia="Arial" w:hAnsi="Arial"/>
          <w:sz w:val="22"/>
          <w:szCs w:val="22"/>
          <w:color w:val="auto"/>
        </w:rPr>
        <w:t>. If all or any portion of a Participant’s benefit under this Plan generates a tax liability to the Participant, including a liability under Code Section 409A, prior to the time that the Participant is entitled to a distribution from the Plan, the Administrative Committee may, in its discretion, instruct the Company to distribute immediately available funds to the Participant in an amount necessary to satisfy such tax liability.</w:t>
      </w:r>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11.7 </w:t>
      </w:r>
      <w:r>
        <w:rPr>
          <w:rFonts w:ascii="Arial" w:cs="Arial" w:eastAsia="Arial" w:hAnsi="Arial"/>
          <w:sz w:val="22"/>
          <w:szCs w:val="22"/>
          <w:u w:val="single" w:color="auto"/>
          <w:color w:val="auto"/>
        </w:rPr>
        <w:t>Benefits Nonexclusive</w:t>
      </w:r>
      <w:r>
        <w:rPr>
          <w:rFonts w:ascii="Arial" w:cs="Arial" w:eastAsia="Arial" w:hAnsi="Arial"/>
          <w:sz w:val="22"/>
          <w:szCs w:val="22"/>
          <w:color w:val="auto"/>
        </w:rPr>
        <w:t>. The benefits provided for a Participant and Participant’s Beneficiary under the Plan are in addition to any other benefits available to such Participant under any other plan or program for employees of the Company. The Plan shall supplement and shall not supersede, modify or amend any other such plan or program except as may otherwise be expressly provided.</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 xml:space="preserve">11.8 </w:t>
      </w:r>
      <w:r>
        <w:rPr>
          <w:rFonts w:ascii="Arial" w:cs="Arial" w:eastAsia="Arial" w:hAnsi="Arial"/>
          <w:sz w:val="19"/>
          <w:szCs w:val="19"/>
          <w:u w:val="single" w:color="auto"/>
          <w:color w:val="auto"/>
        </w:rPr>
        <w:t>Discharge of Company Obligation</w:t>
      </w:r>
      <w:r>
        <w:rPr>
          <w:rFonts w:ascii="Arial" w:cs="Arial" w:eastAsia="Arial" w:hAnsi="Arial"/>
          <w:sz w:val="19"/>
          <w:szCs w:val="19"/>
          <w:color w:val="auto"/>
        </w:rPr>
        <w:t>. The payment of benefits under the Plan to a Participant or Beneficiary shall fully and completely discharge the Company, the Board, and the Administrative Committee from all further obligations under this Plan with respect to a Participant, and that Participant’s Deferral Agreement shall terminate upon such full payment of benefits.</w:t>
      </w:r>
    </w:p>
    <w:p>
      <w:pPr>
        <w:spacing w:after="0" w:line="174"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 xml:space="preserve">11.9 </w:t>
      </w:r>
      <w:r>
        <w:rPr>
          <w:rFonts w:ascii="Arial" w:cs="Arial" w:eastAsia="Arial" w:hAnsi="Arial"/>
          <w:sz w:val="21"/>
          <w:szCs w:val="21"/>
          <w:u w:val="single" w:color="auto"/>
          <w:color w:val="auto"/>
        </w:rPr>
        <w:t>Costs of Enforcement</w:t>
      </w:r>
      <w:r>
        <w:rPr>
          <w:rFonts w:ascii="Arial" w:cs="Arial" w:eastAsia="Arial" w:hAnsi="Arial"/>
          <w:sz w:val="21"/>
          <w:szCs w:val="21"/>
          <w:color w:val="auto"/>
        </w:rPr>
        <w:t>. If any action at law or in equity is necessary by the Administrative Committee or the Company to enforce the terms of the Plan, the Administrative Committee or the Company shall be entitled to recover reasonable attorneys’ fees, costs and necessary disbursements in addition to any other relief to which that party may be entitled.</w:t>
      </w:r>
    </w:p>
    <w:p>
      <w:pPr>
        <w:spacing w:after="0" w:line="208"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 xml:space="preserve">11.10 </w:t>
      </w:r>
      <w:r>
        <w:rPr>
          <w:rFonts w:ascii="Arial" w:cs="Arial" w:eastAsia="Arial" w:hAnsi="Arial"/>
          <w:sz w:val="22"/>
          <w:szCs w:val="22"/>
          <w:u w:val="single" w:color="auto"/>
          <w:color w:val="auto"/>
        </w:rPr>
        <w:t>Gender and Case</w:t>
      </w:r>
      <w:r>
        <w:rPr>
          <w:rFonts w:ascii="Arial" w:cs="Arial" w:eastAsia="Arial" w:hAnsi="Arial"/>
          <w:sz w:val="22"/>
          <w:szCs w:val="22"/>
          <w:color w:val="auto"/>
        </w:rPr>
        <w:t>. Unless the context clearly indicates otherwise, masculine pronouns shall include the feminine and singular words shall include the plural and vice versa.</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 xml:space="preserve">11.11 </w:t>
      </w:r>
      <w:r>
        <w:rPr>
          <w:rFonts w:ascii="Arial" w:cs="Arial" w:eastAsia="Arial" w:hAnsi="Arial"/>
          <w:sz w:val="22"/>
          <w:szCs w:val="22"/>
          <w:u w:val="single" w:color="auto"/>
          <w:color w:val="auto"/>
        </w:rPr>
        <w:t>Titles and Headings</w:t>
      </w:r>
      <w:r>
        <w:rPr>
          <w:rFonts w:ascii="Arial" w:cs="Arial" w:eastAsia="Arial" w:hAnsi="Arial"/>
          <w:sz w:val="22"/>
          <w:szCs w:val="22"/>
          <w:color w:val="auto"/>
        </w:rPr>
        <w:t>. Titles and headings of the Articles and Sections of the Plan are included for ease of reference only and are not to be used for the purpose of construing any portion or provision of the Plan document.</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 xml:space="preserve">11.12 </w:t>
      </w:r>
      <w:r>
        <w:rPr>
          <w:rFonts w:ascii="Arial" w:cs="Arial" w:eastAsia="Arial" w:hAnsi="Arial"/>
          <w:sz w:val="22"/>
          <w:szCs w:val="22"/>
          <w:u w:val="single" w:color="auto"/>
          <w:color w:val="auto"/>
        </w:rPr>
        <w:t>Applicable Law</w:t>
      </w:r>
      <w:r>
        <w:rPr>
          <w:rFonts w:ascii="Arial" w:cs="Arial" w:eastAsia="Arial" w:hAnsi="Arial"/>
          <w:sz w:val="22"/>
          <w:szCs w:val="22"/>
          <w:color w:val="auto"/>
        </w:rPr>
        <w:t>. To the extent not preempted by federal law, the Plan shall be governed by the laws of the State of Washington.</w:t>
      </w:r>
    </w:p>
    <w:p>
      <w:pPr>
        <w:spacing w:after="0" w:line="215"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 xml:space="preserve">11.13 </w:t>
      </w:r>
      <w:r>
        <w:rPr>
          <w:rFonts w:ascii="Arial" w:cs="Arial" w:eastAsia="Arial" w:hAnsi="Arial"/>
          <w:sz w:val="22"/>
          <w:szCs w:val="22"/>
          <w:u w:val="single" w:color="auto"/>
          <w:color w:val="auto"/>
        </w:rPr>
        <w:t>Counterparts</w:t>
      </w:r>
      <w:r>
        <w:rPr>
          <w:rFonts w:ascii="Arial" w:cs="Arial" w:eastAsia="Arial" w:hAnsi="Arial"/>
          <w:sz w:val="22"/>
          <w:szCs w:val="22"/>
          <w:color w:val="auto"/>
        </w:rPr>
        <w:t>. This instrument and any Deferral Agreement may be executed in one or more counterparts, each of which is legally binding and enforceable.</w:t>
      </w:r>
    </w:p>
    <w:p>
      <w:pPr>
        <w:spacing w:after="0" w:line="215" w:lineRule="exact"/>
        <w:rPr>
          <w:sz w:val="20"/>
          <w:szCs w:val="20"/>
          <w:color w:val="auto"/>
        </w:rPr>
      </w:pPr>
    </w:p>
    <w:p>
      <w:pPr>
        <w:spacing w:after="0"/>
        <w:tabs>
          <w:tab w:leader="none" w:pos="680" w:val="left"/>
        </w:tabs>
        <w:rPr>
          <w:sz w:val="20"/>
          <w:szCs w:val="20"/>
          <w:color w:val="auto"/>
        </w:rPr>
      </w:pPr>
      <w:r>
        <w:rPr>
          <w:rFonts w:ascii="Arial" w:cs="Arial" w:eastAsia="Arial" w:hAnsi="Arial"/>
          <w:sz w:val="22"/>
          <w:szCs w:val="22"/>
          <w:color w:val="auto"/>
        </w:rPr>
        <w:t>11.14</w:t>
      </w:r>
      <w:r>
        <w:rPr>
          <w:sz w:val="20"/>
          <w:szCs w:val="20"/>
          <w:color w:val="auto"/>
        </w:rPr>
        <w:tab/>
      </w:r>
      <w:r>
        <w:rPr>
          <w:rFonts w:ascii="Arial" w:cs="Arial" w:eastAsia="Arial" w:hAnsi="Arial"/>
          <w:sz w:val="21"/>
          <w:szCs w:val="21"/>
          <w:u w:val="single" w:color="auto"/>
          <w:color w:val="auto"/>
        </w:rPr>
        <w:t>Additional Definitions</w:t>
      </w:r>
      <w:r>
        <w:rPr>
          <w:rFonts w:ascii="Arial" w:cs="Arial" w:eastAsia="Arial" w:hAnsi="Arial"/>
          <w:sz w:val="21"/>
          <w:szCs w:val="21"/>
          <w:color w:val="auto"/>
        </w:rPr>
        <w:t>:</w:t>
      </w:r>
    </w:p>
    <w:p>
      <w:pPr>
        <w:spacing w:after="0" w:line="260" w:lineRule="exact"/>
        <w:rPr>
          <w:sz w:val="20"/>
          <w:szCs w:val="20"/>
          <w:color w:val="auto"/>
        </w:rPr>
      </w:pPr>
    </w:p>
    <w:p>
      <w:pPr>
        <w:ind w:left="1300" w:hanging="644"/>
        <w:spacing w:after="0"/>
        <w:tabs>
          <w:tab w:leader="none" w:pos="1300" w:val="left"/>
        </w:tabs>
        <w:numPr>
          <w:ilvl w:val="0"/>
          <w:numId w:val="109"/>
        </w:numPr>
        <w:rPr>
          <w:rFonts w:ascii="Arial" w:cs="Arial" w:eastAsia="Arial" w:hAnsi="Arial"/>
          <w:sz w:val="22"/>
          <w:szCs w:val="22"/>
          <w:color w:val="auto"/>
        </w:rPr>
      </w:pPr>
      <w:r>
        <w:rPr>
          <w:rFonts w:ascii="Arial" w:cs="Arial" w:eastAsia="Arial" w:hAnsi="Arial"/>
          <w:sz w:val="22"/>
          <w:szCs w:val="22"/>
          <w:color w:val="auto"/>
        </w:rPr>
        <w:t>“Board” means the Board of Directors of Nordstrom, Inc.</w:t>
      </w:r>
    </w:p>
    <w:p>
      <w:pPr>
        <w:spacing w:after="0" w:line="260" w:lineRule="exact"/>
        <w:rPr>
          <w:rFonts w:ascii="Arial" w:cs="Arial" w:eastAsia="Arial" w:hAnsi="Arial"/>
          <w:sz w:val="22"/>
          <w:szCs w:val="22"/>
          <w:color w:val="auto"/>
        </w:rPr>
      </w:pPr>
    </w:p>
    <w:p>
      <w:pPr>
        <w:ind w:left="1300" w:hanging="644"/>
        <w:spacing w:after="0"/>
        <w:tabs>
          <w:tab w:leader="none" w:pos="1300" w:val="left"/>
        </w:tabs>
        <w:numPr>
          <w:ilvl w:val="0"/>
          <w:numId w:val="109"/>
        </w:numPr>
        <w:rPr>
          <w:rFonts w:ascii="Arial" w:cs="Arial" w:eastAsia="Arial" w:hAnsi="Arial"/>
          <w:sz w:val="22"/>
          <w:szCs w:val="22"/>
          <w:color w:val="auto"/>
        </w:rPr>
      </w:pPr>
      <w:r>
        <w:rPr>
          <w:rFonts w:ascii="Arial" w:cs="Arial" w:eastAsia="Arial" w:hAnsi="Arial"/>
          <w:sz w:val="22"/>
          <w:szCs w:val="22"/>
          <w:color w:val="auto"/>
        </w:rPr>
        <w:t>“Code” means the Internal Revenue Code of 1986, as amended.</w:t>
      </w:r>
    </w:p>
    <w:p>
      <w:pPr>
        <w:spacing w:after="0" w:line="260" w:lineRule="exact"/>
        <w:rPr>
          <w:rFonts w:ascii="Arial" w:cs="Arial" w:eastAsia="Arial" w:hAnsi="Arial"/>
          <w:sz w:val="22"/>
          <w:szCs w:val="22"/>
          <w:color w:val="auto"/>
        </w:rPr>
      </w:pPr>
    </w:p>
    <w:p>
      <w:pPr>
        <w:ind w:left="1120" w:hanging="464"/>
        <w:spacing w:after="0"/>
        <w:tabs>
          <w:tab w:leader="none" w:pos="1120" w:val="left"/>
        </w:tabs>
        <w:numPr>
          <w:ilvl w:val="0"/>
          <w:numId w:val="109"/>
        </w:numPr>
        <w:rPr>
          <w:rFonts w:ascii="Arial" w:cs="Arial" w:eastAsia="Arial" w:hAnsi="Arial"/>
          <w:sz w:val="19"/>
          <w:szCs w:val="19"/>
          <w:color w:val="auto"/>
        </w:rPr>
      </w:pPr>
      <w:r>
        <w:rPr>
          <w:rFonts w:ascii="Arial" w:cs="Arial" w:eastAsia="Arial" w:hAnsi="Arial"/>
          <w:sz w:val="19"/>
          <w:szCs w:val="19"/>
          <w:color w:val="auto"/>
        </w:rPr>
        <w:t>“Deferred Retirement Date” means a Termination Date that occurs after a Participant’s Normal Retirement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420"/>
          </w:cols>
          <w:pgMar w:left="240" w:top="847" w:right="239" w:bottom="1440" w:gutter="0" w:footer="0" w:header="0"/>
        </w:sectPr>
      </w:pPr>
    </w:p>
    <w:bookmarkStart w:id="108" w:name="page109"/>
    <w:bookmarkEnd w:id="108"/>
    <w:p>
      <w:pPr>
        <w:jc w:val="both"/>
        <w:ind w:firstLine="656"/>
        <w:spacing w:after="0" w:line="249" w:lineRule="auto"/>
        <w:tabs>
          <w:tab w:leader="none" w:pos="1119" w:val="left"/>
        </w:tabs>
        <w:numPr>
          <w:ilvl w:val="0"/>
          <w:numId w:val="110"/>
        </w:numPr>
        <w:rPr>
          <w:rFonts w:ascii="Arial" w:cs="Arial" w:eastAsia="Arial" w:hAnsi="Arial"/>
          <w:sz w:val="22"/>
          <w:szCs w:val="22"/>
          <w:color w:val="auto"/>
        </w:rPr>
      </w:pPr>
      <w:r>
        <w:rPr>
          <w:rFonts w:ascii="Arial" w:cs="Arial" w:eastAsia="Arial" w:hAnsi="Arial"/>
          <w:sz w:val="22"/>
          <w:szCs w:val="22"/>
          <w:color w:val="auto"/>
        </w:rPr>
        <w:t>“Early Retirement Date” means the Participant’s Termination Date on or after the date the Participant has both attained age 53 and has completed at least ten (l 0) Years of Service with the Company. Notwithstanding the foregoing, the 2007 Restatement of this Plan, and not this</w:t>
      </w:r>
    </w:p>
    <w:p>
      <w:pPr>
        <w:jc w:val="both"/>
        <w:spacing w:after="0" w:line="245" w:lineRule="auto"/>
        <w:rPr>
          <w:rFonts w:ascii="Arial" w:cs="Arial" w:eastAsia="Arial" w:hAnsi="Arial"/>
          <w:sz w:val="22"/>
          <w:szCs w:val="22"/>
          <w:color w:val="auto"/>
        </w:rPr>
      </w:pPr>
      <w:r>
        <w:rPr>
          <w:rFonts w:ascii="Arial" w:cs="Arial" w:eastAsia="Arial" w:hAnsi="Arial"/>
          <w:sz w:val="22"/>
          <w:szCs w:val="22"/>
          <w:color w:val="auto"/>
        </w:rPr>
        <w:t>Restatement, shall apply to determine Early Retirement for those Participants designated as a 1999 Plan Executive under the Company’s Supplemental Executive Retirement Plan (“SERP”) and for those Participants who, as of August 19, 2003, had attained at least age fifty and had attained at least 10 Years of Service.</w:t>
      </w:r>
    </w:p>
    <w:p>
      <w:pPr>
        <w:spacing w:after="0" w:line="233" w:lineRule="exact"/>
        <w:rPr>
          <w:rFonts w:ascii="Arial" w:cs="Arial" w:eastAsia="Arial" w:hAnsi="Arial"/>
          <w:sz w:val="22"/>
          <w:szCs w:val="22"/>
          <w:color w:val="auto"/>
        </w:rPr>
      </w:pPr>
    </w:p>
    <w:p>
      <w:pPr>
        <w:jc w:val="both"/>
        <w:ind w:firstLine="656"/>
        <w:spacing w:after="0" w:line="253" w:lineRule="auto"/>
        <w:tabs>
          <w:tab w:leader="none" w:pos="1133" w:val="left"/>
        </w:tabs>
        <w:numPr>
          <w:ilvl w:val="0"/>
          <w:numId w:val="110"/>
        </w:numPr>
        <w:rPr>
          <w:rFonts w:ascii="Arial" w:cs="Arial" w:eastAsia="Arial" w:hAnsi="Arial"/>
          <w:sz w:val="22"/>
          <w:szCs w:val="22"/>
          <w:color w:val="auto"/>
        </w:rPr>
      </w:pPr>
      <w:r>
        <w:rPr>
          <w:rFonts w:ascii="Arial" w:cs="Arial" w:eastAsia="Arial" w:hAnsi="Arial"/>
          <w:sz w:val="22"/>
          <w:szCs w:val="22"/>
          <w:color w:val="auto"/>
        </w:rPr>
        <w:t>“Equity Incentive Plan” means the separately stated Nordstrom, Inc. 2010 Equity Incentive Plan, as amended through February 27, 2013 and as it may be thereafter amended from time to time, or any successor to the Equity Incentive Plan that provides for performance-based equity compensation.</w:t>
      </w:r>
    </w:p>
    <w:p>
      <w:pPr>
        <w:spacing w:after="0" w:line="226" w:lineRule="exact"/>
        <w:rPr>
          <w:rFonts w:ascii="Arial" w:cs="Arial" w:eastAsia="Arial" w:hAnsi="Arial"/>
          <w:sz w:val="22"/>
          <w:szCs w:val="22"/>
          <w:color w:val="auto"/>
        </w:rPr>
      </w:pPr>
    </w:p>
    <w:p>
      <w:pPr>
        <w:jc w:val="both"/>
        <w:ind w:firstLine="656"/>
        <w:spacing w:after="0" w:line="248" w:lineRule="auto"/>
        <w:tabs>
          <w:tab w:leader="none" w:pos="1296" w:val="left"/>
        </w:tabs>
        <w:numPr>
          <w:ilvl w:val="0"/>
          <w:numId w:val="110"/>
        </w:numPr>
        <w:rPr>
          <w:rFonts w:ascii="Arial" w:cs="Arial" w:eastAsia="Arial" w:hAnsi="Arial"/>
          <w:sz w:val="22"/>
          <w:szCs w:val="22"/>
          <w:color w:val="auto"/>
        </w:rPr>
      </w:pPr>
      <w:r>
        <w:rPr>
          <w:rFonts w:ascii="Arial" w:cs="Arial" w:eastAsia="Arial" w:hAnsi="Arial"/>
          <w:sz w:val="22"/>
          <w:szCs w:val="22"/>
          <w:color w:val="auto"/>
        </w:rPr>
        <w:t>“401(k) Plan” means, with respect to a Participant, any Company-sponsored, tax-qualified individual account retirement plan in which the Participant is eligible and which is subject to the requirements of ERISA, whether or not that plan provides for elective deferrals under Code section 401(k). As of January 1, 2015, the definition of 401(k) Plan includes the following Company-sponsored plans: Nordstrom 401(k) Plan (previously known as the Nordstrom 401(k) Plan &amp; Profit Sharing), and Nordstrom Puerto Rico Retirement &amp; Savings Plan..</w:t>
      </w:r>
    </w:p>
    <w:p>
      <w:pPr>
        <w:spacing w:after="0" w:line="232" w:lineRule="exact"/>
        <w:rPr>
          <w:rFonts w:ascii="Arial" w:cs="Arial" w:eastAsia="Arial" w:hAnsi="Arial"/>
          <w:sz w:val="22"/>
          <w:szCs w:val="22"/>
          <w:color w:val="auto"/>
        </w:rPr>
      </w:pPr>
    </w:p>
    <w:p>
      <w:pPr>
        <w:ind w:left="1120" w:hanging="464"/>
        <w:spacing w:after="0"/>
        <w:tabs>
          <w:tab w:leader="none" w:pos="1120" w:val="left"/>
        </w:tabs>
        <w:numPr>
          <w:ilvl w:val="0"/>
          <w:numId w:val="110"/>
        </w:numPr>
        <w:rPr>
          <w:rFonts w:ascii="Arial" w:cs="Arial" w:eastAsia="Arial" w:hAnsi="Arial"/>
          <w:sz w:val="22"/>
          <w:szCs w:val="22"/>
          <w:color w:val="auto"/>
        </w:rPr>
      </w:pPr>
      <w:r>
        <w:rPr>
          <w:rFonts w:ascii="Arial" w:cs="Arial" w:eastAsia="Arial" w:hAnsi="Arial"/>
          <w:sz w:val="22"/>
          <w:szCs w:val="22"/>
          <w:color w:val="auto"/>
        </w:rPr>
        <w:t>“401(k) Plan Compensation” means “Compensation” as defined under the 401(k) Plan.</w:t>
      </w:r>
    </w:p>
    <w:p>
      <w:pPr>
        <w:spacing w:after="0" w:line="260" w:lineRule="exact"/>
        <w:rPr>
          <w:rFonts w:ascii="Arial" w:cs="Arial" w:eastAsia="Arial" w:hAnsi="Arial"/>
          <w:sz w:val="22"/>
          <w:szCs w:val="22"/>
          <w:color w:val="auto"/>
        </w:rPr>
      </w:pPr>
    </w:p>
    <w:p>
      <w:pPr>
        <w:ind w:right="20" w:firstLine="656"/>
        <w:spacing w:after="0" w:line="287" w:lineRule="auto"/>
        <w:tabs>
          <w:tab w:leader="none" w:pos="1158" w:val="left"/>
        </w:tabs>
        <w:numPr>
          <w:ilvl w:val="0"/>
          <w:numId w:val="110"/>
        </w:numPr>
        <w:rPr>
          <w:rFonts w:ascii="Arial" w:cs="Arial" w:eastAsia="Arial" w:hAnsi="Arial"/>
          <w:sz w:val="21"/>
          <w:szCs w:val="21"/>
          <w:color w:val="auto"/>
        </w:rPr>
      </w:pPr>
      <w:r>
        <w:rPr>
          <w:rFonts w:ascii="Arial" w:cs="Arial" w:eastAsia="Arial" w:hAnsi="Arial"/>
          <w:sz w:val="21"/>
          <w:szCs w:val="21"/>
          <w:color w:val="auto"/>
        </w:rPr>
        <w:t>“Normal Retirement Date” means a Participant’s 58th birthday; provided, however, that the Normal Retirement Date for a Participant who was designated in 2003 as a Transition Plan Executive under the SERP shall be age 55.</w:t>
      </w:r>
    </w:p>
    <w:p>
      <w:pPr>
        <w:spacing w:after="0" w:line="192" w:lineRule="exact"/>
        <w:rPr>
          <w:rFonts w:ascii="Arial" w:cs="Arial" w:eastAsia="Arial" w:hAnsi="Arial"/>
          <w:sz w:val="21"/>
          <w:szCs w:val="21"/>
          <w:color w:val="auto"/>
        </w:rPr>
      </w:pPr>
    </w:p>
    <w:p>
      <w:pPr>
        <w:jc w:val="both"/>
        <w:ind w:firstLine="656"/>
        <w:spacing w:after="0" w:line="312" w:lineRule="auto"/>
        <w:tabs>
          <w:tab w:leader="none" w:pos="1194" w:val="left"/>
        </w:tabs>
        <w:numPr>
          <w:ilvl w:val="0"/>
          <w:numId w:val="110"/>
        </w:numPr>
        <w:rPr>
          <w:rFonts w:ascii="Arial" w:cs="Arial" w:eastAsia="Arial" w:hAnsi="Arial"/>
          <w:sz w:val="19"/>
          <w:szCs w:val="19"/>
          <w:color w:val="auto"/>
        </w:rPr>
      </w:pPr>
      <w:r>
        <w:rPr>
          <w:rFonts w:ascii="Arial" w:cs="Arial" w:eastAsia="Arial" w:hAnsi="Arial"/>
          <w:sz w:val="19"/>
          <w:szCs w:val="19"/>
          <w:color w:val="auto"/>
        </w:rPr>
        <w:t>“Participating Subsidiaries and Affiliates” means those subsidiaries and affiliates of the Company that, subject to approval by the Administrative Committee, have specifically acted to adopt this Plan through execution of a Participation Agreement. A list of Participating Subsidiaries and Employers as of January 1, 2017 appears as Exhibit A to this Amendment.</w:t>
      </w:r>
    </w:p>
    <w:p>
      <w:pPr>
        <w:spacing w:after="0" w:line="174" w:lineRule="exact"/>
        <w:rPr>
          <w:rFonts w:ascii="Arial" w:cs="Arial" w:eastAsia="Arial" w:hAnsi="Arial"/>
          <w:sz w:val="19"/>
          <w:szCs w:val="19"/>
          <w:color w:val="auto"/>
        </w:rPr>
      </w:pPr>
    </w:p>
    <w:p>
      <w:pPr>
        <w:ind w:firstLine="656"/>
        <w:spacing w:after="0" w:line="263" w:lineRule="auto"/>
        <w:tabs>
          <w:tab w:leader="none" w:pos="1101" w:val="left"/>
        </w:tabs>
        <w:numPr>
          <w:ilvl w:val="0"/>
          <w:numId w:val="110"/>
        </w:numPr>
        <w:rPr>
          <w:rFonts w:ascii="Arial" w:cs="Arial" w:eastAsia="Arial" w:hAnsi="Arial"/>
          <w:sz w:val="22"/>
          <w:szCs w:val="22"/>
          <w:color w:val="auto"/>
        </w:rPr>
      </w:pPr>
      <w:r>
        <w:rPr>
          <w:rFonts w:ascii="Arial" w:cs="Arial" w:eastAsia="Arial" w:hAnsi="Arial"/>
          <w:sz w:val="22"/>
          <w:szCs w:val="22"/>
          <w:color w:val="auto"/>
        </w:rPr>
        <w:t>“Participation Agreement” means the written agreement evidencing the terms and conditions under which a particular Participating Subsidiary or Affiliate participates in this Plan.</w:t>
      </w:r>
    </w:p>
    <w:p>
      <w:pPr>
        <w:spacing w:after="0" w:line="215" w:lineRule="exact"/>
        <w:rPr>
          <w:rFonts w:ascii="Arial" w:cs="Arial" w:eastAsia="Arial" w:hAnsi="Arial"/>
          <w:sz w:val="22"/>
          <w:szCs w:val="22"/>
          <w:color w:val="auto"/>
        </w:rPr>
      </w:pPr>
    </w:p>
    <w:p>
      <w:pPr>
        <w:ind w:left="1300" w:hanging="644"/>
        <w:spacing w:after="0"/>
        <w:tabs>
          <w:tab w:leader="none" w:pos="1300" w:val="left"/>
        </w:tabs>
        <w:numPr>
          <w:ilvl w:val="0"/>
          <w:numId w:val="110"/>
        </w:numPr>
        <w:rPr>
          <w:rFonts w:ascii="Arial" w:cs="Arial" w:eastAsia="Arial" w:hAnsi="Arial"/>
          <w:sz w:val="22"/>
          <w:szCs w:val="22"/>
          <w:color w:val="auto"/>
        </w:rPr>
      </w:pPr>
      <w:r>
        <w:rPr>
          <w:rFonts w:ascii="Arial" w:cs="Arial" w:eastAsia="Arial" w:hAnsi="Arial"/>
          <w:sz w:val="22"/>
          <w:szCs w:val="22"/>
          <w:color w:val="auto"/>
        </w:rPr>
        <w:t>“Plan Year” means the calendar year.</w:t>
      </w:r>
    </w:p>
    <w:p>
      <w:pPr>
        <w:spacing w:after="0" w:line="260" w:lineRule="exact"/>
        <w:rPr>
          <w:rFonts w:ascii="Arial" w:cs="Arial" w:eastAsia="Arial" w:hAnsi="Arial"/>
          <w:sz w:val="22"/>
          <w:szCs w:val="22"/>
          <w:color w:val="auto"/>
        </w:rPr>
      </w:pPr>
    </w:p>
    <w:p>
      <w:pPr>
        <w:jc w:val="both"/>
        <w:ind w:firstLine="656"/>
        <w:spacing w:after="0" w:line="246" w:lineRule="auto"/>
        <w:tabs>
          <w:tab w:leader="none" w:pos="1279" w:val="left"/>
        </w:tabs>
        <w:numPr>
          <w:ilvl w:val="0"/>
          <w:numId w:val="110"/>
        </w:numPr>
        <w:rPr>
          <w:rFonts w:ascii="Arial" w:cs="Arial" w:eastAsia="Arial" w:hAnsi="Arial"/>
          <w:sz w:val="22"/>
          <w:szCs w:val="22"/>
          <w:color w:val="auto"/>
        </w:rPr>
      </w:pPr>
      <w:r>
        <w:rPr>
          <w:rFonts w:ascii="Arial" w:cs="Arial" w:eastAsia="Arial" w:hAnsi="Arial"/>
          <w:sz w:val="22"/>
          <w:szCs w:val="22"/>
          <w:color w:val="auto"/>
        </w:rPr>
        <w:t>“Termination Date” means the termination of a Participant’s employment with the Company, and each of its subsidiaries and affiliates, whether or not the subsidiary or affiliate participates in this Plan. A termination of employment is deemed to have occurred for purposes of this Plan on the date when the Participant and the Company reasonably anticipate that the level of bona fide services to be provided by the Participant will be permanently reduced to 49 percent or less of the average level of bona fide services provided in the immediately preceding period of 36 consecutive months. If the Participant is on a paid leave of absence, the Participant is treated as providing services at a level equal to the level of services that the Participant would have been</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420"/>
          </w:cols>
          <w:pgMar w:left="240" w:top="847" w:right="239" w:bottom="1440" w:gutter="0" w:footer="0" w:header="0"/>
        </w:sectPr>
      </w:pPr>
    </w:p>
    <w:bookmarkStart w:id="109" w:name="page110"/>
    <w:bookmarkEnd w:id="109"/>
    <w:p>
      <w:pPr>
        <w:jc w:val="both"/>
        <w:spacing w:after="0" w:line="249" w:lineRule="auto"/>
        <w:rPr>
          <w:sz w:val="20"/>
          <w:szCs w:val="20"/>
          <w:color w:val="auto"/>
        </w:rPr>
      </w:pPr>
      <w:r>
        <w:rPr>
          <w:rFonts w:ascii="Arial" w:cs="Arial" w:eastAsia="Arial" w:hAnsi="Arial"/>
          <w:sz w:val="22"/>
          <w:szCs w:val="22"/>
          <w:color w:val="auto"/>
        </w:rPr>
        <w:t>required to perform to earn the amount of compensation paid during the paid leave of absence. If the Participant is on an unpaid leave of absence, the employment relationship is presumed to terminate on the earlier of (A) the date the Participant loses his or her statutory or contractual right</w:t>
      </w:r>
    </w:p>
    <w:p>
      <w:pPr>
        <w:jc w:val="both"/>
        <w:spacing w:after="0" w:line="246" w:lineRule="auto"/>
        <w:rPr>
          <w:sz w:val="20"/>
          <w:szCs w:val="20"/>
          <w:color w:val="auto"/>
        </w:rPr>
      </w:pPr>
      <w:r>
        <w:rPr>
          <w:rFonts w:ascii="Arial" w:cs="Arial" w:eastAsia="Arial" w:hAnsi="Arial"/>
          <w:sz w:val="22"/>
          <w:szCs w:val="22"/>
          <w:color w:val="auto"/>
        </w:rPr>
        <w:t>to re-employment (but not sooner than six months after the unpaid leave of absence began) or (B) the date that there is no longer a reasonable expectation that the Participant will return to perform services for the Company.</w:t>
      </w:r>
    </w:p>
    <w:p>
      <w:pPr>
        <w:spacing w:after="0" w:line="233" w:lineRule="exact"/>
        <w:rPr>
          <w:sz w:val="20"/>
          <w:szCs w:val="20"/>
          <w:color w:val="auto"/>
        </w:rPr>
      </w:pPr>
    </w:p>
    <w:p>
      <w:pPr>
        <w:ind w:left="1200" w:hanging="544"/>
        <w:spacing w:after="0"/>
        <w:tabs>
          <w:tab w:leader="none" w:pos="1200" w:val="left"/>
        </w:tabs>
        <w:numPr>
          <w:ilvl w:val="0"/>
          <w:numId w:val="111"/>
        </w:numPr>
        <w:rPr>
          <w:rFonts w:ascii="Arial" w:cs="Arial" w:eastAsia="Arial" w:hAnsi="Arial"/>
          <w:sz w:val="19"/>
          <w:szCs w:val="19"/>
          <w:color w:val="auto"/>
        </w:rPr>
      </w:pPr>
      <w:r>
        <w:rPr>
          <w:rFonts w:ascii="Arial" w:cs="Arial" w:eastAsia="Arial" w:hAnsi="Arial"/>
          <w:sz w:val="19"/>
          <w:szCs w:val="19"/>
          <w:color w:val="auto"/>
        </w:rPr>
        <w:t>“Years of Service” means consecutive full years (i.e., 12 months), based on service from the Participant’s most recent</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date of hire.</w:t>
      </w:r>
    </w:p>
    <w:p>
      <w:pPr>
        <w:spacing w:after="0" w:line="24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IN WITNESS WHEREOF, this instrument setting forth the terms and conditions of this amendment and restatement to the NORDSTROM EXECUTIVE DEFERRED COMPENSATION PLAN is executed this _________ day of ________, 2018, effective for compensation deferred and vested on and after November 1, 2017, except as otherwise provided herein.</w:t>
      </w:r>
    </w:p>
    <w:p>
      <w:pPr>
        <w:spacing w:after="0" w:line="200" w:lineRule="exact"/>
        <w:rPr>
          <w:sz w:val="20"/>
          <w:szCs w:val="20"/>
          <w:color w:val="auto"/>
        </w:rPr>
      </w:pPr>
    </w:p>
    <w:p>
      <w:pPr>
        <w:spacing w:after="0" w:line="373" w:lineRule="exact"/>
        <w:rPr>
          <w:sz w:val="20"/>
          <w:szCs w:val="20"/>
          <w:color w:val="auto"/>
        </w:rPr>
      </w:pPr>
    </w:p>
    <w:p>
      <w:pPr>
        <w:ind w:left="5740"/>
        <w:spacing w:after="0"/>
        <w:rPr>
          <w:sz w:val="20"/>
          <w:szCs w:val="20"/>
          <w:color w:val="auto"/>
        </w:rPr>
      </w:pPr>
      <w:r>
        <w:rPr>
          <w:rFonts w:ascii="Arial" w:cs="Arial" w:eastAsia="Arial" w:hAnsi="Arial"/>
          <w:sz w:val="22"/>
          <w:szCs w:val="22"/>
          <w:b w:val="1"/>
          <w:bCs w:val="1"/>
          <w:color w:val="auto"/>
        </w:rPr>
        <w:t>NORDSTROM, INC.</w:t>
      </w:r>
    </w:p>
    <w:p>
      <w:pPr>
        <w:spacing w:after="0" w:line="200" w:lineRule="exact"/>
        <w:rPr>
          <w:sz w:val="20"/>
          <w:szCs w:val="20"/>
          <w:color w:val="auto"/>
        </w:rPr>
      </w:pPr>
    </w:p>
    <w:p>
      <w:pPr>
        <w:spacing w:after="0" w:line="282"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3848100</wp:posOffset>
            </wp:positionH>
            <wp:positionV relativeFrom="paragraph">
              <wp:posOffset>-17780</wp:posOffset>
            </wp:positionV>
            <wp:extent cx="6172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74">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13" w:lineRule="exact"/>
        <w:rPr>
          <w:sz w:val="20"/>
          <w:szCs w:val="20"/>
          <w:color w:val="auto"/>
        </w:rPr>
      </w:pPr>
    </w:p>
    <w:p>
      <w:pPr>
        <w:jc w:val="center"/>
        <w:ind w:left="54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3942080</wp:posOffset>
            </wp:positionH>
            <wp:positionV relativeFrom="paragraph">
              <wp:posOffset>-17780</wp:posOffset>
            </wp:positionV>
            <wp:extent cx="6172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75">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420"/>
          </w:cols>
          <w:pgMar w:left="240" w:top="847" w:right="239" w:bottom="1440" w:gutter="0" w:footer="0" w:header="0"/>
        </w:sectPr>
      </w:pPr>
    </w:p>
    <w:bookmarkStart w:id="110" w:name="page111"/>
    <w:bookmarkEnd w:id="110"/>
    <w:p>
      <w:pPr>
        <w:jc w:val="center"/>
        <w:ind w:right="20"/>
        <w:spacing w:after="0"/>
        <w:rPr>
          <w:sz w:val="20"/>
          <w:szCs w:val="20"/>
          <w:color w:val="auto"/>
        </w:rPr>
      </w:pPr>
      <w:r>
        <w:rPr>
          <w:rFonts w:ascii="Arial" w:cs="Arial" w:eastAsia="Arial" w:hAnsi="Arial"/>
          <w:sz w:val="22"/>
          <w:szCs w:val="22"/>
          <w:b w:val="1"/>
          <w:bCs w:val="1"/>
          <w:color w:val="auto"/>
        </w:rPr>
        <w:t>EXHIBIT A</w:t>
      </w:r>
    </w:p>
    <w:p>
      <w:pPr>
        <w:spacing w:after="0" w:line="179"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(PARTICIPATING SUBSIDIARIES)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57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Subsidiary</w:t>
            </w:r>
          </w:p>
        </w:tc>
        <w:tc>
          <w:tcPr>
            <w:tcW w:w="56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Effective Date</w:t>
            </w:r>
          </w:p>
        </w:tc>
      </w:tr>
      <w:tr>
        <w:trPr>
          <w:trHeight w:val="27"/>
        </w:trPr>
        <w:tc>
          <w:tcPr>
            <w:tcW w:w="5700" w:type="dxa"/>
            <w:vAlign w:val="bottom"/>
            <w:tcBorders>
              <w:left w:val="single" w:sz="8" w:color="auto"/>
              <w:bottom w:val="single" w:sz="8" w:color="auto"/>
              <w:right w:val="single" w:sz="8" w:color="auto"/>
            </w:tcBorders>
          </w:tcPr>
          <w:p>
            <w:pPr>
              <w:spacing w:after="0"/>
              <w:rPr>
                <w:sz w:val="2"/>
                <w:szCs w:val="2"/>
                <w:color w:val="auto"/>
              </w:rPr>
            </w:pPr>
          </w:p>
        </w:tc>
        <w:tc>
          <w:tcPr>
            <w:tcW w:w="5680" w:type="dxa"/>
            <w:vAlign w:val="bottom"/>
            <w:tcBorders>
              <w:bottom w:val="single" w:sz="8" w:color="auto"/>
              <w:right w:val="single" w:sz="8" w:color="auto"/>
            </w:tcBorders>
          </w:tcPr>
          <w:p>
            <w:pPr>
              <w:spacing w:after="0"/>
              <w:rPr>
                <w:sz w:val="2"/>
                <w:szCs w:val="2"/>
                <w:color w:val="auto"/>
              </w:rPr>
            </w:pPr>
          </w:p>
        </w:tc>
      </w:tr>
      <w:tr>
        <w:trPr>
          <w:trHeight w:val="237"/>
        </w:trPr>
        <w:tc>
          <w:tcPr>
            <w:tcW w:w="5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Nordstrom Puerto Rico LLC</w:t>
            </w:r>
          </w:p>
        </w:tc>
        <w:tc>
          <w:tcPr>
            <w:tcW w:w="5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January 1, 2015</w:t>
            </w:r>
          </w:p>
        </w:tc>
      </w:tr>
      <w:tr>
        <w:trPr>
          <w:trHeight w:val="27"/>
        </w:trPr>
        <w:tc>
          <w:tcPr>
            <w:tcW w:w="5700" w:type="dxa"/>
            <w:vAlign w:val="bottom"/>
            <w:tcBorders>
              <w:left w:val="single" w:sz="8" w:color="auto"/>
              <w:bottom w:val="single" w:sz="8" w:color="auto"/>
              <w:right w:val="single" w:sz="8" w:color="auto"/>
            </w:tcBorders>
          </w:tcPr>
          <w:p>
            <w:pPr>
              <w:spacing w:after="0"/>
              <w:rPr>
                <w:sz w:val="2"/>
                <w:szCs w:val="2"/>
                <w:color w:val="auto"/>
              </w:rPr>
            </w:pPr>
          </w:p>
        </w:tc>
        <w:tc>
          <w:tcPr>
            <w:tcW w:w="568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360"/>
          </w:cols>
          <w:pgMar w:left="280" w:top="841" w:right="259" w:bottom="1440" w:gutter="0" w:footer="0" w:header="0"/>
        </w:sectPr>
      </w:pPr>
    </w:p>
    <w:bookmarkStart w:id="111" w:name="page112"/>
    <w:bookmarkEnd w:id="111"/>
    <w:p>
      <w:pPr>
        <w:jc w:val="right"/>
        <w:spacing w:after="0"/>
        <w:rPr>
          <w:sz w:val="20"/>
          <w:szCs w:val="20"/>
          <w:color w:val="auto"/>
        </w:rPr>
      </w:pPr>
      <w:r>
        <w:rPr>
          <w:rFonts w:ascii="Arial" w:cs="Arial" w:eastAsia="Arial" w:hAnsi="Arial"/>
          <w:sz w:val="22"/>
          <w:szCs w:val="22"/>
          <w:b w:val="1"/>
          <w:bCs w:val="1"/>
          <w:color w:val="auto"/>
        </w:rPr>
        <w:t>Exhibit 10.48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Executed Copy of:</w:t>
      </w:r>
    </w:p>
    <w:p>
      <w:pPr>
        <w:spacing w:after="0" w:line="200" w:lineRule="exact"/>
        <w:rPr>
          <w:sz w:val="20"/>
          <w:szCs w:val="20"/>
          <w:color w:val="auto"/>
        </w:rPr>
      </w:pPr>
    </w:p>
    <w:p>
      <w:pPr>
        <w:spacing w:after="0" w:line="311" w:lineRule="exact"/>
        <w:rPr>
          <w:sz w:val="20"/>
          <w:szCs w:val="20"/>
          <w:color w:val="auto"/>
        </w:rPr>
      </w:pPr>
    </w:p>
    <w:p>
      <w:pPr>
        <w:jc w:val="center"/>
        <w:ind w:right="120"/>
        <w:spacing w:after="0"/>
        <w:rPr>
          <w:sz w:val="20"/>
          <w:szCs w:val="20"/>
          <w:color w:val="auto"/>
        </w:rPr>
      </w:pPr>
      <w:r>
        <w:rPr>
          <w:rFonts w:ascii="Arial" w:cs="Arial" w:eastAsia="Arial" w:hAnsi="Arial"/>
          <w:sz w:val="22"/>
          <w:szCs w:val="22"/>
          <w:b w:val="1"/>
          <w:bCs w:val="1"/>
          <w:color w:val="auto"/>
        </w:rPr>
        <w:t>NORDSTROM</w:t>
      </w:r>
    </w:p>
    <w:p>
      <w:pPr>
        <w:spacing w:after="0" w:line="260" w:lineRule="exact"/>
        <w:rPr>
          <w:sz w:val="20"/>
          <w:szCs w:val="20"/>
          <w:color w:val="auto"/>
        </w:rPr>
      </w:pPr>
    </w:p>
    <w:p>
      <w:pPr>
        <w:jc w:val="center"/>
        <w:ind w:right="120"/>
        <w:spacing w:after="0"/>
        <w:rPr>
          <w:sz w:val="20"/>
          <w:szCs w:val="20"/>
          <w:color w:val="auto"/>
        </w:rPr>
      </w:pPr>
      <w:r>
        <w:rPr>
          <w:rFonts w:ascii="Arial" w:cs="Arial" w:eastAsia="Arial" w:hAnsi="Arial"/>
          <w:sz w:val="22"/>
          <w:szCs w:val="22"/>
          <w:b w:val="1"/>
          <w:bCs w:val="1"/>
          <w:color w:val="auto"/>
        </w:rPr>
        <w:t>DIRECTORS DEFERRED COMPENSATION PLAN</w:t>
      </w:r>
    </w:p>
    <w:p>
      <w:pPr>
        <w:spacing w:after="0" w:line="260" w:lineRule="exact"/>
        <w:rPr>
          <w:sz w:val="20"/>
          <w:szCs w:val="20"/>
          <w:color w:val="auto"/>
        </w:rPr>
      </w:pPr>
    </w:p>
    <w:p>
      <w:pPr>
        <w:jc w:val="center"/>
        <w:ind w:right="120"/>
        <w:spacing w:after="0"/>
        <w:rPr>
          <w:sz w:val="20"/>
          <w:szCs w:val="20"/>
          <w:color w:val="auto"/>
        </w:rPr>
      </w:pPr>
      <w:r>
        <w:rPr>
          <w:rFonts w:ascii="Arial" w:cs="Arial" w:eastAsia="Arial" w:hAnsi="Arial"/>
          <w:sz w:val="22"/>
          <w:szCs w:val="22"/>
          <w:b w:val="1"/>
          <w:bCs w:val="1"/>
          <w:color w:val="auto"/>
        </w:rPr>
        <w:t>(2017 Restatement)</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20"/>
        <w:spacing w:after="0"/>
        <w:rPr>
          <w:sz w:val="20"/>
          <w:szCs w:val="20"/>
          <w:color w:val="auto"/>
        </w:rPr>
      </w:pPr>
      <w:r>
        <w:rPr>
          <w:rFonts w:ascii="Arial" w:cs="Arial" w:eastAsia="Arial" w:hAnsi="Arial"/>
          <w:sz w:val="19"/>
          <w:szCs w:val="19"/>
          <w:b w:val="1"/>
          <w:bCs w:val="1"/>
          <w:color w:val="auto"/>
        </w:rPr>
        <w:t>Except as specifically stated, this Restatement applies to amounts deferred and vested on or after November 1, 2017.</w:t>
      </w:r>
    </w:p>
    <w:p>
      <w:pPr>
        <w:spacing w:after="0" w:line="62" w:lineRule="exact"/>
        <w:rPr>
          <w:sz w:val="20"/>
          <w:szCs w:val="20"/>
          <w:color w:val="auto"/>
        </w:rPr>
      </w:pPr>
    </w:p>
    <w:p>
      <w:pPr>
        <w:jc w:val="center"/>
        <w:ind w:right="120"/>
        <w:spacing w:after="0" w:line="292" w:lineRule="auto"/>
        <w:rPr>
          <w:sz w:val="20"/>
          <w:szCs w:val="20"/>
          <w:color w:val="auto"/>
        </w:rPr>
      </w:pPr>
      <w:r>
        <w:rPr>
          <w:rFonts w:ascii="Arial" w:cs="Arial" w:eastAsia="Arial" w:hAnsi="Arial"/>
          <w:sz w:val="19"/>
          <w:szCs w:val="19"/>
          <w:b w:val="1"/>
          <w:bCs w:val="1"/>
          <w:color w:val="auto"/>
        </w:rPr>
        <w:t>Amounts deferred and vested prior to January 1, 2005 (and investment gains and losses attributable to such amounts) are governed by the 2002 Restatement and any amendments to the 2002 Restatement. Amounts initially deferred and vested after December 31, 2004 and before November 1, 2017 are subject to the provisions of the 2007 Restatement, except to the extent modified by transition rules separately documented by the Company. Amounts initially deferred on or after November 1, 2017 are subject to the provisions of this Restatement.</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20"/>
        <w:spacing w:after="0"/>
        <w:rPr>
          <w:sz w:val="20"/>
          <w:szCs w:val="20"/>
          <w:color w:val="auto"/>
        </w:rPr>
      </w:pPr>
      <w:r>
        <w:rPr>
          <w:rFonts w:ascii="Arial" w:cs="Arial" w:eastAsia="Arial" w:hAnsi="Arial"/>
          <w:sz w:val="22"/>
          <w:szCs w:val="22"/>
          <w:b w:val="1"/>
          <w:bCs w:val="1"/>
          <w:color w:val="auto"/>
        </w:rPr>
        <w:t>Lane Powell PC</w:t>
      </w:r>
    </w:p>
    <w:p>
      <w:pPr>
        <w:spacing w:after="0" w:line="28" w:lineRule="exact"/>
        <w:rPr>
          <w:sz w:val="20"/>
          <w:szCs w:val="20"/>
          <w:color w:val="auto"/>
        </w:rPr>
      </w:pPr>
    </w:p>
    <w:p>
      <w:pPr>
        <w:jc w:val="center"/>
        <w:ind w:right="120"/>
        <w:spacing w:after="0"/>
        <w:rPr>
          <w:sz w:val="20"/>
          <w:szCs w:val="20"/>
          <w:color w:val="auto"/>
        </w:rPr>
      </w:pPr>
      <w:r>
        <w:rPr>
          <w:rFonts w:ascii="Arial" w:cs="Arial" w:eastAsia="Arial" w:hAnsi="Arial"/>
          <w:sz w:val="22"/>
          <w:szCs w:val="22"/>
          <w:b w:val="1"/>
          <w:bCs w:val="1"/>
          <w:color w:val="auto"/>
        </w:rPr>
        <w:t>1420 Fifth Avenue, Suite 4200</w:t>
      </w:r>
    </w:p>
    <w:p>
      <w:pPr>
        <w:spacing w:after="0" w:line="4" w:lineRule="exact"/>
        <w:rPr>
          <w:sz w:val="20"/>
          <w:szCs w:val="20"/>
          <w:color w:val="auto"/>
        </w:rPr>
      </w:pPr>
    </w:p>
    <w:p>
      <w:pPr>
        <w:jc w:val="center"/>
        <w:ind w:right="120"/>
        <w:spacing w:after="0"/>
        <w:rPr>
          <w:sz w:val="20"/>
          <w:szCs w:val="20"/>
          <w:color w:val="auto"/>
        </w:rPr>
      </w:pPr>
      <w:r>
        <w:rPr>
          <w:rFonts w:ascii="Arial" w:cs="Arial" w:eastAsia="Arial" w:hAnsi="Arial"/>
          <w:sz w:val="22"/>
          <w:szCs w:val="22"/>
          <w:b w:val="1"/>
          <w:bCs w:val="1"/>
          <w:color w:val="auto"/>
        </w:rPr>
        <w:t>Seattle, WA 98101</w:t>
      </w:r>
    </w:p>
    <w:p>
      <w:pPr>
        <w:spacing w:after="0" w:line="4" w:lineRule="exact"/>
        <w:rPr>
          <w:sz w:val="20"/>
          <w:szCs w:val="20"/>
          <w:color w:val="auto"/>
        </w:rPr>
      </w:pPr>
    </w:p>
    <w:p>
      <w:pPr>
        <w:jc w:val="center"/>
        <w:ind w:right="120"/>
        <w:spacing w:after="0"/>
        <w:rPr>
          <w:sz w:val="20"/>
          <w:szCs w:val="20"/>
          <w:color w:val="auto"/>
        </w:rPr>
      </w:pPr>
      <w:r>
        <w:rPr>
          <w:rFonts w:ascii="Arial" w:cs="Arial" w:eastAsia="Arial" w:hAnsi="Arial"/>
          <w:sz w:val="22"/>
          <w:szCs w:val="22"/>
          <w:b w:val="1"/>
          <w:bCs w:val="1"/>
          <w:color w:val="auto"/>
        </w:rPr>
        <w:t>Telephone: (206) 223-7000</w:t>
      </w:r>
    </w:p>
    <w:p>
      <w:pPr>
        <w:spacing w:after="0" w:line="4" w:lineRule="exact"/>
        <w:rPr>
          <w:sz w:val="20"/>
          <w:szCs w:val="20"/>
          <w:color w:val="auto"/>
        </w:rPr>
      </w:pPr>
    </w:p>
    <w:p>
      <w:pPr>
        <w:jc w:val="center"/>
        <w:ind w:right="120"/>
        <w:spacing w:after="0"/>
        <w:rPr>
          <w:sz w:val="20"/>
          <w:szCs w:val="20"/>
          <w:color w:val="auto"/>
        </w:rPr>
      </w:pPr>
      <w:r>
        <w:rPr>
          <w:rFonts w:ascii="Arial" w:cs="Arial" w:eastAsia="Arial" w:hAnsi="Arial"/>
          <w:sz w:val="22"/>
          <w:szCs w:val="22"/>
          <w:b w:val="1"/>
          <w:bCs w:val="1"/>
          <w:color w:val="auto"/>
        </w:rPr>
        <w:t>Facsimile: (206) 223-7107</w:t>
      </w:r>
    </w:p>
    <w:p>
      <w:pPr>
        <w:sectPr>
          <w:pgSz w:w="11900" w:h="16838" w:orient="portrait"/>
          <w:cols w:equalWidth="0" w:num="1">
            <w:col w:w="11300"/>
          </w:cols>
          <w:pgMar w:left="360" w:top="369" w:right="239" w:bottom="1440" w:gutter="0" w:footer="0" w:header="0"/>
        </w:sectPr>
      </w:pPr>
    </w:p>
    <w:bookmarkStart w:id="112" w:name="page113"/>
    <w:bookmarkEnd w:id="112"/>
    <w:p>
      <w:pPr>
        <w:jc w:val="center"/>
        <w:ind w:right="-180"/>
        <w:spacing w:after="0"/>
        <w:rPr>
          <w:sz w:val="20"/>
          <w:szCs w:val="20"/>
          <w:color w:val="auto"/>
        </w:rPr>
      </w:pPr>
      <w:r>
        <w:rPr>
          <w:rFonts w:ascii="Arial" w:cs="Arial" w:eastAsia="Arial" w:hAnsi="Arial"/>
          <w:sz w:val="22"/>
          <w:szCs w:val="22"/>
          <w:b w:val="1"/>
          <w:bCs w:val="1"/>
          <w:color w:val="auto"/>
        </w:rPr>
        <w:t>TABLE OF CONTENTS</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80" w:type="dxa"/>
            <w:vAlign w:val="bottom"/>
            <w:gridSpan w:val="2"/>
          </w:tcPr>
          <w:p>
            <w:pPr>
              <w:spacing w:after="0"/>
              <w:rPr>
                <w:sz w:val="20"/>
                <w:szCs w:val="20"/>
                <w:color w:val="auto"/>
              </w:rPr>
            </w:pPr>
            <w:r>
              <w:rPr>
                <w:rFonts w:ascii="Arial" w:cs="Arial" w:eastAsia="Arial" w:hAnsi="Arial"/>
                <w:sz w:val="18"/>
                <w:szCs w:val="18"/>
                <w:color w:val="auto"/>
              </w:rPr>
              <w:t>ARTICLE I TITLE, PURPOSE AND EFFECTIVE DATE</w:t>
            </w:r>
          </w:p>
        </w:tc>
        <w:tc>
          <w:tcPr>
            <w:tcW w:w="1400" w:type="dxa"/>
            <w:vAlign w:val="bottom"/>
          </w:tcPr>
          <w:p>
            <w:pPr>
              <w:ind w:left="1220"/>
              <w:spacing w:after="0"/>
              <w:rPr>
                <w:sz w:val="20"/>
                <w:szCs w:val="20"/>
                <w:color w:val="auto"/>
              </w:rPr>
            </w:pPr>
            <w:r>
              <w:rPr>
                <w:rFonts w:ascii="Arial" w:cs="Arial" w:eastAsia="Arial" w:hAnsi="Arial"/>
                <w:sz w:val="18"/>
                <w:szCs w:val="18"/>
                <w:color w:val="auto"/>
              </w:rPr>
              <w:t>1</w:t>
            </w:r>
          </w:p>
        </w:tc>
      </w:tr>
      <w:tr>
        <w:trPr>
          <w:trHeight w:val="270"/>
        </w:trPr>
        <w:tc>
          <w:tcPr>
            <w:tcW w:w="1300" w:type="dxa"/>
            <w:vAlign w:val="bottom"/>
          </w:tcPr>
          <w:p>
            <w:pPr>
              <w:jc w:val="right"/>
              <w:ind w:right="430"/>
              <w:spacing w:after="0"/>
              <w:rPr>
                <w:sz w:val="20"/>
                <w:szCs w:val="20"/>
                <w:color w:val="auto"/>
              </w:rPr>
            </w:pPr>
            <w:r>
              <w:rPr>
                <w:rFonts w:ascii="Arial" w:cs="Arial" w:eastAsia="Arial" w:hAnsi="Arial"/>
                <w:sz w:val="18"/>
                <w:szCs w:val="18"/>
                <w:color w:val="auto"/>
              </w:rPr>
              <w:t>1.1</w:t>
            </w:r>
          </w:p>
        </w:tc>
        <w:tc>
          <w:tcPr>
            <w:tcW w:w="5880" w:type="dxa"/>
            <w:vAlign w:val="bottom"/>
          </w:tcPr>
          <w:p>
            <w:pPr>
              <w:ind w:left="400"/>
              <w:spacing w:after="0"/>
              <w:rPr>
                <w:sz w:val="20"/>
                <w:szCs w:val="20"/>
                <w:color w:val="auto"/>
              </w:rPr>
            </w:pPr>
            <w:r>
              <w:rPr>
                <w:rFonts w:ascii="Arial" w:cs="Arial" w:eastAsia="Arial" w:hAnsi="Arial"/>
                <w:sz w:val="18"/>
                <w:szCs w:val="18"/>
                <w:color w:val="auto"/>
              </w:rPr>
              <w:t>Title</w:t>
            </w:r>
          </w:p>
        </w:tc>
        <w:tc>
          <w:tcPr>
            <w:tcW w:w="1400" w:type="dxa"/>
            <w:vAlign w:val="bottom"/>
          </w:tcPr>
          <w:p>
            <w:pPr>
              <w:ind w:left="1220"/>
              <w:spacing w:after="0"/>
              <w:rPr>
                <w:sz w:val="20"/>
                <w:szCs w:val="20"/>
                <w:color w:val="auto"/>
              </w:rPr>
            </w:pPr>
            <w:r>
              <w:rPr>
                <w:rFonts w:ascii="Arial" w:cs="Arial" w:eastAsia="Arial" w:hAnsi="Arial"/>
                <w:sz w:val="18"/>
                <w:szCs w:val="18"/>
                <w:color w:val="auto"/>
              </w:rPr>
              <w:t>1</w:t>
            </w:r>
          </w:p>
        </w:tc>
      </w:tr>
      <w:tr>
        <w:trPr>
          <w:trHeight w:val="270"/>
        </w:trPr>
        <w:tc>
          <w:tcPr>
            <w:tcW w:w="1300" w:type="dxa"/>
            <w:vAlign w:val="bottom"/>
          </w:tcPr>
          <w:p>
            <w:pPr>
              <w:jc w:val="right"/>
              <w:ind w:right="430"/>
              <w:spacing w:after="0"/>
              <w:rPr>
                <w:sz w:val="20"/>
                <w:szCs w:val="20"/>
                <w:color w:val="auto"/>
              </w:rPr>
            </w:pPr>
            <w:r>
              <w:rPr>
                <w:rFonts w:ascii="Arial" w:cs="Arial" w:eastAsia="Arial" w:hAnsi="Arial"/>
                <w:sz w:val="18"/>
                <w:szCs w:val="18"/>
                <w:color w:val="auto"/>
              </w:rPr>
              <w:t>1.2</w:t>
            </w:r>
          </w:p>
        </w:tc>
        <w:tc>
          <w:tcPr>
            <w:tcW w:w="5880" w:type="dxa"/>
            <w:vAlign w:val="bottom"/>
          </w:tcPr>
          <w:p>
            <w:pPr>
              <w:ind w:left="400"/>
              <w:spacing w:after="0"/>
              <w:rPr>
                <w:sz w:val="20"/>
                <w:szCs w:val="20"/>
                <w:color w:val="auto"/>
              </w:rPr>
            </w:pPr>
            <w:r>
              <w:rPr>
                <w:rFonts w:ascii="Arial" w:cs="Arial" w:eastAsia="Arial" w:hAnsi="Arial"/>
                <w:sz w:val="18"/>
                <w:szCs w:val="18"/>
                <w:color w:val="auto"/>
              </w:rPr>
              <w:t>Purpose</w:t>
            </w:r>
          </w:p>
        </w:tc>
        <w:tc>
          <w:tcPr>
            <w:tcW w:w="1400" w:type="dxa"/>
            <w:vAlign w:val="bottom"/>
          </w:tcPr>
          <w:p>
            <w:pPr>
              <w:ind w:left="1220"/>
              <w:spacing w:after="0"/>
              <w:rPr>
                <w:sz w:val="20"/>
                <w:szCs w:val="20"/>
                <w:color w:val="auto"/>
              </w:rPr>
            </w:pPr>
            <w:r>
              <w:rPr>
                <w:rFonts w:ascii="Arial" w:cs="Arial" w:eastAsia="Arial" w:hAnsi="Arial"/>
                <w:sz w:val="18"/>
                <w:szCs w:val="18"/>
                <w:color w:val="auto"/>
              </w:rPr>
              <w:t>1</w:t>
            </w:r>
          </w:p>
        </w:tc>
      </w:tr>
      <w:tr>
        <w:trPr>
          <w:trHeight w:val="270"/>
        </w:trPr>
        <w:tc>
          <w:tcPr>
            <w:tcW w:w="1300" w:type="dxa"/>
            <w:vAlign w:val="bottom"/>
          </w:tcPr>
          <w:p>
            <w:pPr>
              <w:jc w:val="right"/>
              <w:ind w:right="430"/>
              <w:spacing w:after="0"/>
              <w:rPr>
                <w:sz w:val="20"/>
                <w:szCs w:val="20"/>
                <w:color w:val="auto"/>
              </w:rPr>
            </w:pPr>
            <w:r>
              <w:rPr>
                <w:rFonts w:ascii="Arial" w:cs="Arial" w:eastAsia="Arial" w:hAnsi="Arial"/>
                <w:sz w:val="18"/>
                <w:szCs w:val="18"/>
                <w:color w:val="auto"/>
              </w:rPr>
              <w:t>1.3</w:t>
            </w:r>
          </w:p>
        </w:tc>
        <w:tc>
          <w:tcPr>
            <w:tcW w:w="5880" w:type="dxa"/>
            <w:vAlign w:val="bottom"/>
          </w:tcPr>
          <w:p>
            <w:pPr>
              <w:ind w:left="400"/>
              <w:spacing w:after="0"/>
              <w:rPr>
                <w:sz w:val="20"/>
                <w:szCs w:val="20"/>
                <w:color w:val="auto"/>
              </w:rPr>
            </w:pPr>
            <w:r>
              <w:rPr>
                <w:rFonts w:ascii="Arial" w:cs="Arial" w:eastAsia="Arial" w:hAnsi="Arial"/>
                <w:sz w:val="18"/>
                <w:szCs w:val="18"/>
                <w:color w:val="auto"/>
              </w:rPr>
              <w:t>Effective Date</w:t>
            </w:r>
          </w:p>
        </w:tc>
        <w:tc>
          <w:tcPr>
            <w:tcW w:w="1400" w:type="dxa"/>
            <w:vAlign w:val="bottom"/>
          </w:tcPr>
          <w:p>
            <w:pPr>
              <w:ind w:left="1220"/>
              <w:spacing w:after="0"/>
              <w:rPr>
                <w:sz w:val="20"/>
                <w:szCs w:val="20"/>
                <w:color w:val="auto"/>
              </w:rPr>
            </w:pPr>
            <w:r>
              <w:rPr>
                <w:rFonts w:ascii="Arial" w:cs="Arial" w:eastAsia="Arial" w:hAnsi="Arial"/>
                <w:sz w:val="18"/>
                <w:szCs w:val="18"/>
                <w:color w:val="auto"/>
              </w:rPr>
              <w:t>1</w:t>
            </w:r>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ARTICLE II</w:t>
            </w:r>
          </w:p>
        </w:tc>
        <w:tc>
          <w:tcPr>
            <w:tcW w:w="5880" w:type="dxa"/>
            <w:vAlign w:val="bottom"/>
          </w:tcPr>
          <w:p>
            <w:pPr>
              <w:spacing w:after="0"/>
              <w:rPr>
                <w:sz w:val="23"/>
                <w:szCs w:val="23"/>
                <w:color w:val="auto"/>
              </w:rPr>
            </w:pPr>
          </w:p>
        </w:tc>
        <w:tc>
          <w:tcPr>
            <w:tcW w:w="1400" w:type="dxa"/>
            <w:vAlign w:val="bottom"/>
          </w:tcPr>
          <w:p>
            <w:pPr>
              <w:ind w:left="1220"/>
              <w:spacing w:after="0"/>
              <w:rPr>
                <w:sz w:val="20"/>
                <w:szCs w:val="20"/>
                <w:color w:val="auto"/>
              </w:rPr>
            </w:pPr>
            <w:r>
              <w:rPr>
                <w:rFonts w:ascii="Arial" w:cs="Arial" w:eastAsia="Arial" w:hAnsi="Arial"/>
                <w:sz w:val="18"/>
                <w:szCs w:val="18"/>
                <w:color w:val="auto"/>
              </w:rPr>
              <w:t>1</w:t>
            </w:r>
          </w:p>
        </w:tc>
      </w:tr>
      <w:tr>
        <w:trPr>
          <w:trHeight w:val="270"/>
        </w:trPr>
        <w:tc>
          <w:tcPr>
            <w:tcW w:w="1300" w:type="dxa"/>
            <w:vAlign w:val="bottom"/>
          </w:tcPr>
          <w:p>
            <w:pPr>
              <w:jc w:val="right"/>
              <w:ind w:right="430"/>
              <w:spacing w:after="0"/>
              <w:rPr>
                <w:sz w:val="20"/>
                <w:szCs w:val="20"/>
                <w:color w:val="auto"/>
              </w:rPr>
            </w:pPr>
            <w:r>
              <w:rPr>
                <w:rFonts w:ascii="Arial" w:cs="Arial" w:eastAsia="Arial" w:hAnsi="Arial"/>
                <w:sz w:val="18"/>
                <w:szCs w:val="18"/>
                <w:color w:val="auto"/>
              </w:rPr>
              <w:t>2.1</w:t>
            </w:r>
          </w:p>
        </w:tc>
        <w:tc>
          <w:tcPr>
            <w:tcW w:w="5880" w:type="dxa"/>
            <w:vAlign w:val="bottom"/>
          </w:tcPr>
          <w:p>
            <w:pPr>
              <w:ind w:left="400"/>
              <w:spacing w:after="0"/>
              <w:rPr>
                <w:sz w:val="20"/>
                <w:szCs w:val="20"/>
                <w:color w:val="auto"/>
              </w:rPr>
            </w:pPr>
            <w:r>
              <w:rPr>
                <w:rFonts w:ascii="Arial" w:cs="Arial" w:eastAsia="Arial" w:hAnsi="Arial"/>
                <w:sz w:val="18"/>
                <w:szCs w:val="18"/>
                <w:color w:val="auto"/>
              </w:rPr>
              <w:t>Participation</w:t>
            </w:r>
          </w:p>
        </w:tc>
        <w:tc>
          <w:tcPr>
            <w:tcW w:w="1400" w:type="dxa"/>
            <w:vAlign w:val="bottom"/>
          </w:tcPr>
          <w:p>
            <w:pPr>
              <w:ind w:left="1220"/>
              <w:spacing w:after="0"/>
              <w:rPr>
                <w:sz w:val="20"/>
                <w:szCs w:val="20"/>
                <w:color w:val="auto"/>
              </w:rPr>
            </w:pPr>
            <w:r>
              <w:rPr>
                <w:rFonts w:ascii="Arial" w:cs="Arial" w:eastAsia="Arial" w:hAnsi="Arial"/>
                <w:sz w:val="18"/>
                <w:szCs w:val="18"/>
                <w:color w:val="auto"/>
              </w:rPr>
              <w:t>1</w:t>
            </w:r>
          </w:p>
        </w:tc>
      </w:tr>
      <w:tr>
        <w:trPr>
          <w:trHeight w:val="270"/>
        </w:trPr>
        <w:tc>
          <w:tcPr>
            <w:tcW w:w="1300" w:type="dxa"/>
            <w:vAlign w:val="bottom"/>
          </w:tcPr>
          <w:p>
            <w:pPr>
              <w:jc w:val="right"/>
              <w:ind w:right="430"/>
              <w:spacing w:after="0"/>
              <w:rPr>
                <w:sz w:val="20"/>
                <w:szCs w:val="20"/>
                <w:color w:val="auto"/>
              </w:rPr>
            </w:pPr>
            <w:r>
              <w:rPr>
                <w:rFonts w:ascii="Arial" w:cs="Arial" w:eastAsia="Arial" w:hAnsi="Arial"/>
                <w:sz w:val="18"/>
                <w:szCs w:val="18"/>
                <w:color w:val="auto"/>
              </w:rPr>
              <w:t>2.2</w:t>
            </w:r>
          </w:p>
        </w:tc>
        <w:tc>
          <w:tcPr>
            <w:tcW w:w="5880" w:type="dxa"/>
            <w:vAlign w:val="bottom"/>
          </w:tcPr>
          <w:p>
            <w:pPr>
              <w:ind w:left="400"/>
              <w:spacing w:after="0"/>
              <w:rPr>
                <w:sz w:val="20"/>
                <w:szCs w:val="20"/>
                <w:color w:val="auto"/>
              </w:rPr>
            </w:pPr>
            <w:r>
              <w:rPr>
                <w:rFonts w:ascii="Arial" w:cs="Arial" w:eastAsia="Arial" w:hAnsi="Arial"/>
                <w:sz w:val="18"/>
                <w:szCs w:val="18"/>
                <w:color w:val="auto"/>
              </w:rPr>
              <w:t>Time of Eligibility</w:t>
            </w:r>
          </w:p>
        </w:tc>
        <w:tc>
          <w:tcPr>
            <w:tcW w:w="1400" w:type="dxa"/>
            <w:vAlign w:val="bottom"/>
          </w:tcPr>
          <w:p>
            <w:pPr>
              <w:ind w:left="1220"/>
              <w:spacing w:after="0"/>
              <w:rPr>
                <w:sz w:val="20"/>
                <w:szCs w:val="20"/>
                <w:color w:val="auto"/>
              </w:rPr>
            </w:pPr>
            <w:r>
              <w:rPr>
                <w:rFonts w:ascii="Arial" w:cs="Arial" w:eastAsia="Arial" w:hAnsi="Arial"/>
                <w:sz w:val="18"/>
                <w:szCs w:val="18"/>
                <w:color w:val="auto"/>
              </w:rPr>
              <w:t>1</w:t>
            </w:r>
          </w:p>
        </w:tc>
      </w:tr>
      <w:tr>
        <w:trPr>
          <w:trHeight w:val="270"/>
        </w:trPr>
        <w:tc>
          <w:tcPr>
            <w:tcW w:w="7180" w:type="dxa"/>
            <w:vAlign w:val="bottom"/>
            <w:gridSpan w:val="2"/>
          </w:tcPr>
          <w:p>
            <w:pPr>
              <w:spacing w:after="0"/>
              <w:rPr>
                <w:sz w:val="20"/>
                <w:szCs w:val="20"/>
                <w:color w:val="auto"/>
              </w:rPr>
            </w:pPr>
            <w:r>
              <w:rPr>
                <w:rFonts w:ascii="Arial" w:cs="Arial" w:eastAsia="Arial" w:hAnsi="Arial"/>
                <w:sz w:val="18"/>
                <w:szCs w:val="18"/>
                <w:color w:val="auto"/>
              </w:rPr>
              <w:t>ARTICLE III DEFERRAL OF COMPENSATION</w:t>
            </w:r>
          </w:p>
        </w:tc>
        <w:tc>
          <w:tcPr>
            <w:tcW w:w="1400" w:type="dxa"/>
            <w:vAlign w:val="bottom"/>
          </w:tcPr>
          <w:p>
            <w:pPr>
              <w:ind w:left="1220"/>
              <w:spacing w:after="0"/>
              <w:rPr>
                <w:sz w:val="20"/>
                <w:szCs w:val="20"/>
                <w:color w:val="auto"/>
              </w:rPr>
            </w:pPr>
            <w:r>
              <w:rPr>
                <w:rFonts w:ascii="Arial" w:cs="Arial" w:eastAsia="Arial" w:hAnsi="Arial"/>
                <w:sz w:val="18"/>
                <w:szCs w:val="18"/>
                <w:color w:val="auto"/>
              </w:rPr>
              <w:t>1</w:t>
            </w:r>
          </w:p>
        </w:tc>
      </w:tr>
      <w:tr>
        <w:trPr>
          <w:trHeight w:val="270"/>
        </w:trPr>
        <w:tc>
          <w:tcPr>
            <w:tcW w:w="1300" w:type="dxa"/>
            <w:vAlign w:val="bottom"/>
          </w:tcPr>
          <w:p>
            <w:pPr>
              <w:jc w:val="right"/>
              <w:ind w:right="430"/>
              <w:spacing w:after="0"/>
              <w:rPr>
                <w:sz w:val="20"/>
                <w:szCs w:val="20"/>
                <w:color w:val="auto"/>
              </w:rPr>
            </w:pPr>
            <w:r>
              <w:rPr>
                <w:rFonts w:ascii="Arial" w:cs="Arial" w:eastAsia="Arial" w:hAnsi="Arial"/>
                <w:sz w:val="18"/>
                <w:szCs w:val="18"/>
                <w:color w:val="auto"/>
              </w:rPr>
              <w:t>3.1</w:t>
            </w:r>
          </w:p>
        </w:tc>
        <w:tc>
          <w:tcPr>
            <w:tcW w:w="5880" w:type="dxa"/>
            <w:vAlign w:val="bottom"/>
          </w:tcPr>
          <w:p>
            <w:pPr>
              <w:ind w:left="400"/>
              <w:spacing w:after="0"/>
              <w:rPr>
                <w:sz w:val="20"/>
                <w:szCs w:val="20"/>
                <w:color w:val="auto"/>
              </w:rPr>
            </w:pPr>
            <w:r>
              <w:rPr>
                <w:rFonts w:ascii="Arial" w:cs="Arial" w:eastAsia="Arial" w:hAnsi="Arial"/>
                <w:sz w:val="18"/>
                <w:szCs w:val="18"/>
                <w:color w:val="auto"/>
              </w:rPr>
              <w:t>Deferral Elections</w:t>
            </w:r>
          </w:p>
        </w:tc>
        <w:tc>
          <w:tcPr>
            <w:tcW w:w="1400" w:type="dxa"/>
            <w:vAlign w:val="bottom"/>
          </w:tcPr>
          <w:p>
            <w:pPr>
              <w:ind w:left="1220"/>
              <w:spacing w:after="0"/>
              <w:rPr>
                <w:sz w:val="20"/>
                <w:szCs w:val="20"/>
                <w:color w:val="auto"/>
              </w:rPr>
            </w:pPr>
            <w:r>
              <w:rPr>
                <w:rFonts w:ascii="Arial" w:cs="Arial" w:eastAsia="Arial" w:hAnsi="Arial"/>
                <w:sz w:val="18"/>
                <w:szCs w:val="18"/>
                <w:color w:val="auto"/>
              </w:rPr>
              <w:t>1</w:t>
            </w:r>
          </w:p>
        </w:tc>
      </w:tr>
      <w:tr>
        <w:trPr>
          <w:trHeight w:val="270"/>
        </w:trPr>
        <w:tc>
          <w:tcPr>
            <w:tcW w:w="1300" w:type="dxa"/>
            <w:vAlign w:val="bottom"/>
          </w:tcPr>
          <w:p>
            <w:pPr>
              <w:jc w:val="right"/>
              <w:ind w:right="430"/>
              <w:spacing w:after="0"/>
              <w:rPr>
                <w:sz w:val="20"/>
                <w:szCs w:val="20"/>
                <w:color w:val="auto"/>
              </w:rPr>
            </w:pPr>
            <w:r>
              <w:rPr>
                <w:rFonts w:ascii="Arial" w:cs="Arial" w:eastAsia="Arial" w:hAnsi="Arial"/>
                <w:sz w:val="18"/>
                <w:szCs w:val="18"/>
                <w:color w:val="auto"/>
              </w:rPr>
              <w:t>3.2</w:t>
            </w:r>
          </w:p>
        </w:tc>
        <w:tc>
          <w:tcPr>
            <w:tcW w:w="5880" w:type="dxa"/>
            <w:vAlign w:val="bottom"/>
          </w:tcPr>
          <w:p>
            <w:pPr>
              <w:ind w:left="400"/>
              <w:spacing w:after="0"/>
              <w:rPr>
                <w:sz w:val="20"/>
                <w:szCs w:val="20"/>
                <w:color w:val="auto"/>
              </w:rPr>
            </w:pPr>
            <w:r>
              <w:rPr>
                <w:rFonts w:ascii="Arial" w:cs="Arial" w:eastAsia="Arial" w:hAnsi="Arial"/>
                <w:sz w:val="18"/>
                <w:szCs w:val="18"/>
                <w:color w:val="auto"/>
              </w:rPr>
              <w:t>Amount of Deferral</w:t>
            </w:r>
          </w:p>
        </w:tc>
        <w:tc>
          <w:tcPr>
            <w:tcW w:w="1400" w:type="dxa"/>
            <w:vAlign w:val="bottom"/>
          </w:tcPr>
          <w:p>
            <w:pPr>
              <w:ind w:left="1220"/>
              <w:spacing w:after="0"/>
              <w:rPr>
                <w:sz w:val="20"/>
                <w:szCs w:val="20"/>
                <w:color w:val="auto"/>
              </w:rPr>
            </w:pPr>
            <w:r>
              <w:rPr>
                <w:rFonts w:ascii="Arial" w:cs="Arial" w:eastAsia="Arial" w:hAnsi="Arial"/>
                <w:sz w:val="18"/>
                <w:szCs w:val="18"/>
                <w:color w:val="auto"/>
              </w:rPr>
              <w:t>3</w:t>
            </w:r>
          </w:p>
        </w:tc>
      </w:tr>
      <w:tr>
        <w:trPr>
          <w:trHeight w:val="270"/>
        </w:trPr>
        <w:tc>
          <w:tcPr>
            <w:tcW w:w="1300" w:type="dxa"/>
            <w:vAlign w:val="bottom"/>
          </w:tcPr>
          <w:p>
            <w:pPr>
              <w:jc w:val="right"/>
              <w:ind w:right="430"/>
              <w:spacing w:after="0"/>
              <w:rPr>
                <w:sz w:val="20"/>
                <w:szCs w:val="20"/>
                <w:color w:val="auto"/>
              </w:rPr>
            </w:pPr>
            <w:r>
              <w:rPr>
                <w:rFonts w:ascii="Arial" w:cs="Arial" w:eastAsia="Arial" w:hAnsi="Arial"/>
                <w:sz w:val="18"/>
                <w:szCs w:val="18"/>
                <w:color w:val="auto"/>
              </w:rPr>
              <w:t>3.3</w:t>
            </w:r>
          </w:p>
        </w:tc>
        <w:tc>
          <w:tcPr>
            <w:tcW w:w="5880" w:type="dxa"/>
            <w:vAlign w:val="bottom"/>
          </w:tcPr>
          <w:p>
            <w:pPr>
              <w:ind w:left="400"/>
              <w:spacing w:after="0"/>
              <w:rPr>
                <w:sz w:val="20"/>
                <w:szCs w:val="20"/>
                <w:color w:val="auto"/>
              </w:rPr>
            </w:pPr>
            <w:r>
              <w:rPr>
                <w:rFonts w:ascii="Arial" w:cs="Arial" w:eastAsia="Arial" w:hAnsi="Arial"/>
                <w:sz w:val="18"/>
                <w:szCs w:val="18"/>
                <w:color w:val="auto"/>
              </w:rPr>
              <w:t>Effect of Election to Defer Equity Compensation</w:t>
            </w:r>
          </w:p>
        </w:tc>
        <w:tc>
          <w:tcPr>
            <w:tcW w:w="1400" w:type="dxa"/>
            <w:vAlign w:val="bottom"/>
          </w:tcPr>
          <w:p>
            <w:pPr>
              <w:ind w:left="1220"/>
              <w:spacing w:after="0"/>
              <w:rPr>
                <w:sz w:val="20"/>
                <w:szCs w:val="20"/>
                <w:color w:val="auto"/>
              </w:rPr>
            </w:pPr>
            <w:r>
              <w:rPr>
                <w:rFonts w:ascii="Arial" w:cs="Arial" w:eastAsia="Arial" w:hAnsi="Arial"/>
                <w:sz w:val="18"/>
                <w:szCs w:val="18"/>
                <w:color w:val="auto"/>
              </w:rPr>
              <w:t>3</w:t>
            </w:r>
          </w:p>
        </w:tc>
      </w:tr>
      <w:tr>
        <w:trPr>
          <w:trHeight w:val="270"/>
        </w:trPr>
        <w:tc>
          <w:tcPr>
            <w:tcW w:w="1300" w:type="dxa"/>
            <w:vAlign w:val="bottom"/>
          </w:tcPr>
          <w:p>
            <w:pPr>
              <w:jc w:val="right"/>
              <w:ind w:right="430"/>
              <w:spacing w:after="0"/>
              <w:rPr>
                <w:sz w:val="20"/>
                <w:szCs w:val="20"/>
                <w:color w:val="auto"/>
              </w:rPr>
            </w:pPr>
            <w:r>
              <w:rPr>
                <w:rFonts w:ascii="Arial" w:cs="Arial" w:eastAsia="Arial" w:hAnsi="Arial"/>
                <w:sz w:val="18"/>
                <w:szCs w:val="18"/>
                <w:color w:val="auto"/>
              </w:rPr>
              <w:t>3.4</w:t>
            </w:r>
          </w:p>
        </w:tc>
        <w:tc>
          <w:tcPr>
            <w:tcW w:w="5880" w:type="dxa"/>
            <w:vAlign w:val="bottom"/>
          </w:tcPr>
          <w:p>
            <w:pPr>
              <w:ind w:left="400"/>
              <w:spacing w:after="0"/>
              <w:rPr>
                <w:sz w:val="20"/>
                <w:szCs w:val="20"/>
                <w:color w:val="auto"/>
              </w:rPr>
            </w:pPr>
            <w:r>
              <w:rPr>
                <w:rFonts w:ascii="Arial" w:cs="Arial" w:eastAsia="Arial" w:hAnsi="Arial"/>
                <w:sz w:val="18"/>
                <w:szCs w:val="18"/>
                <w:color w:val="auto"/>
              </w:rPr>
              <w:t>Minimum Deferral</w:t>
            </w:r>
          </w:p>
        </w:tc>
        <w:tc>
          <w:tcPr>
            <w:tcW w:w="1400" w:type="dxa"/>
            <w:vAlign w:val="bottom"/>
          </w:tcPr>
          <w:p>
            <w:pPr>
              <w:ind w:left="1220"/>
              <w:spacing w:after="0"/>
              <w:rPr>
                <w:sz w:val="20"/>
                <w:szCs w:val="20"/>
                <w:color w:val="auto"/>
              </w:rPr>
            </w:pPr>
            <w:r>
              <w:rPr>
                <w:rFonts w:ascii="Arial" w:cs="Arial" w:eastAsia="Arial" w:hAnsi="Arial"/>
                <w:sz w:val="18"/>
                <w:szCs w:val="18"/>
                <w:color w:val="auto"/>
              </w:rPr>
              <w:t>3</w:t>
            </w:r>
          </w:p>
        </w:tc>
      </w:tr>
      <w:tr>
        <w:trPr>
          <w:trHeight w:val="270"/>
        </w:trPr>
        <w:tc>
          <w:tcPr>
            <w:tcW w:w="1300" w:type="dxa"/>
            <w:vAlign w:val="bottom"/>
          </w:tcPr>
          <w:p>
            <w:pPr>
              <w:jc w:val="right"/>
              <w:ind w:right="430"/>
              <w:spacing w:after="0"/>
              <w:rPr>
                <w:sz w:val="20"/>
                <w:szCs w:val="20"/>
                <w:color w:val="auto"/>
              </w:rPr>
            </w:pPr>
            <w:r>
              <w:rPr>
                <w:rFonts w:ascii="Arial" w:cs="Arial" w:eastAsia="Arial" w:hAnsi="Arial"/>
                <w:sz w:val="18"/>
                <w:szCs w:val="18"/>
                <w:color w:val="auto"/>
              </w:rPr>
              <w:t>3.5</w:t>
            </w:r>
          </w:p>
        </w:tc>
        <w:tc>
          <w:tcPr>
            <w:tcW w:w="5880" w:type="dxa"/>
            <w:vAlign w:val="bottom"/>
          </w:tcPr>
          <w:p>
            <w:pPr>
              <w:ind w:left="400"/>
              <w:spacing w:after="0"/>
              <w:rPr>
                <w:sz w:val="20"/>
                <w:szCs w:val="20"/>
                <w:color w:val="auto"/>
              </w:rPr>
            </w:pPr>
            <w:r>
              <w:rPr>
                <w:rFonts w:ascii="Arial" w:cs="Arial" w:eastAsia="Arial" w:hAnsi="Arial"/>
                <w:sz w:val="18"/>
                <w:szCs w:val="18"/>
                <w:color w:val="auto"/>
              </w:rPr>
              <w:t>Requirement for Deferral Agreement</w:t>
            </w:r>
          </w:p>
        </w:tc>
        <w:tc>
          <w:tcPr>
            <w:tcW w:w="1400" w:type="dxa"/>
            <w:vAlign w:val="bottom"/>
          </w:tcPr>
          <w:p>
            <w:pPr>
              <w:ind w:left="1220"/>
              <w:spacing w:after="0"/>
              <w:rPr>
                <w:sz w:val="20"/>
                <w:szCs w:val="20"/>
                <w:color w:val="auto"/>
              </w:rPr>
            </w:pPr>
            <w:r>
              <w:rPr>
                <w:rFonts w:ascii="Arial" w:cs="Arial" w:eastAsia="Arial" w:hAnsi="Arial"/>
                <w:sz w:val="18"/>
                <w:szCs w:val="18"/>
                <w:color w:val="auto"/>
              </w:rPr>
              <w:t>3</w:t>
            </w:r>
          </w:p>
        </w:tc>
      </w:tr>
      <w:tr>
        <w:trPr>
          <w:trHeight w:val="270"/>
        </w:trPr>
        <w:tc>
          <w:tcPr>
            <w:tcW w:w="1300" w:type="dxa"/>
            <w:vAlign w:val="bottom"/>
          </w:tcPr>
          <w:p>
            <w:pPr>
              <w:jc w:val="right"/>
              <w:ind w:right="430"/>
              <w:spacing w:after="0"/>
              <w:rPr>
                <w:sz w:val="20"/>
                <w:szCs w:val="20"/>
                <w:color w:val="auto"/>
              </w:rPr>
            </w:pPr>
            <w:r>
              <w:rPr>
                <w:rFonts w:ascii="Arial" w:cs="Arial" w:eastAsia="Arial" w:hAnsi="Arial"/>
                <w:sz w:val="18"/>
                <w:szCs w:val="18"/>
                <w:color w:val="auto"/>
              </w:rPr>
              <w:t>3.6</w:t>
            </w:r>
          </w:p>
        </w:tc>
        <w:tc>
          <w:tcPr>
            <w:tcW w:w="5880" w:type="dxa"/>
            <w:vAlign w:val="bottom"/>
          </w:tcPr>
          <w:p>
            <w:pPr>
              <w:ind w:left="400"/>
              <w:spacing w:after="0"/>
              <w:rPr>
                <w:sz w:val="20"/>
                <w:szCs w:val="20"/>
                <w:color w:val="auto"/>
              </w:rPr>
            </w:pPr>
            <w:r>
              <w:rPr>
                <w:rFonts w:ascii="Arial" w:cs="Arial" w:eastAsia="Arial" w:hAnsi="Arial"/>
                <w:sz w:val="18"/>
                <w:szCs w:val="18"/>
                <w:color w:val="auto"/>
              </w:rPr>
              <w:t>Applicability of Deferral Agreement</w:t>
            </w:r>
          </w:p>
        </w:tc>
        <w:tc>
          <w:tcPr>
            <w:tcW w:w="1400" w:type="dxa"/>
            <w:vAlign w:val="bottom"/>
          </w:tcPr>
          <w:p>
            <w:pPr>
              <w:ind w:left="1220"/>
              <w:spacing w:after="0"/>
              <w:rPr>
                <w:sz w:val="20"/>
                <w:szCs w:val="20"/>
                <w:color w:val="auto"/>
              </w:rPr>
            </w:pPr>
            <w:r>
              <w:rPr>
                <w:rFonts w:ascii="Arial" w:cs="Arial" w:eastAsia="Arial" w:hAnsi="Arial"/>
                <w:sz w:val="18"/>
                <w:szCs w:val="18"/>
                <w:color w:val="auto"/>
              </w:rPr>
              <w:t>3</w:t>
            </w:r>
          </w:p>
        </w:tc>
      </w:tr>
      <w:tr>
        <w:trPr>
          <w:trHeight w:val="270"/>
        </w:trPr>
        <w:tc>
          <w:tcPr>
            <w:tcW w:w="1300" w:type="dxa"/>
            <w:vAlign w:val="bottom"/>
          </w:tcPr>
          <w:p>
            <w:pPr>
              <w:jc w:val="right"/>
              <w:ind w:right="430"/>
              <w:spacing w:after="0"/>
              <w:rPr>
                <w:sz w:val="20"/>
                <w:szCs w:val="20"/>
                <w:color w:val="auto"/>
              </w:rPr>
            </w:pPr>
            <w:r>
              <w:rPr>
                <w:rFonts w:ascii="Arial" w:cs="Arial" w:eastAsia="Arial" w:hAnsi="Arial"/>
                <w:sz w:val="18"/>
                <w:szCs w:val="18"/>
                <w:color w:val="auto"/>
              </w:rPr>
              <w:t>3.7</w:t>
            </w:r>
          </w:p>
        </w:tc>
        <w:tc>
          <w:tcPr>
            <w:tcW w:w="5880" w:type="dxa"/>
            <w:vAlign w:val="bottom"/>
          </w:tcPr>
          <w:p>
            <w:pPr>
              <w:ind w:left="400"/>
              <w:spacing w:after="0"/>
              <w:rPr>
                <w:sz w:val="20"/>
                <w:szCs w:val="20"/>
                <w:color w:val="auto"/>
              </w:rPr>
            </w:pPr>
            <w:r>
              <w:rPr>
                <w:rFonts w:ascii="Arial" w:cs="Arial" w:eastAsia="Arial" w:hAnsi="Arial"/>
                <w:sz w:val="18"/>
                <w:szCs w:val="18"/>
                <w:color w:val="auto"/>
              </w:rPr>
              <w:t>Suspension of Participation</w:t>
            </w:r>
          </w:p>
        </w:tc>
        <w:tc>
          <w:tcPr>
            <w:tcW w:w="1400" w:type="dxa"/>
            <w:vAlign w:val="bottom"/>
          </w:tcPr>
          <w:p>
            <w:pPr>
              <w:ind w:left="1220"/>
              <w:spacing w:after="0"/>
              <w:rPr>
                <w:sz w:val="20"/>
                <w:szCs w:val="20"/>
                <w:color w:val="auto"/>
              </w:rPr>
            </w:pPr>
            <w:r>
              <w:rPr>
                <w:rFonts w:ascii="Arial" w:cs="Arial" w:eastAsia="Arial" w:hAnsi="Arial"/>
                <w:sz w:val="18"/>
                <w:szCs w:val="18"/>
                <w:color w:val="auto"/>
              </w:rPr>
              <w:t>4</w:t>
            </w:r>
          </w:p>
        </w:tc>
      </w:tr>
      <w:tr>
        <w:trPr>
          <w:trHeight w:val="270"/>
        </w:trPr>
        <w:tc>
          <w:tcPr>
            <w:tcW w:w="7180" w:type="dxa"/>
            <w:vAlign w:val="bottom"/>
            <w:gridSpan w:val="2"/>
          </w:tcPr>
          <w:p>
            <w:pPr>
              <w:spacing w:after="0"/>
              <w:rPr>
                <w:sz w:val="20"/>
                <w:szCs w:val="20"/>
                <w:color w:val="auto"/>
              </w:rPr>
            </w:pPr>
            <w:r>
              <w:rPr>
                <w:rFonts w:ascii="Arial" w:cs="Arial" w:eastAsia="Arial" w:hAnsi="Arial"/>
                <w:sz w:val="18"/>
                <w:szCs w:val="18"/>
                <w:color w:val="auto"/>
              </w:rPr>
              <w:t>ARTICLE IV APPRECIATION UNIT AWARDS AND VALUATION</w:t>
            </w:r>
          </w:p>
        </w:tc>
        <w:tc>
          <w:tcPr>
            <w:tcW w:w="1400" w:type="dxa"/>
            <w:vAlign w:val="bottom"/>
          </w:tcPr>
          <w:p>
            <w:pPr>
              <w:ind w:left="1220"/>
              <w:spacing w:after="0"/>
              <w:rPr>
                <w:sz w:val="20"/>
                <w:szCs w:val="20"/>
                <w:color w:val="auto"/>
              </w:rPr>
            </w:pPr>
            <w:r>
              <w:rPr>
                <w:rFonts w:ascii="Arial" w:cs="Arial" w:eastAsia="Arial" w:hAnsi="Arial"/>
                <w:sz w:val="18"/>
                <w:szCs w:val="18"/>
                <w:color w:val="auto"/>
              </w:rPr>
              <w:t>4</w:t>
            </w:r>
          </w:p>
        </w:tc>
      </w:tr>
      <w:tr>
        <w:trPr>
          <w:trHeight w:val="270"/>
        </w:trPr>
        <w:tc>
          <w:tcPr>
            <w:tcW w:w="1300" w:type="dxa"/>
            <w:vAlign w:val="bottom"/>
          </w:tcPr>
          <w:p>
            <w:pPr>
              <w:jc w:val="right"/>
              <w:ind w:right="430"/>
              <w:spacing w:after="0"/>
              <w:rPr>
                <w:sz w:val="20"/>
                <w:szCs w:val="20"/>
                <w:color w:val="auto"/>
              </w:rPr>
            </w:pPr>
            <w:r>
              <w:rPr>
                <w:rFonts w:ascii="Arial" w:cs="Arial" w:eastAsia="Arial" w:hAnsi="Arial"/>
                <w:sz w:val="18"/>
                <w:szCs w:val="18"/>
                <w:color w:val="auto"/>
              </w:rPr>
              <w:t>4.1</w:t>
            </w:r>
          </w:p>
        </w:tc>
        <w:tc>
          <w:tcPr>
            <w:tcW w:w="5880" w:type="dxa"/>
            <w:vAlign w:val="bottom"/>
          </w:tcPr>
          <w:p>
            <w:pPr>
              <w:ind w:left="400"/>
              <w:spacing w:after="0"/>
              <w:rPr>
                <w:sz w:val="20"/>
                <w:szCs w:val="20"/>
                <w:color w:val="auto"/>
              </w:rPr>
            </w:pPr>
            <w:r>
              <w:rPr>
                <w:rFonts w:ascii="Arial" w:cs="Arial" w:eastAsia="Arial" w:hAnsi="Arial"/>
                <w:sz w:val="18"/>
                <w:szCs w:val="18"/>
                <w:color w:val="auto"/>
              </w:rPr>
              <w:t>Participation</w:t>
            </w:r>
          </w:p>
        </w:tc>
        <w:tc>
          <w:tcPr>
            <w:tcW w:w="1400" w:type="dxa"/>
            <w:vAlign w:val="bottom"/>
          </w:tcPr>
          <w:p>
            <w:pPr>
              <w:ind w:left="1220"/>
              <w:spacing w:after="0"/>
              <w:rPr>
                <w:sz w:val="20"/>
                <w:szCs w:val="20"/>
                <w:color w:val="auto"/>
              </w:rPr>
            </w:pPr>
            <w:r>
              <w:rPr>
                <w:rFonts w:ascii="Arial" w:cs="Arial" w:eastAsia="Arial" w:hAnsi="Arial"/>
                <w:sz w:val="18"/>
                <w:szCs w:val="18"/>
                <w:color w:val="auto"/>
              </w:rPr>
              <w:t>4</w:t>
            </w:r>
          </w:p>
        </w:tc>
      </w:tr>
      <w:tr>
        <w:trPr>
          <w:trHeight w:val="270"/>
        </w:trPr>
        <w:tc>
          <w:tcPr>
            <w:tcW w:w="1300" w:type="dxa"/>
            <w:vAlign w:val="bottom"/>
          </w:tcPr>
          <w:p>
            <w:pPr>
              <w:jc w:val="right"/>
              <w:ind w:right="430"/>
              <w:spacing w:after="0"/>
              <w:rPr>
                <w:sz w:val="20"/>
                <w:szCs w:val="20"/>
                <w:color w:val="auto"/>
              </w:rPr>
            </w:pPr>
            <w:r>
              <w:rPr>
                <w:rFonts w:ascii="Arial" w:cs="Arial" w:eastAsia="Arial" w:hAnsi="Arial"/>
                <w:sz w:val="18"/>
                <w:szCs w:val="18"/>
                <w:color w:val="auto"/>
              </w:rPr>
              <w:t>4.2</w:t>
            </w:r>
          </w:p>
        </w:tc>
        <w:tc>
          <w:tcPr>
            <w:tcW w:w="5880" w:type="dxa"/>
            <w:vAlign w:val="bottom"/>
          </w:tcPr>
          <w:p>
            <w:pPr>
              <w:ind w:left="400"/>
              <w:spacing w:after="0"/>
              <w:rPr>
                <w:sz w:val="20"/>
                <w:szCs w:val="20"/>
                <w:color w:val="auto"/>
              </w:rPr>
            </w:pPr>
            <w:r>
              <w:rPr>
                <w:rFonts w:ascii="Arial" w:cs="Arial" w:eastAsia="Arial" w:hAnsi="Arial"/>
                <w:sz w:val="18"/>
                <w:szCs w:val="18"/>
                <w:color w:val="auto"/>
              </w:rPr>
              <w:t>Award of Units</w:t>
            </w:r>
          </w:p>
        </w:tc>
        <w:tc>
          <w:tcPr>
            <w:tcW w:w="1400" w:type="dxa"/>
            <w:vAlign w:val="bottom"/>
          </w:tcPr>
          <w:p>
            <w:pPr>
              <w:ind w:left="1220"/>
              <w:spacing w:after="0"/>
              <w:rPr>
                <w:sz w:val="20"/>
                <w:szCs w:val="20"/>
                <w:color w:val="auto"/>
              </w:rPr>
            </w:pPr>
            <w:r>
              <w:rPr>
                <w:rFonts w:ascii="Arial" w:cs="Arial" w:eastAsia="Arial" w:hAnsi="Arial"/>
                <w:sz w:val="18"/>
                <w:szCs w:val="18"/>
                <w:color w:val="auto"/>
              </w:rPr>
              <w:t>4</w:t>
            </w:r>
          </w:p>
        </w:tc>
      </w:tr>
      <w:tr>
        <w:trPr>
          <w:trHeight w:val="270"/>
        </w:trPr>
        <w:tc>
          <w:tcPr>
            <w:tcW w:w="1300" w:type="dxa"/>
            <w:vAlign w:val="bottom"/>
          </w:tcPr>
          <w:p>
            <w:pPr>
              <w:jc w:val="right"/>
              <w:ind w:right="430"/>
              <w:spacing w:after="0"/>
              <w:rPr>
                <w:sz w:val="20"/>
                <w:szCs w:val="20"/>
                <w:color w:val="auto"/>
              </w:rPr>
            </w:pPr>
            <w:r>
              <w:rPr>
                <w:rFonts w:ascii="Arial" w:cs="Arial" w:eastAsia="Arial" w:hAnsi="Arial"/>
                <w:sz w:val="18"/>
                <w:szCs w:val="18"/>
                <w:color w:val="auto"/>
              </w:rPr>
              <w:t>4.3</w:t>
            </w:r>
          </w:p>
        </w:tc>
        <w:tc>
          <w:tcPr>
            <w:tcW w:w="5880" w:type="dxa"/>
            <w:vAlign w:val="bottom"/>
          </w:tcPr>
          <w:p>
            <w:pPr>
              <w:ind w:left="400"/>
              <w:spacing w:after="0"/>
              <w:rPr>
                <w:sz w:val="20"/>
                <w:szCs w:val="20"/>
                <w:color w:val="auto"/>
              </w:rPr>
            </w:pPr>
            <w:r>
              <w:rPr>
                <w:rFonts w:ascii="Arial" w:cs="Arial" w:eastAsia="Arial" w:hAnsi="Arial"/>
                <w:sz w:val="18"/>
                <w:szCs w:val="18"/>
                <w:color w:val="auto"/>
              </w:rPr>
              <w:t>Nature of Units</w:t>
            </w:r>
          </w:p>
        </w:tc>
        <w:tc>
          <w:tcPr>
            <w:tcW w:w="1400" w:type="dxa"/>
            <w:vAlign w:val="bottom"/>
          </w:tcPr>
          <w:p>
            <w:pPr>
              <w:ind w:left="1220"/>
              <w:spacing w:after="0"/>
              <w:rPr>
                <w:sz w:val="20"/>
                <w:szCs w:val="20"/>
                <w:color w:val="auto"/>
              </w:rPr>
            </w:pPr>
            <w:r>
              <w:rPr>
                <w:rFonts w:ascii="Arial" w:cs="Arial" w:eastAsia="Arial" w:hAnsi="Arial"/>
                <w:sz w:val="18"/>
                <w:szCs w:val="18"/>
                <w:color w:val="auto"/>
              </w:rPr>
              <w:t>4</w:t>
            </w:r>
          </w:p>
        </w:tc>
      </w:tr>
      <w:tr>
        <w:trPr>
          <w:trHeight w:val="270"/>
        </w:trPr>
        <w:tc>
          <w:tcPr>
            <w:tcW w:w="1300" w:type="dxa"/>
            <w:vAlign w:val="bottom"/>
          </w:tcPr>
          <w:p>
            <w:pPr>
              <w:jc w:val="right"/>
              <w:ind w:right="430"/>
              <w:spacing w:after="0"/>
              <w:rPr>
                <w:sz w:val="20"/>
                <w:szCs w:val="20"/>
                <w:color w:val="auto"/>
              </w:rPr>
            </w:pPr>
            <w:r>
              <w:rPr>
                <w:rFonts w:ascii="Arial" w:cs="Arial" w:eastAsia="Arial" w:hAnsi="Arial"/>
                <w:sz w:val="18"/>
                <w:szCs w:val="18"/>
                <w:color w:val="auto"/>
              </w:rPr>
              <w:t>4.4</w:t>
            </w:r>
          </w:p>
        </w:tc>
        <w:tc>
          <w:tcPr>
            <w:tcW w:w="5880" w:type="dxa"/>
            <w:vAlign w:val="bottom"/>
          </w:tcPr>
          <w:p>
            <w:pPr>
              <w:ind w:left="400"/>
              <w:spacing w:after="0"/>
              <w:rPr>
                <w:sz w:val="20"/>
                <w:szCs w:val="20"/>
                <w:color w:val="auto"/>
              </w:rPr>
            </w:pPr>
            <w:r>
              <w:rPr>
                <w:rFonts w:ascii="Arial" w:cs="Arial" w:eastAsia="Arial" w:hAnsi="Arial"/>
                <w:sz w:val="18"/>
                <w:szCs w:val="18"/>
                <w:color w:val="auto"/>
              </w:rPr>
              <w:t>Conversion</w:t>
            </w:r>
          </w:p>
        </w:tc>
        <w:tc>
          <w:tcPr>
            <w:tcW w:w="1400" w:type="dxa"/>
            <w:vAlign w:val="bottom"/>
          </w:tcPr>
          <w:p>
            <w:pPr>
              <w:ind w:left="1220"/>
              <w:spacing w:after="0"/>
              <w:rPr>
                <w:sz w:val="20"/>
                <w:szCs w:val="20"/>
                <w:color w:val="auto"/>
              </w:rPr>
            </w:pPr>
            <w:r>
              <w:rPr>
                <w:rFonts w:ascii="Arial" w:cs="Arial" w:eastAsia="Arial" w:hAnsi="Arial"/>
                <w:sz w:val="18"/>
                <w:szCs w:val="18"/>
                <w:color w:val="auto"/>
              </w:rPr>
              <w:t>4</w:t>
            </w:r>
          </w:p>
        </w:tc>
      </w:tr>
      <w:tr>
        <w:trPr>
          <w:trHeight w:val="270"/>
        </w:trPr>
        <w:tc>
          <w:tcPr>
            <w:tcW w:w="1300" w:type="dxa"/>
            <w:vAlign w:val="bottom"/>
          </w:tcPr>
          <w:p>
            <w:pPr>
              <w:jc w:val="right"/>
              <w:ind w:right="430"/>
              <w:spacing w:after="0"/>
              <w:rPr>
                <w:sz w:val="20"/>
                <w:szCs w:val="20"/>
                <w:color w:val="auto"/>
              </w:rPr>
            </w:pPr>
            <w:r>
              <w:rPr>
                <w:rFonts w:ascii="Arial" w:cs="Arial" w:eastAsia="Arial" w:hAnsi="Arial"/>
                <w:sz w:val="18"/>
                <w:szCs w:val="18"/>
                <w:color w:val="auto"/>
              </w:rPr>
              <w:t>4.5</w:t>
            </w:r>
          </w:p>
        </w:tc>
        <w:tc>
          <w:tcPr>
            <w:tcW w:w="5880" w:type="dxa"/>
            <w:vAlign w:val="bottom"/>
          </w:tcPr>
          <w:p>
            <w:pPr>
              <w:ind w:left="400"/>
              <w:spacing w:after="0"/>
              <w:rPr>
                <w:sz w:val="20"/>
                <w:szCs w:val="20"/>
                <w:color w:val="auto"/>
              </w:rPr>
            </w:pPr>
            <w:r>
              <w:rPr>
                <w:rFonts w:ascii="Arial" w:cs="Arial" w:eastAsia="Arial" w:hAnsi="Arial"/>
                <w:sz w:val="18"/>
                <w:szCs w:val="18"/>
                <w:color w:val="auto"/>
              </w:rPr>
              <w:t>Valuation</w:t>
            </w:r>
          </w:p>
        </w:tc>
        <w:tc>
          <w:tcPr>
            <w:tcW w:w="1400" w:type="dxa"/>
            <w:vAlign w:val="bottom"/>
          </w:tcPr>
          <w:p>
            <w:pPr>
              <w:ind w:left="1220"/>
              <w:spacing w:after="0"/>
              <w:rPr>
                <w:sz w:val="20"/>
                <w:szCs w:val="20"/>
                <w:color w:val="auto"/>
              </w:rPr>
            </w:pPr>
            <w:r>
              <w:rPr>
                <w:rFonts w:ascii="Arial" w:cs="Arial" w:eastAsia="Arial" w:hAnsi="Arial"/>
                <w:sz w:val="18"/>
                <w:szCs w:val="18"/>
                <w:color w:val="auto"/>
              </w:rPr>
              <w:t>4</w:t>
            </w:r>
          </w:p>
        </w:tc>
      </w:tr>
      <w:tr>
        <w:trPr>
          <w:trHeight w:val="270"/>
        </w:trPr>
        <w:tc>
          <w:tcPr>
            <w:tcW w:w="1300" w:type="dxa"/>
            <w:vAlign w:val="bottom"/>
          </w:tcPr>
          <w:p>
            <w:pPr>
              <w:jc w:val="right"/>
              <w:ind w:right="430"/>
              <w:spacing w:after="0"/>
              <w:rPr>
                <w:sz w:val="20"/>
                <w:szCs w:val="20"/>
                <w:color w:val="auto"/>
              </w:rPr>
            </w:pPr>
            <w:r>
              <w:rPr>
                <w:rFonts w:ascii="Arial" w:cs="Arial" w:eastAsia="Arial" w:hAnsi="Arial"/>
                <w:sz w:val="18"/>
                <w:szCs w:val="18"/>
                <w:color w:val="auto"/>
              </w:rPr>
              <w:t>4.6</w:t>
            </w:r>
          </w:p>
        </w:tc>
        <w:tc>
          <w:tcPr>
            <w:tcW w:w="5880" w:type="dxa"/>
            <w:vAlign w:val="bottom"/>
          </w:tcPr>
          <w:p>
            <w:pPr>
              <w:ind w:left="400"/>
              <w:spacing w:after="0"/>
              <w:rPr>
                <w:sz w:val="20"/>
                <w:szCs w:val="20"/>
                <w:color w:val="auto"/>
              </w:rPr>
            </w:pPr>
            <w:r>
              <w:rPr>
                <w:rFonts w:ascii="Arial" w:cs="Arial" w:eastAsia="Arial" w:hAnsi="Arial"/>
                <w:sz w:val="18"/>
                <w:szCs w:val="18"/>
                <w:color w:val="auto"/>
              </w:rPr>
              <w:t>Participation Agreement</w:t>
            </w:r>
          </w:p>
        </w:tc>
        <w:tc>
          <w:tcPr>
            <w:tcW w:w="1400" w:type="dxa"/>
            <w:vAlign w:val="bottom"/>
          </w:tcPr>
          <w:p>
            <w:pPr>
              <w:ind w:left="1220"/>
              <w:spacing w:after="0"/>
              <w:rPr>
                <w:sz w:val="20"/>
                <w:szCs w:val="20"/>
                <w:color w:val="auto"/>
              </w:rPr>
            </w:pPr>
            <w:r>
              <w:rPr>
                <w:rFonts w:ascii="Arial" w:cs="Arial" w:eastAsia="Arial" w:hAnsi="Arial"/>
                <w:sz w:val="18"/>
                <w:szCs w:val="18"/>
                <w:color w:val="auto"/>
              </w:rPr>
              <w:t>5</w:t>
            </w:r>
          </w:p>
        </w:tc>
      </w:tr>
      <w:tr>
        <w:trPr>
          <w:trHeight w:val="270"/>
        </w:trPr>
        <w:tc>
          <w:tcPr>
            <w:tcW w:w="1300" w:type="dxa"/>
            <w:vAlign w:val="bottom"/>
          </w:tcPr>
          <w:p>
            <w:pPr>
              <w:jc w:val="right"/>
              <w:ind w:right="430"/>
              <w:spacing w:after="0"/>
              <w:rPr>
                <w:sz w:val="20"/>
                <w:szCs w:val="20"/>
                <w:color w:val="auto"/>
              </w:rPr>
            </w:pPr>
            <w:r>
              <w:rPr>
                <w:rFonts w:ascii="Arial" w:cs="Arial" w:eastAsia="Arial" w:hAnsi="Arial"/>
                <w:sz w:val="18"/>
                <w:szCs w:val="18"/>
                <w:color w:val="auto"/>
              </w:rPr>
              <w:t>4.7</w:t>
            </w:r>
          </w:p>
        </w:tc>
        <w:tc>
          <w:tcPr>
            <w:tcW w:w="5880" w:type="dxa"/>
            <w:vAlign w:val="bottom"/>
          </w:tcPr>
          <w:p>
            <w:pPr>
              <w:ind w:left="400"/>
              <w:spacing w:after="0"/>
              <w:rPr>
                <w:sz w:val="20"/>
                <w:szCs w:val="20"/>
                <w:color w:val="auto"/>
              </w:rPr>
            </w:pPr>
            <w:r>
              <w:rPr>
                <w:rFonts w:ascii="Arial" w:cs="Arial" w:eastAsia="Arial" w:hAnsi="Arial"/>
                <w:sz w:val="18"/>
                <w:szCs w:val="18"/>
                <w:color w:val="auto"/>
              </w:rPr>
              <w:t>Effect of Change in Stock</w:t>
            </w:r>
          </w:p>
        </w:tc>
        <w:tc>
          <w:tcPr>
            <w:tcW w:w="1400" w:type="dxa"/>
            <w:vAlign w:val="bottom"/>
          </w:tcPr>
          <w:p>
            <w:pPr>
              <w:ind w:left="1220"/>
              <w:spacing w:after="0"/>
              <w:rPr>
                <w:sz w:val="20"/>
                <w:szCs w:val="20"/>
                <w:color w:val="auto"/>
              </w:rPr>
            </w:pPr>
            <w:r>
              <w:rPr>
                <w:rFonts w:ascii="Arial" w:cs="Arial" w:eastAsia="Arial" w:hAnsi="Arial"/>
                <w:sz w:val="18"/>
                <w:szCs w:val="18"/>
                <w:color w:val="auto"/>
              </w:rPr>
              <w:t>5</w:t>
            </w:r>
          </w:p>
        </w:tc>
      </w:tr>
      <w:tr>
        <w:trPr>
          <w:trHeight w:val="270"/>
        </w:trPr>
        <w:tc>
          <w:tcPr>
            <w:tcW w:w="7180" w:type="dxa"/>
            <w:vAlign w:val="bottom"/>
            <w:gridSpan w:val="2"/>
          </w:tcPr>
          <w:p>
            <w:pPr>
              <w:spacing w:after="0"/>
              <w:rPr>
                <w:sz w:val="20"/>
                <w:szCs w:val="20"/>
                <w:color w:val="auto"/>
              </w:rPr>
            </w:pPr>
            <w:r>
              <w:rPr>
                <w:rFonts w:ascii="Arial" w:cs="Arial" w:eastAsia="Arial" w:hAnsi="Arial"/>
                <w:sz w:val="18"/>
                <w:szCs w:val="18"/>
                <w:color w:val="auto"/>
              </w:rPr>
              <w:t>ARTICLE V BOOKKEEPING ACCOUNT AND CREDITING</w:t>
            </w:r>
          </w:p>
        </w:tc>
        <w:tc>
          <w:tcPr>
            <w:tcW w:w="1400" w:type="dxa"/>
            <w:vAlign w:val="bottom"/>
          </w:tcPr>
          <w:p>
            <w:pPr>
              <w:ind w:left="1220"/>
              <w:spacing w:after="0"/>
              <w:rPr>
                <w:sz w:val="20"/>
                <w:szCs w:val="20"/>
                <w:color w:val="auto"/>
              </w:rPr>
            </w:pPr>
            <w:r>
              <w:rPr>
                <w:rFonts w:ascii="Arial" w:cs="Arial" w:eastAsia="Arial" w:hAnsi="Arial"/>
                <w:sz w:val="18"/>
                <w:szCs w:val="18"/>
                <w:color w:val="auto"/>
              </w:rPr>
              <w:t>5</w:t>
            </w:r>
          </w:p>
        </w:tc>
      </w:tr>
      <w:tr>
        <w:trPr>
          <w:trHeight w:val="270"/>
        </w:trPr>
        <w:tc>
          <w:tcPr>
            <w:tcW w:w="1300" w:type="dxa"/>
            <w:vAlign w:val="bottom"/>
          </w:tcPr>
          <w:p>
            <w:pPr>
              <w:jc w:val="right"/>
              <w:ind w:right="430"/>
              <w:spacing w:after="0"/>
              <w:rPr>
                <w:sz w:val="20"/>
                <w:szCs w:val="20"/>
                <w:color w:val="auto"/>
              </w:rPr>
            </w:pPr>
            <w:r>
              <w:rPr>
                <w:rFonts w:ascii="Arial" w:cs="Arial" w:eastAsia="Arial" w:hAnsi="Arial"/>
                <w:sz w:val="18"/>
                <w:szCs w:val="18"/>
                <w:color w:val="auto"/>
              </w:rPr>
              <w:t>5.1</w:t>
            </w:r>
          </w:p>
        </w:tc>
        <w:tc>
          <w:tcPr>
            <w:tcW w:w="5880" w:type="dxa"/>
            <w:vAlign w:val="bottom"/>
          </w:tcPr>
          <w:p>
            <w:pPr>
              <w:ind w:left="400"/>
              <w:spacing w:after="0"/>
              <w:rPr>
                <w:sz w:val="20"/>
                <w:szCs w:val="20"/>
                <w:color w:val="auto"/>
              </w:rPr>
            </w:pPr>
            <w:r>
              <w:rPr>
                <w:rFonts w:ascii="Arial" w:cs="Arial" w:eastAsia="Arial" w:hAnsi="Arial"/>
                <w:sz w:val="18"/>
                <w:szCs w:val="18"/>
                <w:color w:val="auto"/>
              </w:rPr>
              <w:t>Bookkeeping Account</w:t>
            </w:r>
          </w:p>
        </w:tc>
        <w:tc>
          <w:tcPr>
            <w:tcW w:w="1400" w:type="dxa"/>
            <w:vAlign w:val="bottom"/>
          </w:tcPr>
          <w:p>
            <w:pPr>
              <w:ind w:left="1220"/>
              <w:spacing w:after="0"/>
              <w:rPr>
                <w:sz w:val="20"/>
                <w:szCs w:val="20"/>
                <w:color w:val="auto"/>
              </w:rPr>
            </w:pPr>
            <w:r>
              <w:rPr>
                <w:rFonts w:ascii="Arial" w:cs="Arial" w:eastAsia="Arial" w:hAnsi="Arial"/>
                <w:sz w:val="18"/>
                <w:szCs w:val="18"/>
                <w:color w:val="auto"/>
              </w:rPr>
              <w:t>5</w:t>
            </w:r>
          </w:p>
        </w:tc>
      </w:tr>
      <w:tr>
        <w:trPr>
          <w:trHeight w:val="270"/>
        </w:trPr>
        <w:tc>
          <w:tcPr>
            <w:tcW w:w="1300" w:type="dxa"/>
            <w:vAlign w:val="bottom"/>
          </w:tcPr>
          <w:p>
            <w:pPr>
              <w:jc w:val="right"/>
              <w:ind w:right="430"/>
              <w:spacing w:after="0"/>
              <w:rPr>
                <w:sz w:val="20"/>
                <w:szCs w:val="20"/>
                <w:color w:val="auto"/>
              </w:rPr>
            </w:pPr>
            <w:r>
              <w:rPr>
                <w:rFonts w:ascii="Arial" w:cs="Arial" w:eastAsia="Arial" w:hAnsi="Arial"/>
                <w:sz w:val="18"/>
                <w:szCs w:val="18"/>
                <w:color w:val="auto"/>
              </w:rPr>
              <w:t>5.2</w:t>
            </w:r>
          </w:p>
        </w:tc>
        <w:tc>
          <w:tcPr>
            <w:tcW w:w="5880" w:type="dxa"/>
            <w:vAlign w:val="bottom"/>
          </w:tcPr>
          <w:p>
            <w:pPr>
              <w:ind w:left="400"/>
              <w:spacing w:after="0"/>
              <w:rPr>
                <w:sz w:val="20"/>
                <w:szCs w:val="20"/>
                <w:color w:val="auto"/>
              </w:rPr>
            </w:pPr>
            <w:r>
              <w:rPr>
                <w:rFonts w:ascii="Arial" w:cs="Arial" w:eastAsia="Arial" w:hAnsi="Arial"/>
                <w:sz w:val="18"/>
                <w:szCs w:val="18"/>
                <w:color w:val="auto"/>
              </w:rPr>
              <w:t>Time of Crediting Accounts</w:t>
            </w:r>
          </w:p>
        </w:tc>
        <w:tc>
          <w:tcPr>
            <w:tcW w:w="1400" w:type="dxa"/>
            <w:vAlign w:val="bottom"/>
          </w:tcPr>
          <w:p>
            <w:pPr>
              <w:ind w:left="1220"/>
              <w:spacing w:after="0"/>
              <w:rPr>
                <w:sz w:val="20"/>
                <w:szCs w:val="20"/>
                <w:color w:val="auto"/>
              </w:rPr>
            </w:pPr>
            <w:r>
              <w:rPr>
                <w:rFonts w:ascii="Arial" w:cs="Arial" w:eastAsia="Arial" w:hAnsi="Arial"/>
                <w:sz w:val="18"/>
                <w:szCs w:val="18"/>
                <w:color w:val="auto"/>
              </w:rPr>
              <w:t>6</w:t>
            </w:r>
          </w:p>
        </w:tc>
      </w:tr>
      <w:tr>
        <w:trPr>
          <w:trHeight w:val="270"/>
        </w:trPr>
        <w:tc>
          <w:tcPr>
            <w:tcW w:w="1300" w:type="dxa"/>
            <w:vAlign w:val="bottom"/>
          </w:tcPr>
          <w:p>
            <w:pPr>
              <w:jc w:val="right"/>
              <w:ind w:right="430"/>
              <w:spacing w:after="0"/>
              <w:rPr>
                <w:sz w:val="20"/>
                <w:szCs w:val="20"/>
                <w:color w:val="auto"/>
              </w:rPr>
            </w:pPr>
            <w:r>
              <w:rPr>
                <w:rFonts w:ascii="Arial" w:cs="Arial" w:eastAsia="Arial" w:hAnsi="Arial"/>
                <w:sz w:val="18"/>
                <w:szCs w:val="18"/>
                <w:color w:val="auto"/>
              </w:rPr>
              <w:t>5.3</w:t>
            </w:r>
          </w:p>
        </w:tc>
        <w:tc>
          <w:tcPr>
            <w:tcW w:w="5880" w:type="dxa"/>
            <w:vAlign w:val="bottom"/>
          </w:tcPr>
          <w:p>
            <w:pPr>
              <w:ind w:left="400"/>
              <w:spacing w:after="0"/>
              <w:rPr>
                <w:sz w:val="20"/>
                <w:szCs w:val="20"/>
                <w:color w:val="auto"/>
              </w:rPr>
            </w:pPr>
            <w:r>
              <w:rPr>
                <w:rFonts w:ascii="Arial" w:cs="Arial" w:eastAsia="Arial" w:hAnsi="Arial"/>
                <w:sz w:val="18"/>
                <w:szCs w:val="18"/>
                <w:color w:val="auto"/>
              </w:rPr>
              <w:t>Participant Deemed Investments</w:t>
            </w:r>
          </w:p>
        </w:tc>
        <w:tc>
          <w:tcPr>
            <w:tcW w:w="1400" w:type="dxa"/>
            <w:vAlign w:val="bottom"/>
          </w:tcPr>
          <w:p>
            <w:pPr>
              <w:ind w:left="1220"/>
              <w:spacing w:after="0"/>
              <w:rPr>
                <w:sz w:val="20"/>
                <w:szCs w:val="20"/>
                <w:color w:val="auto"/>
              </w:rPr>
            </w:pPr>
            <w:r>
              <w:rPr>
                <w:rFonts w:ascii="Arial" w:cs="Arial" w:eastAsia="Arial" w:hAnsi="Arial"/>
                <w:sz w:val="18"/>
                <w:szCs w:val="18"/>
                <w:color w:val="auto"/>
              </w:rPr>
              <w:t>6</w:t>
            </w:r>
          </w:p>
        </w:tc>
      </w:tr>
      <w:tr>
        <w:trPr>
          <w:trHeight w:val="270"/>
        </w:trPr>
        <w:tc>
          <w:tcPr>
            <w:tcW w:w="1300" w:type="dxa"/>
            <w:vAlign w:val="bottom"/>
          </w:tcPr>
          <w:p>
            <w:pPr>
              <w:jc w:val="right"/>
              <w:ind w:right="430"/>
              <w:spacing w:after="0"/>
              <w:rPr>
                <w:sz w:val="20"/>
                <w:szCs w:val="20"/>
                <w:color w:val="auto"/>
              </w:rPr>
            </w:pPr>
            <w:r>
              <w:rPr>
                <w:rFonts w:ascii="Arial" w:cs="Arial" w:eastAsia="Arial" w:hAnsi="Arial"/>
                <w:sz w:val="18"/>
                <w:szCs w:val="18"/>
                <w:color w:val="auto"/>
              </w:rPr>
              <w:t>5.4</w:t>
            </w:r>
          </w:p>
        </w:tc>
        <w:tc>
          <w:tcPr>
            <w:tcW w:w="5880" w:type="dxa"/>
            <w:vAlign w:val="bottom"/>
          </w:tcPr>
          <w:p>
            <w:pPr>
              <w:ind w:left="400"/>
              <w:spacing w:after="0"/>
              <w:rPr>
                <w:sz w:val="20"/>
                <w:szCs w:val="20"/>
                <w:color w:val="auto"/>
              </w:rPr>
            </w:pPr>
            <w:r>
              <w:rPr>
                <w:rFonts w:ascii="Arial" w:cs="Arial" w:eastAsia="Arial" w:hAnsi="Arial"/>
                <w:sz w:val="18"/>
                <w:szCs w:val="18"/>
                <w:color w:val="auto"/>
              </w:rPr>
              <w:t>Investments by the Company</w:t>
            </w:r>
          </w:p>
        </w:tc>
        <w:tc>
          <w:tcPr>
            <w:tcW w:w="1400" w:type="dxa"/>
            <w:vAlign w:val="bottom"/>
          </w:tcPr>
          <w:p>
            <w:pPr>
              <w:ind w:left="1220"/>
              <w:spacing w:after="0"/>
              <w:rPr>
                <w:sz w:val="20"/>
                <w:szCs w:val="20"/>
                <w:color w:val="auto"/>
              </w:rPr>
            </w:pPr>
            <w:r>
              <w:rPr>
                <w:rFonts w:ascii="Arial" w:cs="Arial" w:eastAsia="Arial" w:hAnsi="Arial"/>
                <w:sz w:val="18"/>
                <w:szCs w:val="18"/>
                <w:color w:val="auto"/>
              </w:rPr>
              <w:t>7</w:t>
            </w:r>
          </w:p>
        </w:tc>
      </w:tr>
      <w:tr>
        <w:trPr>
          <w:trHeight w:val="270"/>
        </w:trPr>
        <w:tc>
          <w:tcPr>
            <w:tcW w:w="1300" w:type="dxa"/>
            <w:vAlign w:val="bottom"/>
          </w:tcPr>
          <w:p>
            <w:pPr>
              <w:jc w:val="right"/>
              <w:ind w:right="430"/>
              <w:spacing w:after="0"/>
              <w:rPr>
                <w:sz w:val="20"/>
                <w:szCs w:val="20"/>
                <w:color w:val="auto"/>
              </w:rPr>
            </w:pPr>
            <w:r>
              <w:rPr>
                <w:rFonts w:ascii="Arial" w:cs="Arial" w:eastAsia="Arial" w:hAnsi="Arial"/>
                <w:sz w:val="18"/>
                <w:szCs w:val="18"/>
                <w:color w:val="auto"/>
              </w:rPr>
              <w:t>5.5</w:t>
            </w:r>
          </w:p>
        </w:tc>
        <w:tc>
          <w:tcPr>
            <w:tcW w:w="5880" w:type="dxa"/>
            <w:vAlign w:val="bottom"/>
          </w:tcPr>
          <w:p>
            <w:pPr>
              <w:ind w:left="400"/>
              <w:spacing w:after="0"/>
              <w:rPr>
                <w:sz w:val="20"/>
                <w:szCs w:val="20"/>
                <w:color w:val="auto"/>
              </w:rPr>
            </w:pPr>
            <w:r>
              <w:rPr>
                <w:rFonts w:ascii="Arial" w:cs="Arial" w:eastAsia="Arial" w:hAnsi="Arial"/>
                <w:sz w:val="18"/>
                <w:szCs w:val="18"/>
                <w:color w:val="auto"/>
              </w:rPr>
              <w:t>Limited Effect of Allocation</w:t>
            </w:r>
          </w:p>
        </w:tc>
        <w:tc>
          <w:tcPr>
            <w:tcW w:w="1400" w:type="dxa"/>
            <w:vAlign w:val="bottom"/>
          </w:tcPr>
          <w:p>
            <w:pPr>
              <w:ind w:left="1220"/>
              <w:spacing w:after="0"/>
              <w:rPr>
                <w:sz w:val="20"/>
                <w:szCs w:val="20"/>
                <w:color w:val="auto"/>
              </w:rPr>
            </w:pPr>
            <w:r>
              <w:rPr>
                <w:rFonts w:ascii="Arial" w:cs="Arial" w:eastAsia="Arial" w:hAnsi="Arial"/>
                <w:sz w:val="18"/>
                <w:szCs w:val="18"/>
                <w:color w:val="auto"/>
              </w:rPr>
              <w:t>8</w:t>
            </w:r>
          </w:p>
        </w:tc>
      </w:tr>
      <w:tr>
        <w:trPr>
          <w:trHeight w:val="270"/>
        </w:trPr>
        <w:tc>
          <w:tcPr>
            <w:tcW w:w="1300" w:type="dxa"/>
            <w:vAlign w:val="bottom"/>
          </w:tcPr>
          <w:p>
            <w:pPr>
              <w:jc w:val="right"/>
              <w:ind w:right="430"/>
              <w:spacing w:after="0"/>
              <w:rPr>
                <w:sz w:val="20"/>
                <w:szCs w:val="20"/>
                <w:color w:val="auto"/>
              </w:rPr>
            </w:pPr>
            <w:r>
              <w:rPr>
                <w:rFonts w:ascii="Arial" w:cs="Arial" w:eastAsia="Arial" w:hAnsi="Arial"/>
                <w:sz w:val="18"/>
                <w:szCs w:val="18"/>
                <w:color w:val="auto"/>
              </w:rPr>
              <w:t>5.6</w:t>
            </w:r>
          </w:p>
        </w:tc>
        <w:tc>
          <w:tcPr>
            <w:tcW w:w="5880" w:type="dxa"/>
            <w:vAlign w:val="bottom"/>
          </w:tcPr>
          <w:p>
            <w:pPr>
              <w:ind w:left="400"/>
              <w:spacing w:after="0"/>
              <w:rPr>
                <w:sz w:val="20"/>
                <w:szCs w:val="20"/>
                <w:color w:val="auto"/>
              </w:rPr>
            </w:pPr>
            <w:r>
              <w:rPr>
                <w:rFonts w:ascii="Arial" w:cs="Arial" w:eastAsia="Arial" w:hAnsi="Arial"/>
                <w:sz w:val="18"/>
                <w:szCs w:val="18"/>
                <w:color w:val="auto"/>
              </w:rPr>
              <w:t>Report of Account</w:t>
            </w:r>
          </w:p>
        </w:tc>
        <w:tc>
          <w:tcPr>
            <w:tcW w:w="1400" w:type="dxa"/>
            <w:vAlign w:val="bottom"/>
          </w:tcPr>
          <w:p>
            <w:pPr>
              <w:ind w:left="1220"/>
              <w:spacing w:after="0"/>
              <w:rPr>
                <w:sz w:val="20"/>
                <w:szCs w:val="20"/>
                <w:color w:val="auto"/>
              </w:rPr>
            </w:pPr>
            <w:r>
              <w:rPr>
                <w:rFonts w:ascii="Arial" w:cs="Arial" w:eastAsia="Arial" w:hAnsi="Arial"/>
                <w:sz w:val="18"/>
                <w:szCs w:val="18"/>
                <w:color w:val="auto"/>
              </w:rPr>
              <w:t>8</w:t>
            </w:r>
          </w:p>
        </w:tc>
      </w:tr>
      <w:tr>
        <w:trPr>
          <w:trHeight w:val="270"/>
        </w:trPr>
        <w:tc>
          <w:tcPr>
            <w:tcW w:w="7180" w:type="dxa"/>
            <w:vAlign w:val="bottom"/>
            <w:gridSpan w:val="2"/>
          </w:tcPr>
          <w:p>
            <w:pPr>
              <w:spacing w:after="0"/>
              <w:rPr>
                <w:sz w:val="20"/>
                <w:szCs w:val="20"/>
                <w:color w:val="auto"/>
              </w:rPr>
            </w:pPr>
            <w:r>
              <w:rPr>
                <w:rFonts w:ascii="Arial" w:cs="Arial" w:eastAsia="Arial" w:hAnsi="Arial"/>
                <w:sz w:val="18"/>
                <w:szCs w:val="18"/>
                <w:color w:val="auto"/>
              </w:rPr>
              <w:t>ARTICLE VI RIGHTS OF PARTICIPANT IN PLAN</w:t>
            </w:r>
          </w:p>
        </w:tc>
        <w:tc>
          <w:tcPr>
            <w:tcW w:w="1400" w:type="dxa"/>
            <w:vAlign w:val="bottom"/>
          </w:tcPr>
          <w:p>
            <w:pPr>
              <w:ind w:left="1220"/>
              <w:spacing w:after="0"/>
              <w:rPr>
                <w:sz w:val="20"/>
                <w:szCs w:val="20"/>
                <w:color w:val="auto"/>
              </w:rPr>
            </w:pPr>
            <w:r>
              <w:rPr>
                <w:rFonts w:ascii="Arial" w:cs="Arial" w:eastAsia="Arial" w:hAnsi="Arial"/>
                <w:sz w:val="18"/>
                <w:szCs w:val="18"/>
                <w:color w:val="auto"/>
              </w:rPr>
              <w:t>8</w:t>
            </w:r>
          </w:p>
        </w:tc>
      </w:tr>
      <w:tr>
        <w:trPr>
          <w:trHeight w:val="270"/>
        </w:trPr>
        <w:tc>
          <w:tcPr>
            <w:tcW w:w="1300" w:type="dxa"/>
            <w:vAlign w:val="bottom"/>
          </w:tcPr>
          <w:p>
            <w:pPr>
              <w:jc w:val="right"/>
              <w:ind w:right="430"/>
              <w:spacing w:after="0"/>
              <w:rPr>
                <w:sz w:val="20"/>
                <w:szCs w:val="20"/>
                <w:color w:val="auto"/>
              </w:rPr>
            </w:pPr>
            <w:r>
              <w:rPr>
                <w:rFonts w:ascii="Arial" w:cs="Arial" w:eastAsia="Arial" w:hAnsi="Arial"/>
                <w:sz w:val="18"/>
                <w:szCs w:val="18"/>
                <w:color w:val="auto"/>
              </w:rPr>
              <w:t>6.1</w:t>
            </w:r>
          </w:p>
        </w:tc>
        <w:tc>
          <w:tcPr>
            <w:tcW w:w="5880" w:type="dxa"/>
            <w:vAlign w:val="bottom"/>
          </w:tcPr>
          <w:p>
            <w:pPr>
              <w:ind w:left="400"/>
              <w:spacing w:after="0"/>
              <w:rPr>
                <w:sz w:val="20"/>
                <w:szCs w:val="20"/>
                <w:color w:val="auto"/>
              </w:rPr>
            </w:pPr>
            <w:r>
              <w:rPr>
                <w:rFonts w:ascii="Arial" w:cs="Arial" w:eastAsia="Arial" w:hAnsi="Arial"/>
                <w:sz w:val="18"/>
                <w:szCs w:val="18"/>
                <w:color w:val="auto"/>
              </w:rPr>
              <w:t>Ownership Rights in Bookkeeping Account</w:t>
            </w:r>
          </w:p>
        </w:tc>
        <w:tc>
          <w:tcPr>
            <w:tcW w:w="1400" w:type="dxa"/>
            <w:vAlign w:val="bottom"/>
          </w:tcPr>
          <w:p>
            <w:pPr>
              <w:ind w:left="1220"/>
              <w:spacing w:after="0"/>
              <w:rPr>
                <w:sz w:val="20"/>
                <w:szCs w:val="20"/>
                <w:color w:val="auto"/>
              </w:rPr>
            </w:pPr>
            <w:r>
              <w:rPr>
                <w:rFonts w:ascii="Arial" w:cs="Arial" w:eastAsia="Arial" w:hAnsi="Arial"/>
                <w:sz w:val="18"/>
                <w:szCs w:val="18"/>
                <w:color w:val="auto"/>
              </w:rPr>
              <w:t>8</w:t>
            </w:r>
          </w:p>
        </w:tc>
      </w:tr>
      <w:tr>
        <w:trPr>
          <w:trHeight w:val="270"/>
        </w:trPr>
        <w:tc>
          <w:tcPr>
            <w:tcW w:w="1300" w:type="dxa"/>
            <w:vAlign w:val="bottom"/>
          </w:tcPr>
          <w:p>
            <w:pPr>
              <w:jc w:val="right"/>
              <w:ind w:right="430"/>
              <w:spacing w:after="0"/>
              <w:rPr>
                <w:sz w:val="20"/>
                <w:szCs w:val="20"/>
                <w:color w:val="auto"/>
              </w:rPr>
            </w:pPr>
            <w:r>
              <w:rPr>
                <w:rFonts w:ascii="Arial" w:cs="Arial" w:eastAsia="Arial" w:hAnsi="Arial"/>
                <w:sz w:val="18"/>
                <w:szCs w:val="18"/>
                <w:color w:val="auto"/>
              </w:rPr>
              <w:t>6.2</w:t>
            </w:r>
          </w:p>
        </w:tc>
        <w:tc>
          <w:tcPr>
            <w:tcW w:w="5880" w:type="dxa"/>
            <w:vAlign w:val="bottom"/>
          </w:tcPr>
          <w:p>
            <w:pPr>
              <w:ind w:left="400"/>
              <w:spacing w:after="0"/>
              <w:rPr>
                <w:sz w:val="20"/>
                <w:szCs w:val="20"/>
                <w:color w:val="auto"/>
              </w:rPr>
            </w:pPr>
            <w:r>
              <w:rPr>
                <w:rFonts w:ascii="Arial" w:cs="Arial" w:eastAsia="Arial" w:hAnsi="Arial"/>
                <w:sz w:val="18"/>
                <w:szCs w:val="18"/>
                <w:color w:val="auto"/>
              </w:rPr>
              <w:t>Rights in Plan are Unfunded and Unsecured</w:t>
            </w:r>
          </w:p>
        </w:tc>
        <w:tc>
          <w:tcPr>
            <w:tcW w:w="1400" w:type="dxa"/>
            <w:vAlign w:val="bottom"/>
          </w:tcPr>
          <w:p>
            <w:pPr>
              <w:ind w:left="1220"/>
              <w:spacing w:after="0"/>
              <w:rPr>
                <w:sz w:val="20"/>
                <w:szCs w:val="20"/>
                <w:color w:val="auto"/>
              </w:rPr>
            </w:pPr>
            <w:r>
              <w:rPr>
                <w:rFonts w:ascii="Arial" w:cs="Arial" w:eastAsia="Arial" w:hAnsi="Arial"/>
                <w:sz w:val="18"/>
                <w:szCs w:val="18"/>
                <w:color w:val="auto"/>
              </w:rPr>
              <w:t>8</w:t>
            </w:r>
          </w:p>
        </w:tc>
      </w:tr>
      <w:tr>
        <w:trPr>
          <w:trHeight w:val="270"/>
        </w:trPr>
        <w:tc>
          <w:tcPr>
            <w:tcW w:w="1300" w:type="dxa"/>
            <w:vAlign w:val="bottom"/>
          </w:tcPr>
          <w:p>
            <w:pPr>
              <w:jc w:val="right"/>
              <w:ind w:right="430"/>
              <w:spacing w:after="0"/>
              <w:rPr>
                <w:sz w:val="20"/>
                <w:szCs w:val="20"/>
                <w:color w:val="auto"/>
              </w:rPr>
            </w:pPr>
            <w:r>
              <w:rPr>
                <w:rFonts w:ascii="Arial" w:cs="Arial" w:eastAsia="Arial" w:hAnsi="Arial"/>
                <w:sz w:val="18"/>
                <w:szCs w:val="18"/>
                <w:color w:val="auto"/>
              </w:rPr>
              <w:t>6.3</w:t>
            </w:r>
          </w:p>
        </w:tc>
        <w:tc>
          <w:tcPr>
            <w:tcW w:w="5880" w:type="dxa"/>
            <w:vAlign w:val="bottom"/>
          </w:tcPr>
          <w:p>
            <w:pPr>
              <w:ind w:left="400"/>
              <w:spacing w:after="0"/>
              <w:rPr>
                <w:sz w:val="20"/>
                <w:szCs w:val="20"/>
                <w:color w:val="auto"/>
              </w:rPr>
            </w:pPr>
            <w:r>
              <w:rPr>
                <w:rFonts w:ascii="Arial" w:cs="Arial" w:eastAsia="Arial" w:hAnsi="Arial"/>
                <w:sz w:val="18"/>
                <w:szCs w:val="18"/>
                <w:color w:val="auto"/>
              </w:rPr>
              <w:t>No Transfer of Interest in Plan Allowed</w:t>
            </w:r>
          </w:p>
        </w:tc>
        <w:tc>
          <w:tcPr>
            <w:tcW w:w="1400" w:type="dxa"/>
            <w:vAlign w:val="bottom"/>
          </w:tcPr>
          <w:p>
            <w:pPr>
              <w:ind w:left="1220"/>
              <w:spacing w:after="0"/>
              <w:rPr>
                <w:sz w:val="20"/>
                <w:szCs w:val="20"/>
                <w:color w:val="auto"/>
              </w:rPr>
            </w:pPr>
            <w:r>
              <w:rPr>
                <w:rFonts w:ascii="Arial" w:cs="Arial" w:eastAsia="Arial" w:hAnsi="Arial"/>
                <w:sz w:val="18"/>
                <w:szCs w:val="18"/>
                <w:color w:val="auto"/>
              </w:rPr>
              <w:t>8</w:t>
            </w:r>
          </w:p>
        </w:tc>
      </w:tr>
      <w:tr>
        <w:trPr>
          <w:trHeight w:val="270"/>
        </w:trPr>
        <w:tc>
          <w:tcPr>
            <w:tcW w:w="1300" w:type="dxa"/>
            <w:vAlign w:val="bottom"/>
          </w:tcPr>
          <w:p>
            <w:pPr>
              <w:jc w:val="right"/>
              <w:ind w:right="430"/>
              <w:spacing w:after="0"/>
              <w:rPr>
                <w:sz w:val="20"/>
                <w:szCs w:val="20"/>
                <w:color w:val="auto"/>
              </w:rPr>
            </w:pPr>
            <w:r>
              <w:rPr>
                <w:rFonts w:ascii="Arial" w:cs="Arial" w:eastAsia="Arial" w:hAnsi="Arial"/>
                <w:sz w:val="18"/>
                <w:szCs w:val="18"/>
                <w:color w:val="auto"/>
              </w:rPr>
              <w:t>6.4</w:t>
            </w:r>
          </w:p>
        </w:tc>
        <w:tc>
          <w:tcPr>
            <w:tcW w:w="5880" w:type="dxa"/>
            <w:vAlign w:val="bottom"/>
          </w:tcPr>
          <w:p>
            <w:pPr>
              <w:ind w:left="400"/>
              <w:spacing w:after="0"/>
              <w:rPr>
                <w:sz w:val="20"/>
                <w:szCs w:val="20"/>
                <w:color w:val="auto"/>
              </w:rPr>
            </w:pPr>
            <w:r>
              <w:rPr>
                <w:rFonts w:ascii="Arial" w:cs="Arial" w:eastAsia="Arial" w:hAnsi="Arial"/>
                <w:sz w:val="18"/>
                <w:szCs w:val="18"/>
                <w:color w:val="auto"/>
              </w:rPr>
              <w:t>Plan Binding Upon Parties</w:t>
            </w:r>
          </w:p>
        </w:tc>
        <w:tc>
          <w:tcPr>
            <w:tcW w:w="1400" w:type="dxa"/>
            <w:vAlign w:val="bottom"/>
          </w:tcPr>
          <w:p>
            <w:pPr>
              <w:ind w:left="1220"/>
              <w:spacing w:after="0"/>
              <w:rPr>
                <w:sz w:val="20"/>
                <w:szCs w:val="20"/>
                <w:color w:val="auto"/>
              </w:rPr>
            </w:pPr>
            <w:r>
              <w:rPr>
                <w:rFonts w:ascii="Arial" w:cs="Arial" w:eastAsia="Arial" w:hAnsi="Arial"/>
                <w:sz w:val="18"/>
                <w:szCs w:val="18"/>
                <w:color w:val="auto"/>
              </w:rPr>
              <w:t>9</w:t>
            </w:r>
          </w:p>
        </w:tc>
      </w:tr>
      <w:tr>
        <w:trPr>
          <w:trHeight w:val="270"/>
        </w:trPr>
        <w:tc>
          <w:tcPr>
            <w:tcW w:w="7180" w:type="dxa"/>
            <w:vAlign w:val="bottom"/>
            <w:gridSpan w:val="2"/>
          </w:tcPr>
          <w:p>
            <w:pPr>
              <w:spacing w:after="0"/>
              <w:rPr>
                <w:sz w:val="20"/>
                <w:szCs w:val="20"/>
                <w:color w:val="auto"/>
              </w:rPr>
            </w:pPr>
            <w:r>
              <w:rPr>
                <w:rFonts w:ascii="Arial" w:cs="Arial" w:eastAsia="Arial" w:hAnsi="Arial"/>
                <w:sz w:val="18"/>
                <w:szCs w:val="18"/>
                <w:color w:val="auto"/>
              </w:rPr>
              <w:t>ARTICLE VII DISTRIBUTIONS</w:t>
            </w:r>
          </w:p>
        </w:tc>
        <w:tc>
          <w:tcPr>
            <w:tcW w:w="1400" w:type="dxa"/>
            <w:vAlign w:val="bottom"/>
          </w:tcPr>
          <w:p>
            <w:pPr>
              <w:ind w:left="1220"/>
              <w:spacing w:after="0"/>
              <w:rPr>
                <w:sz w:val="20"/>
                <w:szCs w:val="20"/>
                <w:color w:val="auto"/>
              </w:rPr>
            </w:pPr>
            <w:r>
              <w:rPr>
                <w:rFonts w:ascii="Arial" w:cs="Arial" w:eastAsia="Arial" w:hAnsi="Arial"/>
                <w:sz w:val="18"/>
                <w:szCs w:val="18"/>
                <w:color w:val="auto"/>
              </w:rPr>
              <w:t>9</w:t>
            </w:r>
          </w:p>
        </w:tc>
      </w:tr>
      <w:tr>
        <w:trPr>
          <w:trHeight w:val="270"/>
        </w:trPr>
        <w:tc>
          <w:tcPr>
            <w:tcW w:w="1300" w:type="dxa"/>
            <w:vAlign w:val="bottom"/>
          </w:tcPr>
          <w:p>
            <w:pPr>
              <w:jc w:val="right"/>
              <w:ind w:right="430"/>
              <w:spacing w:after="0"/>
              <w:rPr>
                <w:sz w:val="20"/>
                <w:szCs w:val="20"/>
                <w:color w:val="auto"/>
              </w:rPr>
            </w:pPr>
            <w:r>
              <w:rPr>
                <w:rFonts w:ascii="Arial" w:cs="Arial" w:eastAsia="Arial" w:hAnsi="Arial"/>
                <w:sz w:val="18"/>
                <w:szCs w:val="18"/>
                <w:color w:val="auto"/>
              </w:rPr>
              <w:t>7.1</w:t>
            </w:r>
          </w:p>
        </w:tc>
        <w:tc>
          <w:tcPr>
            <w:tcW w:w="5880" w:type="dxa"/>
            <w:vAlign w:val="bottom"/>
          </w:tcPr>
          <w:p>
            <w:pPr>
              <w:ind w:left="400"/>
              <w:spacing w:after="0"/>
              <w:rPr>
                <w:sz w:val="20"/>
                <w:szCs w:val="20"/>
                <w:color w:val="auto"/>
              </w:rPr>
            </w:pPr>
            <w:r>
              <w:rPr>
                <w:rFonts w:ascii="Arial" w:cs="Arial" w:eastAsia="Arial" w:hAnsi="Arial"/>
                <w:sz w:val="18"/>
                <w:szCs w:val="18"/>
                <w:color w:val="auto"/>
              </w:rPr>
              <w:t>Acceleration of Payment</w:t>
            </w:r>
          </w:p>
        </w:tc>
        <w:tc>
          <w:tcPr>
            <w:tcW w:w="1400" w:type="dxa"/>
            <w:vAlign w:val="bottom"/>
          </w:tcPr>
          <w:p>
            <w:pPr>
              <w:ind w:left="1220"/>
              <w:spacing w:after="0"/>
              <w:rPr>
                <w:sz w:val="20"/>
                <w:szCs w:val="20"/>
                <w:color w:val="auto"/>
              </w:rPr>
            </w:pPr>
            <w:r>
              <w:rPr>
                <w:rFonts w:ascii="Arial" w:cs="Arial" w:eastAsia="Arial" w:hAnsi="Arial"/>
                <w:sz w:val="18"/>
                <w:szCs w:val="18"/>
                <w:color w:val="auto"/>
              </w:rPr>
              <w:t>9</w:t>
            </w:r>
          </w:p>
        </w:tc>
      </w:tr>
      <w:tr>
        <w:trPr>
          <w:trHeight w:val="270"/>
        </w:trPr>
        <w:tc>
          <w:tcPr>
            <w:tcW w:w="1300" w:type="dxa"/>
            <w:vAlign w:val="bottom"/>
          </w:tcPr>
          <w:p>
            <w:pPr>
              <w:jc w:val="right"/>
              <w:ind w:right="430"/>
              <w:spacing w:after="0"/>
              <w:rPr>
                <w:sz w:val="20"/>
                <w:szCs w:val="20"/>
                <w:color w:val="auto"/>
              </w:rPr>
            </w:pPr>
            <w:r>
              <w:rPr>
                <w:rFonts w:ascii="Arial" w:cs="Arial" w:eastAsia="Arial" w:hAnsi="Arial"/>
                <w:sz w:val="18"/>
                <w:szCs w:val="18"/>
                <w:color w:val="auto"/>
              </w:rPr>
              <w:t>7.2</w:t>
            </w:r>
          </w:p>
        </w:tc>
        <w:tc>
          <w:tcPr>
            <w:tcW w:w="5880" w:type="dxa"/>
            <w:vAlign w:val="bottom"/>
          </w:tcPr>
          <w:p>
            <w:pPr>
              <w:ind w:left="400"/>
              <w:spacing w:after="0"/>
              <w:rPr>
                <w:sz w:val="20"/>
                <w:szCs w:val="20"/>
                <w:color w:val="auto"/>
              </w:rPr>
            </w:pPr>
            <w:r>
              <w:rPr>
                <w:rFonts w:ascii="Arial" w:cs="Arial" w:eastAsia="Arial" w:hAnsi="Arial"/>
                <w:sz w:val="18"/>
                <w:szCs w:val="18"/>
                <w:color w:val="auto"/>
              </w:rPr>
              <w:t>In-Service Distributions</w:t>
            </w:r>
          </w:p>
        </w:tc>
        <w:tc>
          <w:tcPr>
            <w:tcW w:w="1400" w:type="dxa"/>
            <w:vAlign w:val="bottom"/>
          </w:tcPr>
          <w:p>
            <w:pPr>
              <w:ind w:left="1220"/>
              <w:spacing w:after="0"/>
              <w:rPr>
                <w:sz w:val="20"/>
                <w:szCs w:val="20"/>
                <w:color w:val="auto"/>
              </w:rPr>
            </w:pPr>
            <w:r>
              <w:rPr>
                <w:rFonts w:ascii="Arial" w:cs="Arial" w:eastAsia="Arial" w:hAnsi="Arial"/>
                <w:sz w:val="18"/>
                <w:szCs w:val="18"/>
                <w:color w:val="auto"/>
              </w:rPr>
              <w:t>9</w:t>
            </w:r>
          </w:p>
        </w:tc>
      </w:tr>
      <w:tr>
        <w:trPr>
          <w:trHeight w:val="270"/>
        </w:trPr>
        <w:tc>
          <w:tcPr>
            <w:tcW w:w="1300" w:type="dxa"/>
            <w:vAlign w:val="bottom"/>
          </w:tcPr>
          <w:p>
            <w:pPr>
              <w:jc w:val="right"/>
              <w:ind w:right="430"/>
              <w:spacing w:after="0"/>
              <w:rPr>
                <w:sz w:val="20"/>
                <w:szCs w:val="20"/>
                <w:color w:val="auto"/>
              </w:rPr>
            </w:pPr>
            <w:r>
              <w:rPr>
                <w:rFonts w:ascii="Arial" w:cs="Arial" w:eastAsia="Arial" w:hAnsi="Arial"/>
                <w:sz w:val="18"/>
                <w:szCs w:val="18"/>
                <w:color w:val="auto"/>
              </w:rPr>
              <w:t>7.3</w:t>
            </w:r>
          </w:p>
        </w:tc>
        <w:tc>
          <w:tcPr>
            <w:tcW w:w="5880" w:type="dxa"/>
            <w:vAlign w:val="bottom"/>
          </w:tcPr>
          <w:p>
            <w:pPr>
              <w:ind w:left="400"/>
              <w:spacing w:after="0"/>
              <w:rPr>
                <w:sz w:val="20"/>
                <w:szCs w:val="20"/>
                <w:color w:val="auto"/>
              </w:rPr>
            </w:pPr>
            <w:r>
              <w:rPr>
                <w:rFonts w:ascii="Arial" w:cs="Arial" w:eastAsia="Arial" w:hAnsi="Arial"/>
                <w:sz w:val="18"/>
                <w:szCs w:val="18"/>
                <w:color w:val="auto"/>
              </w:rPr>
              <w:t>Distributions Following Separation for Post 2013 Deferrals</w:t>
            </w:r>
          </w:p>
        </w:tc>
        <w:tc>
          <w:tcPr>
            <w:tcW w:w="1400" w:type="dxa"/>
            <w:vAlign w:val="bottom"/>
          </w:tcPr>
          <w:p>
            <w:pPr>
              <w:ind w:left="1220"/>
              <w:spacing w:after="0"/>
              <w:rPr>
                <w:sz w:val="20"/>
                <w:szCs w:val="20"/>
                <w:color w:val="auto"/>
              </w:rPr>
            </w:pPr>
            <w:r>
              <w:rPr>
                <w:rFonts w:ascii="Arial" w:cs="Arial" w:eastAsia="Arial" w:hAnsi="Arial"/>
                <w:sz w:val="18"/>
                <w:szCs w:val="18"/>
                <w:color w:val="auto"/>
                <w:w w:val="79"/>
              </w:rPr>
              <w:t>10</w:t>
            </w:r>
          </w:p>
        </w:tc>
      </w:tr>
      <w:tr>
        <w:trPr>
          <w:trHeight w:val="270"/>
        </w:trPr>
        <w:tc>
          <w:tcPr>
            <w:tcW w:w="1300" w:type="dxa"/>
            <w:vAlign w:val="bottom"/>
          </w:tcPr>
          <w:p>
            <w:pPr>
              <w:jc w:val="right"/>
              <w:ind w:right="430"/>
              <w:spacing w:after="0"/>
              <w:rPr>
                <w:sz w:val="20"/>
                <w:szCs w:val="20"/>
                <w:color w:val="auto"/>
              </w:rPr>
            </w:pPr>
            <w:r>
              <w:rPr>
                <w:rFonts w:ascii="Arial" w:cs="Arial" w:eastAsia="Arial" w:hAnsi="Arial"/>
                <w:sz w:val="18"/>
                <w:szCs w:val="18"/>
                <w:color w:val="auto"/>
              </w:rPr>
              <w:t>7.4</w:t>
            </w:r>
          </w:p>
        </w:tc>
        <w:tc>
          <w:tcPr>
            <w:tcW w:w="5880" w:type="dxa"/>
            <w:vAlign w:val="bottom"/>
          </w:tcPr>
          <w:p>
            <w:pPr>
              <w:ind w:left="400"/>
              <w:spacing w:after="0"/>
              <w:rPr>
                <w:sz w:val="20"/>
                <w:szCs w:val="20"/>
                <w:color w:val="auto"/>
              </w:rPr>
            </w:pPr>
            <w:r>
              <w:rPr>
                <w:rFonts w:ascii="Arial" w:cs="Arial" w:eastAsia="Arial" w:hAnsi="Arial"/>
                <w:sz w:val="18"/>
                <w:szCs w:val="18"/>
                <w:color w:val="auto"/>
              </w:rPr>
              <w:t>Distributions upon Separation</w:t>
            </w:r>
          </w:p>
        </w:tc>
        <w:tc>
          <w:tcPr>
            <w:tcW w:w="1400" w:type="dxa"/>
            <w:vAlign w:val="bottom"/>
          </w:tcPr>
          <w:p>
            <w:pPr>
              <w:ind w:left="1220"/>
              <w:spacing w:after="0"/>
              <w:rPr>
                <w:sz w:val="20"/>
                <w:szCs w:val="20"/>
                <w:color w:val="auto"/>
              </w:rPr>
            </w:pPr>
            <w:r>
              <w:rPr>
                <w:rFonts w:ascii="Arial" w:cs="Arial" w:eastAsia="Arial" w:hAnsi="Arial"/>
                <w:sz w:val="18"/>
                <w:szCs w:val="18"/>
                <w:color w:val="auto"/>
                <w:w w:val="79"/>
              </w:rPr>
              <w:t>10</w:t>
            </w:r>
          </w:p>
        </w:tc>
      </w:tr>
      <w:tr>
        <w:trPr>
          <w:trHeight w:val="270"/>
        </w:trPr>
        <w:tc>
          <w:tcPr>
            <w:tcW w:w="1300" w:type="dxa"/>
            <w:vAlign w:val="bottom"/>
          </w:tcPr>
          <w:p>
            <w:pPr>
              <w:jc w:val="right"/>
              <w:ind w:right="430"/>
              <w:spacing w:after="0"/>
              <w:rPr>
                <w:sz w:val="20"/>
                <w:szCs w:val="20"/>
                <w:color w:val="auto"/>
              </w:rPr>
            </w:pPr>
            <w:r>
              <w:rPr>
                <w:rFonts w:ascii="Arial" w:cs="Arial" w:eastAsia="Arial" w:hAnsi="Arial"/>
                <w:sz w:val="18"/>
                <w:szCs w:val="18"/>
                <w:color w:val="auto"/>
              </w:rPr>
              <w:t>7.5</w:t>
            </w:r>
          </w:p>
        </w:tc>
        <w:tc>
          <w:tcPr>
            <w:tcW w:w="5880" w:type="dxa"/>
            <w:vAlign w:val="bottom"/>
          </w:tcPr>
          <w:p>
            <w:pPr>
              <w:ind w:left="400"/>
              <w:spacing w:after="0"/>
              <w:rPr>
                <w:sz w:val="20"/>
                <w:szCs w:val="20"/>
                <w:color w:val="auto"/>
              </w:rPr>
            </w:pPr>
            <w:r>
              <w:rPr>
                <w:rFonts w:ascii="Arial" w:cs="Arial" w:eastAsia="Arial" w:hAnsi="Arial"/>
                <w:sz w:val="18"/>
                <w:szCs w:val="18"/>
                <w:color w:val="auto"/>
              </w:rPr>
              <w:t>Cash and Stock Distributions</w:t>
            </w:r>
          </w:p>
        </w:tc>
        <w:tc>
          <w:tcPr>
            <w:tcW w:w="1400" w:type="dxa"/>
            <w:vAlign w:val="bottom"/>
          </w:tcPr>
          <w:p>
            <w:pPr>
              <w:ind w:left="1220"/>
              <w:spacing w:after="0"/>
              <w:rPr>
                <w:sz w:val="20"/>
                <w:szCs w:val="20"/>
                <w:color w:val="auto"/>
              </w:rPr>
            </w:pPr>
            <w:r>
              <w:rPr>
                <w:rFonts w:ascii="Arial" w:cs="Arial" w:eastAsia="Arial" w:hAnsi="Arial"/>
                <w:sz w:val="18"/>
                <w:szCs w:val="18"/>
                <w:color w:val="auto"/>
                <w:w w:val="79"/>
              </w:rPr>
              <w:t>11</w:t>
            </w:r>
          </w:p>
        </w:tc>
      </w:tr>
      <w:tr>
        <w:trPr>
          <w:trHeight w:val="270"/>
        </w:trPr>
        <w:tc>
          <w:tcPr>
            <w:tcW w:w="7180" w:type="dxa"/>
            <w:vAlign w:val="bottom"/>
            <w:gridSpan w:val="2"/>
          </w:tcPr>
          <w:p>
            <w:pPr>
              <w:spacing w:after="0"/>
              <w:rPr>
                <w:sz w:val="20"/>
                <w:szCs w:val="20"/>
                <w:color w:val="auto"/>
              </w:rPr>
            </w:pPr>
            <w:r>
              <w:rPr>
                <w:rFonts w:ascii="Arial" w:cs="Arial" w:eastAsia="Arial" w:hAnsi="Arial"/>
                <w:sz w:val="18"/>
                <w:szCs w:val="18"/>
                <w:color w:val="auto"/>
              </w:rPr>
              <w:t>ARTICLE VIII DEATH BENEFITS</w:t>
            </w:r>
          </w:p>
        </w:tc>
        <w:tc>
          <w:tcPr>
            <w:tcW w:w="1400" w:type="dxa"/>
            <w:vAlign w:val="bottom"/>
          </w:tcPr>
          <w:p>
            <w:pPr>
              <w:ind w:left="1220"/>
              <w:spacing w:after="0"/>
              <w:rPr>
                <w:sz w:val="20"/>
                <w:szCs w:val="20"/>
                <w:color w:val="auto"/>
              </w:rPr>
            </w:pPr>
            <w:r>
              <w:rPr>
                <w:rFonts w:ascii="Arial" w:cs="Arial" w:eastAsia="Arial" w:hAnsi="Arial"/>
                <w:sz w:val="18"/>
                <w:szCs w:val="18"/>
                <w:color w:val="auto"/>
                <w:w w:val="79"/>
              </w:rPr>
              <w:t>12</w:t>
            </w:r>
          </w:p>
        </w:tc>
      </w:tr>
      <w:tr>
        <w:trPr>
          <w:trHeight w:val="270"/>
        </w:trPr>
        <w:tc>
          <w:tcPr>
            <w:tcW w:w="1300" w:type="dxa"/>
            <w:vAlign w:val="bottom"/>
          </w:tcPr>
          <w:p>
            <w:pPr>
              <w:jc w:val="right"/>
              <w:ind w:right="430"/>
              <w:spacing w:after="0"/>
              <w:rPr>
                <w:sz w:val="20"/>
                <w:szCs w:val="20"/>
                <w:color w:val="auto"/>
              </w:rPr>
            </w:pPr>
            <w:r>
              <w:rPr>
                <w:rFonts w:ascii="Arial" w:cs="Arial" w:eastAsia="Arial" w:hAnsi="Arial"/>
                <w:sz w:val="18"/>
                <w:szCs w:val="18"/>
                <w:color w:val="auto"/>
              </w:rPr>
              <w:t>8.1</w:t>
            </w:r>
          </w:p>
        </w:tc>
        <w:tc>
          <w:tcPr>
            <w:tcW w:w="5880" w:type="dxa"/>
            <w:vAlign w:val="bottom"/>
          </w:tcPr>
          <w:p>
            <w:pPr>
              <w:ind w:left="400"/>
              <w:spacing w:after="0"/>
              <w:rPr>
                <w:sz w:val="20"/>
                <w:szCs w:val="20"/>
                <w:color w:val="auto"/>
              </w:rPr>
            </w:pPr>
            <w:r>
              <w:rPr>
                <w:rFonts w:ascii="Arial" w:cs="Arial" w:eastAsia="Arial" w:hAnsi="Arial"/>
                <w:sz w:val="18"/>
                <w:szCs w:val="18"/>
                <w:color w:val="auto"/>
              </w:rPr>
              <w:t>Designation of Beneficiary</w:t>
            </w:r>
          </w:p>
        </w:tc>
        <w:tc>
          <w:tcPr>
            <w:tcW w:w="1400" w:type="dxa"/>
            <w:vAlign w:val="bottom"/>
          </w:tcPr>
          <w:p>
            <w:pPr>
              <w:ind w:left="1220"/>
              <w:spacing w:after="0"/>
              <w:rPr>
                <w:sz w:val="20"/>
                <w:szCs w:val="20"/>
                <w:color w:val="auto"/>
              </w:rPr>
            </w:pPr>
            <w:r>
              <w:rPr>
                <w:rFonts w:ascii="Arial" w:cs="Arial" w:eastAsia="Arial" w:hAnsi="Arial"/>
                <w:sz w:val="18"/>
                <w:szCs w:val="18"/>
                <w:color w:val="auto"/>
                <w:w w:val="79"/>
              </w:rPr>
              <w:t>12</w:t>
            </w:r>
          </w:p>
        </w:tc>
      </w:tr>
      <w:tr>
        <w:trPr>
          <w:trHeight w:val="270"/>
        </w:trPr>
        <w:tc>
          <w:tcPr>
            <w:tcW w:w="1300" w:type="dxa"/>
            <w:vAlign w:val="bottom"/>
          </w:tcPr>
          <w:p>
            <w:pPr>
              <w:jc w:val="right"/>
              <w:ind w:right="430"/>
              <w:spacing w:after="0"/>
              <w:rPr>
                <w:sz w:val="20"/>
                <w:szCs w:val="20"/>
                <w:color w:val="auto"/>
              </w:rPr>
            </w:pPr>
            <w:r>
              <w:rPr>
                <w:rFonts w:ascii="Arial" w:cs="Arial" w:eastAsia="Arial" w:hAnsi="Arial"/>
                <w:sz w:val="18"/>
                <w:szCs w:val="18"/>
                <w:color w:val="auto"/>
              </w:rPr>
              <w:t>8.2</w:t>
            </w:r>
          </w:p>
        </w:tc>
        <w:tc>
          <w:tcPr>
            <w:tcW w:w="5880" w:type="dxa"/>
            <w:vAlign w:val="bottom"/>
          </w:tcPr>
          <w:p>
            <w:pPr>
              <w:ind w:left="400"/>
              <w:spacing w:after="0"/>
              <w:rPr>
                <w:sz w:val="20"/>
                <w:szCs w:val="20"/>
                <w:color w:val="auto"/>
              </w:rPr>
            </w:pPr>
            <w:r>
              <w:rPr>
                <w:rFonts w:ascii="Arial" w:cs="Arial" w:eastAsia="Arial" w:hAnsi="Arial"/>
                <w:sz w:val="18"/>
                <w:szCs w:val="18"/>
                <w:color w:val="auto"/>
              </w:rPr>
              <w:t>Deemed Beneficiary</w:t>
            </w:r>
          </w:p>
        </w:tc>
        <w:tc>
          <w:tcPr>
            <w:tcW w:w="1400" w:type="dxa"/>
            <w:vAlign w:val="bottom"/>
          </w:tcPr>
          <w:p>
            <w:pPr>
              <w:ind w:left="1220"/>
              <w:spacing w:after="0"/>
              <w:rPr>
                <w:sz w:val="20"/>
                <w:szCs w:val="20"/>
                <w:color w:val="auto"/>
              </w:rPr>
            </w:pPr>
            <w:r>
              <w:rPr>
                <w:rFonts w:ascii="Arial" w:cs="Arial" w:eastAsia="Arial" w:hAnsi="Arial"/>
                <w:sz w:val="18"/>
                <w:szCs w:val="18"/>
                <w:color w:val="auto"/>
                <w:w w:val="79"/>
              </w:rPr>
              <w:t>12</w:t>
            </w:r>
          </w:p>
        </w:tc>
      </w:tr>
    </w:tbl>
    <w:p>
      <w:pPr>
        <w:sectPr>
          <w:pgSz w:w="11900" w:h="16838" w:orient="portrait"/>
          <w:cols w:equalWidth="0" w:num="1">
            <w:col w:w="9199"/>
          </w:cols>
          <w:pgMar w:left="1260" w:top="369" w:right="1440" w:bottom="1440" w:gutter="0" w:footer="0" w:header="0"/>
        </w:sectPr>
      </w:pPr>
    </w:p>
    <w:bookmarkStart w:id="113" w:name="page114"/>
    <w:bookmarkEnd w:id="1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40" w:type="dxa"/>
            <w:vAlign w:val="bottom"/>
          </w:tcPr>
          <w:p>
            <w:pPr>
              <w:ind w:left="560"/>
              <w:spacing w:after="0"/>
              <w:rPr>
                <w:sz w:val="20"/>
                <w:szCs w:val="20"/>
                <w:color w:val="auto"/>
              </w:rPr>
            </w:pPr>
            <w:r>
              <w:rPr>
                <w:rFonts w:ascii="Arial" w:cs="Arial" w:eastAsia="Arial" w:hAnsi="Arial"/>
                <w:sz w:val="18"/>
                <w:szCs w:val="18"/>
                <w:color w:val="auto"/>
              </w:rPr>
              <w:t>8.3</w:t>
            </w:r>
          </w:p>
        </w:tc>
        <w:tc>
          <w:tcPr>
            <w:tcW w:w="5720" w:type="dxa"/>
            <w:vAlign w:val="bottom"/>
          </w:tcPr>
          <w:p>
            <w:pPr>
              <w:ind w:left="360"/>
              <w:spacing w:after="0"/>
              <w:rPr>
                <w:sz w:val="20"/>
                <w:szCs w:val="20"/>
                <w:color w:val="auto"/>
              </w:rPr>
            </w:pPr>
            <w:r>
              <w:rPr>
                <w:rFonts w:ascii="Arial" w:cs="Arial" w:eastAsia="Arial" w:hAnsi="Arial"/>
                <w:sz w:val="18"/>
                <w:szCs w:val="18"/>
                <w:color w:val="auto"/>
              </w:rPr>
              <w:t>Surviving Beneficiary</w:t>
            </w:r>
          </w:p>
        </w:tc>
        <w:tc>
          <w:tcPr>
            <w:tcW w:w="15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0"/>
        </w:trPr>
        <w:tc>
          <w:tcPr>
            <w:tcW w:w="1340" w:type="dxa"/>
            <w:vAlign w:val="bottom"/>
          </w:tcPr>
          <w:p>
            <w:pPr>
              <w:ind w:left="560"/>
              <w:spacing w:after="0"/>
              <w:rPr>
                <w:sz w:val="20"/>
                <w:szCs w:val="20"/>
                <w:color w:val="auto"/>
              </w:rPr>
            </w:pPr>
            <w:r>
              <w:rPr>
                <w:rFonts w:ascii="Arial" w:cs="Arial" w:eastAsia="Arial" w:hAnsi="Arial"/>
                <w:sz w:val="18"/>
                <w:szCs w:val="18"/>
                <w:color w:val="auto"/>
              </w:rPr>
              <w:t>8.4</w:t>
            </w:r>
          </w:p>
        </w:tc>
        <w:tc>
          <w:tcPr>
            <w:tcW w:w="5720" w:type="dxa"/>
            <w:vAlign w:val="bottom"/>
          </w:tcPr>
          <w:p>
            <w:pPr>
              <w:ind w:left="360"/>
              <w:spacing w:after="0"/>
              <w:rPr>
                <w:sz w:val="20"/>
                <w:szCs w:val="20"/>
                <w:color w:val="auto"/>
              </w:rPr>
            </w:pPr>
            <w:r>
              <w:rPr>
                <w:rFonts w:ascii="Arial" w:cs="Arial" w:eastAsia="Arial" w:hAnsi="Arial"/>
                <w:sz w:val="18"/>
                <w:szCs w:val="18"/>
                <w:color w:val="auto"/>
              </w:rPr>
              <w:t>Determination of Account Balance at Death</w:t>
            </w:r>
          </w:p>
        </w:tc>
        <w:tc>
          <w:tcPr>
            <w:tcW w:w="15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0"/>
        </w:trPr>
        <w:tc>
          <w:tcPr>
            <w:tcW w:w="1340" w:type="dxa"/>
            <w:vAlign w:val="bottom"/>
          </w:tcPr>
          <w:p>
            <w:pPr>
              <w:ind w:left="560"/>
              <w:spacing w:after="0"/>
              <w:rPr>
                <w:sz w:val="20"/>
                <w:szCs w:val="20"/>
                <w:color w:val="auto"/>
              </w:rPr>
            </w:pPr>
            <w:r>
              <w:rPr>
                <w:rFonts w:ascii="Arial" w:cs="Arial" w:eastAsia="Arial" w:hAnsi="Arial"/>
                <w:sz w:val="18"/>
                <w:szCs w:val="18"/>
                <w:color w:val="auto"/>
              </w:rPr>
              <w:t>8.5</w:t>
            </w:r>
          </w:p>
        </w:tc>
        <w:tc>
          <w:tcPr>
            <w:tcW w:w="5720" w:type="dxa"/>
            <w:vAlign w:val="bottom"/>
          </w:tcPr>
          <w:p>
            <w:pPr>
              <w:ind w:left="360"/>
              <w:spacing w:after="0"/>
              <w:rPr>
                <w:sz w:val="20"/>
                <w:szCs w:val="20"/>
                <w:color w:val="auto"/>
              </w:rPr>
            </w:pPr>
            <w:r>
              <w:rPr>
                <w:rFonts w:ascii="Arial" w:cs="Arial" w:eastAsia="Arial" w:hAnsi="Arial"/>
                <w:sz w:val="18"/>
                <w:szCs w:val="18"/>
                <w:color w:val="auto"/>
              </w:rPr>
              <w:t>Distribution of Bookkeeping Account Balance at Death</w:t>
            </w:r>
          </w:p>
        </w:tc>
        <w:tc>
          <w:tcPr>
            <w:tcW w:w="15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0"/>
        </w:trPr>
        <w:tc>
          <w:tcPr>
            <w:tcW w:w="1340" w:type="dxa"/>
            <w:vAlign w:val="bottom"/>
          </w:tcPr>
          <w:p>
            <w:pPr>
              <w:ind w:left="560"/>
              <w:spacing w:after="0"/>
              <w:rPr>
                <w:sz w:val="20"/>
                <w:szCs w:val="20"/>
                <w:color w:val="auto"/>
              </w:rPr>
            </w:pPr>
            <w:r>
              <w:rPr>
                <w:rFonts w:ascii="Arial" w:cs="Arial" w:eastAsia="Arial" w:hAnsi="Arial"/>
                <w:sz w:val="18"/>
                <w:szCs w:val="18"/>
                <w:color w:val="auto"/>
              </w:rPr>
              <w:t>8.6</w:t>
            </w:r>
          </w:p>
        </w:tc>
        <w:tc>
          <w:tcPr>
            <w:tcW w:w="5720" w:type="dxa"/>
            <w:vAlign w:val="bottom"/>
          </w:tcPr>
          <w:p>
            <w:pPr>
              <w:ind w:left="360"/>
              <w:spacing w:after="0"/>
              <w:rPr>
                <w:sz w:val="20"/>
                <w:szCs w:val="20"/>
                <w:color w:val="auto"/>
              </w:rPr>
            </w:pPr>
            <w:r>
              <w:rPr>
                <w:rFonts w:ascii="Arial" w:cs="Arial" w:eastAsia="Arial" w:hAnsi="Arial"/>
                <w:sz w:val="18"/>
                <w:szCs w:val="18"/>
                <w:color w:val="auto"/>
              </w:rPr>
              <w:t>Determination of Beneficiary</w:t>
            </w:r>
          </w:p>
        </w:tc>
        <w:tc>
          <w:tcPr>
            <w:tcW w:w="15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0"/>
        </w:trPr>
        <w:tc>
          <w:tcPr>
            <w:tcW w:w="1340" w:type="dxa"/>
            <w:vAlign w:val="bottom"/>
          </w:tcPr>
          <w:p>
            <w:pPr>
              <w:ind w:left="560"/>
              <w:spacing w:after="0"/>
              <w:rPr>
                <w:sz w:val="20"/>
                <w:szCs w:val="20"/>
                <w:color w:val="auto"/>
              </w:rPr>
            </w:pPr>
            <w:r>
              <w:rPr>
                <w:rFonts w:ascii="Arial" w:cs="Arial" w:eastAsia="Arial" w:hAnsi="Arial"/>
                <w:sz w:val="18"/>
                <w:szCs w:val="18"/>
                <w:color w:val="auto"/>
              </w:rPr>
              <w:t>8.7</w:t>
            </w:r>
          </w:p>
        </w:tc>
        <w:tc>
          <w:tcPr>
            <w:tcW w:w="5720" w:type="dxa"/>
            <w:vAlign w:val="bottom"/>
          </w:tcPr>
          <w:p>
            <w:pPr>
              <w:ind w:left="360"/>
              <w:spacing w:after="0"/>
              <w:rPr>
                <w:sz w:val="20"/>
                <w:szCs w:val="20"/>
                <w:color w:val="auto"/>
              </w:rPr>
            </w:pPr>
            <w:r>
              <w:rPr>
                <w:rFonts w:ascii="Arial" w:cs="Arial" w:eastAsia="Arial" w:hAnsi="Arial"/>
                <w:sz w:val="18"/>
                <w:szCs w:val="18"/>
                <w:color w:val="auto"/>
              </w:rPr>
              <w:t>Payments to Minor or Incapacitated Beneficiaries</w:t>
            </w:r>
          </w:p>
        </w:tc>
        <w:tc>
          <w:tcPr>
            <w:tcW w:w="15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0"/>
        </w:trPr>
        <w:tc>
          <w:tcPr>
            <w:tcW w:w="1340" w:type="dxa"/>
            <w:vAlign w:val="bottom"/>
          </w:tcPr>
          <w:p>
            <w:pPr>
              <w:ind w:left="560"/>
              <w:spacing w:after="0"/>
              <w:rPr>
                <w:sz w:val="20"/>
                <w:szCs w:val="20"/>
                <w:color w:val="auto"/>
              </w:rPr>
            </w:pPr>
            <w:r>
              <w:rPr>
                <w:rFonts w:ascii="Arial" w:cs="Arial" w:eastAsia="Arial" w:hAnsi="Arial"/>
                <w:sz w:val="18"/>
                <w:szCs w:val="18"/>
                <w:color w:val="auto"/>
              </w:rPr>
              <w:t>8.8</w:t>
            </w:r>
          </w:p>
        </w:tc>
        <w:tc>
          <w:tcPr>
            <w:tcW w:w="5720" w:type="dxa"/>
            <w:vAlign w:val="bottom"/>
          </w:tcPr>
          <w:p>
            <w:pPr>
              <w:ind w:left="360"/>
              <w:spacing w:after="0"/>
              <w:rPr>
                <w:sz w:val="20"/>
                <w:szCs w:val="20"/>
                <w:color w:val="auto"/>
              </w:rPr>
            </w:pPr>
            <w:r>
              <w:rPr>
                <w:rFonts w:ascii="Arial" w:cs="Arial" w:eastAsia="Arial" w:hAnsi="Arial"/>
                <w:sz w:val="18"/>
                <w:szCs w:val="18"/>
                <w:color w:val="auto"/>
              </w:rPr>
              <w:t>Effect of Divorce</w:t>
            </w:r>
          </w:p>
        </w:tc>
        <w:tc>
          <w:tcPr>
            <w:tcW w:w="15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0"/>
        </w:trPr>
        <w:tc>
          <w:tcPr>
            <w:tcW w:w="7060" w:type="dxa"/>
            <w:vAlign w:val="bottom"/>
            <w:gridSpan w:val="2"/>
          </w:tcPr>
          <w:p>
            <w:pPr>
              <w:spacing w:after="0"/>
              <w:rPr>
                <w:sz w:val="20"/>
                <w:szCs w:val="20"/>
                <w:color w:val="auto"/>
              </w:rPr>
            </w:pPr>
            <w:r>
              <w:rPr>
                <w:rFonts w:ascii="Arial" w:cs="Arial" w:eastAsia="Arial" w:hAnsi="Arial"/>
                <w:sz w:val="18"/>
                <w:szCs w:val="18"/>
                <w:color w:val="auto"/>
              </w:rPr>
              <w:t>ARTICLE IX ADMINISTRATION OF THE PLAN</w:t>
            </w:r>
          </w:p>
        </w:tc>
        <w:tc>
          <w:tcPr>
            <w:tcW w:w="15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0"/>
        </w:trPr>
        <w:tc>
          <w:tcPr>
            <w:tcW w:w="1340" w:type="dxa"/>
            <w:vAlign w:val="bottom"/>
          </w:tcPr>
          <w:p>
            <w:pPr>
              <w:ind w:left="560"/>
              <w:spacing w:after="0"/>
              <w:rPr>
                <w:sz w:val="20"/>
                <w:szCs w:val="20"/>
                <w:color w:val="auto"/>
              </w:rPr>
            </w:pPr>
            <w:r>
              <w:rPr>
                <w:rFonts w:ascii="Arial" w:cs="Arial" w:eastAsia="Arial" w:hAnsi="Arial"/>
                <w:sz w:val="18"/>
                <w:szCs w:val="18"/>
                <w:color w:val="auto"/>
              </w:rPr>
              <w:t>9.1</w:t>
            </w:r>
          </w:p>
        </w:tc>
        <w:tc>
          <w:tcPr>
            <w:tcW w:w="5720" w:type="dxa"/>
            <w:vAlign w:val="bottom"/>
          </w:tcPr>
          <w:p>
            <w:pPr>
              <w:ind w:left="360"/>
              <w:spacing w:after="0"/>
              <w:rPr>
                <w:sz w:val="20"/>
                <w:szCs w:val="20"/>
                <w:color w:val="auto"/>
              </w:rPr>
            </w:pPr>
            <w:r>
              <w:rPr>
                <w:rFonts w:ascii="Arial" w:cs="Arial" w:eastAsia="Arial" w:hAnsi="Arial"/>
                <w:sz w:val="18"/>
                <w:szCs w:val="18"/>
                <w:color w:val="auto"/>
              </w:rPr>
              <w:t>Plan Sponsor and Administrator</w:t>
            </w:r>
          </w:p>
        </w:tc>
        <w:tc>
          <w:tcPr>
            <w:tcW w:w="15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0"/>
        </w:trPr>
        <w:tc>
          <w:tcPr>
            <w:tcW w:w="1340" w:type="dxa"/>
            <w:vAlign w:val="bottom"/>
          </w:tcPr>
          <w:p>
            <w:pPr>
              <w:ind w:left="560"/>
              <w:spacing w:after="0"/>
              <w:rPr>
                <w:sz w:val="20"/>
                <w:szCs w:val="20"/>
                <w:color w:val="auto"/>
              </w:rPr>
            </w:pPr>
            <w:r>
              <w:rPr>
                <w:rFonts w:ascii="Arial" w:cs="Arial" w:eastAsia="Arial" w:hAnsi="Arial"/>
                <w:sz w:val="18"/>
                <w:szCs w:val="18"/>
                <w:color w:val="auto"/>
              </w:rPr>
              <w:t>9.2</w:t>
            </w:r>
          </w:p>
        </w:tc>
        <w:tc>
          <w:tcPr>
            <w:tcW w:w="5720" w:type="dxa"/>
            <w:vAlign w:val="bottom"/>
          </w:tcPr>
          <w:p>
            <w:pPr>
              <w:ind w:left="360"/>
              <w:spacing w:after="0"/>
              <w:rPr>
                <w:sz w:val="20"/>
                <w:szCs w:val="20"/>
                <w:color w:val="auto"/>
              </w:rPr>
            </w:pPr>
            <w:r>
              <w:rPr>
                <w:rFonts w:ascii="Arial" w:cs="Arial" w:eastAsia="Arial" w:hAnsi="Arial"/>
                <w:sz w:val="18"/>
                <w:szCs w:val="18"/>
                <w:color w:val="auto"/>
              </w:rPr>
              <w:t>Powers and Authority of the Company</w:t>
            </w:r>
          </w:p>
        </w:tc>
        <w:tc>
          <w:tcPr>
            <w:tcW w:w="15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0"/>
        </w:trPr>
        <w:tc>
          <w:tcPr>
            <w:tcW w:w="1340" w:type="dxa"/>
            <w:vAlign w:val="bottom"/>
          </w:tcPr>
          <w:p>
            <w:pPr>
              <w:ind w:left="560"/>
              <w:spacing w:after="0"/>
              <w:rPr>
                <w:sz w:val="20"/>
                <w:szCs w:val="20"/>
                <w:color w:val="auto"/>
              </w:rPr>
            </w:pPr>
            <w:r>
              <w:rPr>
                <w:rFonts w:ascii="Arial" w:cs="Arial" w:eastAsia="Arial" w:hAnsi="Arial"/>
                <w:sz w:val="18"/>
                <w:szCs w:val="18"/>
                <w:color w:val="auto"/>
              </w:rPr>
              <w:t>9.3</w:t>
            </w:r>
          </w:p>
        </w:tc>
        <w:tc>
          <w:tcPr>
            <w:tcW w:w="5720" w:type="dxa"/>
            <w:vAlign w:val="bottom"/>
          </w:tcPr>
          <w:p>
            <w:pPr>
              <w:ind w:left="360"/>
              <w:spacing w:after="0"/>
              <w:rPr>
                <w:sz w:val="20"/>
                <w:szCs w:val="20"/>
                <w:color w:val="auto"/>
              </w:rPr>
            </w:pPr>
            <w:r>
              <w:rPr>
                <w:rFonts w:ascii="Arial" w:cs="Arial" w:eastAsia="Arial" w:hAnsi="Arial"/>
                <w:sz w:val="18"/>
                <w:szCs w:val="18"/>
                <w:color w:val="auto"/>
              </w:rPr>
              <w:t>Administrative Committee</w:t>
            </w:r>
          </w:p>
        </w:tc>
        <w:tc>
          <w:tcPr>
            <w:tcW w:w="15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0"/>
        </w:trPr>
        <w:tc>
          <w:tcPr>
            <w:tcW w:w="1340" w:type="dxa"/>
            <w:vAlign w:val="bottom"/>
          </w:tcPr>
          <w:p>
            <w:pPr>
              <w:ind w:left="560"/>
              <w:spacing w:after="0"/>
              <w:rPr>
                <w:sz w:val="20"/>
                <w:szCs w:val="20"/>
                <w:color w:val="auto"/>
              </w:rPr>
            </w:pPr>
            <w:r>
              <w:rPr>
                <w:rFonts w:ascii="Arial" w:cs="Arial" w:eastAsia="Arial" w:hAnsi="Arial"/>
                <w:sz w:val="18"/>
                <w:szCs w:val="18"/>
                <w:color w:val="auto"/>
              </w:rPr>
              <w:t>9.4</w:t>
            </w:r>
          </w:p>
        </w:tc>
        <w:tc>
          <w:tcPr>
            <w:tcW w:w="5720" w:type="dxa"/>
            <w:vAlign w:val="bottom"/>
          </w:tcPr>
          <w:p>
            <w:pPr>
              <w:ind w:left="360"/>
              <w:spacing w:after="0"/>
              <w:rPr>
                <w:sz w:val="20"/>
                <w:szCs w:val="20"/>
                <w:color w:val="auto"/>
              </w:rPr>
            </w:pPr>
            <w:r>
              <w:rPr>
                <w:rFonts w:ascii="Arial" w:cs="Arial" w:eastAsia="Arial" w:hAnsi="Arial"/>
                <w:sz w:val="18"/>
                <w:szCs w:val="18"/>
                <w:color w:val="auto"/>
              </w:rPr>
              <w:t>Powers and Authority of Leadership Benefits</w:t>
            </w:r>
          </w:p>
        </w:tc>
        <w:tc>
          <w:tcPr>
            <w:tcW w:w="15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0"/>
        </w:trPr>
        <w:tc>
          <w:tcPr>
            <w:tcW w:w="1340" w:type="dxa"/>
            <w:vAlign w:val="bottom"/>
          </w:tcPr>
          <w:p>
            <w:pPr>
              <w:ind w:left="560"/>
              <w:spacing w:after="0"/>
              <w:rPr>
                <w:sz w:val="20"/>
                <w:szCs w:val="20"/>
                <w:color w:val="auto"/>
              </w:rPr>
            </w:pPr>
            <w:r>
              <w:rPr>
                <w:rFonts w:ascii="Arial" w:cs="Arial" w:eastAsia="Arial" w:hAnsi="Arial"/>
                <w:sz w:val="18"/>
                <w:szCs w:val="18"/>
                <w:color w:val="auto"/>
              </w:rPr>
              <w:t>9.5</w:t>
            </w:r>
          </w:p>
        </w:tc>
        <w:tc>
          <w:tcPr>
            <w:tcW w:w="5720" w:type="dxa"/>
            <w:vAlign w:val="bottom"/>
          </w:tcPr>
          <w:p>
            <w:pPr>
              <w:ind w:left="360"/>
              <w:spacing w:after="0"/>
              <w:rPr>
                <w:sz w:val="20"/>
                <w:szCs w:val="20"/>
                <w:color w:val="auto"/>
              </w:rPr>
            </w:pPr>
            <w:r>
              <w:rPr>
                <w:rFonts w:ascii="Arial" w:cs="Arial" w:eastAsia="Arial" w:hAnsi="Arial"/>
                <w:sz w:val="18"/>
                <w:szCs w:val="18"/>
                <w:color w:val="auto"/>
              </w:rPr>
              <w:t>Reliance on Opinions</w:t>
            </w:r>
          </w:p>
        </w:tc>
        <w:tc>
          <w:tcPr>
            <w:tcW w:w="15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0"/>
        </w:trPr>
        <w:tc>
          <w:tcPr>
            <w:tcW w:w="1340" w:type="dxa"/>
            <w:vAlign w:val="bottom"/>
          </w:tcPr>
          <w:p>
            <w:pPr>
              <w:ind w:left="560"/>
              <w:spacing w:after="0"/>
              <w:rPr>
                <w:sz w:val="20"/>
                <w:szCs w:val="20"/>
                <w:color w:val="auto"/>
              </w:rPr>
            </w:pPr>
            <w:r>
              <w:rPr>
                <w:rFonts w:ascii="Arial" w:cs="Arial" w:eastAsia="Arial" w:hAnsi="Arial"/>
                <w:sz w:val="18"/>
                <w:szCs w:val="18"/>
                <w:color w:val="auto"/>
              </w:rPr>
              <w:t>9.6</w:t>
            </w:r>
          </w:p>
        </w:tc>
        <w:tc>
          <w:tcPr>
            <w:tcW w:w="5720" w:type="dxa"/>
            <w:vAlign w:val="bottom"/>
          </w:tcPr>
          <w:p>
            <w:pPr>
              <w:ind w:left="360"/>
              <w:spacing w:after="0"/>
              <w:rPr>
                <w:sz w:val="20"/>
                <w:szCs w:val="20"/>
                <w:color w:val="auto"/>
              </w:rPr>
            </w:pPr>
            <w:r>
              <w:rPr>
                <w:rFonts w:ascii="Arial" w:cs="Arial" w:eastAsia="Arial" w:hAnsi="Arial"/>
                <w:sz w:val="18"/>
                <w:szCs w:val="18"/>
                <w:color w:val="auto"/>
              </w:rPr>
              <w:t>Information</w:t>
            </w:r>
          </w:p>
        </w:tc>
        <w:tc>
          <w:tcPr>
            <w:tcW w:w="15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0"/>
        </w:trPr>
        <w:tc>
          <w:tcPr>
            <w:tcW w:w="1340" w:type="dxa"/>
            <w:vAlign w:val="bottom"/>
          </w:tcPr>
          <w:p>
            <w:pPr>
              <w:ind w:left="560"/>
              <w:spacing w:after="0"/>
              <w:rPr>
                <w:sz w:val="20"/>
                <w:szCs w:val="20"/>
                <w:color w:val="auto"/>
              </w:rPr>
            </w:pPr>
            <w:r>
              <w:rPr>
                <w:rFonts w:ascii="Arial" w:cs="Arial" w:eastAsia="Arial" w:hAnsi="Arial"/>
                <w:sz w:val="18"/>
                <w:szCs w:val="18"/>
                <w:color w:val="auto"/>
              </w:rPr>
              <w:t>9.7</w:t>
            </w:r>
          </w:p>
        </w:tc>
        <w:tc>
          <w:tcPr>
            <w:tcW w:w="5720" w:type="dxa"/>
            <w:vAlign w:val="bottom"/>
          </w:tcPr>
          <w:p>
            <w:pPr>
              <w:ind w:left="360"/>
              <w:spacing w:after="0"/>
              <w:rPr>
                <w:sz w:val="20"/>
                <w:szCs w:val="20"/>
                <w:color w:val="auto"/>
              </w:rPr>
            </w:pPr>
            <w:r>
              <w:rPr>
                <w:rFonts w:ascii="Arial" w:cs="Arial" w:eastAsia="Arial" w:hAnsi="Arial"/>
                <w:sz w:val="18"/>
                <w:szCs w:val="18"/>
                <w:color w:val="auto"/>
              </w:rPr>
              <w:t>Indemnification</w:t>
            </w:r>
          </w:p>
        </w:tc>
        <w:tc>
          <w:tcPr>
            <w:tcW w:w="15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0"/>
        </w:trPr>
        <w:tc>
          <w:tcPr>
            <w:tcW w:w="7060" w:type="dxa"/>
            <w:vAlign w:val="bottom"/>
            <w:gridSpan w:val="2"/>
          </w:tcPr>
          <w:p>
            <w:pPr>
              <w:spacing w:after="0"/>
              <w:rPr>
                <w:sz w:val="20"/>
                <w:szCs w:val="20"/>
                <w:color w:val="auto"/>
              </w:rPr>
            </w:pPr>
            <w:r>
              <w:rPr>
                <w:rFonts w:ascii="Arial" w:cs="Arial" w:eastAsia="Arial" w:hAnsi="Arial"/>
                <w:sz w:val="18"/>
                <w:szCs w:val="18"/>
                <w:color w:val="auto"/>
              </w:rPr>
              <w:t>ARTICLE X CLAIMS PROCEDURE</w:t>
            </w:r>
          </w:p>
        </w:tc>
        <w:tc>
          <w:tcPr>
            <w:tcW w:w="15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0"/>
        </w:trPr>
        <w:tc>
          <w:tcPr>
            <w:tcW w:w="1340" w:type="dxa"/>
            <w:vAlign w:val="bottom"/>
          </w:tcPr>
          <w:p>
            <w:pPr>
              <w:ind w:left="560"/>
              <w:spacing w:after="0"/>
              <w:rPr>
                <w:sz w:val="20"/>
                <w:szCs w:val="20"/>
                <w:color w:val="auto"/>
              </w:rPr>
            </w:pPr>
            <w:r>
              <w:rPr>
                <w:rFonts w:ascii="Arial" w:cs="Arial" w:eastAsia="Arial" w:hAnsi="Arial"/>
                <w:sz w:val="18"/>
                <w:szCs w:val="18"/>
                <w:color w:val="auto"/>
              </w:rPr>
              <w:t>10.1</w:t>
            </w:r>
          </w:p>
        </w:tc>
        <w:tc>
          <w:tcPr>
            <w:tcW w:w="5720" w:type="dxa"/>
            <w:vAlign w:val="bottom"/>
          </w:tcPr>
          <w:p>
            <w:pPr>
              <w:ind w:left="360"/>
              <w:spacing w:after="0"/>
              <w:rPr>
                <w:sz w:val="20"/>
                <w:szCs w:val="20"/>
                <w:color w:val="auto"/>
              </w:rPr>
            </w:pPr>
            <w:r>
              <w:rPr>
                <w:rFonts w:ascii="Arial" w:cs="Arial" w:eastAsia="Arial" w:hAnsi="Arial"/>
                <w:sz w:val="18"/>
                <w:szCs w:val="18"/>
                <w:color w:val="auto"/>
              </w:rPr>
              <w:t>Submission of Claim</w:t>
            </w:r>
          </w:p>
        </w:tc>
        <w:tc>
          <w:tcPr>
            <w:tcW w:w="15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0"/>
        </w:trPr>
        <w:tc>
          <w:tcPr>
            <w:tcW w:w="1340" w:type="dxa"/>
            <w:vAlign w:val="bottom"/>
          </w:tcPr>
          <w:p>
            <w:pPr>
              <w:ind w:left="560"/>
              <w:spacing w:after="0"/>
              <w:rPr>
                <w:sz w:val="20"/>
                <w:szCs w:val="20"/>
                <w:color w:val="auto"/>
              </w:rPr>
            </w:pPr>
            <w:r>
              <w:rPr>
                <w:rFonts w:ascii="Arial" w:cs="Arial" w:eastAsia="Arial" w:hAnsi="Arial"/>
                <w:sz w:val="18"/>
                <w:szCs w:val="18"/>
                <w:color w:val="auto"/>
              </w:rPr>
              <w:t>10.2</w:t>
            </w:r>
          </w:p>
        </w:tc>
        <w:tc>
          <w:tcPr>
            <w:tcW w:w="5720" w:type="dxa"/>
            <w:vAlign w:val="bottom"/>
          </w:tcPr>
          <w:p>
            <w:pPr>
              <w:ind w:left="360"/>
              <w:spacing w:after="0"/>
              <w:rPr>
                <w:sz w:val="20"/>
                <w:szCs w:val="20"/>
                <w:color w:val="auto"/>
              </w:rPr>
            </w:pPr>
            <w:r>
              <w:rPr>
                <w:rFonts w:ascii="Arial" w:cs="Arial" w:eastAsia="Arial" w:hAnsi="Arial"/>
                <w:sz w:val="18"/>
                <w:szCs w:val="18"/>
                <w:color w:val="auto"/>
              </w:rPr>
              <w:t>Denial of Claim</w:t>
            </w:r>
          </w:p>
        </w:tc>
        <w:tc>
          <w:tcPr>
            <w:tcW w:w="15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0"/>
        </w:trPr>
        <w:tc>
          <w:tcPr>
            <w:tcW w:w="1340" w:type="dxa"/>
            <w:vAlign w:val="bottom"/>
          </w:tcPr>
          <w:p>
            <w:pPr>
              <w:ind w:left="560"/>
              <w:spacing w:after="0"/>
              <w:rPr>
                <w:sz w:val="20"/>
                <w:szCs w:val="20"/>
                <w:color w:val="auto"/>
              </w:rPr>
            </w:pPr>
            <w:r>
              <w:rPr>
                <w:rFonts w:ascii="Arial" w:cs="Arial" w:eastAsia="Arial" w:hAnsi="Arial"/>
                <w:sz w:val="18"/>
                <w:szCs w:val="18"/>
                <w:color w:val="auto"/>
              </w:rPr>
              <w:t>10.3</w:t>
            </w:r>
          </w:p>
        </w:tc>
        <w:tc>
          <w:tcPr>
            <w:tcW w:w="5720" w:type="dxa"/>
            <w:vAlign w:val="bottom"/>
          </w:tcPr>
          <w:p>
            <w:pPr>
              <w:ind w:left="360"/>
              <w:spacing w:after="0"/>
              <w:rPr>
                <w:sz w:val="20"/>
                <w:szCs w:val="20"/>
                <w:color w:val="auto"/>
              </w:rPr>
            </w:pPr>
            <w:r>
              <w:rPr>
                <w:rFonts w:ascii="Arial" w:cs="Arial" w:eastAsia="Arial" w:hAnsi="Arial"/>
                <w:sz w:val="18"/>
                <w:szCs w:val="18"/>
                <w:color w:val="auto"/>
              </w:rPr>
              <w:t>Review of Denied Claim</w:t>
            </w:r>
          </w:p>
        </w:tc>
        <w:tc>
          <w:tcPr>
            <w:tcW w:w="15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0"/>
        </w:trPr>
        <w:tc>
          <w:tcPr>
            <w:tcW w:w="1340" w:type="dxa"/>
            <w:vAlign w:val="bottom"/>
          </w:tcPr>
          <w:p>
            <w:pPr>
              <w:ind w:left="560"/>
              <w:spacing w:after="0"/>
              <w:rPr>
                <w:sz w:val="20"/>
                <w:szCs w:val="20"/>
                <w:color w:val="auto"/>
              </w:rPr>
            </w:pPr>
            <w:r>
              <w:rPr>
                <w:rFonts w:ascii="Arial" w:cs="Arial" w:eastAsia="Arial" w:hAnsi="Arial"/>
                <w:sz w:val="18"/>
                <w:szCs w:val="18"/>
                <w:color w:val="auto"/>
              </w:rPr>
              <w:t>10.4</w:t>
            </w:r>
          </w:p>
        </w:tc>
        <w:tc>
          <w:tcPr>
            <w:tcW w:w="5720" w:type="dxa"/>
            <w:vAlign w:val="bottom"/>
          </w:tcPr>
          <w:p>
            <w:pPr>
              <w:ind w:left="360"/>
              <w:spacing w:after="0"/>
              <w:rPr>
                <w:sz w:val="20"/>
                <w:szCs w:val="20"/>
                <w:color w:val="auto"/>
              </w:rPr>
            </w:pPr>
            <w:r>
              <w:rPr>
                <w:rFonts w:ascii="Arial" w:cs="Arial" w:eastAsia="Arial" w:hAnsi="Arial"/>
                <w:sz w:val="18"/>
                <w:szCs w:val="18"/>
                <w:color w:val="auto"/>
              </w:rPr>
              <w:t>Decision Upon Review of Denied Claim</w:t>
            </w:r>
          </w:p>
        </w:tc>
        <w:tc>
          <w:tcPr>
            <w:tcW w:w="15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0"/>
        </w:trPr>
        <w:tc>
          <w:tcPr>
            <w:tcW w:w="7060" w:type="dxa"/>
            <w:vAlign w:val="bottom"/>
            <w:gridSpan w:val="2"/>
          </w:tcPr>
          <w:p>
            <w:pPr>
              <w:spacing w:after="0"/>
              <w:rPr>
                <w:sz w:val="20"/>
                <w:szCs w:val="20"/>
                <w:color w:val="auto"/>
              </w:rPr>
            </w:pPr>
            <w:r>
              <w:rPr>
                <w:rFonts w:ascii="Arial" w:cs="Arial" w:eastAsia="Arial" w:hAnsi="Arial"/>
                <w:sz w:val="18"/>
                <w:szCs w:val="18"/>
                <w:color w:val="auto"/>
              </w:rPr>
              <w:t>ARTICLE XI AMENDMENT AND TERMINATION</w:t>
            </w:r>
          </w:p>
        </w:tc>
        <w:tc>
          <w:tcPr>
            <w:tcW w:w="15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0"/>
        </w:trPr>
        <w:tc>
          <w:tcPr>
            <w:tcW w:w="7060" w:type="dxa"/>
            <w:vAlign w:val="bottom"/>
            <w:gridSpan w:val="2"/>
          </w:tcPr>
          <w:p>
            <w:pPr>
              <w:spacing w:after="0"/>
              <w:rPr>
                <w:sz w:val="20"/>
                <w:szCs w:val="20"/>
                <w:color w:val="auto"/>
              </w:rPr>
            </w:pPr>
            <w:r>
              <w:rPr>
                <w:rFonts w:ascii="Arial" w:cs="Arial" w:eastAsia="Arial" w:hAnsi="Arial"/>
                <w:sz w:val="18"/>
                <w:szCs w:val="18"/>
                <w:color w:val="auto"/>
              </w:rPr>
              <w:t>ARTICLE XII MISCELLANEOUS</w:t>
            </w:r>
          </w:p>
        </w:tc>
        <w:tc>
          <w:tcPr>
            <w:tcW w:w="15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0"/>
        </w:trPr>
        <w:tc>
          <w:tcPr>
            <w:tcW w:w="1340" w:type="dxa"/>
            <w:vAlign w:val="bottom"/>
          </w:tcPr>
          <w:p>
            <w:pPr>
              <w:ind w:left="560"/>
              <w:spacing w:after="0"/>
              <w:rPr>
                <w:sz w:val="20"/>
                <w:szCs w:val="20"/>
                <w:color w:val="auto"/>
              </w:rPr>
            </w:pPr>
            <w:r>
              <w:rPr>
                <w:rFonts w:ascii="Arial" w:cs="Arial" w:eastAsia="Arial" w:hAnsi="Arial"/>
                <w:sz w:val="18"/>
                <w:szCs w:val="18"/>
                <w:color w:val="auto"/>
              </w:rPr>
              <w:t>12.1</w:t>
            </w:r>
          </w:p>
        </w:tc>
        <w:tc>
          <w:tcPr>
            <w:tcW w:w="5720" w:type="dxa"/>
            <w:vAlign w:val="bottom"/>
          </w:tcPr>
          <w:p>
            <w:pPr>
              <w:ind w:left="360"/>
              <w:spacing w:after="0"/>
              <w:rPr>
                <w:sz w:val="20"/>
                <w:szCs w:val="20"/>
                <w:color w:val="auto"/>
              </w:rPr>
            </w:pPr>
            <w:r>
              <w:rPr>
                <w:rFonts w:ascii="Arial" w:cs="Arial" w:eastAsia="Arial" w:hAnsi="Arial"/>
                <w:sz w:val="18"/>
                <w:szCs w:val="18"/>
                <w:color w:val="auto"/>
              </w:rPr>
              <w:t>No Employment Contract</w:t>
            </w:r>
          </w:p>
        </w:tc>
        <w:tc>
          <w:tcPr>
            <w:tcW w:w="15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0"/>
        </w:trPr>
        <w:tc>
          <w:tcPr>
            <w:tcW w:w="1340" w:type="dxa"/>
            <w:vAlign w:val="bottom"/>
          </w:tcPr>
          <w:p>
            <w:pPr>
              <w:ind w:left="560"/>
              <w:spacing w:after="0"/>
              <w:rPr>
                <w:sz w:val="20"/>
                <w:szCs w:val="20"/>
                <w:color w:val="auto"/>
              </w:rPr>
            </w:pPr>
            <w:r>
              <w:rPr>
                <w:rFonts w:ascii="Arial" w:cs="Arial" w:eastAsia="Arial" w:hAnsi="Arial"/>
                <w:sz w:val="18"/>
                <w:szCs w:val="18"/>
                <w:color w:val="auto"/>
              </w:rPr>
              <w:t>12.2</w:t>
            </w:r>
          </w:p>
        </w:tc>
        <w:tc>
          <w:tcPr>
            <w:tcW w:w="5720" w:type="dxa"/>
            <w:vAlign w:val="bottom"/>
          </w:tcPr>
          <w:p>
            <w:pPr>
              <w:ind w:left="360"/>
              <w:spacing w:after="0"/>
              <w:rPr>
                <w:sz w:val="20"/>
                <w:szCs w:val="20"/>
                <w:color w:val="auto"/>
              </w:rPr>
            </w:pPr>
            <w:r>
              <w:rPr>
                <w:rFonts w:ascii="Arial" w:cs="Arial" w:eastAsia="Arial" w:hAnsi="Arial"/>
                <w:sz w:val="18"/>
                <w:szCs w:val="18"/>
                <w:color w:val="auto"/>
              </w:rPr>
              <w:t>Cooperation</w:t>
            </w:r>
          </w:p>
        </w:tc>
        <w:tc>
          <w:tcPr>
            <w:tcW w:w="15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0"/>
        </w:trPr>
        <w:tc>
          <w:tcPr>
            <w:tcW w:w="1340" w:type="dxa"/>
            <w:vAlign w:val="bottom"/>
          </w:tcPr>
          <w:p>
            <w:pPr>
              <w:ind w:left="560"/>
              <w:spacing w:after="0"/>
              <w:rPr>
                <w:sz w:val="20"/>
                <w:szCs w:val="20"/>
                <w:color w:val="auto"/>
              </w:rPr>
            </w:pPr>
            <w:r>
              <w:rPr>
                <w:rFonts w:ascii="Arial" w:cs="Arial" w:eastAsia="Arial" w:hAnsi="Arial"/>
                <w:sz w:val="18"/>
                <w:szCs w:val="18"/>
                <w:color w:val="auto"/>
              </w:rPr>
              <w:t>12.3</w:t>
            </w:r>
          </w:p>
        </w:tc>
        <w:tc>
          <w:tcPr>
            <w:tcW w:w="5720" w:type="dxa"/>
            <w:vAlign w:val="bottom"/>
          </w:tcPr>
          <w:p>
            <w:pPr>
              <w:ind w:left="360"/>
              <w:spacing w:after="0"/>
              <w:rPr>
                <w:sz w:val="20"/>
                <w:szCs w:val="20"/>
                <w:color w:val="auto"/>
              </w:rPr>
            </w:pPr>
            <w:r>
              <w:rPr>
                <w:rFonts w:ascii="Arial" w:cs="Arial" w:eastAsia="Arial" w:hAnsi="Arial"/>
                <w:sz w:val="18"/>
                <w:szCs w:val="18"/>
                <w:color w:val="auto"/>
              </w:rPr>
              <w:t>Illegality and Invalidity</w:t>
            </w:r>
          </w:p>
        </w:tc>
        <w:tc>
          <w:tcPr>
            <w:tcW w:w="15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0"/>
        </w:trPr>
        <w:tc>
          <w:tcPr>
            <w:tcW w:w="1340" w:type="dxa"/>
            <w:vAlign w:val="bottom"/>
          </w:tcPr>
          <w:p>
            <w:pPr>
              <w:ind w:left="560"/>
              <w:spacing w:after="0"/>
              <w:rPr>
                <w:sz w:val="20"/>
                <w:szCs w:val="20"/>
                <w:color w:val="auto"/>
              </w:rPr>
            </w:pPr>
            <w:r>
              <w:rPr>
                <w:rFonts w:ascii="Arial" w:cs="Arial" w:eastAsia="Arial" w:hAnsi="Arial"/>
                <w:sz w:val="18"/>
                <w:szCs w:val="18"/>
                <w:color w:val="auto"/>
              </w:rPr>
              <w:t>12.4</w:t>
            </w:r>
          </w:p>
        </w:tc>
        <w:tc>
          <w:tcPr>
            <w:tcW w:w="5720" w:type="dxa"/>
            <w:vAlign w:val="bottom"/>
          </w:tcPr>
          <w:p>
            <w:pPr>
              <w:ind w:left="360"/>
              <w:spacing w:after="0"/>
              <w:rPr>
                <w:sz w:val="20"/>
                <w:szCs w:val="20"/>
                <w:color w:val="auto"/>
              </w:rPr>
            </w:pPr>
            <w:r>
              <w:rPr>
                <w:rFonts w:ascii="Arial" w:cs="Arial" w:eastAsia="Arial" w:hAnsi="Arial"/>
                <w:sz w:val="18"/>
                <w:szCs w:val="18"/>
                <w:color w:val="auto"/>
              </w:rPr>
              <w:t>Required Notice</w:t>
            </w:r>
          </w:p>
        </w:tc>
        <w:tc>
          <w:tcPr>
            <w:tcW w:w="15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0"/>
        </w:trPr>
        <w:tc>
          <w:tcPr>
            <w:tcW w:w="1340" w:type="dxa"/>
            <w:vAlign w:val="bottom"/>
          </w:tcPr>
          <w:p>
            <w:pPr>
              <w:ind w:left="560"/>
              <w:spacing w:after="0"/>
              <w:rPr>
                <w:sz w:val="20"/>
                <w:szCs w:val="20"/>
                <w:color w:val="auto"/>
              </w:rPr>
            </w:pPr>
            <w:r>
              <w:rPr>
                <w:rFonts w:ascii="Arial" w:cs="Arial" w:eastAsia="Arial" w:hAnsi="Arial"/>
                <w:sz w:val="18"/>
                <w:szCs w:val="18"/>
                <w:color w:val="auto"/>
              </w:rPr>
              <w:t>12.5</w:t>
            </w:r>
          </w:p>
        </w:tc>
        <w:tc>
          <w:tcPr>
            <w:tcW w:w="5720" w:type="dxa"/>
            <w:vAlign w:val="bottom"/>
          </w:tcPr>
          <w:p>
            <w:pPr>
              <w:ind w:left="360"/>
              <w:spacing w:after="0"/>
              <w:rPr>
                <w:sz w:val="20"/>
                <w:szCs w:val="20"/>
                <w:color w:val="auto"/>
              </w:rPr>
            </w:pPr>
            <w:r>
              <w:rPr>
                <w:rFonts w:ascii="Arial" w:cs="Arial" w:eastAsia="Arial" w:hAnsi="Arial"/>
                <w:sz w:val="18"/>
                <w:szCs w:val="18"/>
                <w:color w:val="auto"/>
              </w:rPr>
              <w:t>Interest of Participant’s Spouse</w:t>
            </w:r>
          </w:p>
        </w:tc>
        <w:tc>
          <w:tcPr>
            <w:tcW w:w="15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0"/>
        </w:trPr>
        <w:tc>
          <w:tcPr>
            <w:tcW w:w="1340" w:type="dxa"/>
            <w:vAlign w:val="bottom"/>
          </w:tcPr>
          <w:p>
            <w:pPr>
              <w:ind w:left="560"/>
              <w:spacing w:after="0"/>
              <w:rPr>
                <w:sz w:val="20"/>
                <w:szCs w:val="20"/>
                <w:color w:val="auto"/>
              </w:rPr>
            </w:pPr>
            <w:r>
              <w:rPr>
                <w:rFonts w:ascii="Arial" w:cs="Arial" w:eastAsia="Arial" w:hAnsi="Arial"/>
                <w:sz w:val="18"/>
                <w:szCs w:val="18"/>
                <w:color w:val="auto"/>
              </w:rPr>
              <w:t>12.6</w:t>
            </w:r>
          </w:p>
        </w:tc>
        <w:tc>
          <w:tcPr>
            <w:tcW w:w="5720" w:type="dxa"/>
            <w:vAlign w:val="bottom"/>
          </w:tcPr>
          <w:p>
            <w:pPr>
              <w:ind w:left="360"/>
              <w:spacing w:after="0"/>
              <w:rPr>
                <w:sz w:val="20"/>
                <w:szCs w:val="20"/>
                <w:color w:val="auto"/>
              </w:rPr>
            </w:pPr>
            <w:r>
              <w:rPr>
                <w:rFonts w:ascii="Arial" w:cs="Arial" w:eastAsia="Arial" w:hAnsi="Arial"/>
                <w:sz w:val="18"/>
                <w:szCs w:val="18"/>
                <w:color w:val="auto"/>
              </w:rPr>
              <w:t>Tax Liabilities from Plan</w:t>
            </w:r>
          </w:p>
        </w:tc>
        <w:tc>
          <w:tcPr>
            <w:tcW w:w="15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0"/>
        </w:trPr>
        <w:tc>
          <w:tcPr>
            <w:tcW w:w="1340" w:type="dxa"/>
            <w:vAlign w:val="bottom"/>
          </w:tcPr>
          <w:p>
            <w:pPr>
              <w:ind w:left="560"/>
              <w:spacing w:after="0"/>
              <w:rPr>
                <w:sz w:val="20"/>
                <w:szCs w:val="20"/>
                <w:color w:val="auto"/>
              </w:rPr>
            </w:pPr>
            <w:r>
              <w:rPr>
                <w:rFonts w:ascii="Arial" w:cs="Arial" w:eastAsia="Arial" w:hAnsi="Arial"/>
                <w:sz w:val="18"/>
                <w:szCs w:val="18"/>
                <w:color w:val="auto"/>
              </w:rPr>
              <w:t>12.7</w:t>
            </w:r>
          </w:p>
        </w:tc>
        <w:tc>
          <w:tcPr>
            <w:tcW w:w="5720" w:type="dxa"/>
            <w:vAlign w:val="bottom"/>
          </w:tcPr>
          <w:p>
            <w:pPr>
              <w:ind w:left="360"/>
              <w:spacing w:after="0"/>
              <w:rPr>
                <w:sz w:val="20"/>
                <w:szCs w:val="20"/>
                <w:color w:val="auto"/>
              </w:rPr>
            </w:pPr>
            <w:r>
              <w:rPr>
                <w:rFonts w:ascii="Arial" w:cs="Arial" w:eastAsia="Arial" w:hAnsi="Arial"/>
                <w:sz w:val="18"/>
                <w:szCs w:val="18"/>
                <w:color w:val="auto"/>
              </w:rPr>
              <w:t>Benefits Nonexclusive</w:t>
            </w:r>
          </w:p>
        </w:tc>
        <w:tc>
          <w:tcPr>
            <w:tcW w:w="15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0"/>
        </w:trPr>
        <w:tc>
          <w:tcPr>
            <w:tcW w:w="1340" w:type="dxa"/>
            <w:vAlign w:val="bottom"/>
          </w:tcPr>
          <w:p>
            <w:pPr>
              <w:ind w:left="560"/>
              <w:spacing w:after="0"/>
              <w:rPr>
                <w:sz w:val="20"/>
                <w:szCs w:val="20"/>
                <w:color w:val="auto"/>
              </w:rPr>
            </w:pPr>
            <w:r>
              <w:rPr>
                <w:rFonts w:ascii="Arial" w:cs="Arial" w:eastAsia="Arial" w:hAnsi="Arial"/>
                <w:sz w:val="18"/>
                <w:szCs w:val="18"/>
                <w:color w:val="auto"/>
              </w:rPr>
              <w:t>12.8</w:t>
            </w:r>
          </w:p>
        </w:tc>
        <w:tc>
          <w:tcPr>
            <w:tcW w:w="5720" w:type="dxa"/>
            <w:vAlign w:val="bottom"/>
          </w:tcPr>
          <w:p>
            <w:pPr>
              <w:ind w:left="360"/>
              <w:spacing w:after="0"/>
              <w:rPr>
                <w:sz w:val="20"/>
                <w:szCs w:val="20"/>
                <w:color w:val="auto"/>
              </w:rPr>
            </w:pPr>
            <w:r>
              <w:rPr>
                <w:rFonts w:ascii="Arial" w:cs="Arial" w:eastAsia="Arial" w:hAnsi="Arial"/>
                <w:sz w:val="18"/>
                <w:szCs w:val="18"/>
                <w:color w:val="auto"/>
              </w:rPr>
              <w:t>Discharge of Company Obligation</w:t>
            </w:r>
          </w:p>
        </w:tc>
        <w:tc>
          <w:tcPr>
            <w:tcW w:w="15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0"/>
        </w:trPr>
        <w:tc>
          <w:tcPr>
            <w:tcW w:w="1340" w:type="dxa"/>
            <w:vAlign w:val="bottom"/>
          </w:tcPr>
          <w:p>
            <w:pPr>
              <w:ind w:left="560"/>
              <w:spacing w:after="0"/>
              <w:rPr>
                <w:sz w:val="20"/>
                <w:szCs w:val="20"/>
                <w:color w:val="auto"/>
              </w:rPr>
            </w:pPr>
            <w:r>
              <w:rPr>
                <w:rFonts w:ascii="Arial" w:cs="Arial" w:eastAsia="Arial" w:hAnsi="Arial"/>
                <w:sz w:val="18"/>
                <w:szCs w:val="18"/>
                <w:color w:val="auto"/>
              </w:rPr>
              <w:t>12.9</w:t>
            </w:r>
          </w:p>
        </w:tc>
        <w:tc>
          <w:tcPr>
            <w:tcW w:w="5720" w:type="dxa"/>
            <w:vAlign w:val="bottom"/>
          </w:tcPr>
          <w:p>
            <w:pPr>
              <w:ind w:left="360"/>
              <w:spacing w:after="0"/>
              <w:rPr>
                <w:sz w:val="20"/>
                <w:szCs w:val="20"/>
                <w:color w:val="auto"/>
              </w:rPr>
            </w:pPr>
            <w:r>
              <w:rPr>
                <w:rFonts w:ascii="Arial" w:cs="Arial" w:eastAsia="Arial" w:hAnsi="Arial"/>
                <w:sz w:val="18"/>
                <w:szCs w:val="18"/>
                <w:color w:val="auto"/>
              </w:rPr>
              <w:t>Costs of Enforcement</w:t>
            </w:r>
          </w:p>
        </w:tc>
        <w:tc>
          <w:tcPr>
            <w:tcW w:w="15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0"/>
        </w:trPr>
        <w:tc>
          <w:tcPr>
            <w:tcW w:w="1340" w:type="dxa"/>
            <w:vAlign w:val="bottom"/>
          </w:tcPr>
          <w:p>
            <w:pPr>
              <w:ind w:left="560"/>
              <w:spacing w:after="0"/>
              <w:rPr>
                <w:sz w:val="20"/>
                <w:szCs w:val="20"/>
                <w:color w:val="auto"/>
              </w:rPr>
            </w:pPr>
            <w:r>
              <w:rPr>
                <w:rFonts w:ascii="Arial" w:cs="Arial" w:eastAsia="Arial" w:hAnsi="Arial"/>
                <w:sz w:val="18"/>
                <w:szCs w:val="18"/>
                <w:color w:val="auto"/>
              </w:rPr>
              <w:t>12.10</w:t>
            </w:r>
          </w:p>
        </w:tc>
        <w:tc>
          <w:tcPr>
            <w:tcW w:w="5720" w:type="dxa"/>
            <w:vAlign w:val="bottom"/>
          </w:tcPr>
          <w:p>
            <w:pPr>
              <w:ind w:left="360"/>
              <w:spacing w:after="0"/>
              <w:rPr>
                <w:sz w:val="20"/>
                <w:szCs w:val="20"/>
                <w:color w:val="auto"/>
              </w:rPr>
            </w:pPr>
            <w:r>
              <w:rPr>
                <w:rFonts w:ascii="Arial" w:cs="Arial" w:eastAsia="Arial" w:hAnsi="Arial"/>
                <w:sz w:val="18"/>
                <w:szCs w:val="18"/>
                <w:color w:val="auto"/>
              </w:rPr>
              <w:t>Gender and Case</w:t>
            </w:r>
          </w:p>
        </w:tc>
        <w:tc>
          <w:tcPr>
            <w:tcW w:w="15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0"/>
        </w:trPr>
        <w:tc>
          <w:tcPr>
            <w:tcW w:w="1340" w:type="dxa"/>
            <w:vAlign w:val="bottom"/>
          </w:tcPr>
          <w:p>
            <w:pPr>
              <w:ind w:left="560"/>
              <w:spacing w:after="0"/>
              <w:rPr>
                <w:sz w:val="20"/>
                <w:szCs w:val="20"/>
                <w:color w:val="auto"/>
              </w:rPr>
            </w:pPr>
            <w:r>
              <w:rPr>
                <w:rFonts w:ascii="Arial" w:cs="Arial" w:eastAsia="Arial" w:hAnsi="Arial"/>
                <w:sz w:val="18"/>
                <w:szCs w:val="18"/>
                <w:color w:val="auto"/>
              </w:rPr>
              <w:t>12.11</w:t>
            </w:r>
          </w:p>
        </w:tc>
        <w:tc>
          <w:tcPr>
            <w:tcW w:w="5720" w:type="dxa"/>
            <w:vAlign w:val="bottom"/>
          </w:tcPr>
          <w:p>
            <w:pPr>
              <w:ind w:left="360"/>
              <w:spacing w:after="0"/>
              <w:rPr>
                <w:sz w:val="20"/>
                <w:szCs w:val="20"/>
                <w:color w:val="auto"/>
              </w:rPr>
            </w:pPr>
            <w:r>
              <w:rPr>
                <w:rFonts w:ascii="Arial" w:cs="Arial" w:eastAsia="Arial" w:hAnsi="Arial"/>
                <w:sz w:val="18"/>
                <w:szCs w:val="18"/>
                <w:color w:val="auto"/>
              </w:rPr>
              <w:t>Titles and Headings</w:t>
            </w:r>
          </w:p>
        </w:tc>
        <w:tc>
          <w:tcPr>
            <w:tcW w:w="15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0"/>
        </w:trPr>
        <w:tc>
          <w:tcPr>
            <w:tcW w:w="1340" w:type="dxa"/>
            <w:vAlign w:val="bottom"/>
          </w:tcPr>
          <w:p>
            <w:pPr>
              <w:ind w:left="560"/>
              <w:spacing w:after="0"/>
              <w:rPr>
                <w:sz w:val="20"/>
                <w:szCs w:val="20"/>
                <w:color w:val="auto"/>
              </w:rPr>
            </w:pPr>
            <w:r>
              <w:rPr>
                <w:rFonts w:ascii="Arial" w:cs="Arial" w:eastAsia="Arial" w:hAnsi="Arial"/>
                <w:sz w:val="18"/>
                <w:szCs w:val="18"/>
                <w:color w:val="auto"/>
              </w:rPr>
              <w:t>12.12</w:t>
            </w:r>
          </w:p>
        </w:tc>
        <w:tc>
          <w:tcPr>
            <w:tcW w:w="5720" w:type="dxa"/>
            <w:vAlign w:val="bottom"/>
          </w:tcPr>
          <w:p>
            <w:pPr>
              <w:ind w:left="360"/>
              <w:spacing w:after="0"/>
              <w:rPr>
                <w:sz w:val="20"/>
                <w:szCs w:val="20"/>
                <w:color w:val="auto"/>
              </w:rPr>
            </w:pPr>
            <w:r>
              <w:rPr>
                <w:rFonts w:ascii="Arial" w:cs="Arial" w:eastAsia="Arial" w:hAnsi="Arial"/>
                <w:sz w:val="18"/>
                <w:szCs w:val="18"/>
                <w:color w:val="auto"/>
              </w:rPr>
              <w:t>Applicable Law</w:t>
            </w:r>
          </w:p>
        </w:tc>
        <w:tc>
          <w:tcPr>
            <w:tcW w:w="15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0"/>
        </w:trPr>
        <w:tc>
          <w:tcPr>
            <w:tcW w:w="1340" w:type="dxa"/>
            <w:vAlign w:val="bottom"/>
          </w:tcPr>
          <w:p>
            <w:pPr>
              <w:ind w:left="560"/>
              <w:spacing w:after="0"/>
              <w:rPr>
                <w:sz w:val="20"/>
                <w:szCs w:val="20"/>
                <w:color w:val="auto"/>
              </w:rPr>
            </w:pPr>
            <w:r>
              <w:rPr>
                <w:rFonts w:ascii="Arial" w:cs="Arial" w:eastAsia="Arial" w:hAnsi="Arial"/>
                <w:sz w:val="18"/>
                <w:szCs w:val="18"/>
                <w:color w:val="auto"/>
              </w:rPr>
              <w:t>12.13</w:t>
            </w:r>
          </w:p>
        </w:tc>
        <w:tc>
          <w:tcPr>
            <w:tcW w:w="5720" w:type="dxa"/>
            <w:vAlign w:val="bottom"/>
          </w:tcPr>
          <w:p>
            <w:pPr>
              <w:ind w:left="360"/>
              <w:spacing w:after="0"/>
              <w:rPr>
                <w:sz w:val="20"/>
                <w:szCs w:val="20"/>
                <w:color w:val="auto"/>
              </w:rPr>
            </w:pPr>
            <w:r>
              <w:rPr>
                <w:rFonts w:ascii="Arial" w:cs="Arial" w:eastAsia="Arial" w:hAnsi="Arial"/>
                <w:sz w:val="18"/>
                <w:szCs w:val="18"/>
                <w:color w:val="auto"/>
              </w:rPr>
              <w:t>Counterparts</w:t>
            </w:r>
          </w:p>
        </w:tc>
        <w:tc>
          <w:tcPr>
            <w:tcW w:w="15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0"/>
        </w:trPr>
        <w:tc>
          <w:tcPr>
            <w:tcW w:w="1340" w:type="dxa"/>
            <w:vAlign w:val="bottom"/>
          </w:tcPr>
          <w:p>
            <w:pPr>
              <w:ind w:left="560"/>
              <w:spacing w:after="0"/>
              <w:rPr>
                <w:sz w:val="20"/>
                <w:szCs w:val="20"/>
                <w:color w:val="auto"/>
              </w:rPr>
            </w:pPr>
            <w:r>
              <w:rPr>
                <w:rFonts w:ascii="Arial" w:cs="Arial" w:eastAsia="Arial" w:hAnsi="Arial"/>
                <w:sz w:val="18"/>
                <w:szCs w:val="18"/>
                <w:color w:val="auto"/>
              </w:rPr>
              <w:t>12.14</w:t>
            </w:r>
          </w:p>
        </w:tc>
        <w:tc>
          <w:tcPr>
            <w:tcW w:w="5720" w:type="dxa"/>
            <w:vAlign w:val="bottom"/>
          </w:tcPr>
          <w:p>
            <w:pPr>
              <w:ind w:left="360"/>
              <w:spacing w:after="0"/>
              <w:rPr>
                <w:sz w:val="20"/>
                <w:szCs w:val="20"/>
                <w:color w:val="auto"/>
              </w:rPr>
            </w:pPr>
            <w:r>
              <w:rPr>
                <w:rFonts w:ascii="Arial" w:cs="Arial" w:eastAsia="Arial" w:hAnsi="Arial"/>
                <w:sz w:val="18"/>
                <w:szCs w:val="18"/>
                <w:color w:val="auto"/>
              </w:rPr>
              <w:t>Definitions</w:t>
            </w:r>
          </w:p>
        </w:tc>
        <w:tc>
          <w:tcPr>
            <w:tcW w:w="1520" w:type="dxa"/>
            <w:vAlign w:val="bottom"/>
          </w:tcPr>
          <w:p>
            <w:pPr>
              <w:jc w:val="right"/>
              <w:spacing w:after="0"/>
              <w:rPr>
                <w:sz w:val="20"/>
                <w:szCs w:val="20"/>
                <w:color w:val="auto"/>
              </w:rPr>
            </w:pPr>
            <w:r>
              <w:rPr>
                <w:rFonts w:ascii="Arial" w:cs="Arial" w:eastAsia="Arial" w:hAnsi="Arial"/>
                <w:sz w:val="18"/>
                <w:szCs w:val="18"/>
                <w:color w:val="auto"/>
              </w:rPr>
              <w:t>19</w:t>
            </w:r>
          </w:p>
        </w:tc>
      </w:tr>
    </w:tbl>
    <w:p>
      <w:pPr>
        <w:sectPr>
          <w:pgSz w:w="11900" w:h="16838" w:orient="portrait"/>
          <w:cols w:equalWidth="0" w:num="1">
            <w:col w:w="9199"/>
          </w:cols>
          <w:pgMar w:left="1260" w:top="530" w:right="1440" w:bottom="1440" w:gutter="0" w:footer="0" w:header="0"/>
        </w:sectPr>
      </w:pPr>
    </w:p>
    <w:bookmarkStart w:id="114" w:name="page115"/>
    <w:bookmarkEnd w:id="114"/>
    <w:p>
      <w:pPr>
        <w:jc w:val="center"/>
        <w:spacing w:after="0"/>
        <w:rPr>
          <w:sz w:val="20"/>
          <w:szCs w:val="20"/>
          <w:color w:val="auto"/>
        </w:rPr>
      </w:pPr>
      <w:r>
        <w:rPr>
          <w:rFonts w:ascii="Arial" w:cs="Arial" w:eastAsia="Arial" w:hAnsi="Arial"/>
          <w:sz w:val="20"/>
          <w:szCs w:val="20"/>
          <w:color w:val="auto"/>
        </w:rPr>
        <w:t>ARTICLE I</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TITLE, PURPOSE AND EFFECTIVE DATE</w:t>
      </w:r>
    </w:p>
    <w:p>
      <w:pPr>
        <w:spacing w:after="0" w:line="200" w:lineRule="exact"/>
        <w:rPr>
          <w:sz w:val="20"/>
          <w:szCs w:val="20"/>
          <w:color w:val="auto"/>
        </w:rPr>
      </w:pPr>
    </w:p>
    <w:p>
      <w:pPr>
        <w:spacing w:after="0" w:line="243"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 xml:space="preserve">1.1 </w:t>
      </w:r>
      <w:r>
        <w:rPr>
          <w:rFonts w:ascii="Arial" w:cs="Arial" w:eastAsia="Arial" w:hAnsi="Arial"/>
          <w:sz w:val="20"/>
          <w:szCs w:val="20"/>
          <w:u w:val="single" w:color="auto"/>
          <w:color w:val="auto"/>
        </w:rPr>
        <w:t>Title</w:t>
      </w:r>
      <w:r>
        <w:rPr>
          <w:rFonts w:ascii="Arial" w:cs="Arial" w:eastAsia="Arial" w:hAnsi="Arial"/>
          <w:sz w:val="20"/>
          <w:szCs w:val="20"/>
          <w:color w:val="auto"/>
        </w:rPr>
        <w:t>. This plan shall be known as the Nordstrom Directors Deferred Compensation Plan, and any reference in this instrument to the Plan shall include the plan as described herein and as amended from time to time.</w:t>
      </w:r>
    </w:p>
    <w:p>
      <w:pPr>
        <w:spacing w:after="0" w:line="19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Purpose</w:t>
      </w:r>
      <w:r>
        <w:rPr>
          <w:rFonts w:ascii="Arial" w:cs="Arial" w:eastAsia="Arial" w:hAnsi="Arial"/>
          <w:sz w:val="18"/>
          <w:szCs w:val="18"/>
          <w:color w:val="auto"/>
        </w:rPr>
        <w:t>. The Plan is intended to constitute an unfunded plan maintained primarily for providing an opportunity for deferred compensation for non-employee members of the Board of Nordstrom, Inc., a Washington corporation, and its affiliates (“Company”). Because the Plan does not cover any employees of the Company, it is exempt from the Employee Retirement Income Security Act of 1974, as amended.</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 xml:space="preserve">1.3 </w:t>
      </w:r>
      <w:r>
        <w:rPr>
          <w:rFonts w:ascii="Arial" w:cs="Arial" w:eastAsia="Arial" w:hAnsi="Arial"/>
          <w:sz w:val="19"/>
          <w:szCs w:val="19"/>
          <w:u w:val="single" w:color="auto"/>
          <w:color w:val="auto"/>
        </w:rPr>
        <w:t>Effective Date</w:t>
      </w:r>
      <w:r>
        <w:rPr>
          <w:rFonts w:ascii="Arial" w:cs="Arial" w:eastAsia="Arial" w:hAnsi="Arial"/>
          <w:sz w:val="19"/>
          <w:szCs w:val="19"/>
          <w:color w:val="auto"/>
        </w:rPr>
        <w:t>. The Plan was originally effective as of January 1, 1994 and was restated effective January 1, 2003. The Plan was subsequently restated to comply with Section 409A of the Code. Except as specifically stated to the contrary, this restatement applies only to amounts deferred and vested on or after November 1, 2017. Amounts deferred and vested prior to January 1, 2005 (and investment gains and losses attributable to such amounts) are governed by the 2002 Restatement and any amendments to the 2002 Restatement. Amounts initially deferred and vested after December 31, 2004 and before November 1, 2017 are subject to the provisions of the 2007 Restatement, except to the extent modified by transition rules separately documented by the Company.</w:t>
      </w:r>
    </w:p>
    <w:p>
      <w:pPr>
        <w:jc w:val="center"/>
        <w:spacing w:after="0"/>
        <w:rPr>
          <w:sz w:val="20"/>
          <w:szCs w:val="20"/>
          <w:color w:val="auto"/>
        </w:rPr>
      </w:pPr>
      <w:r>
        <w:rPr>
          <w:rFonts w:ascii="Arial" w:cs="Arial" w:eastAsia="Arial" w:hAnsi="Arial"/>
          <w:sz w:val="20"/>
          <w:szCs w:val="20"/>
          <w:color w:val="auto"/>
        </w:rPr>
        <w:t>ARTICLE II</w:t>
      </w:r>
    </w:p>
    <w:p>
      <w:pPr>
        <w:jc w:val="center"/>
        <w:spacing w:after="0"/>
        <w:rPr>
          <w:sz w:val="20"/>
          <w:szCs w:val="20"/>
          <w:color w:val="auto"/>
        </w:rPr>
      </w:pPr>
      <w:r>
        <w:rPr>
          <w:rFonts w:ascii="Arial" w:cs="Arial" w:eastAsia="Arial" w:hAnsi="Arial"/>
          <w:sz w:val="20"/>
          <w:szCs w:val="20"/>
          <w:u w:val="single" w:color="auto"/>
          <w:color w:val="auto"/>
        </w:rPr>
        <w:t>ELIGIBILITY</w:t>
      </w:r>
    </w:p>
    <w:p>
      <w:pPr>
        <w:spacing w:after="0" w:line="21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2.1 </w:t>
      </w:r>
      <w:r>
        <w:rPr>
          <w:rFonts w:ascii="Arial" w:cs="Arial" w:eastAsia="Arial" w:hAnsi="Arial"/>
          <w:sz w:val="20"/>
          <w:szCs w:val="20"/>
          <w:u w:val="single" w:color="auto"/>
          <w:color w:val="auto"/>
        </w:rPr>
        <w:t>Participation</w:t>
      </w:r>
      <w:r>
        <w:rPr>
          <w:rFonts w:ascii="Arial" w:cs="Arial" w:eastAsia="Arial" w:hAnsi="Arial"/>
          <w:sz w:val="20"/>
          <w:szCs w:val="20"/>
          <w:color w:val="auto"/>
        </w:rPr>
        <w:t>. A Board member becomes a Participant in the Plan when he or she elects to defer a portion of his or her director’s fees pursuant to the terms of the Plan and Article III or when the Company awards Appreciation Units to the Board member pursuant to the terms of the Plan and Article IV. A Board member remains a Participant as long as he or she has a Bookkeeping Account balance that has not yet been entirely distributed.</w:t>
      </w:r>
    </w:p>
    <w:p>
      <w:pPr>
        <w:spacing w:after="0" w:line="205"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0"/>
          <w:szCs w:val="20"/>
          <w:color w:val="auto"/>
        </w:rPr>
        <w:t xml:space="preserve">2.2 </w:t>
      </w:r>
      <w:r>
        <w:rPr>
          <w:rFonts w:ascii="Arial" w:cs="Arial" w:eastAsia="Arial" w:hAnsi="Arial"/>
          <w:sz w:val="20"/>
          <w:szCs w:val="20"/>
          <w:u w:val="single" w:color="auto"/>
          <w:color w:val="auto"/>
        </w:rPr>
        <w:t>Time of Eligibility</w:t>
      </w:r>
      <w:r>
        <w:rPr>
          <w:rFonts w:ascii="Arial" w:cs="Arial" w:eastAsia="Arial" w:hAnsi="Arial"/>
          <w:sz w:val="20"/>
          <w:szCs w:val="20"/>
          <w:color w:val="auto"/>
        </w:rPr>
        <w:t>. A Board member shall be eligible to participate in the Plan upon becoming a Board member. Subject to the provisions of the Plan, all Board members will be eligible to defer compensation and receive benefits at the time and in the manner provided hereunder.</w:t>
      </w:r>
    </w:p>
    <w:p>
      <w:pPr>
        <w:jc w:val="center"/>
        <w:spacing w:after="0"/>
        <w:rPr>
          <w:sz w:val="20"/>
          <w:szCs w:val="20"/>
          <w:color w:val="auto"/>
        </w:rPr>
      </w:pPr>
      <w:r>
        <w:rPr>
          <w:rFonts w:ascii="Arial" w:cs="Arial" w:eastAsia="Arial" w:hAnsi="Arial"/>
          <w:sz w:val="20"/>
          <w:szCs w:val="20"/>
          <w:color w:val="auto"/>
        </w:rPr>
        <w:t>ARTICLE III</w:t>
      </w:r>
    </w:p>
    <w:p>
      <w:pPr>
        <w:jc w:val="center"/>
        <w:spacing w:after="0"/>
        <w:rPr>
          <w:sz w:val="20"/>
          <w:szCs w:val="20"/>
          <w:color w:val="auto"/>
        </w:rPr>
      </w:pPr>
      <w:r>
        <w:rPr>
          <w:rFonts w:ascii="Arial" w:cs="Arial" w:eastAsia="Arial" w:hAnsi="Arial"/>
          <w:sz w:val="20"/>
          <w:szCs w:val="20"/>
          <w:u w:val="single" w:color="auto"/>
          <w:color w:val="auto"/>
        </w:rPr>
        <w:t>DEFERRAL OF COMPENSATION</w:t>
      </w:r>
    </w:p>
    <w:p>
      <w:pPr>
        <w:spacing w:after="0" w:line="21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3.1 </w:t>
      </w:r>
      <w:r>
        <w:rPr>
          <w:rFonts w:ascii="Arial" w:cs="Arial" w:eastAsia="Arial" w:hAnsi="Arial"/>
          <w:sz w:val="19"/>
          <w:szCs w:val="19"/>
          <w:u w:val="single" w:color="auto"/>
          <w:color w:val="auto"/>
        </w:rPr>
        <w:t>Deferral Elections</w:t>
      </w:r>
      <w:r>
        <w:rPr>
          <w:rFonts w:ascii="Arial" w:cs="Arial" w:eastAsia="Arial" w:hAnsi="Arial"/>
          <w:sz w:val="19"/>
          <w:szCs w:val="19"/>
          <w:color w:val="auto"/>
        </w:rPr>
        <w:t>. A Board member wishing to defer Eligible Compensation must properly execute a Deferral Agreement in accordance with procedures established by the Company’s Leadership Benefits Department on or before the applicable Election Date.</w:t>
      </w:r>
    </w:p>
    <w:p>
      <w:pPr>
        <w:spacing w:after="0" w:line="166" w:lineRule="exact"/>
        <w:rPr>
          <w:sz w:val="20"/>
          <w:szCs w:val="20"/>
          <w:color w:val="auto"/>
        </w:rPr>
      </w:pPr>
    </w:p>
    <w:p>
      <w:pPr>
        <w:ind w:left="660" w:right="20" w:firstLine="645"/>
        <w:spacing w:after="0" w:line="287" w:lineRule="auto"/>
        <w:tabs>
          <w:tab w:leader="none" w:pos="1847" w:val="left"/>
        </w:tabs>
        <w:numPr>
          <w:ilvl w:val="0"/>
          <w:numId w:val="112"/>
        </w:numPr>
        <w:rPr>
          <w:rFonts w:ascii="Arial" w:cs="Arial" w:eastAsia="Arial" w:hAnsi="Arial"/>
          <w:sz w:val="19"/>
          <w:szCs w:val="19"/>
          <w:color w:val="auto"/>
        </w:rPr>
      </w:pPr>
      <w:r>
        <w:rPr>
          <w:rFonts w:ascii="Arial" w:cs="Arial" w:eastAsia="Arial" w:hAnsi="Arial"/>
          <w:sz w:val="19"/>
          <w:szCs w:val="19"/>
          <w:u w:val="single" w:color="auto"/>
          <w:color w:val="auto"/>
        </w:rPr>
        <w:t>Deferral Agreement</w:t>
      </w:r>
      <w:r>
        <w:rPr>
          <w:rFonts w:ascii="Arial" w:cs="Arial" w:eastAsia="Arial" w:hAnsi="Arial"/>
          <w:sz w:val="19"/>
          <w:szCs w:val="19"/>
          <w:color w:val="auto"/>
        </w:rPr>
        <w:t>. As used in this instrument, the term Deferral Agreement means the written or electronic form prescribed by the Administrative Committee, and developed in conjunction with Leadership Benefits, and which indicates</w:t>
      </w:r>
    </w:p>
    <w:p>
      <w:pPr>
        <w:sectPr>
          <w:pgSz w:w="11900" w:h="16838" w:orient="portrait"/>
          <w:cols w:equalWidth="0" w:num="1">
            <w:col w:w="11420"/>
          </w:cols>
          <w:pgMar w:left="240" w:top="622" w:right="239" w:bottom="1440" w:gutter="0" w:footer="0" w:header="0"/>
        </w:sectPr>
      </w:pPr>
    </w:p>
    <w:bookmarkStart w:id="115" w:name="page116"/>
    <w:bookmarkEnd w:id="115"/>
    <w:p>
      <w:pPr>
        <w:ind w:left="660" w:firstLine="648"/>
        <w:spacing w:after="0" w:line="316" w:lineRule="auto"/>
        <w:rPr>
          <w:sz w:val="20"/>
          <w:szCs w:val="20"/>
          <w:color w:val="auto"/>
        </w:rPr>
      </w:pPr>
      <w:r>
        <w:rPr>
          <w:rFonts w:ascii="Arial" w:cs="Arial" w:eastAsia="Arial" w:hAnsi="Arial"/>
          <w:sz w:val="18"/>
          <w:szCs w:val="18"/>
          <w:color w:val="auto"/>
        </w:rPr>
        <w:t>the portion of the Participant’s director’s fees he or she elects to defer for any Plan Year and the time and form of payment of the deferred amounts. No Deferral Agreement shall be effective until accepted by the Company or its designated agent.</w:t>
      </w:r>
    </w:p>
    <w:p>
      <w:pPr>
        <w:spacing w:after="0" w:line="144" w:lineRule="exact"/>
        <w:rPr>
          <w:sz w:val="20"/>
          <w:szCs w:val="20"/>
          <w:color w:val="auto"/>
        </w:rPr>
      </w:pPr>
    </w:p>
    <w:p>
      <w:pPr>
        <w:ind w:left="660" w:firstLine="645"/>
        <w:spacing w:after="0" w:line="260" w:lineRule="auto"/>
        <w:tabs>
          <w:tab w:leader="none" w:pos="1845" w:val="left"/>
        </w:tabs>
        <w:numPr>
          <w:ilvl w:val="0"/>
          <w:numId w:val="113"/>
        </w:numPr>
        <w:rPr>
          <w:rFonts w:ascii="Arial" w:cs="Arial" w:eastAsia="Arial" w:hAnsi="Arial"/>
          <w:sz w:val="20"/>
          <w:szCs w:val="20"/>
          <w:color w:val="auto"/>
        </w:rPr>
      </w:pPr>
      <w:r>
        <w:rPr>
          <w:rFonts w:ascii="Arial" w:cs="Arial" w:eastAsia="Arial" w:hAnsi="Arial"/>
          <w:sz w:val="20"/>
          <w:szCs w:val="20"/>
          <w:u w:val="single" w:color="auto"/>
          <w:color w:val="auto"/>
        </w:rPr>
        <w:t>Election Date</w:t>
      </w:r>
      <w:r>
        <w:rPr>
          <w:rFonts w:ascii="Arial" w:cs="Arial" w:eastAsia="Arial" w:hAnsi="Arial"/>
          <w:sz w:val="20"/>
          <w:szCs w:val="20"/>
          <w:color w:val="auto"/>
        </w:rPr>
        <w:t>. The Election Date is the date by which a Participant must submit a valid Deferral Agreement to the Company, determined as follows:</w:t>
      </w:r>
    </w:p>
    <w:p>
      <w:pPr>
        <w:spacing w:after="0" w:line="190" w:lineRule="exact"/>
        <w:rPr>
          <w:rFonts w:ascii="Arial" w:cs="Arial" w:eastAsia="Arial" w:hAnsi="Arial"/>
          <w:sz w:val="20"/>
          <w:szCs w:val="20"/>
          <w:color w:val="auto"/>
        </w:rPr>
      </w:pPr>
    </w:p>
    <w:p>
      <w:pPr>
        <w:jc w:val="both"/>
        <w:ind w:left="1300" w:firstLine="653"/>
        <w:spacing w:after="0" w:line="245" w:lineRule="auto"/>
        <w:tabs>
          <w:tab w:leader="none" w:pos="2377" w:val="left"/>
        </w:tabs>
        <w:numPr>
          <w:ilvl w:val="1"/>
          <w:numId w:val="113"/>
        </w:numPr>
        <w:rPr>
          <w:rFonts w:ascii="Arial" w:cs="Arial" w:eastAsia="Arial" w:hAnsi="Arial"/>
          <w:sz w:val="20"/>
          <w:szCs w:val="20"/>
          <w:color w:val="auto"/>
        </w:rPr>
      </w:pPr>
      <w:r>
        <w:rPr>
          <w:rFonts w:ascii="Arial" w:cs="Arial" w:eastAsia="Arial" w:hAnsi="Arial"/>
          <w:sz w:val="20"/>
          <w:szCs w:val="20"/>
          <w:u w:val="single" w:color="auto"/>
          <w:color w:val="auto"/>
        </w:rPr>
        <w:t>Plan Year Open Enrollment</w:t>
      </w:r>
      <w:r>
        <w:rPr>
          <w:rFonts w:ascii="Arial" w:cs="Arial" w:eastAsia="Arial" w:hAnsi="Arial"/>
          <w:sz w:val="20"/>
          <w:szCs w:val="20"/>
          <w:color w:val="auto"/>
        </w:rPr>
        <w:t>. Except as provided in Section 3.1(b)(2), the Election Date is the date specified by the Administrative Committee, which may not be later than December 31 of the year preceding the year in which the Participant performs the services that generate the director’s fees.</w:t>
      </w:r>
    </w:p>
    <w:p>
      <w:pPr>
        <w:jc w:val="both"/>
        <w:ind w:left="1300" w:firstLine="653"/>
        <w:spacing w:after="0" w:line="276" w:lineRule="auto"/>
        <w:tabs>
          <w:tab w:leader="none" w:pos="2471" w:val="left"/>
        </w:tabs>
        <w:numPr>
          <w:ilvl w:val="1"/>
          <w:numId w:val="113"/>
        </w:numPr>
        <w:rPr>
          <w:rFonts w:ascii="Arial" w:cs="Arial" w:eastAsia="Arial" w:hAnsi="Arial"/>
          <w:sz w:val="18"/>
          <w:szCs w:val="18"/>
          <w:color w:val="auto"/>
        </w:rPr>
      </w:pPr>
      <w:r>
        <w:rPr>
          <w:rFonts w:ascii="Arial" w:cs="Arial" w:eastAsia="Arial" w:hAnsi="Arial"/>
          <w:sz w:val="18"/>
          <w:szCs w:val="18"/>
          <w:u w:val="single" w:color="auto"/>
          <w:color w:val="auto"/>
        </w:rPr>
        <w:t>New Participants</w:t>
      </w:r>
      <w:r>
        <w:rPr>
          <w:rFonts w:ascii="Arial" w:cs="Arial" w:eastAsia="Arial" w:hAnsi="Arial"/>
          <w:sz w:val="18"/>
          <w:szCs w:val="18"/>
          <w:color w:val="auto"/>
        </w:rPr>
        <w:t>. The Election Date for any Board member who first becomes a Board member on or after January 1 and before the May Board meeting is thirty (30) days after the date the Participant first becomes a Board member, provided that the Election Date must be before the May Board meeting. A Board member who becomes a Board member at or after the May Board meeting must wait until the Plan Year Open Enrollment in order to elect to participate in the Plan.</w:t>
      </w:r>
    </w:p>
    <w:p>
      <w:pPr>
        <w:spacing w:after="0" w:line="179" w:lineRule="exact"/>
        <w:rPr>
          <w:rFonts w:ascii="Arial" w:cs="Arial" w:eastAsia="Arial" w:hAnsi="Arial"/>
          <w:sz w:val="18"/>
          <w:szCs w:val="18"/>
          <w:color w:val="auto"/>
        </w:rPr>
      </w:pPr>
    </w:p>
    <w:p>
      <w:pPr>
        <w:ind w:left="660" w:firstLine="645"/>
        <w:spacing w:after="0" w:line="260" w:lineRule="auto"/>
        <w:tabs>
          <w:tab w:leader="none" w:pos="1739" w:val="left"/>
        </w:tabs>
        <w:numPr>
          <w:ilvl w:val="0"/>
          <w:numId w:val="113"/>
        </w:numPr>
        <w:rPr>
          <w:rFonts w:ascii="Arial" w:cs="Arial" w:eastAsia="Arial" w:hAnsi="Arial"/>
          <w:sz w:val="20"/>
          <w:szCs w:val="20"/>
          <w:color w:val="auto"/>
        </w:rPr>
      </w:pPr>
      <w:r>
        <w:rPr>
          <w:rFonts w:ascii="Arial" w:cs="Arial" w:eastAsia="Arial" w:hAnsi="Arial"/>
          <w:sz w:val="20"/>
          <w:szCs w:val="20"/>
          <w:u w:val="single" w:color="auto"/>
          <w:color w:val="auto"/>
        </w:rPr>
        <w:t>Eligible Compensation</w:t>
      </w:r>
      <w:r>
        <w:rPr>
          <w:rFonts w:ascii="Arial" w:cs="Arial" w:eastAsia="Arial" w:hAnsi="Arial"/>
          <w:sz w:val="20"/>
          <w:szCs w:val="20"/>
          <w:color w:val="auto"/>
        </w:rPr>
        <w:t>. For purposes of this Plan, the following items of a Participant’s remuneration shall be considered Eligible Compensation:</w:t>
      </w:r>
    </w:p>
    <w:p>
      <w:pPr>
        <w:spacing w:after="0" w:line="190" w:lineRule="exact"/>
        <w:rPr>
          <w:rFonts w:ascii="Arial" w:cs="Arial" w:eastAsia="Arial" w:hAnsi="Arial"/>
          <w:sz w:val="20"/>
          <w:szCs w:val="20"/>
          <w:color w:val="auto"/>
        </w:rPr>
      </w:pPr>
    </w:p>
    <w:p>
      <w:pPr>
        <w:ind w:left="2380" w:hanging="427"/>
        <w:spacing w:after="0"/>
        <w:tabs>
          <w:tab w:leader="none" w:pos="2380" w:val="left"/>
        </w:tabs>
        <w:numPr>
          <w:ilvl w:val="1"/>
          <w:numId w:val="113"/>
        </w:numPr>
        <w:rPr>
          <w:rFonts w:ascii="Arial" w:cs="Arial" w:eastAsia="Arial" w:hAnsi="Arial"/>
          <w:sz w:val="20"/>
          <w:szCs w:val="20"/>
          <w:color w:val="auto"/>
        </w:rPr>
      </w:pPr>
      <w:r>
        <w:rPr>
          <w:rFonts w:ascii="Arial" w:cs="Arial" w:eastAsia="Arial" w:hAnsi="Arial"/>
          <w:sz w:val="20"/>
          <w:szCs w:val="20"/>
          <w:u w:val="single" w:color="auto"/>
          <w:color w:val="auto"/>
        </w:rPr>
        <w:t>Cash Fees</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ind w:left="1960" w:firstLine="641"/>
        <w:spacing w:after="0" w:line="260" w:lineRule="auto"/>
        <w:tabs>
          <w:tab w:leader="none" w:pos="3284" w:val="left"/>
        </w:tabs>
        <w:numPr>
          <w:ilvl w:val="2"/>
          <w:numId w:val="113"/>
        </w:numPr>
        <w:rPr>
          <w:rFonts w:ascii="Arial" w:cs="Arial" w:eastAsia="Arial" w:hAnsi="Arial"/>
          <w:sz w:val="20"/>
          <w:szCs w:val="20"/>
          <w:color w:val="auto"/>
        </w:rPr>
      </w:pPr>
      <w:r>
        <w:rPr>
          <w:rFonts w:ascii="Arial" w:cs="Arial" w:eastAsia="Arial" w:hAnsi="Arial"/>
          <w:sz w:val="20"/>
          <w:szCs w:val="20"/>
          <w:u w:val="single" w:color="auto"/>
          <w:color w:val="auto"/>
        </w:rPr>
        <w:t>Plan Year Open Enrollment</w:t>
      </w:r>
      <w:r>
        <w:rPr>
          <w:rFonts w:ascii="Arial" w:cs="Arial" w:eastAsia="Arial" w:hAnsi="Arial"/>
          <w:sz w:val="20"/>
          <w:szCs w:val="20"/>
          <w:color w:val="auto"/>
        </w:rPr>
        <w:t>. The Participant may defer director’s fees payable in cash that are attributable to services performed in the year following the Plan Year containing the Election Date.</w:t>
      </w:r>
    </w:p>
    <w:p>
      <w:pPr>
        <w:spacing w:after="0" w:line="190" w:lineRule="exact"/>
        <w:rPr>
          <w:rFonts w:ascii="Arial" w:cs="Arial" w:eastAsia="Arial" w:hAnsi="Arial"/>
          <w:sz w:val="20"/>
          <w:szCs w:val="20"/>
          <w:color w:val="auto"/>
        </w:rPr>
      </w:pPr>
    </w:p>
    <w:p>
      <w:pPr>
        <w:jc w:val="both"/>
        <w:ind w:left="1960" w:firstLine="641"/>
        <w:spacing w:after="0" w:line="276" w:lineRule="auto"/>
        <w:tabs>
          <w:tab w:leader="none" w:pos="3164" w:val="left"/>
        </w:tabs>
        <w:numPr>
          <w:ilvl w:val="2"/>
          <w:numId w:val="113"/>
        </w:numPr>
        <w:rPr>
          <w:rFonts w:ascii="Arial" w:cs="Arial" w:eastAsia="Arial" w:hAnsi="Arial"/>
          <w:sz w:val="18"/>
          <w:szCs w:val="18"/>
          <w:color w:val="auto"/>
        </w:rPr>
      </w:pPr>
      <w:r>
        <w:rPr>
          <w:rFonts w:ascii="Arial" w:cs="Arial" w:eastAsia="Arial" w:hAnsi="Arial"/>
          <w:sz w:val="18"/>
          <w:szCs w:val="18"/>
          <w:u w:val="single" w:color="auto"/>
          <w:color w:val="auto"/>
        </w:rPr>
        <w:t>New Participant Enrollment</w:t>
      </w:r>
      <w:r>
        <w:rPr>
          <w:rFonts w:ascii="Arial" w:cs="Arial" w:eastAsia="Arial" w:hAnsi="Arial"/>
          <w:sz w:val="18"/>
          <w:szCs w:val="18"/>
          <w:color w:val="auto"/>
        </w:rPr>
        <w:t>. A Participant who becomes a Board member on or after January 1 and before the May Board meeting of a given year may elect to defer his or her director’s fees payable in cash for services to be performed at and after the May Board meeting. A Participant who becomes a Board member at or after the May Board meeting may defer director’s fees payable in cash only during a subsequent Plan Year Open Enrollment. The intent of this provision is to restrict application of the deferral election to compensation paid for services that will be performed after the date of the election, to comply with Treasury Regulation § 1.409A-2(a)(7).</w:t>
      </w:r>
    </w:p>
    <w:p>
      <w:pPr>
        <w:spacing w:after="0" w:line="178" w:lineRule="exact"/>
        <w:rPr>
          <w:rFonts w:ascii="Arial" w:cs="Arial" w:eastAsia="Arial" w:hAnsi="Arial"/>
          <w:sz w:val="18"/>
          <w:szCs w:val="18"/>
          <w:color w:val="auto"/>
        </w:rPr>
      </w:pPr>
    </w:p>
    <w:p>
      <w:pPr>
        <w:ind w:left="1300" w:firstLine="653"/>
        <w:spacing w:after="0" w:line="260" w:lineRule="auto"/>
        <w:tabs>
          <w:tab w:leader="none" w:pos="2458" w:val="left"/>
        </w:tabs>
        <w:numPr>
          <w:ilvl w:val="1"/>
          <w:numId w:val="113"/>
        </w:numPr>
        <w:rPr>
          <w:rFonts w:ascii="Arial" w:cs="Arial" w:eastAsia="Arial" w:hAnsi="Arial"/>
          <w:sz w:val="20"/>
          <w:szCs w:val="20"/>
          <w:color w:val="auto"/>
        </w:rPr>
      </w:pPr>
      <w:r>
        <w:rPr>
          <w:rFonts w:ascii="Arial" w:cs="Arial" w:eastAsia="Arial" w:hAnsi="Arial"/>
          <w:sz w:val="20"/>
          <w:szCs w:val="20"/>
          <w:u w:val="single" w:color="auto"/>
          <w:color w:val="auto"/>
        </w:rPr>
        <w:t>Equity Compensation</w:t>
      </w:r>
      <w:r>
        <w:rPr>
          <w:rFonts w:ascii="Arial" w:cs="Arial" w:eastAsia="Arial" w:hAnsi="Arial"/>
          <w:sz w:val="20"/>
          <w:szCs w:val="20"/>
          <w:color w:val="auto"/>
        </w:rPr>
        <w:t>. Equity Compensation includes Restricted Shares and Stock Units under the Nordstrom Director Incentive Plan in effect at the time of the election, as follows:</w:t>
      </w:r>
    </w:p>
    <w:p>
      <w:pPr>
        <w:spacing w:after="0" w:line="190" w:lineRule="exact"/>
        <w:rPr>
          <w:rFonts w:ascii="Arial" w:cs="Arial" w:eastAsia="Arial" w:hAnsi="Arial"/>
          <w:sz w:val="20"/>
          <w:szCs w:val="20"/>
          <w:color w:val="auto"/>
        </w:rPr>
      </w:pPr>
    </w:p>
    <w:p>
      <w:pPr>
        <w:ind w:left="1960" w:right="20" w:firstLine="641"/>
        <w:spacing w:after="0" w:line="260" w:lineRule="auto"/>
        <w:tabs>
          <w:tab w:leader="none" w:pos="3162" w:val="left"/>
        </w:tabs>
        <w:numPr>
          <w:ilvl w:val="2"/>
          <w:numId w:val="113"/>
        </w:numPr>
        <w:rPr>
          <w:rFonts w:ascii="Arial" w:cs="Arial" w:eastAsia="Arial" w:hAnsi="Arial"/>
          <w:sz w:val="20"/>
          <w:szCs w:val="20"/>
          <w:color w:val="auto"/>
        </w:rPr>
      </w:pPr>
      <w:r>
        <w:rPr>
          <w:rFonts w:ascii="Arial" w:cs="Arial" w:eastAsia="Arial" w:hAnsi="Arial"/>
          <w:sz w:val="20"/>
          <w:szCs w:val="20"/>
          <w:u w:val="single" w:color="auto"/>
          <w:color w:val="auto"/>
        </w:rPr>
        <w:t>Plan Year Open Enrollment</w:t>
      </w:r>
      <w:r>
        <w:rPr>
          <w:rFonts w:ascii="Arial" w:cs="Arial" w:eastAsia="Arial" w:hAnsi="Arial"/>
          <w:sz w:val="20"/>
          <w:szCs w:val="20"/>
          <w:color w:val="auto"/>
        </w:rPr>
        <w:t>. The Participant may defer director’s fees payable in the form of Equity Compensation that are</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622" w:right="239" w:bottom="1440" w:gutter="0" w:footer="0" w:header="0"/>
        </w:sectPr>
      </w:pPr>
    </w:p>
    <w:bookmarkStart w:id="116" w:name="page117"/>
    <w:bookmarkEnd w:id="116"/>
    <w:p>
      <w:pPr>
        <w:ind w:left="2600"/>
        <w:spacing w:after="0"/>
        <w:rPr>
          <w:sz w:val="20"/>
          <w:szCs w:val="20"/>
          <w:color w:val="auto"/>
        </w:rPr>
      </w:pPr>
      <w:r>
        <w:rPr>
          <w:rFonts w:ascii="Arial" w:cs="Arial" w:eastAsia="Arial" w:hAnsi="Arial"/>
          <w:sz w:val="20"/>
          <w:szCs w:val="20"/>
          <w:color w:val="auto"/>
        </w:rPr>
        <w:t>attributable to services performed in the year following the Plan Year containing the Election Date.</w:t>
      </w:r>
    </w:p>
    <w:p>
      <w:pPr>
        <w:spacing w:after="0" w:line="229" w:lineRule="exact"/>
        <w:rPr>
          <w:sz w:val="20"/>
          <w:szCs w:val="20"/>
          <w:color w:val="auto"/>
        </w:rPr>
      </w:pPr>
    </w:p>
    <w:p>
      <w:pPr>
        <w:jc w:val="both"/>
        <w:ind w:left="1960" w:firstLine="641"/>
        <w:spacing w:after="0" w:line="232" w:lineRule="exact"/>
        <w:tabs>
          <w:tab w:leader="none" w:pos="3164" w:val="left"/>
        </w:tabs>
        <w:numPr>
          <w:ilvl w:val="0"/>
          <w:numId w:val="114"/>
        </w:numPr>
        <w:rPr>
          <w:rFonts w:ascii="Arial" w:cs="Arial" w:eastAsia="Arial" w:hAnsi="Arial"/>
          <w:sz w:val="20"/>
          <w:szCs w:val="20"/>
          <w:color w:val="auto"/>
        </w:rPr>
      </w:pPr>
      <w:r>
        <w:rPr>
          <w:rFonts w:ascii="Arial" w:cs="Arial" w:eastAsia="Arial" w:hAnsi="Arial"/>
          <w:sz w:val="20"/>
          <w:szCs w:val="20"/>
          <w:u w:val="single" w:color="auto"/>
          <w:color w:val="auto"/>
        </w:rPr>
        <w:t>New Participant Enrollment</w:t>
      </w:r>
      <w:r>
        <w:rPr>
          <w:rFonts w:ascii="Arial" w:cs="Arial" w:eastAsia="Arial" w:hAnsi="Arial"/>
          <w:sz w:val="20"/>
          <w:szCs w:val="20"/>
          <w:color w:val="auto"/>
        </w:rPr>
        <w:t>. A Participant who becomes a Board member on or after January 1 and before the May Board meeting of a given year may elect to defer his or her director’s fees payable in the form of Equity Compensation for services to be performed at and after the May Board meeting. A Participant who becomes a Board member at or after the May Board meeting may defer director’s fees payable in the form of Equity Compensation only during a subsequent Plan Year Open Enrollment. The intent of this provision is to restrict application of the deferral election to compensation paid for services that will be performed after the date of the election, to comply with Treasury Regulation § 1.409A</w:t>
      </w:r>
      <w:r>
        <w:rPr>
          <w:rFonts w:ascii="MS PGothic" w:cs="MS PGothic" w:eastAsia="MS PGothic" w:hAnsi="MS PGothic"/>
          <w:sz w:val="20"/>
          <w:szCs w:val="20"/>
          <w:color w:val="auto"/>
        </w:rPr>
        <w:t>‑</w:t>
      </w:r>
      <w:r>
        <w:rPr>
          <w:rFonts w:ascii="Arial" w:cs="Arial" w:eastAsia="Arial" w:hAnsi="Arial"/>
          <w:sz w:val="20"/>
          <w:szCs w:val="20"/>
          <w:color w:val="auto"/>
        </w:rPr>
        <w:t>2(a)(7).</w:t>
      </w:r>
    </w:p>
    <w:p>
      <w:pPr>
        <w:spacing w:after="0" w:line="213"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color w:val="auto"/>
        </w:rPr>
        <w:t xml:space="preserve">3.2 </w:t>
      </w:r>
      <w:r>
        <w:rPr>
          <w:rFonts w:ascii="Arial" w:cs="Arial" w:eastAsia="Arial" w:hAnsi="Arial"/>
          <w:sz w:val="19"/>
          <w:szCs w:val="19"/>
          <w:u w:val="single" w:color="auto"/>
          <w:color w:val="auto"/>
        </w:rPr>
        <w:t>Amount of Deferral</w:t>
      </w:r>
      <w:r>
        <w:rPr>
          <w:rFonts w:ascii="Arial" w:cs="Arial" w:eastAsia="Arial" w:hAnsi="Arial"/>
          <w:sz w:val="19"/>
          <w:szCs w:val="19"/>
          <w:color w:val="auto"/>
        </w:rPr>
        <w:t>. A Participant may, for any Plan Year, irrevocably elect to have the following amounts of Eligible Compensation deferred and credited to the Participant’s Bookkeeping Account in accordance with the terms and conditions of the Plan:</w:t>
      </w:r>
    </w:p>
    <w:p>
      <w:pPr>
        <w:spacing w:after="0" w:line="166" w:lineRule="exact"/>
        <w:rPr>
          <w:sz w:val="20"/>
          <w:szCs w:val="20"/>
          <w:color w:val="auto"/>
        </w:rPr>
      </w:pPr>
    </w:p>
    <w:p>
      <w:pPr>
        <w:ind w:left="1720" w:hanging="415"/>
        <w:spacing w:after="0"/>
        <w:tabs>
          <w:tab w:leader="none" w:pos="1720" w:val="left"/>
        </w:tabs>
        <w:numPr>
          <w:ilvl w:val="0"/>
          <w:numId w:val="115"/>
        </w:numPr>
        <w:rPr>
          <w:rFonts w:ascii="Arial" w:cs="Arial" w:eastAsia="Arial" w:hAnsi="Arial"/>
          <w:sz w:val="20"/>
          <w:szCs w:val="20"/>
          <w:color w:val="auto"/>
        </w:rPr>
      </w:pPr>
      <w:r>
        <w:rPr>
          <w:rFonts w:ascii="Arial" w:cs="Arial" w:eastAsia="Arial" w:hAnsi="Arial"/>
          <w:sz w:val="20"/>
          <w:szCs w:val="20"/>
          <w:u w:val="single" w:color="auto"/>
          <w:color w:val="auto"/>
        </w:rPr>
        <w:t>Cash Fees</w:t>
      </w:r>
      <w:r>
        <w:rPr>
          <w:rFonts w:ascii="Arial" w:cs="Arial" w:eastAsia="Arial" w:hAnsi="Arial"/>
          <w:sz w:val="20"/>
          <w:szCs w:val="20"/>
          <w:color w:val="auto"/>
        </w:rPr>
        <w:t>. All or a portion of the Participant’s cash director’s fees;</w:t>
      </w:r>
    </w:p>
    <w:p>
      <w:pPr>
        <w:spacing w:after="0" w:line="229" w:lineRule="exact"/>
        <w:rPr>
          <w:rFonts w:ascii="Arial" w:cs="Arial" w:eastAsia="Arial" w:hAnsi="Arial"/>
          <w:sz w:val="20"/>
          <w:szCs w:val="20"/>
          <w:color w:val="auto"/>
        </w:rPr>
      </w:pPr>
    </w:p>
    <w:p>
      <w:pPr>
        <w:ind w:left="1740" w:hanging="435"/>
        <w:spacing w:after="0"/>
        <w:tabs>
          <w:tab w:leader="none" w:pos="1740" w:val="left"/>
        </w:tabs>
        <w:numPr>
          <w:ilvl w:val="0"/>
          <w:numId w:val="115"/>
        </w:numPr>
        <w:rPr>
          <w:rFonts w:ascii="Arial" w:cs="Arial" w:eastAsia="Arial" w:hAnsi="Arial"/>
          <w:sz w:val="20"/>
          <w:szCs w:val="20"/>
          <w:color w:val="auto"/>
        </w:rPr>
      </w:pPr>
      <w:r>
        <w:rPr>
          <w:rFonts w:ascii="Arial" w:cs="Arial" w:eastAsia="Arial" w:hAnsi="Arial"/>
          <w:sz w:val="20"/>
          <w:szCs w:val="20"/>
          <w:u w:val="single" w:color="auto"/>
          <w:color w:val="auto"/>
        </w:rPr>
        <w:t>Restricted Stock</w:t>
      </w:r>
      <w:r>
        <w:rPr>
          <w:rFonts w:ascii="Arial" w:cs="Arial" w:eastAsia="Arial" w:hAnsi="Arial"/>
          <w:sz w:val="20"/>
          <w:szCs w:val="20"/>
          <w:color w:val="auto"/>
        </w:rPr>
        <w:t>. All or a portion of the Participant’s Restricted Stock; and</w:t>
      </w:r>
    </w:p>
    <w:p>
      <w:pPr>
        <w:spacing w:after="0" w:line="229" w:lineRule="exact"/>
        <w:rPr>
          <w:rFonts w:ascii="Arial" w:cs="Arial" w:eastAsia="Arial" w:hAnsi="Arial"/>
          <w:sz w:val="20"/>
          <w:szCs w:val="20"/>
          <w:color w:val="auto"/>
        </w:rPr>
      </w:pPr>
    </w:p>
    <w:p>
      <w:pPr>
        <w:ind w:left="1720" w:hanging="415"/>
        <w:spacing w:after="0"/>
        <w:tabs>
          <w:tab w:leader="none" w:pos="1720" w:val="left"/>
        </w:tabs>
        <w:numPr>
          <w:ilvl w:val="0"/>
          <w:numId w:val="115"/>
        </w:numPr>
        <w:rPr>
          <w:rFonts w:ascii="Arial" w:cs="Arial" w:eastAsia="Arial" w:hAnsi="Arial"/>
          <w:sz w:val="20"/>
          <w:szCs w:val="20"/>
          <w:color w:val="auto"/>
        </w:rPr>
      </w:pPr>
      <w:r>
        <w:rPr>
          <w:rFonts w:ascii="Arial" w:cs="Arial" w:eastAsia="Arial" w:hAnsi="Arial"/>
          <w:sz w:val="20"/>
          <w:szCs w:val="20"/>
          <w:u w:val="single" w:color="auto"/>
          <w:color w:val="auto"/>
        </w:rPr>
        <w:t>Stock Units</w:t>
      </w:r>
      <w:r>
        <w:rPr>
          <w:rFonts w:ascii="Arial" w:cs="Arial" w:eastAsia="Arial" w:hAnsi="Arial"/>
          <w:sz w:val="20"/>
          <w:szCs w:val="20"/>
          <w:color w:val="auto"/>
        </w:rPr>
        <w:t>. All or a portion of the Participant’s settlement of Stock Units in a future year.</w:t>
      </w:r>
    </w:p>
    <w:p>
      <w:pPr>
        <w:spacing w:after="0" w:line="22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3.3 </w:t>
      </w:r>
      <w:r>
        <w:rPr>
          <w:rFonts w:ascii="Arial" w:cs="Arial" w:eastAsia="Arial" w:hAnsi="Arial"/>
          <w:sz w:val="20"/>
          <w:szCs w:val="20"/>
          <w:u w:val="single" w:color="auto"/>
          <w:color w:val="auto"/>
        </w:rPr>
        <w:t>Effect of Election to Defer Equity Compensation</w:t>
      </w:r>
      <w:r>
        <w:rPr>
          <w:rFonts w:ascii="Arial" w:cs="Arial" w:eastAsia="Arial" w:hAnsi="Arial"/>
          <w:sz w:val="20"/>
          <w:szCs w:val="20"/>
          <w:color w:val="auto"/>
        </w:rPr>
        <w:t>. At the time of deferral, a Participant must elect the time and form of payment of Equity Compensation. Once the deferral election becomes irrevocable as of an Election Date, the time and form of payment of Equity Compensation subject to that election shall be governed solely by the election under this Plan and shall not be governed by the time and form of payment provisions under the Director Incentive Plan.</w:t>
      </w:r>
    </w:p>
    <w:p>
      <w:pPr>
        <w:spacing w:after="0" w:line="20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3.4 </w:t>
      </w:r>
      <w:r>
        <w:rPr>
          <w:rFonts w:ascii="Arial" w:cs="Arial" w:eastAsia="Arial" w:hAnsi="Arial"/>
          <w:sz w:val="20"/>
          <w:szCs w:val="20"/>
          <w:u w:val="single" w:color="auto"/>
          <w:color w:val="auto"/>
        </w:rPr>
        <w:t>Minimum Deferral</w:t>
      </w:r>
      <w:r>
        <w:rPr>
          <w:rFonts w:ascii="Arial" w:cs="Arial" w:eastAsia="Arial" w:hAnsi="Arial"/>
          <w:sz w:val="20"/>
          <w:szCs w:val="20"/>
          <w:color w:val="auto"/>
        </w:rPr>
        <w:t>. Each Participant must agree to defer a minimum of five thousand dollars ($5,000) per Plan Year; provided, however, that this minimum need not be met if director’s fees actually paid are insufficient to yield such minimum deferral in accordance with the Participant’s Deferral Election.</w:t>
      </w:r>
    </w:p>
    <w:p>
      <w:pPr>
        <w:spacing w:after="0" w:line="200"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 xml:space="preserve">3.5 </w:t>
      </w:r>
      <w:r>
        <w:rPr>
          <w:rFonts w:ascii="Arial" w:cs="Arial" w:eastAsia="Arial" w:hAnsi="Arial"/>
          <w:sz w:val="20"/>
          <w:szCs w:val="20"/>
          <w:u w:val="single" w:color="auto"/>
          <w:color w:val="auto"/>
        </w:rPr>
        <w:t>Requirement for Deferral Agreement</w:t>
      </w:r>
      <w:r>
        <w:rPr>
          <w:rFonts w:ascii="Arial" w:cs="Arial" w:eastAsia="Arial" w:hAnsi="Arial"/>
          <w:sz w:val="20"/>
          <w:szCs w:val="20"/>
          <w:color w:val="auto"/>
        </w:rPr>
        <w:t>. A Participant who has not timely submitted a valid Deferral Agreement may not defer any Eligible Compensation for the applicable Plan Year under the Plan.</w:t>
      </w:r>
    </w:p>
    <w:p>
      <w:pPr>
        <w:spacing w:after="0" w:line="19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3.6 </w:t>
      </w:r>
      <w:r>
        <w:rPr>
          <w:rFonts w:ascii="Arial" w:cs="Arial" w:eastAsia="Arial" w:hAnsi="Arial"/>
          <w:sz w:val="20"/>
          <w:szCs w:val="20"/>
          <w:u w:val="single" w:color="auto"/>
          <w:color w:val="auto"/>
        </w:rPr>
        <w:t>Applicability of Deferral Agreement</w:t>
      </w:r>
      <w:r>
        <w:rPr>
          <w:rFonts w:ascii="Arial" w:cs="Arial" w:eastAsia="Arial" w:hAnsi="Arial"/>
          <w:sz w:val="20"/>
          <w:szCs w:val="20"/>
          <w:color w:val="auto"/>
        </w:rPr>
        <w:t>. A Deferral Agreement remains in effect for the Plan Year to which it applies, except that the Deferral Agreement shall automatically be cancelled for the remainder of any Plan Year in which a Participant’s request for an unforeseeable financial emergency is approved. A Participant must file a new Deferral Agreement for each Plan</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622" w:right="239" w:bottom="1440" w:gutter="0" w:footer="0" w:header="0"/>
        </w:sectPr>
      </w:pPr>
    </w:p>
    <w:bookmarkStart w:id="117" w:name="page118"/>
    <w:bookmarkEnd w:id="117"/>
    <w:p>
      <w:pPr>
        <w:ind w:left="660"/>
        <w:spacing w:after="0"/>
        <w:rPr>
          <w:sz w:val="20"/>
          <w:szCs w:val="20"/>
          <w:color w:val="auto"/>
        </w:rPr>
      </w:pPr>
      <w:r>
        <w:rPr>
          <w:rFonts w:ascii="Arial" w:cs="Arial" w:eastAsia="Arial" w:hAnsi="Arial"/>
          <w:sz w:val="20"/>
          <w:szCs w:val="20"/>
          <w:color w:val="auto"/>
        </w:rPr>
        <w:t>Year. The terms of any Deferral Agreement may, but need not be, similar to the terms of any prior Agreement.</w:t>
      </w:r>
    </w:p>
    <w:p>
      <w:pPr>
        <w:spacing w:after="0" w:line="229"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 xml:space="preserve">3.7 </w:t>
      </w:r>
      <w:r>
        <w:rPr>
          <w:rFonts w:ascii="Arial" w:cs="Arial" w:eastAsia="Arial" w:hAnsi="Arial"/>
          <w:sz w:val="20"/>
          <w:szCs w:val="20"/>
          <w:u w:val="single" w:color="auto"/>
          <w:color w:val="auto"/>
        </w:rPr>
        <w:t>Suspension of Participation</w:t>
      </w:r>
      <w:r>
        <w:rPr>
          <w:rFonts w:ascii="Arial" w:cs="Arial" w:eastAsia="Arial" w:hAnsi="Arial"/>
          <w:sz w:val="20"/>
          <w:szCs w:val="20"/>
          <w:color w:val="auto"/>
        </w:rPr>
        <w:t>. If a Participant receives an unscheduled in-service distribution (with penalty) under the 2002 restatement of this Plan, the Participant’s eligibility to defer under this Plan shall continue for the remainder of the Plan Year in which the unscheduled in-service distribution is received, but shall be suspended for the next two Plan Years.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ARTICLE IV</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20"/>
          <w:szCs w:val="20"/>
          <w:u w:val="single" w:color="auto"/>
          <w:color w:val="auto"/>
        </w:rPr>
        <w:t>APPRECIATION UNIT AWARDS AND VALUATION</w:t>
      </w:r>
    </w:p>
    <w:p>
      <w:pPr>
        <w:spacing w:after="0" w:line="200" w:lineRule="exact"/>
        <w:rPr>
          <w:sz w:val="20"/>
          <w:szCs w:val="20"/>
          <w:color w:val="auto"/>
        </w:rPr>
      </w:pPr>
    </w:p>
    <w:p>
      <w:pPr>
        <w:spacing w:after="0" w:line="24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Participation</w:t>
      </w:r>
      <w:r>
        <w:rPr>
          <w:rFonts w:ascii="Arial" w:cs="Arial" w:eastAsia="Arial" w:hAnsi="Arial"/>
          <w:sz w:val="18"/>
          <w:szCs w:val="18"/>
          <w:color w:val="auto"/>
        </w:rPr>
        <w:t>. The Corporate Governance and Nominating Committee may designate members of the Board who, in the judgment of the Corporate Governance and Nominating Committee, are expected to perform future services of special importance on behalf of the Board or of the Company and should be entitled to an award of Appreciation Units under this Plan. Each Board member so designated must execute the Participation Agreement provided by Leadership Benefits as a condition to receiving an award of Appreciation Units.</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4.2 </w:t>
      </w:r>
      <w:r>
        <w:rPr>
          <w:rFonts w:ascii="Arial" w:cs="Arial" w:eastAsia="Arial" w:hAnsi="Arial"/>
          <w:sz w:val="20"/>
          <w:szCs w:val="20"/>
          <w:u w:val="single" w:color="auto"/>
          <w:color w:val="auto"/>
        </w:rPr>
        <w:t>Award of Units</w:t>
      </w:r>
      <w:r>
        <w:rPr>
          <w:rFonts w:ascii="Arial" w:cs="Arial" w:eastAsia="Arial" w:hAnsi="Arial"/>
          <w:sz w:val="20"/>
          <w:szCs w:val="20"/>
          <w:color w:val="auto"/>
        </w:rPr>
        <w:t>. After execution of a Participation Agreement, the Company shall award Appreciation Units to designated Participants on such terms and conditions as the Corporate Governance and Nominating Committee deems appropriate. Such Units shall be immediately fully vested.</w:t>
      </w:r>
    </w:p>
    <w:p>
      <w:pPr>
        <w:spacing w:after="0" w:line="20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Nature of Units</w:t>
      </w:r>
      <w:r>
        <w:rPr>
          <w:rFonts w:ascii="Arial" w:cs="Arial" w:eastAsia="Arial" w:hAnsi="Arial"/>
          <w:sz w:val="18"/>
          <w:szCs w:val="18"/>
          <w:color w:val="auto"/>
        </w:rPr>
        <w:t>. Each Appreciation Unit represents the Company’s agreement to pay to the Participant as deferred compensation an amount based on changes in the value of one share of common stock of the Company, determined under section 4.5. Appreciation Units represent a contractual right to receive deferred compensation, and the Participant holding such right shall be a general, unsecured creditor of the Company. Appreciation Units are intended to reflect changes in the value of actual shares of common stock of the Company, but they are not common stock of the Company, are not transferable or assignable, shall not give the Participant any right to purchase actual shares of Company stock, and shall not confer on the Participant any of the ownership rights associated with shares of common stock of the Company.</w:t>
      </w:r>
    </w:p>
    <w:p>
      <w:pPr>
        <w:spacing w:after="0" w:line="17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4.4 </w:t>
      </w:r>
      <w:r>
        <w:rPr>
          <w:rFonts w:ascii="Arial" w:cs="Arial" w:eastAsia="Arial" w:hAnsi="Arial"/>
          <w:sz w:val="20"/>
          <w:szCs w:val="20"/>
          <w:u w:val="single" w:color="auto"/>
          <w:color w:val="auto"/>
        </w:rPr>
        <w:t>Conversion</w:t>
      </w:r>
      <w:r>
        <w:rPr>
          <w:rFonts w:ascii="Arial" w:cs="Arial" w:eastAsia="Arial" w:hAnsi="Arial"/>
          <w:sz w:val="20"/>
          <w:szCs w:val="20"/>
          <w:color w:val="auto"/>
        </w:rPr>
        <w:t>. Upon the occurrence of a distribution event under Article VII, or at any time upon the election of a Participant, some or all of the Appreciation Units shall be converted into a dollar amount, which represents the difference in value of shares of Company common stock from the date the Appreciation Units are awarded to the date the Units are converted. The value of the converted Units shall be determined under section 4.5, shall be credited to the Participant’s Bookkeeping Account, and shall be deemed invested in accordance with the Participant’s deemed investments under section 5.3. Unless a distribution event has occurred under Article VII, the fact that a Participant elects to convert one or more Appreciation Units to a cash value does not create the right to receive a distribution or payment of any kind from this Plan.</w:t>
      </w:r>
    </w:p>
    <w:p>
      <w:pPr>
        <w:spacing w:after="0" w:line="207"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 xml:space="preserve">4.5 </w:t>
      </w:r>
      <w:r>
        <w:rPr>
          <w:rFonts w:ascii="Arial" w:cs="Arial" w:eastAsia="Arial" w:hAnsi="Arial"/>
          <w:sz w:val="20"/>
          <w:szCs w:val="20"/>
          <w:u w:val="single" w:color="auto"/>
          <w:color w:val="auto"/>
        </w:rPr>
        <w:t>Valuation</w:t>
      </w:r>
      <w:r>
        <w:rPr>
          <w:rFonts w:ascii="Arial" w:cs="Arial" w:eastAsia="Arial" w:hAnsi="Arial"/>
          <w:sz w:val="20"/>
          <w:szCs w:val="20"/>
          <w:color w:val="auto"/>
        </w:rPr>
        <w:t>. Upon the Participant’s election to convert some or all of the Appreciation Units or upon occurrence of a distribution event described in Article VII, the value of the Units shall be determined as follows: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622" w:right="239" w:bottom="1440" w:gutter="0" w:footer="0" w:header="0"/>
        </w:sectPr>
      </w:pPr>
    </w:p>
    <w:bookmarkStart w:id="118" w:name="page119"/>
    <w:bookmarkEnd w:id="118"/>
    <w:p>
      <w:pPr>
        <w:ind w:left="660" w:right="20" w:firstLine="645"/>
        <w:spacing w:after="0" w:line="260" w:lineRule="auto"/>
        <w:tabs>
          <w:tab w:leader="none" w:pos="1577" w:val="left"/>
        </w:tabs>
        <w:numPr>
          <w:ilvl w:val="0"/>
          <w:numId w:val="116"/>
        </w:numPr>
        <w:rPr>
          <w:rFonts w:ascii="Arial" w:cs="Arial" w:eastAsia="Arial" w:hAnsi="Arial"/>
          <w:sz w:val="20"/>
          <w:szCs w:val="20"/>
          <w:color w:val="auto"/>
        </w:rPr>
      </w:pPr>
      <w:r>
        <w:rPr>
          <w:rFonts w:ascii="Arial" w:cs="Arial" w:eastAsia="Arial" w:hAnsi="Arial"/>
          <w:sz w:val="20"/>
          <w:szCs w:val="20"/>
          <w:color w:val="auto"/>
        </w:rPr>
        <w:t>First, the base value of the Units shall be determined by multiplying the number of Units awarded by the closing price of Company common stock on the New York Stock Exchange on the date that the Units are awarded.</w:t>
      </w:r>
    </w:p>
    <w:p>
      <w:pPr>
        <w:spacing w:after="0" w:line="190" w:lineRule="exact"/>
        <w:rPr>
          <w:rFonts w:ascii="Arial" w:cs="Arial" w:eastAsia="Arial" w:hAnsi="Arial"/>
          <w:sz w:val="20"/>
          <w:szCs w:val="20"/>
          <w:color w:val="auto"/>
        </w:rPr>
      </w:pPr>
    </w:p>
    <w:p>
      <w:pPr>
        <w:ind w:left="660" w:firstLine="645"/>
        <w:spacing w:after="0" w:line="260" w:lineRule="auto"/>
        <w:tabs>
          <w:tab w:leader="none" w:pos="1602" w:val="left"/>
        </w:tabs>
        <w:numPr>
          <w:ilvl w:val="0"/>
          <w:numId w:val="116"/>
        </w:numPr>
        <w:rPr>
          <w:rFonts w:ascii="Arial" w:cs="Arial" w:eastAsia="Arial" w:hAnsi="Arial"/>
          <w:sz w:val="20"/>
          <w:szCs w:val="20"/>
          <w:color w:val="auto"/>
        </w:rPr>
      </w:pPr>
      <w:r>
        <w:rPr>
          <w:rFonts w:ascii="Arial" w:cs="Arial" w:eastAsia="Arial" w:hAnsi="Arial"/>
          <w:sz w:val="20"/>
          <w:szCs w:val="20"/>
          <w:color w:val="auto"/>
        </w:rPr>
        <w:t>Second, the adjusted value of the Units shall be determined by multiplying the number of converted Units by the closing price of Company common stock on the New York Stock Exchange on the date that the Units are converted.</w:t>
      </w:r>
    </w:p>
    <w:p>
      <w:pPr>
        <w:spacing w:after="0" w:line="190" w:lineRule="exact"/>
        <w:rPr>
          <w:rFonts w:ascii="Arial" w:cs="Arial" w:eastAsia="Arial" w:hAnsi="Arial"/>
          <w:sz w:val="20"/>
          <w:szCs w:val="20"/>
          <w:color w:val="auto"/>
        </w:rPr>
      </w:pPr>
    </w:p>
    <w:p>
      <w:pPr>
        <w:jc w:val="both"/>
        <w:ind w:left="660" w:firstLine="645"/>
        <w:spacing w:after="0" w:line="250" w:lineRule="auto"/>
        <w:tabs>
          <w:tab w:leader="none" w:pos="1577" w:val="left"/>
        </w:tabs>
        <w:numPr>
          <w:ilvl w:val="0"/>
          <w:numId w:val="116"/>
        </w:numPr>
        <w:rPr>
          <w:rFonts w:ascii="Arial" w:cs="Arial" w:eastAsia="Arial" w:hAnsi="Arial"/>
          <w:sz w:val="20"/>
          <w:szCs w:val="20"/>
          <w:color w:val="auto"/>
        </w:rPr>
      </w:pPr>
      <w:r>
        <w:rPr>
          <w:rFonts w:ascii="Arial" w:cs="Arial" w:eastAsia="Arial" w:hAnsi="Arial"/>
          <w:sz w:val="20"/>
          <w:szCs w:val="20"/>
          <w:color w:val="auto"/>
        </w:rPr>
        <w:t>Third, the dollar amount under (a) shall be subtracted from the dollar amount in (b), and the difference shall be credited to the Participant’s Bookkeeping Account. In the event that the difference results in a number less than zero, the converted Units shall be cancelled without any liability or obligation to pay on the part of the Company or the Participant.</w:t>
      </w:r>
    </w:p>
    <w:p>
      <w:pPr>
        <w:spacing w:after="0" w:line="20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Participation Agreement</w:t>
      </w:r>
      <w:r>
        <w:rPr>
          <w:rFonts w:ascii="Arial" w:cs="Arial" w:eastAsia="Arial" w:hAnsi="Arial"/>
          <w:sz w:val="18"/>
          <w:szCs w:val="18"/>
          <w:color w:val="auto"/>
        </w:rPr>
        <w:t>. As used in this Plan, the term Participation Agreement means the written form prescribed by the Compensation Committee that specifies the number of Appreciation Units awarded to a member of the Board. The Participation Agreement may include such terms and conditions applicable to the award and conversion of the Appreciation Units as the Corporate Governance and Nominating Committee may deem reasonable and necessary to achieve the objectives of this Plan. In addition, the Participation Agreement with respect to each separate award of Appreciation Units shall specify the Participant’s elections for the time and form of distribution of the value of the Units, and the elections can be modified only as provided in Article VII. The Participation Agreement must be executed prior to an actual award of Appreciation Units, and shall not be effective until approved and accepted by the Company.</w:t>
      </w:r>
    </w:p>
    <w:p>
      <w:pPr>
        <w:spacing w:after="0" w:line="18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4.7 </w:t>
      </w:r>
      <w:r>
        <w:rPr>
          <w:rFonts w:ascii="Arial" w:cs="Arial" w:eastAsia="Arial" w:hAnsi="Arial"/>
          <w:sz w:val="20"/>
          <w:szCs w:val="20"/>
          <w:u w:val="single" w:color="auto"/>
          <w:color w:val="auto"/>
        </w:rPr>
        <w:t>Effect of Change in Stock</w:t>
      </w:r>
      <w:r>
        <w:rPr>
          <w:rFonts w:ascii="Arial" w:cs="Arial" w:eastAsia="Arial" w:hAnsi="Arial"/>
          <w:sz w:val="20"/>
          <w:szCs w:val="20"/>
          <w:color w:val="auto"/>
        </w:rPr>
        <w:t>. The Units and the value of the Units shall be proportionately adjusted for increase or decrease in the number of shares of Company stock subsequent to the effective date of a Participation Agreement resulting from a split, division, or consolidation of shares, a capital adjustment, or other increase or decrease in the number of shares of Company stock without receipt of consideration by the Company.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ARTICLE V</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BOOKKEEPING ACCOUNT AND CREDITING</w:t>
      </w:r>
    </w:p>
    <w:p>
      <w:pPr>
        <w:spacing w:after="0" w:line="200" w:lineRule="exact"/>
        <w:rPr>
          <w:sz w:val="20"/>
          <w:szCs w:val="20"/>
          <w:color w:val="auto"/>
        </w:rPr>
      </w:pPr>
    </w:p>
    <w:p>
      <w:pPr>
        <w:spacing w:after="0" w:line="243" w:lineRule="exact"/>
        <w:rPr>
          <w:sz w:val="20"/>
          <w:szCs w:val="20"/>
          <w:color w:val="auto"/>
        </w:rPr>
      </w:pPr>
    </w:p>
    <w:p>
      <w:pPr>
        <w:jc w:val="both"/>
        <w:ind w:firstLine="648"/>
        <w:spacing w:after="0" w:line="235" w:lineRule="exact"/>
        <w:rPr>
          <w:sz w:val="20"/>
          <w:szCs w:val="20"/>
          <w:color w:val="auto"/>
        </w:rPr>
      </w:pPr>
      <w:r>
        <w:rPr>
          <w:rFonts w:ascii="Arial" w:cs="Arial" w:eastAsia="Arial" w:hAnsi="Arial"/>
          <w:sz w:val="20"/>
          <w:szCs w:val="20"/>
          <w:color w:val="auto"/>
        </w:rPr>
        <w:t xml:space="preserve">5.1 </w:t>
      </w:r>
      <w:r>
        <w:rPr>
          <w:rFonts w:ascii="Arial" w:cs="Arial" w:eastAsia="Arial" w:hAnsi="Arial"/>
          <w:sz w:val="20"/>
          <w:szCs w:val="20"/>
          <w:u w:val="single" w:color="auto"/>
          <w:color w:val="auto"/>
        </w:rPr>
        <w:t>Bookkeeping Account</w:t>
      </w:r>
      <w:r>
        <w:rPr>
          <w:rFonts w:ascii="Arial" w:cs="Arial" w:eastAsia="Arial" w:hAnsi="Arial"/>
          <w:sz w:val="20"/>
          <w:szCs w:val="20"/>
          <w:color w:val="auto"/>
        </w:rPr>
        <w:t>. A Bookkeeping Account is the account established on the books of the Company as a record of each Participant’s Plan balance. A Bookkeeping Account may, at the discretion of the Administrative Committee, include one or more sub</w:t>
      </w:r>
      <w:r>
        <w:rPr>
          <w:rFonts w:ascii="MS PGothic" w:cs="MS PGothic" w:eastAsia="MS PGothic" w:hAnsi="MS PGothic"/>
          <w:sz w:val="20"/>
          <w:szCs w:val="20"/>
          <w:color w:val="auto"/>
        </w:rPr>
        <w:t>‑</w:t>
      </w:r>
      <w:r>
        <w:rPr>
          <w:rFonts w:ascii="Arial" w:cs="Arial" w:eastAsia="Arial" w:hAnsi="Arial"/>
          <w:sz w:val="20"/>
          <w:szCs w:val="20"/>
          <w:color w:val="auto"/>
        </w:rPr>
        <w:t>accounts to reflect amounts credited to a Participant under the various terms of the Plan. As of the effective date of this Restatement, the Administrative Committee has established the following four sub-accounts:</w:t>
      </w:r>
    </w:p>
    <w:p>
      <w:pPr>
        <w:spacing w:after="0" w:line="209" w:lineRule="exact"/>
        <w:rPr>
          <w:sz w:val="20"/>
          <w:szCs w:val="20"/>
          <w:color w:val="auto"/>
        </w:rPr>
      </w:pPr>
    </w:p>
    <w:p>
      <w:pPr>
        <w:ind w:left="660" w:firstLine="645"/>
        <w:spacing w:after="0" w:line="260" w:lineRule="auto"/>
        <w:tabs>
          <w:tab w:leader="none" w:pos="1861" w:val="left"/>
        </w:tabs>
        <w:numPr>
          <w:ilvl w:val="0"/>
          <w:numId w:val="117"/>
        </w:numPr>
        <w:rPr>
          <w:rFonts w:ascii="Arial" w:cs="Arial" w:eastAsia="Arial" w:hAnsi="Arial"/>
          <w:sz w:val="20"/>
          <w:szCs w:val="20"/>
          <w:color w:val="auto"/>
        </w:rPr>
      </w:pPr>
      <w:r>
        <w:rPr>
          <w:rFonts w:ascii="Arial" w:cs="Arial" w:eastAsia="Arial" w:hAnsi="Arial"/>
          <w:sz w:val="20"/>
          <w:szCs w:val="20"/>
          <w:u w:val="single" w:color="auto"/>
          <w:color w:val="auto"/>
        </w:rPr>
        <w:t>Deemed Investment Sub-Account</w:t>
      </w:r>
      <w:r>
        <w:rPr>
          <w:rFonts w:ascii="Arial" w:cs="Arial" w:eastAsia="Arial" w:hAnsi="Arial"/>
          <w:sz w:val="20"/>
          <w:szCs w:val="20"/>
          <w:color w:val="auto"/>
        </w:rPr>
        <w:t>: A Deemed Investment sub-account, expressed as a dollar amount, reflecting the Participant’s account balance resulting from the following:</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1081" w:right="239" w:bottom="1440" w:gutter="0" w:footer="0" w:header="0"/>
        </w:sectPr>
      </w:pPr>
    </w:p>
    <w:bookmarkStart w:id="119" w:name="page120"/>
    <w:bookmarkEnd w:id="119"/>
    <w:p>
      <w:pPr>
        <w:ind w:left="2380" w:hanging="427"/>
        <w:spacing w:after="0"/>
        <w:tabs>
          <w:tab w:leader="none" w:pos="2380" w:val="left"/>
        </w:tabs>
        <w:numPr>
          <w:ilvl w:val="1"/>
          <w:numId w:val="118"/>
        </w:numPr>
        <w:rPr>
          <w:rFonts w:ascii="Arial" w:cs="Arial" w:eastAsia="Arial" w:hAnsi="Arial"/>
          <w:sz w:val="20"/>
          <w:szCs w:val="20"/>
          <w:color w:val="auto"/>
        </w:rPr>
      </w:pPr>
      <w:r>
        <w:rPr>
          <w:rFonts w:ascii="Arial" w:cs="Arial" w:eastAsia="Arial" w:hAnsi="Arial"/>
          <w:sz w:val="20"/>
          <w:szCs w:val="20"/>
          <w:color w:val="auto"/>
        </w:rPr>
        <w:t>Deferred cash director’s fees;</w:t>
      </w:r>
    </w:p>
    <w:p>
      <w:pPr>
        <w:spacing w:after="0" w:line="229" w:lineRule="exact"/>
        <w:rPr>
          <w:rFonts w:ascii="Arial" w:cs="Arial" w:eastAsia="Arial" w:hAnsi="Arial"/>
          <w:sz w:val="20"/>
          <w:szCs w:val="20"/>
          <w:color w:val="auto"/>
        </w:rPr>
      </w:pPr>
    </w:p>
    <w:p>
      <w:pPr>
        <w:jc w:val="both"/>
        <w:ind w:left="1300" w:firstLine="653"/>
        <w:spacing w:after="0" w:line="250" w:lineRule="auto"/>
        <w:tabs>
          <w:tab w:leader="none" w:pos="2387" w:val="left"/>
        </w:tabs>
        <w:numPr>
          <w:ilvl w:val="1"/>
          <w:numId w:val="118"/>
        </w:numPr>
        <w:rPr>
          <w:rFonts w:ascii="Arial" w:cs="Arial" w:eastAsia="Arial" w:hAnsi="Arial"/>
          <w:sz w:val="20"/>
          <w:szCs w:val="20"/>
          <w:color w:val="auto"/>
        </w:rPr>
      </w:pPr>
      <w:r>
        <w:rPr>
          <w:rFonts w:ascii="Arial" w:cs="Arial" w:eastAsia="Arial" w:hAnsi="Arial"/>
          <w:sz w:val="20"/>
          <w:szCs w:val="20"/>
          <w:color w:val="auto"/>
        </w:rPr>
        <w:t>Cash paid as the result of settlement of Stock Units under the Director Incentive Plan deferred pursuant to Article III; converted Appreciation Units pursuant to Article IV; or dividends issued in the form of cash under the Director Incentive Plan; and</w:t>
      </w:r>
    </w:p>
    <w:p>
      <w:pPr>
        <w:spacing w:after="0" w:line="199" w:lineRule="exact"/>
        <w:rPr>
          <w:rFonts w:ascii="Arial" w:cs="Arial" w:eastAsia="Arial" w:hAnsi="Arial"/>
          <w:sz w:val="20"/>
          <w:szCs w:val="20"/>
          <w:color w:val="auto"/>
        </w:rPr>
      </w:pPr>
    </w:p>
    <w:p>
      <w:pPr>
        <w:ind w:left="2380" w:hanging="427"/>
        <w:spacing w:after="0"/>
        <w:tabs>
          <w:tab w:leader="none" w:pos="2380" w:val="left"/>
        </w:tabs>
        <w:numPr>
          <w:ilvl w:val="1"/>
          <w:numId w:val="118"/>
        </w:numPr>
        <w:rPr>
          <w:rFonts w:ascii="Arial" w:cs="Arial" w:eastAsia="Arial" w:hAnsi="Arial"/>
          <w:sz w:val="20"/>
          <w:szCs w:val="20"/>
          <w:color w:val="auto"/>
        </w:rPr>
      </w:pPr>
      <w:r>
        <w:rPr>
          <w:rFonts w:ascii="Arial" w:cs="Arial" w:eastAsia="Arial" w:hAnsi="Arial"/>
          <w:sz w:val="20"/>
          <w:szCs w:val="20"/>
          <w:color w:val="auto"/>
        </w:rPr>
        <w:t>The Participant’s deemed investment of such amounts under Section 5.3.</w:t>
      </w:r>
    </w:p>
    <w:p>
      <w:pPr>
        <w:spacing w:after="0" w:line="229" w:lineRule="exact"/>
        <w:rPr>
          <w:rFonts w:ascii="Arial" w:cs="Arial" w:eastAsia="Arial" w:hAnsi="Arial"/>
          <w:sz w:val="20"/>
          <w:szCs w:val="20"/>
          <w:color w:val="auto"/>
        </w:rPr>
      </w:pPr>
    </w:p>
    <w:p>
      <w:pPr>
        <w:jc w:val="both"/>
        <w:ind w:left="660" w:firstLine="645"/>
        <w:spacing w:after="0" w:line="250" w:lineRule="auto"/>
        <w:tabs>
          <w:tab w:leader="none" w:pos="1750" w:val="left"/>
        </w:tabs>
        <w:numPr>
          <w:ilvl w:val="0"/>
          <w:numId w:val="119"/>
        </w:numPr>
        <w:rPr>
          <w:rFonts w:ascii="Arial" w:cs="Arial" w:eastAsia="Arial" w:hAnsi="Arial"/>
          <w:sz w:val="20"/>
          <w:szCs w:val="20"/>
          <w:color w:val="auto"/>
        </w:rPr>
      </w:pPr>
      <w:r>
        <w:rPr>
          <w:rFonts w:ascii="Arial" w:cs="Arial" w:eastAsia="Arial" w:hAnsi="Arial"/>
          <w:sz w:val="20"/>
          <w:szCs w:val="20"/>
          <w:u w:val="single" w:color="auto"/>
          <w:color w:val="auto"/>
        </w:rPr>
        <w:t>Company Shares Sub-Account</w:t>
      </w:r>
      <w:r>
        <w:rPr>
          <w:rFonts w:ascii="Arial" w:cs="Arial" w:eastAsia="Arial" w:hAnsi="Arial"/>
          <w:sz w:val="20"/>
          <w:szCs w:val="20"/>
          <w:color w:val="auto"/>
        </w:rPr>
        <w:t>. A Company Shares Sub-Account, expressed in units (each unit representing one share of Company common stock) in which the Participant is vested resulting from settlement of Stock Units under the Director Incentive Plan; or dividends issued in the form of Stock Units under the Director Incentive Plan.</w:t>
      </w:r>
    </w:p>
    <w:p>
      <w:pPr>
        <w:spacing w:after="0" w:line="199" w:lineRule="exact"/>
        <w:rPr>
          <w:rFonts w:ascii="Arial" w:cs="Arial" w:eastAsia="Arial" w:hAnsi="Arial"/>
          <w:sz w:val="20"/>
          <w:szCs w:val="20"/>
          <w:color w:val="auto"/>
        </w:rPr>
      </w:pPr>
    </w:p>
    <w:p>
      <w:pPr>
        <w:jc w:val="both"/>
        <w:ind w:left="660" w:right="20" w:firstLine="645"/>
        <w:spacing w:after="0" w:line="250" w:lineRule="auto"/>
        <w:tabs>
          <w:tab w:leader="none" w:pos="1780" w:val="left"/>
        </w:tabs>
        <w:numPr>
          <w:ilvl w:val="0"/>
          <w:numId w:val="119"/>
        </w:numPr>
        <w:rPr>
          <w:rFonts w:ascii="Arial" w:cs="Arial" w:eastAsia="Arial" w:hAnsi="Arial"/>
          <w:sz w:val="20"/>
          <w:szCs w:val="20"/>
          <w:color w:val="auto"/>
        </w:rPr>
      </w:pPr>
      <w:r>
        <w:rPr>
          <w:rFonts w:ascii="Arial" w:cs="Arial" w:eastAsia="Arial" w:hAnsi="Arial"/>
          <w:sz w:val="20"/>
          <w:szCs w:val="20"/>
          <w:u w:val="single" w:color="auto"/>
          <w:color w:val="auto"/>
        </w:rPr>
        <w:t>Restricted Shares Sub-Account.</w:t>
      </w:r>
      <w:r>
        <w:rPr>
          <w:rFonts w:ascii="Arial" w:cs="Arial" w:eastAsia="Arial" w:hAnsi="Arial"/>
          <w:sz w:val="20"/>
          <w:szCs w:val="20"/>
          <w:color w:val="auto"/>
        </w:rPr>
        <w:t xml:space="preserve"> A Restricted Shares sub-account, expressed in units (denominated in units of shares of the Company’s Common Stock), reflecting the number of Restricted Shares in the Company’s stock granted under the Director Incentive Plan and deferred pursuant to Article III.</w:t>
      </w:r>
    </w:p>
    <w:p>
      <w:pPr>
        <w:spacing w:after="0" w:line="199" w:lineRule="exact"/>
        <w:rPr>
          <w:rFonts w:ascii="Arial" w:cs="Arial" w:eastAsia="Arial" w:hAnsi="Arial"/>
          <w:sz w:val="20"/>
          <w:szCs w:val="20"/>
          <w:color w:val="auto"/>
        </w:rPr>
      </w:pPr>
    </w:p>
    <w:p>
      <w:pPr>
        <w:jc w:val="both"/>
        <w:ind w:left="660" w:firstLine="645"/>
        <w:spacing w:after="0" w:line="291" w:lineRule="auto"/>
        <w:tabs>
          <w:tab w:leader="none" w:pos="1764"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Appreciation Units Sub-Account</w:t>
      </w:r>
      <w:r>
        <w:rPr>
          <w:rFonts w:ascii="Arial" w:cs="Arial" w:eastAsia="Arial" w:hAnsi="Arial"/>
          <w:sz w:val="18"/>
          <w:szCs w:val="18"/>
          <w:color w:val="auto"/>
        </w:rPr>
        <w:t>. An Appreciation Units sub-account reflecting the number of Appreciation Units under Article IV. The balance in such sub-account shall be expressed in units (each unit representing one share of the Company’s Common Stock). The value of Appreciation Units converted to cash shall be reflected in the Deemed Investment Sub-Account.</w:t>
      </w:r>
    </w:p>
    <w:p>
      <w:pPr>
        <w:spacing w:after="0" w:line="16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Time of Crediting Accounts</w:t>
      </w:r>
      <w:r>
        <w:rPr>
          <w:rFonts w:ascii="Arial" w:cs="Arial" w:eastAsia="Arial" w:hAnsi="Arial"/>
          <w:sz w:val="18"/>
          <w:szCs w:val="18"/>
          <w:color w:val="auto"/>
        </w:rPr>
        <w:t>. Amounts deferred by a Participant under the Plan shall be credited to the Participant’s Bookkeeping Account as soon as administratively practicable after the date deferred amounts would otherwise have been received (or beneficially received in the case of Company contributions) by the Participant. Subject to 5.4(c)(ii) regarding the underwriting of the Plan’s investment vehicles, Earnings shall be credited to a Participant’s Bookkeeping Account on the date determined by the Company, but no later than the month following the month in which deferrals and Company contributions were credited to the Bookkeeping Account in accordance with the preceding sentence. Earnings are based on the performance of the investment options selected by Participants in accordance with Section 5.3.</w:t>
      </w:r>
    </w:p>
    <w:p>
      <w:pPr>
        <w:spacing w:after="0" w:line="17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5.3 </w:t>
      </w:r>
      <w:r>
        <w:rPr>
          <w:rFonts w:ascii="Arial" w:cs="Arial" w:eastAsia="Arial" w:hAnsi="Arial"/>
          <w:sz w:val="20"/>
          <w:szCs w:val="20"/>
          <w:u w:val="single" w:color="auto"/>
          <w:color w:val="auto"/>
        </w:rPr>
        <w:t>Participant Deemed Investments</w:t>
      </w:r>
      <w:r>
        <w:rPr>
          <w:rFonts w:ascii="Arial" w:cs="Arial" w:eastAsia="Arial" w:hAnsi="Arial"/>
          <w:sz w:val="20"/>
          <w:szCs w:val="20"/>
          <w:color w:val="auto"/>
        </w:rPr>
        <w:t>. Subject to Section 5.3(b), each Participant may, from time to time, select from the various indices provided by the Administrative Committee (under Section 5.4(b)) in which his or her Bookkeeping Account will be deemed invested; provided, however, that the Administrative Committee is under no obligation to acquire or provide any of the investments designated by the Participant.</w:t>
      </w:r>
    </w:p>
    <w:p>
      <w:pPr>
        <w:spacing w:after="0" w:line="205" w:lineRule="exact"/>
        <w:rPr>
          <w:sz w:val="20"/>
          <w:szCs w:val="20"/>
          <w:color w:val="auto"/>
        </w:rPr>
      </w:pPr>
    </w:p>
    <w:p>
      <w:pPr>
        <w:ind w:left="660" w:right="20" w:firstLine="645"/>
        <w:spacing w:after="0" w:line="316" w:lineRule="auto"/>
        <w:tabs>
          <w:tab w:leader="none" w:pos="1807"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Deemed Investment Sub-Account</w:t>
      </w:r>
      <w:r>
        <w:rPr>
          <w:rFonts w:ascii="Arial" w:cs="Arial" w:eastAsia="Arial" w:hAnsi="Arial"/>
          <w:sz w:val="18"/>
          <w:szCs w:val="18"/>
          <w:color w:val="auto"/>
        </w:rPr>
        <w:t>. A Participant’s Deemed Investment Sub-Account shall be credited or debited from time to time, as determined by the Administrative Committee, with additional amounts equal to the appreciation (or loss) such</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852" w:right="239" w:bottom="1440" w:gutter="0" w:footer="0" w:header="0"/>
        </w:sectPr>
      </w:pPr>
    </w:p>
    <w:bookmarkStart w:id="120" w:name="page121"/>
    <w:bookmarkEnd w:id="120"/>
    <w:p>
      <w:pPr>
        <w:jc w:val="both"/>
        <w:ind w:left="660" w:firstLine="648"/>
        <w:spacing w:after="0" w:line="269" w:lineRule="auto"/>
        <w:rPr>
          <w:sz w:val="20"/>
          <w:szCs w:val="20"/>
          <w:color w:val="auto"/>
        </w:rPr>
      </w:pPr>
      <w:r>
        <w:rPr>
          <w:rFonts w:ascii="Arial" w:cs="Arial" w:eastAsia="Arial" w:hAnsi="Arial"/>
          <w:sz w:val="19"/>
          <w:szCs w:val="19"/>
          <w:color w:val="auto"/>
        </w:rPr>
        <w:t>accounts would have experienced had they actually been invested in the specified fund indices at the relevant times. This crediting and debiting will take into account the date that a Participant’s Bookkeeping Account transactions (such as deferrals, contributions, distributions and transfers among funds) are actually reflected by the Plan’s record-keeping system.</w:t>
      </w:r>
    </w:p>
    <w:p>
      <w:pPr>
        <w:spacing w:after="0" w:line="184" w:lineRule="exact"/>
        <w:rPr>
          <w:sz w:val="20"/>
          <w:szCs w:val="20"/>
          <w:color w:val="auto"/>
        </w:rPr>
      </w:pPr>
    </w:p>
    <w:p>
      <w:pPr>
        <w:jc w:val="both"/>
        <w:ind w:left="660" w:firstLine="645"/>
        <w:spacing w:after="0" w:line="246" w:lineRule="auto"/>
        <w:tabs>
          <w:tab w:leader="none" w:pos="1885" w:val="left"/>
        </w:tabs>
        <w:numPr>
          <w:ilvl w:val="0"/>
          <w:numId w:val="121"/>
        </w:numPr>
        <w:rPr>
          <w:rFonts w:ascii="Arial" w:cs="Arial" w:eastAsia="Arial" w:hAnsi="Arial"/>
          <w:sz w:val="20"/>
          <w:szCs w:val="20"/>
          <w:color w:val="auto"/>
        </w:rPr>
      </w:pPr>
      <w:r>
        <w:rPr>
          <w:rFonts w:ascii="Arial" w:cs="Arial" w:eastAsia="Arial" w:hAnsi="Arial"/>
          <w:sz w:val="20"/>
          <w:szCs w:val="20"/>
          <w:u w:val="single" w:color="auto"/>
          <w:color w:val="auto"/>
        </w:rPr>
        <w:t>Company Shares, Restricted Shares and Appreciation Units Sub-Accounts</w:t>
      </w:r>
      <w:r>
        <w:rPr>
          <w:rFonts w:ascii="Arial" w:cs="Arial" w:eastAsia="Arial" w:hAnsi="Arial"/>
          <w:sz w:val="20"/>
          <w:szCs w:val="20"/>
          <w:color w:val="auto"/>
        </w:rPr>
        <w:t>. The number of units in a Participant’s Company Shares, Restricted Shares, and Appreciation Units Sub-Accounts shall be appropriately adjusted periodically to reflect any dividend (if applicable), split, split-up or any combination or exchange, however accomplished, with respect to the shares of the Company’s common stock represented by such units.</w:t>
      </w:r>
    </w:p>
    <w:p>
      <w:pPr>
        <w:spacing w:after="0" w:line="20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Investments by the Company</w:t>
      </w:r>
      <w:r>
        <w:rPr>
          <w:rFonts w:ascii="Arial" w:cs="Arial" w:eastAsia="Arial" w:hAnsi="Arial"/>
          <w:sz w:val="18"/>
          <w:szCs w:val="18"/>
          <w:color w:val="auto"/>
        </w:rPr>
        <w:t>. In order to provide funds to satisfy its obligations under the Plan, the Company may, but shall not be required to, keep cash or invest and reinvest in mutual funds, stocks, bonds securities or any other assets as may be reasonably selected by the Administrative Committee in its discretion. Such investments may, but need not, follow the investment indices chosen by the Participants.</w:t>
      </w:r>
    </w:p>
    <w:p>
      <w:pPr>
        <w:spacing w:after="0" w:line="165" w:lineRule="exact"/>
        <w:rPr>
          <w:sz w:val="20"/>
          <w:szCs w:val="20"/>
          <w:color w:val="auto"/>
        </w:rPr>
      </w:pPr>
    </w:p>
    <w:p>
      <w:pPr>
        <w:jc w:val="both"/>
        <w:ind w:left="660" w:firstLine="645"/>
        <w:spacing w:after="0" w:line="291" w:lineRule="auto"/>
        <w:tabs>
          <w:tab w:leader="none" w:pos="1847"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Investment Advice</w:t>
      </w:r>
      <w:r>
        <w:rPr>
          <w:rFonts w:ascii="Arial" w:cs="Arial" w:eastAsia="Arial" w:hAnsi="Arial"/>
          <w:sz w:val="18"/>
          <w:szCs w:val="18"/>
          <w:color w:val="auto"/>
        </w:rPr>
        <w:t>. In the exercise of the foregoing investment powers, the Administrative Committee may engage investment counsel and, if the Administrative Committee so desires, may delegate to such counsel full or limited authority to select the assets in which the funds are to be invested. Such investment counsel may be an Officer and Employee of the Company.</w:t>
      </w:r>
    </w:p>
    <w:p>
      <w:pPr>
        <w:spacing w:after="0" w:line="165" w:lineRule="exact"/>
        <w:rPr>
          <w:rFonts w:ascii="Arial" w:cs="Arial" w:eastAsia="Arial" w:hAnsi="Arial"/>
          <w:sz w:val="18"/>
          <w:szCs w:val="18"/>
          <w:color w:val="auto"/>
        </w:rPr>
      </w:pPr>
    </w:p>
    <w:p>
      <w:pPr>
        <w:jc w:val="both"/>
        <w:ind w:left="660" w:firstLine="645"/>
        <w:spacing w:after="0" w:line="263" w:lineRule="auto"/>
        <w:tabs>
          <w:tab w:leader="none" w:pos="1872" w:val="left"/>
        </w:tabs>
        <w:numPr>
          <w:ilvl w:val="0"/>
          <w:numId w:val="122"/>
        </w:numPr>
        <w:rPr>
          <w:rFonts w:ascii="Arial" w:cs="Arial" w:eastAsia="Arial" w:hAnsi="Arial"/>
          <w:sz w:val="19"/>
          <w:szCs w:val="19"/>
          <w:color w:val="auto"/>
        </w:rPr>
      </w:pPr>
      <w:r>
        <w:rPr>
          <w:rFonts w:ascii="Arial" w:cs="Arial" w:eastAsia="Arial" w:hAnsi="Arial"/>
          <w:sz w:val="19"/>
          <w:szCs w:val="19"/>
          <w:u w:val="single" w:color="auto"/>
          <w:color w:val="auto"/>
        </w:rPr>
        <w:t>Choice of Investment Indices</w:t>
      </w:r>
      <w:r>
        <w:rPr>
          <w:rFonts w:ascii="Arial" w:cs="Arial" w:eastAsia="Arial" w:hAnsi="Arial"/>
          <w:sz w:val="19"/>
          <w:szCs w:val="19"/>
          <w:color w:val="auto"/>
        </w:rPr>
        <w:t>. The Administrative Committee, or its investment counsel, may specify one or more investment funds to serve as indices for the investment performance of amounts credited under the Bookkeeping Accounts. The Administrative Committee has the authority to expand or limit the type or number of fund indices and to prescribe, in conjunction with the Company, the frequency with which Participants may change their deemed investment elections.</w:t>
      </w:r>
    </w:p>
    <w:p>
      <w:pPr>
        <w:spacing w:after="0" w:line="190" w:lineRule="exact"/>
        <w:rPr>
          <w:rFonts w:ascii="Arial" w:cs="Arial" w:eastAsia="Arial" w:hAnsi="Arial"/>
          <w:sz w:val="19"/>
          <w:szCs w:val="19"/>
          <w:color w:val="auto"/>
        </w:rPr>
      </w:pPr>
    </w:p>
    <w:p>
      <w:pPr>
        <w:ind w:left="660" w:firstLine="645"/>
        <w:spacing w:after="0" w:line="260" w:lineRule="auto"/>
        <w:tabs>
          <w:tab w:leader="none" w:pos="1820" w:val="left"/>
        </w:tabs>
        <w:numPr>
          <w:ilvl w:val="0"/>
          <w:numId w:val="122"/>
        </w:numPr>
        <w:rPr>
          <w:rFonts w:ascii="Arial" w:cs="Arial" w:eastAsia="Arial" w:hAnsi="Arial"/>
          <w:sz w:val="20"/>
          <w:szCs w:val="20"/>
          <w:color w:val="auto"/>
        </w:rPr>
      </w:pPr>
      <w:r>
        <w:rPr>
          <w:rFonts w:ascii="Arial" w:cs="Arial" w:eastAsia="Arial" w:hAnsi="Arial"/>
          <w:sz w:val="20"/>
          <w:szCs w:val="20"/>
          <w:u w:val="single" w:color="auto"/>
          <w:color w:val="auto"/>
        </w:rPr>
        <w:t>Insurance</w:t>
      </w:r>
      <w:r>
        <w:rPr>
          <w:rFonts w:ascii="Arial" w:cs="Arial" w:eastAsia="Arial" w:hAnsi="Arial"/>
          <w:sz w:val="20"/>
          <w:szCs w:val="20"/>
          <w:color w:val="auto"/>
        </w:rPr>
        <w:t>. If the Administrative Committee elects to purchase an insurance policy or policies insuring the life of the Participant to allow the Company to recover the cost of providing the benefits hereunder:</w:t>
      </w:r>
    </w:p>
    <w:p>
      <w:pPr>
        <w:spacing w:after="0" w:line="190" w:lineRule="exact"/>
        <w:rPr>
          <w:rFonts w:ascii="Arial" w:cs="Arial" w:eastAsia="Arial" w:hAnsi="Arial"/>
          <w:sz w:val="20"/>
          <w:szCs w:val="20"/>
          <w:color w:val="auto"/>
        </w:rPr>
      </w:pPr>
    </w:p>
    <w:p>
      <w:pPr>
        <w:ind w:left="1300" w:firstLine="653"/>
        <w:spacing w:after="0" w:line="260" w:lineRule="auto"/>
        <w:tabs>
          <w:tab w:leader="none" w:pos="2474" w:val="left"/>
        </w:tabs>
        <w:numPr>
          <w:ilvl w:val="1"/>
          <w:numId w:val="122"/>
        </w:numPr>
        <w:rPr>
          <w:rFonts w:ascii="Arial" w:cs="Arial" w:eastAsia="Arial" w:hAnsi="Arial"/>
          <w:sz w:val="20"/>
          <w:szCs w:val="20"/>
          <w:color w:val="auto"/>
        </w:rPr>
      </w:pPr>
      <w:r>
        <w:rPr>
          <w:rFonts w:ascii="Arial" w:cs="Arial" w:eastAsia="Arial" w:hAnsi="Arial"/>
          <w:sz w:val="20"/>
          <w:szCs w:val="20"/>
          <w:color w:val="auto"/>
        </w:rPr>
        <w:t>The Participant shall, as a condition to continued participation in the Plan, sign any papers and undergo any medical examinations or tests that may be necessary or required for such purpose;</w:t>
      </w:r>
    </w:p>
    <w:p>
      <w:pPr>
        <w:spacing w:after="0" w:line="190" w:lineRule="exact"/>
        <w:rPr>
          <w:sz w:val="20"/>
          <w:szCs w:val="20"/>
          <w:color w:val="auto"/>
        </w:rPr>
      </w:pPr>
    </w:p>
    <w:p>
      <w:pPr>
        <w:jc w:val="both"/>
        <w:ind w:left="660" w:firstLine="645"/>
        <w:spacing w:after="0" w:line="250" w:lineRule="auto"/>
        <w:tabs>
          <w:tab w:leader="none" w:pos="1851" w:val="left"/>
        </w:tabs>
        <w:numPr>
          <w:ilvl w:val="0"/>
          <w:numId w:val="123"/>
        </w:numPr>
        <w:rPr>
          <w:rFonts w:ascii="Arial" w:cs="Arial" w:eastAsia="Arial" w:hAnsi="Arial"/>
          <w:sz w:val="20"/>
          <w:szCs w:val="20"/>
          <w:color w:val="auto"/>
        </w:rPr>
      </w:pPr>
      <w:r>
        <w:rPr>
          <w:rFonts w:ascii="Arial" w:cs="Arial" w:eastAsia="Arial" w:hAnsi="Arial"/>
          <w:sz w:val="20"/>
          <w:szCs w:val="20"/>
          <w:color w:val="auto"/>
        </w:rPr>
        <w:t>Notwithstanding the Participant’s election or direction or any provision in the Plan to the contrary, the Participant’s Account may be deemed invested in a money market fund or instrument or other liquid asset selected by the Administrative Committee or its delegate, pending the underwriting and delivery of such policy or annuity; and</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622" w:right="239" w:bottom="1440" w:gutter="0" w:footer="0" w:header="0"/>
        </w:sectPr>
      </w:pPr>
    </w:p>
    <w:bookmarkStart w:id="121" w:name="page122"/>
    <w:bookmarkEnd w:id="121"/>
    <w:p>
      <w:pPr>
        <w:ind w:left="660" w:firstLine="645"/>
        <w:spacing w:after="0" w:line="260" w:lineRule="auto"/>
        <w:tabs>
          <w:tab w:leader="none" w:pos="1747" w:val="left"/>
        </w:tabs>
        <w:numPr>
          <w:ilvl w:val="0"/>
          <w:numId w:val="124"/>
        </w:numPr>
        <w:rPr>
          <w:rFonts w:ascii="Arial" w:cs="Arial" w:eastAsia="Arial" w:hAnsi="Arial"/>
          <w:sz w:val="20"/>
          <w:szCs w:val="20"/>
          <w:color w:val="auto"/>
        </w:rPr>
      </w:pPr>
      <w:r>
        <w:rPr>
          <w:rFonts w:ascii="Arial" w:cs="Arial" w:eastAsia="Arial" w:hAnsi="Arial"/>
          <w:sz w:val="20"/>
          <w:szCs w:val="20"/>
          <w:color w:val="auto"/>
        </w:rPr>
        <w:t>The Participant, Participant’s Beneficiary, and any other person claiming through the Participant shall not have or acquire any rights whatsoever in such policy or policies or in the proceeds of the policies.</w:t>
      </w:r>
    </w:p>
    <w:p>
      <w:pPr>
        <w:spacing w:after="0" w:line="190"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 xml:space="preserve">5.5 </w:t>
      </w:r>
      <w:r>
        <w:rPr>
          <w:rFonts w:ascii="Arial" w:cs="Arial" w:eastAsia="Arial" w:hAnsi="Arial"/>
          <w:sz w:val="20"/>
          <w:szCs w:val="20"/>
          <w:u w:val="single" w:color="auto"/>
          <w:color w:val="auto"/>
        </w:rPr>
        <w:t>Limited Effect of Allocation</w:t>
      </w:r>
      <w:r>
        <w:rPr>
          <w:rFonts w:ascii="Arial" w:cs="Arial" w:eastAsia="Arial" w:hAnsi="Arial"/>
          <w:sz w:val="20"/>
          <w:szCs w:val="20"/>
          <w:color w:val="auto"/>
        </w:rPr>
        <w:t>. The fact that any allocation shall be made and credited to a Bookkeeping Account shall not vest in a Participant any right, title or interest in or to any assets of the Company, or in any right to payment, except at the time(s) and upon the conditions elsewhere set forth in the Plan.</w:t>
      </w:r>
    </w:p>
    <w:p>
      <w:pPr>
        <w:spacing w:after="0" w:line="20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5.6 </w:t>
      </w:r>
      <w:r>
        <w:rPr>
          <w:rFonts w:ascii="Arial" w:cs="Arial" w:eastAsia="Arial" w:hAnsi="Arial"/>
          <w:sz w:val="20"/>
          <w:szCs w:val="20"/>
          <w:u w:val="single" w:color="auto"/>
          <w:color w:val="auto"/>
        </w:rPr>
        <w:t>Report of Account</w:t>
      </w:r>
      <w:r>
        <w:rPr>
          <w:rFonts w:ascii="Arial" w:cs="Arial" w:eastAsia="Arial" w:hAnsi="Arial"/>
          <w:sz w:val="20"/>
          <w:szCs w:val="20"/>
          <w:color w:val="auto"/>
        </w:rPr>
        <w:t>. A Participant shall be provided information regarding Participant’s Bookkeeping Account balance within a reasonable time after requesting such information from Leadership Benefits. The Company shall furnish each Participant statements on a periodic basis, no less frequently than annually, as soon as administratively practicable after the allocations for the end of the Plan Year have been completed. The Company may, in its discretion, provide Participants with account balance statements more frequently than provided in the preceding sentence.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VI</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RIGHTS OF PARTICIPANT IN PLAN</w:t>
      </w:r>
    </w:p>
    <w:p>
      <w:pPr>
        <w:spacing w:after="0" w:line="200" w:lineRule="exact"/>
        <w:rPr>
          <w:sz w:val="20"/>
          <w:szCs w:val="20"/>
          <w:color w:val="auto"/>
        </w:rPr>
      </w:pPr>
    </w:p>
    <w:p>
      <w:pPr>
        <w:spacing w:after="0" w:line="24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6.1 </w:t>
      </w:r>
      <w:r>
        <w:rPr>
          <w:rFonts w:ascii="Arial" w:cs="Arial" w:eastAsia="Arial" w:hAnsi="Arial"/>
          <w:sz w:val="20"/>
          <w:szCs w:val="20"/>
          <w:u w:val="single" w:color="auto"/>
          <w:color w:val="auto"/>
        </w:rPr>
        <w:t>Ownership Rights in Bookkeeping Account</w:t>
      </w:r>
      <w:r>
        <w:rPr>
          <w:rFonts w:ascii="Arial" w:cs="Arial" w:eastAsia="Arial" w:hAnsi="Arial"/>
          <w:sz w:val="20"/>
          <w:szCs w:val="20"/>
          <w:color w:val="auto"/>
        </w:rPr>
        <w:t>. Subject to the restrictions provided in this Article or stated in awards of Equity Compensation under the Director Incentive Plan, each Participant shall at all times have a fully vested interest in the value of the Participant’s Bookkeeping Account.</w:t>
      </w:r>
    </w:p>
    <w:p>
      <w:pPr>
        <w:spacing w:after="0" w:line="20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Rights in Plan are Unfunded and Unsecured</w:t>
      </w:r>
      <w:r>
        <w:rPr>
          <w:rFonts w:ascii="Arial" w:cs="Arial" w:eastAsia="Arial" w:hAnsi="Arial"/>
          <w:sz w:val="18"/>
          <w:szCs w:val="18"/>
          <w:color w:val="auto"/>
        </w:rPr>
        <w:t xml:space="preserve">. The Company’s obligation under the Plan shall in every case be an unfunded and unsecured promise to pay. A Participant’s right to Plan distributions shall be no greater than the rights to payment of general, unsecured creditors of the Company. The Company may establish one or more grantor trusts (as defined in Code Section 671 </w:t>
      </w:r>
      <w:r>
        <w:rPr>
          <w:rFonts w:ascii="Arial" w:cs="Arial" w:eastAsia="Arial" w:hAnsi="Arial"/>
          <w:sz w:val="18"/>
          <w:szCs w:val="18"/>
          <w:u w:val="single" w:color="auto"/>
          <w:color w:val="auto"/>
        </w:rPr>
        <w:t>et seq.</w:t>
      </w:r>
      <w:r>
        <w:rPr>
          <w:rFonts w:ascii="Arial" w:cs="Arial" w:eastAsia="Arial" w:hAnsi="Arial"/>
          <w:sz w:val="18"/>
          <w:szCs w:val="18"/>
          <w:color w:val="auto"/>
        </w:rPr>
        <w:t>) to facilitate the payment of benefits hereunder; however, the Company shall not be obligated under any circumstances to fund its financial obligations under the Plan. Any assets which the Company may acquire or set aside to defray its financial liabilities shall be general assets of the Company, and such assets, as well as any assets set aside in a grantor trust, shall be subject to the claims of its general creditors.</w:t>
      </w:r>
    </w:p>
    <w:p>
      <w:pPr>
        <w:spacing w:after="0" w:line="179"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No Transfer of Interest in Plan Allowed</w:t>
      </w:r>
      <w:r>
        <w:rPr>
          <w:rFonts w:ascii="Arial" w:cs="Arial" w:eastAsia="Arial" w:hAnsi="Arial"/>
          <w:sz w:val="16"/>
          <w:szCs w:val="16"/>
          <w:color w:val="auto"/>
        </w:rPr>
        <w:t>. Except as permitted by applicable law, no sale, transfer, alienation, assignment, pledge, collateralization or attachment of any benefits under the Plan shall be valid or recognized by the Company. Neither the Participant, Participant’s spouse or a designated Beneficiary shall have any power to hypothecate, mortgage, commute, modify or otherwise encumber in advance of any of the benefits payable hereunder. Said benefits shall not be subject to seizure for the payment of any debts, judgments, alimony, maintenance owed by the Participant or a Beneficiary, or be transferable by operation of law in the event of bankruptcy, insolvency, or otherwise. Notwithstanding the foregoing, the Company may, if the Administrative Committee so determines in its sole discretion, follow the terms of any court order issued in connection with any domestic relations proceeding including but not limited to marital dissolution or child support.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1082" w:right="239" w:bottom="1440" w:gutter="0" w:footer="0" w:header="0"/>
        </w:sectPr>
      </w:pPr>
    </w:p>
    <w:bookmarkStart w:id="122" w:name="page123"/>
    <w:bookmarkEnd w:id="122"/>
    <w:p>
      <w:pPr>
        <w:jc w:val="both"/>
        <w:ind w:firstLine="648"/>
        <w:spacing w:after="0" w:line="250" w:lineRule="auto"/>
        <w:rPr>
          <w:sz w:val="20"/>
          <w:szCs w:val="20"/>
          <w:color w:val="auto"/>
        </w:rPr>
      </w:pPr>
      <w:r>
        <w:rPr>
          <w:rFonts w:ascii="Arial" w:cs="Arial" w:eastAsia="Arial" w:hAnsi="Arial"/>
          <w:sz w:val="20"/>
          <w:szCs w:val="20"/>
          <w:color w:val="auto"/>
        </w:rPr>
        <w:t xml:space="preserve">6.4 </w:t>
      </w:r>
      <w:r>
        <w:rPr>
          <w:rFonts w:ascii="Arial" w:cs="Arial" w:eastAsia="Arial" w:hAnsi="Arial"/>
          <w:sz w:val="20"/>
          <w:szCs w:val="20"/>
          <w:u w:val="single" w:color="auto"/>
          <w:color w:val="auto"/>
        </w:rPr>
        <w:t>Plan Binding Upon Parties</w:t>
      </w:r>
      <w:r>
        <w:rPr>
          <w:rFonts w:ascii="Arial" w:cs="Arial" w:eastAsia="Arial" w:hAnsi="Arial"/>
          <w:sz w:val="20"/>
          <w:szCs w:val="20"/>
          <w:color w:val="auto"/>
        </w:rPr>
        <w:t>. The Plan shall be binding upon the Company, its assigns, and any successor company that acquires substantially all of its assets and business through merger, acquisition or consolidation; and upon all Participants and any Participant’s Beneficiaries, assigns, heirs, executors and administrators.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VII</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DISTRIBUTIONS</w:t>
      </w:r>
    </w:p>
    <w:p>
      <w:pPr>
        <w:spacing w:after="0" w:line="200" w:lineRule="exact"/>
        <w:rPr>
          <w:sz w:val="20"/>
          <w:szCs w:val="20"/>
          <w:color w:val="auto"/>
        </w:rPr>
      </w:pPr>
    </w:p>
    <w:p>
      <w:pPr>
        <w:spacing w:after="0" w:line="243"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Acceleration of Payment</w:t>
      </w:r>
      <w:r>
        <w:rPr>
          <w:rFonts w:ascii="Arial" w:cs="Arial" w:eastAsia="Arial" w:hAnsi="Arial"/>
          <w:sz w:val="16"/>
          <w:szCs w:val="16"/>
          <w:color w:val="auto"/>
        </w:rPr>
        <w:t>. Generally, neither the Company nor any Participant may accelerate the timing of any payment under the Plan, except as specifically set forth in this Plan document. However, the Administrative Committee retains the discretion to accelerate distribution of any payment to the extent such acceleration is specifically permitted under the final regulations under Code Section 409A. Such accelerations include, but are not limited to, a distribution to permit a Participant to pay taxes on amounts deferred under this Plan, including any taxes that may be imposed under Code Section 409A, and distributions pursuant to a domestic relations order (as defined in Section 414(p)</w:t>
      </w:r>
    </w:p>
    <w:p>
      <w:pPr>
        <w:spacing w:after="0" w:line="3" w:lineRule="exact"/>
        <w:rPr>
          <w:sz w:val="20"/>
          <w:szCs w:val="20"/>
          <w:color w:val="auto"/>
        </w:rPr>
      </w:pPr>
    </w:p>
    <w:p>
      <w:pPr>
        <w:spacing w:after="0"/>
        <w:rPr>
          <w:sz w:val="20"/>
          <w:szCs w:val="20"/>
          <w:color w:val="auto"/>
        </w:rPr>
      </w:pPr>
      <w:r>
        <w:rPr>
          <w:rFonts w:ascii="Arial" w:cs="Arial" w:eastAsia="Arial" w:hAnsi="Arial"/>
          <w:sz w:val="20"/>
          <w:szCs w:val="20"/>
          <w:color w:val="auto"/>
        </w:rPr>
        <w:t>(1)(B) of the Code).</w:t>
      </w:r>
    </w:p>
    <w:p>
      <w:pPr>
        <w:spacing w:after="0" w:line="21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7.2 </w:t>
      </w:r>
      <w:r>
        <w:rPr>
          <w:rFonts w:ascii="Arial" w:cs="Arial" w:eastAsia="Arial" w:hAnsi="Arial"/>
          <w:sz w:val="20"/>
          <w:szCs w:val="20"/>
          <w:u w:val="single" w:color="auto"/>
          <w:color w:val="auto"/>
        </w:rPr>
        <w:t>In-Service Distributions</w:t>
      </w:r>
      <w:r>
        <w:rPr>
          <w:rFonts w:ascii="Arial" w:cs="Arial" w:eastAsia="Arial" w:hAnsi="Arial"/>
          <w:sz w:val="20"/>
          <w:szCs w:val="20"/>
          <w:color w:val="auto"/>
        </w:rPr>
        <w:t>. While a Participant is a Board member, the Participant may receive Plan distributions as provided in this Section 7.2.</w:t>
      </w:r>
    </w:p>
    <w:p>
      <w:pPr>
        <w:spacing w:after="0" w:line="190" w:lineRule="exact"/>
        <w:rPr>
          <w:sz w:val="20"/>
          <w:szCs w:val="20"/>
          <w:color w:val="auto"/>
        </w:rPr>
      </w:pPr>
    </w:p>
    <w:p>
      <w:pPr>
        <w:jc w:val="both"/>
        <w:ind w:left="660" w:firstLine="645"/>
        <w:spacing w:after="0" w:line="246" w:lineRule="auto"/>
        <w:tabs>
          <w:tab w:leader="none" w:pos="1902" w:val="left"/>
        </w:tabs>
        <w:numPr>
          <w:ilvl w:val="0"/>
          <w:numId w:val="125"/>
        </w:numPr>
        <w:rPr>
          <w:rFonts w:ascii="Arial" w:cs="Arial" w:eastAsia="Arial" w:hAnsi="Arial"/>
          <w:sz w:val="20"/>
          <w:szCs w:val="20"/>
          <w:color w:val="auto"/>
        </w:rPr>
      </w:pPr>
      <w:r>
        <w:rPr>
          <w:rFonts w:ascii="Arial" w:cs="Arial" w:eastAsia="Arial" w:hAnsi="Arial"/>
          <w:sz w:val="20"/>
          <w:szCs w:val="20"/>
          <w:u w:val="single" w:color="auto"/>
          <w:color w:val="auto"/>
        </w:rPr>
        <w:t>Unforeseeable Financial Emergency</w:t>
      </w:r>
      <w:r>
        <w:rPr>
          <w:rFonts w:ascii="Arial" w:cs="Arial" w:eastAsia="Arial" w:hAnsi="Arial"/>
          <w:sz w:val="20"/>
          <w:szCs w:val="20"/>
          <w:color w:val="auto"/>
        </w:rPr>
        <w:t>. At the request of a Participant before his or her service with the Company terminates, the Administrative Committee may, in its sole discretion, pay all or part of the value of the Participant’s Bookkeeping Account in the event of an unforeseeable financial emergency beyond the requesting party’s control. Such hardship distributions may be allowed only as follows:</w:t>
      </w:r>
    </w:p>
    <w:p>
      <w:pPr>
        <w:spacing w:after="0" w:line="205" w:lineRule="exact"/>
        <w:rPr>
          <w:rFonts w:ascii="Arial" w:cs="Arial" w:eastAsia="Arial" w:hAnsi="Arial"/>
          <w:sz w:val="20"/>
          <w:szCs w:val="20"/>
          <w:color w:val="auto"/>
        </w:rPr>
      </w:pPr>
    </w:p>
    <w:p>
      <w:pPr>
        <w:jc w:val="both"/>
        <w:ind w:left="1300" w:firstLine="653"/>
        <w:spacing w:after="0" w:line="263" w:lineRule="auto"/>
        <w:tabs>
          <w:tab w:leader="none" w:pos="2431" w:val="left"/>
        </w:tabs>
        <w:numPr>
          <w:ilvl w:val="1"/>
          <w:numId w:val="125"/>
        </w:numPr>
        <w:rPr>
          <w:rFonts w:ascii="Arial" w:cs="Arial" w:eastAsia="Arial" w:hAnsi="Arial"/>
          <w:sz w:val="19"/>
          <w:szCs w:val="19"/>
          <w:color w:val="auto"/>
        </w:rPr>
      </w:pPr>
      <w:r>
        <w:rPr>
          <w:rFonts w:ascii="Arial" w:cs="Arial" w:eastAsia="Arial" w:hAnsi="Arial"/>
          <w:sz w:val="19"/>
          <w:szCs w:val="19"/>
          <w:u w:val="single" w:color="auto"/>
          <w:color w:val="auto"/>
        </w:rPr>
        <w:t>Financial Emergency</w:t>
      </w:r>
      <w:r>
        <w:rPr>
          <w:rFonts w:ascii="Arial" w:cs="Arial" w:eastAsia="Arial" w:hAnsi="Arial"/>
          <w:sz w:val="19"/>
          <w:szCs w:val="19"/>
          <w:color w:val="auto"/>
        </w:rPr>
        <w:t>. An unforeseeable financial emergency is defined as a severe financial hardship resulting from (A) an illness or accident of the Participant, his or her spouse, his or her tax dependent, or his or her Beneficiary, (B) the loss of a Participant’s or Beneficiary’s property due to casualty, or (C) other similar extraordinary, unforeseeable and unforeseen circumstances arising as a result of events beyond the control of the requesting party.</w:t>
      </w:r>
    </w:p>
    <w:p>
      <w:pPr>
        <w:spacing w:after="0" w:line="190" w:lineRule="exact"/>
        <w:rPr>
          <w:rFonts w:ascii="Arial" w:cs="Arial" w:eastAsia="Arial" w:hAnsi="Arial"/>
          <w:sz w:val="19"/>
          <w:szCs w:val="19"/>
          <w:color w:val="auto"/>
        </w:rPr>
      </w:pPr>
    </w:p>
    <w:p>
      <w:pPr>
        <w:jc w:val="both"/>
        <w:ind w:left="1300" w:firstLine="653"/>
        <w:spacing w:after="0" w:line="243" w:lineRule="auto"/>
        <w:tabs>
          <w:tab w:leader="none" w:pos="2498" w:val="left"/>
        </w:tabs>
        <w:numPr>
          <w:ilvl w:val="1"/>
          <w:numId w:val="125"/>
        </w:numPr>
        <w:rPr>
          <w:rFonts w:ascii="Arial" w:cs="Arial" w:eastAsia="Arial" w:hAnsi="Arial"/>
          <w:sz w:val="20"/>
          <w:szCs w:val="20"/>
          <w:color w:val="auto"/>
        </w:rPr>
      </w:pPr>
      <w:r>
        <w:rPr>
          <w:rFonts w:ascii="Arial" w:cs="Arial" w:eastAsia="Arial" w:hAnsi="Arial"/>
          <w:sz w:val="20"/>
          <w:szCs w:val="20"/>
          <w:u w:val="single" w:color="auto"/>
          <w:color w:val="auto"/>
        </w:rPr>
        <w:t>Amount</w:t>
      </w:r>
      <w:r>
        <w:rPr>
          <w:rFonts w:ascii="Arial" w:cs="Arial" w:eastAsia="Arial" w:hAnsi="Arial"/>
          <w:sz w:val="20"/>
          <w:szCs w:val="20"/>
          <w:color w:val="auto"/>
        </w:rPr>
        <w:t>. The amount of an accelerated distribution shall be limited to an amount necessary to relieve such emergency, which may include an amount necessary to pay tax liabilities reasonably anticipated to result from the distribution. A distribution on account of unforeseeable financial emergency may not be made to the extent that such emergency is or may be alleviated by reimbursement or compensation from insurance or liquidation of the Participant’s other assets (provided that the liquidation would not itself cause a severe hardship). If the Participant’s entire Account balance is distributed pursuant to this Section 7.2(a), the amount of the distribution shall be determined as of the end of the month preceding the distribution date.</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1082" w:right="239" w:bottom="1440" w:gutter="0" w:footer="0" w:header="0"/>
        </w:sectPr>
      </w:pPr>
    </w:p>
    <w:bookmarkStart w:id="123" w:name="page124"/>
    <w:bookmarkEnd w:id="123"/>
    <w:p>
      <w:pPr>
        <w:ind w:left="1300" w:firstLine="653"/>
        <w:spacing w:after="0" w:line="260" w:lineRule="auto"/>
        <w:tabs>
          <w:tab w:leader="none" w:pos="2525" w:val="left"/>
        </w:tabs>
        <w:numPr>
          <w:ilvl w:val="1"/>
          <w:numId w:val="126"/>
        </w:numPr>
        <w:rPr>
          <w:rFonts w:ascii="Arial" w:cs="Arial" w:eastAsia="Arial" w:hAnsi="Arial"/>
          <w:sz w:val="20"/>
          <w:szCs w:val="20"/>
          <w:color w:val="auto"/>
        </w:rPr>
      </w:pPr>
      <w:r>
        <w:rPr>
          <w:rFonts w:ascii="Arial" w:cs="Arial" w:eastAsia="Arial" w:hAnsi="Arial"/>
          <w:sz w:val="20"/>
          <w:szCs w:val="20"/>
          <w:u w:val="single" w:color="auto"/>
          <w:color w:val="auto"/>
        </w:rPr>
        <w:t>Effect on Deferral Agreement</w:t>
      </w:r>
      <w:r>
        <w:rPr>
          <w:rFonts w:ascii="Arial" w:cs="Arial" w:eastAsia="Arial" w:hAnsi="Arial"/>
          <w:sz w:val="20"/>
          <w:szCs w:val="20"/>
          <w:color w:val="auto"/>
        </w:rPr>
        <w:t>. A Participant’s Deferral Agreement shall be automatically canceled for the remainder of the Plan Year in which the unforeseeable financial emergency distribution is made.</w:t>
      </w:r>
    </w:p>
    <w:p>
      <w:pPr>
        <w:spacing w:after="0" w:line="190" w:lineRule="exact"/>
        <w:rPr>
          <w:rFonts w:ascii="Arial" w:cs="Arial" w:eastAsia="Arial" w:hAnsi="Arial"/>
          <w:sz w:val="20"/>
          <w:szCs w:val="20"/>
          <w:color w:val="auto"/>
        </w:rPr>
      </w:pPr>
    </w:p>
    <w:p>
      <w:pPr>
        <w:jc w:val="both"/>
        <w:ind w:left="660" w:firstLine="645"/>
        <w:spacing w:after="0" w:line="270" w:lineRule="auto"/>
        <w:tabs>
          <w:tab w:leader="none" w:pos="1845"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Scheduled Distributions</w:t>
      </w:r>
      <w:r>
        <w:rPr>
          <w:rFonts w:ascii="Arial" w:cs="Arial" w:eastAsia="Arial" w:hAnsi="Arial"/>
          <w:sz w:val="18"/>
          <w:szCs w:val="18"/>
          <w:color w:val="auto"/>
        </w:rPr>
        <w:t>. Prior to Separation, a Participant may elect, in a Deferral Agreement (or in a Participation Agreement for each award of Appreciation Units), to receive a specified percentage of the Participant’s deferrals for a Plan Year in a specified later Plan Year while the Participant continues to be a Board member. For purposes of this Plan, the term “Separation” means the date on which the Participant ceases to be a Board Member. The scheduled distribution must designate a Plan Year that begins after the deferred amounts have been credited to this Plan for at least two full Plan Years (e.g., an election in December 2013 could provide for a scheduled distribution no sooner than the Plan Year beginning January 1, 2017). The Participant must elect the calendar year and the month (either January or June) of the scheduled distribution. The amount payable to a Participant in connection with a scheduled distribution shall in all cases be a specified dollar amount or a specified percentage of the Participant’s Account balance for the Plan Year to which the Deferral Agreement applies. A Participant may change the time of a scheduled distribution by submitting a change request by the last day of the Plan Year that ends at least 12 months before the scheduled distribution date and postponing the scheduled distribution for a period of at least five years. If the Participant’s Separation occurs prior to a scheduled distribution date, then the Plan’s provisions (and the Participant’s elections, if applicable) for distributions following Separation shall supersede the Participant’s scheduled distribution elections. The amount of the distribution under this subsection (b) shall be determined as of the last day of the month before the scheduled distribution.</w:t>
      </w:r>
    </w:p>
    <w:p>
      <w:pPr>
        <w:spacing w:after="0" w:line="183" w:lineRule="exact"/>
        <w:rPr>
          <w:rFonts w:ascii="Arial" w:cs="Arial" w:eastAsia="Arial" w:hAnsi="Arial"/>
          <w:sz w:val="18"/>
          <w:szCs w:val="18"/>
          <w:color w:val="auto"/>
        </w:rPr>
      </w:pPr>
    </w:p>
    <w:p>
      <w:pPr>
        <w:jc w:val="both"/>
        <w:ind w:left="660" w:firstLine="645"/>
        <w:spacing w:after="0" w:line="250" w:lineRule="auto"/>
        <w:tabs>
          <w:tab w:leader="none" w:pos="1785" w:val="left"/>
        </w:tabs>
        <w:numPr>
          <w:ilvl w:val="0"/>
          <w:numId w:val="127"/>
        </w:numPr>
        <w:rPr>
          <w:rFonts w:ascii="Arial" w:cs="Arial" w:eastAsia="Arial" w:hAnsi="Arial"/>
          <w:sz w:val="20"/>
          <w:szCs w:val="20"/>
          <w:color w:val="auto"/>
        </w:rPr>
      </w:pPr>
      <w:r>
        <w:rPr>
          <w:rFonts w:ascii="Arial" w:cs="Arial" w:eastAsia="Arial" w:hAnsi="Arial"/>
          <w:sz w:val="20"/>
          <w:szCs w:val="20"/>
          <w:color w:val="auto"/>
        </w:rPr>
        <w:t>Distributions Pursuant to Domestic Relations Order. The Administrative Committee may, in its sole discretion, provide for an accelerated lump sum payment of a Participant’s account in the case of a valid domestic relations order that provides for distribution of all or a portion of a Participant’s Account.</w:t>
      </w:r>
    </w:p>
    <w:p>
      <w:pPr>
        <w:spacing w:after="0" w:line="20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7.3 </w:t>
      </w:r>
      <w:r>
        <w:rPr>
          <w:rFonts w:ascii="Arial" w:cs="Arial" w:eastAsia="Arial" w:hAnsi="Arial"/>
          <w:sz w:val="20"/>
          <w:szCs w:val="20"/>
          <w:u w:val="single" w:color="auto"/>
          <w:color w:val="auto"/>
        </w:rPr>
        <w:t>Distributions Following Separation for Post 2013 Deferrals</w:t>
      </w:r>
      <w:r>
        <w:rPr>
          <w:rFonts w:ascii="Arial" w:cs="Arial" w:eastAsia="Arial" w:hAnsi="Arial"/>
          <w:sz w:val="20"/>
          <w:szCs w:val="20"/>
          <w:color w:val="auto"/>
        </w:rPr>
        <w:t>. The portion of a Participant’s Account that is attributable to deferrals made with respect to Plan Years commencing January 1, 2014 and later, including Earnings thereon, shall at all times be distributable as provided in Section 7.4. Distributions of the portion of a Participant’s Account that is attributable to deferrals made with respect to previous Plan Years shall be governed by the Plan provisions in effect prior to this Amendment.</w:t>
      </w:r>
    </w:p>
    <w:p>
      <w:pPr>
        <w:spacing w:after="0" w:line="205" w:lineRule="exact"/>
        <w:rPr>
          <w:sz w:val="20"/>
          <w:szCs w:val="20"/>
          <w:color w:val="auto"/>
        </w:rPr>
      </w:pPr>
    </w:p>
    <w:p>
      <w:pPr>
        <w:ind w:left="660"/>
        <w:spacing w:after="0"/>
        <w:tabs>
          <w:tab w:leader="none" w:pos="1080" w:val="left"/>
          <w:tab w:leader="none" w:pos="3660" w:val="left"/>
        </w:tabs>
        <w:rPr>
          <w:sz w:val="20"/>
          <w:szCs w:val="20"/>
          <w:color w:val="auto"/>
        </w:rPr>
      </w:pPr>
      <w:r>
        <w:rPr>
          <w:rFonts w:ascii="Arial" w:cs="Arial" w:eastAsia="Arial" w:hAnsi="Arial"/>
          <w:sz w:val="20"/>
          <w:szCs w:val="20"/>
          <w:color w:val="auto"/>
        </w:rPr>
        <w:t>7.4</w:t>
      </w:r>
      <w:r>
        <w:rPr>
          <w:sz w:val="20"/>
          <w:szCs w:val="20"/>
          <w:color w:val="auto"/>
        </w:rPr>
        <w:tab/>
      </w:r>
      <w:r>
        <w:rPr>
          <w:rFonts w:ascii="Arial" w:cs="Arial" w:eastAsia="Arial" w:hAnsi="Arial"/>
          <w:sz w:val="20"/>
          <w:szCs w:val="20"/>
          <w:u w:val="single" w:color="auto"/>
          <w:color w:val="auto"/>
        </w:rPr>
        <w:t>Distributions upon Separation</w:t>
      </w:r>
      <w:r>
        <w:rPr>
          <w:sz w:val="20"/>
          <w:szCs w:val="20"/>
          <w:color w:val="auto"/>
        </w:rPr>
        <w:tab/>
      </w:r>
      <w:r>
        <w:rPr>
          <w:rFonts w:ascii="Arial" w:cs="Arial" w:eastAsia="Arial" w:hAnsi="Arial"/>
          <w:sz w:val="14"/>
          <w:szCs w:val="14"/>
          <w:color w:val="auto"/>
        </w:rPr>
        <w:t>.</w:t>
      </w:r>
    </w:p>
    <w:p>
      <w:pPr>
        <w:spacing w:after="0" w:line="229" w:lineRule="exact"/>
        <w:rPr>
          <w:sz w:val="20"/>
          <w:szCs w:val="20"/>
          <w:color w:val="auto"/>
        </w:rPr>
      </w:pPr>
    </w:p>
    <w:p>
      <w:pPr>
        <w:jc w:val="both"/>
        <w:ind w:left="660" w:firstLine="645"/>
        <w:spacing w:after="0" w:line="282" w:lineRule="auto"/>
        <w:tabs>
          <w:tab w:leader="none" w:pos="1875"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Form of Payment</w:t>
      </w:r>
      <w:r>
        <w:rPr>
          <w:rFonts w:ascii="Arial" w:cs="Arial" w:eastAsia="Arial" w:hAnsi="Arial"/>
          <w:sz w:val="18"/>
          <w:szCs w:val="18"/>
          <w:color w:val="auto"/>
        </w:rPr>
        <w:t>. Except as otherwise provided in Sections 7.2, 7.3 or 7.4(b), upon Separation, distribution of a Participant’s Bookkeeping Account balance shall be made in accordance with the distribution options specified in the Participant’s Deferral Agreement or the Participation Agreement for the Appreciation Units to which the distribution relates. The distribution options available to a Participant are: (i) lump sum payment; or (ii) installments over five (5), ten (10) or fifteen (15) years.</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1081" w:right="239" w:bottom="1440" w:gutter="0" w:footer="0" w:header="0"/>
        </w:sectPr>
      </w:pPr>
    </w:p>
    <w:bookmarkStart w:id="124" w:name="page125"/>
    <w:bookmarkEnd w:id="124"/>
    <w:p>
      <w:pPr>
        <w:jc w:val="both"/>
        <w:ind w:left="660" w:firstLine="645"/>
        <w:spacing w:after="0" w:line="243" w:lineRule="auto"/>
        <w:tabs>
          <w:tab w:leader="none" w:pos="1750" w:val="left"/>
        </w:tabs>
        <w:numPr>
          <w:ilvl w:val="0"/>
          <w:numId w:val="129"/>
        </w:numPr>
        <w:rPr>
          <w:rFonts w:ascii="Arial" w:cs="Arial" w:eastAsia="Arial" w:hAnsi="Arial"/>
          <w:sz w:val="20"/>
          <w:szCs w:val="20"/>
          <w:color w:val="auto"/>
        </w:rPr>
      </w:pPr>
      <w:r>
        <w:rPr>
          <w:rFonts w:ascii="Arial" w:cs="Arial" w:eastAsia="Arial" w:hAnsi="Arial"/>
          <w:sz w:val="20"/>
          <w:szCs w:val="20"/>
          <w:u w:val="single" w:color="auto"/>
          <w:color w:val="auto"/>
        </w:rPr>
        <w:t>Lump Sum in lieu of Installments</w:t>
      </w:r>
      <w:r>
        <w:rPr>
          <w:rFonts w:ascii="Arial" w:cs="Arial" w:eastAsia="Arial" w:hAnsi="Arial"/>
          <w:sz w:val="20"/>
          <w:szCs w:val="20"/>
          <w:color w:val="auto"/>
        </w:rPr>
        <w:t>. If the Participant’s Account balance as of his or her Separation is equal to or less than $10,000, Leadership Benefits may order the distribution of the Participant’s entire Account in a single lump sum rather than in installments, provided that the lump sum payment results in the termination and liquidation of the Participant’s entire interest under this Plan and all other plans or arrangements that</w:t>
      </w:r>
    </w:p>
    <w:p>
      <w:pPr>
        <w:spacing w:after="0" w:line="2" w:lineRule="exact"/>
        <w:rPr>
          <w:rFonts w:ascii="Arial" w:cs="Arial" w:eastAsia="Arial" w:hAnsi="Arial"/>
          <w:sz w:val="20"/>
          <w:szCs w:val="20"/>
          <w:color w:val="auto"/>
        </w:rPr>
      </w:pPr>
    </w:p>
    <w:p>
      <w:pPr>
        <w:ind w:left="660" w:firstLine="648"/>
        <w:spacing w:after="0" w:line="244" w:lineRule="auto"/>
        <w:rPr>
          <w:rFonts w:ascii="Arial" w:cs="Arial" w:eastAsia="Arial" w:hAnsi="Arial"/>
          <w:sz w:val="20"/>
          <w:szCs w:val="20"/>
          <w:color w:val="auto"/>
        </w:rPr>
      </w:pPr>
      <w:r>
        <w:rPr>
          <w:rFonts w:ascii="Arial" w:cs="Arial" w:eastAsia="Arial" w:hAnsi="Arial"/>
          <w:sz w:val="20"/>
          <w:szCs w:val="20"/>
          <w:color w:val="auto"/>
        </w:rPr>
        <w:t>must be aggregated with this Plan under the rules set forth under Code Section 409A. The Participant may not exercise any discretion to convert an installment election into a lump sum under this provision.</w:t>
      </w:r>
    </w:p>
    <w:p>
      <w:pPr>
        <w:spacing w:after="0" w:line="205" w:lineRule="exact"/>
        <w:rPr>
          <w:rFonts w:ascii="Arial" w:cs="Arial" w:eastAsia="Arial" w:hAnsi="Arial"/>
          <w:sz w:val="20"/>
          <w:szCs w:val="20"/>
          <w:color w:val="auto"/>
        </w:rPr>
      </w:pPr>
    </w:p>
    <w:p>
      <w:pPr>
        <w:ind w:left="660" w:firstLine="645"/>
        <w:spacing w:after="0" w:line="316" w:lineRule="auto"/>
        <w:tabs>
          <w:tab w:leader="none" w:pos="1766"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Time of Payment</w:t>
      </w:r>
      <w:r>
        <w:rPr>
          <w:rFonts w:ascii="Arial" w:cs="Arial" w:eastAsia="Arial" w:hAnsi="Arial"/>
          <w:sz w:val="18"/>
          <w:szCs w:val="18"/>
          <w:color w:val="auto"/>
        </w:rPr>
        <w:t>. The distribution (or in the case of installments, the first installment payment) shall be paid within 90 days after the Participant’s Separation. Subsequent installments, if applicable, shall be paid in January of each succeeding Plan Year.</w:t>
      </w:r>
    </w:p>
    <w:p>
      <w:pPr>
        <w:spacing w:after="0" w:line="143" w:lineRule="exact"/>
        <w:rPr>
          <w:rFonts w:ascii="Arial" w:cs="Arial" w:eastAsia="Arial" w:hAnsi="Arial"/>
          <w:sz w:val="18"/>
          <w:szCs w:val="18"/>
          <w:color w:val="auto"/>
        </w:rPr>
      </w:pPr>
    </w:p>
    <w:p>
      <w:pPr>
        <w:jc w:val="both"/>
        <w:ind w:left="660" w:firstLine="645"/>
        <w:spacing w:after="0" w:line="255" w:lineRule="auto"/>
        <w:tabs>
          <w:tab w:leader="none" w:pos="1764" w:val="left"/>
        </w:tabs>
        <w:numPr>
          <w:ilvl w:val="0"/>
          <w:numId w:val="129"/>
        </w:numPr>
        <w:rPr>
          <w:rFonts w:ascii="Arial" w:cs="Arial" w:eastAsia="Arial" w:hAnsi="Arial"/>
          <w:sz w:val="19"/>
          <w:szCs w:val="19"/>
          <w:color w:val="auto"/>
        </w:rPr>
      </w:pPr>
      <w:r>
        <w:rPr>
          <w:rFonts w:ascii="Arial" w:cs="Arial" w:eastAsia="Arial" w:hAnsi="Arial"/>
          <w:sz w:val="19"/>
          <w:szCs w:val="19"/>
          <w:u w:val="single" w:color="auto"/>
          <w:color w:val="auto"/>
        </w:rPr>
        <w:t>Amount of Payment</w:t>
      </w:r>
      <w:r>
        <w:rPr>
          <w:rFonts w:ascii="Arial" w:cs="Arial" w:eastAsia="Arial" w:hAnsi="Arial"/>
          <w:sz w:val="19"/>
          <w:szCs w:val="19"/>
          <w:color w:val="auto"/>
        </w:rPr>
        <w:t>. If the form of distribution is a lump sum, the value of the entire vested Bookkeeping Account shall be distributed in one payment. If the form of distribution is installments, the amount of each installment payment shall be determined by multiplying the Participant’s vested Bookkeeping Account balance as of the end of the month in which the scheduled distribution date occurs (as determined under Section 7.2(b) for In-Service Distributions or upon Separation for all other distributions) by a fraction, the numerator of which is one (1) and the denominator of which is (N minus P), where N is total number of annual installments and P is the number of annual installments previously paid to the Participant. For example, if the form of payment is five annual installments, the first annual distribution is the account balance divided by 5 (5 minus 0), the second annual distribution is the account balance divided by 4 (5 minus 1), the third annual distribution is the account balance divided by 3 (5 minus 2), the fourth annual distribution is the account balance divided by 2 (5 minus 3), and the fifth annual distribution is the entire remaining account balance (5 minus 4). Bookkeeping Accounts subject to installment payment shall continue to be valued as provided in Section 5.3 until fully distributed.</w:t>
      </w:r>
    </w:p>
    <w:p>
      <w:pPr>
        <w:spacing w:after="0" w:line="201" w:lineRule="exact"/>
        <w:rPr>
          <w:rFonts w:ascii="Arial" w:cs="Arial" w:eastAsia="Arial" w:hAnsi="Arial"/>
          <w:sz w:val="19"/>
          <w:szCs w:val="19"/>
          <w:color w:val="auto"/>
        </w:rPr>
      </w:pPr>
    </w:p>
    <w:p>
      <w:pPr>
        <w:jc w:val="both"/>
        <w:ind w:left="660" w:firstLine="645"/>
        <w:spacing w:after="0" w:line="243" w:lineRule="auto"/>
        <w:tabs>
          <w:tab w:leader="none" w:pos="1820" w:val="left"/>
        </w:tabs>
        <w:numPr>
          <w:ilvl w:val="0"/>
          <w:numId w:val="129"/>
        </w:numPr>
        <w:rPr>
          <w:rFonts w:ascii="Arial" w:cs="Arial" w:eastAsia="Arial" w:hAnsi="Arial"/>
          <w:sz w:val="20"/>
          <w:szCs w:val="20"/>
          <w:color w:val="auto"/>
        </w:rPr>
      </w:pPr>
      <w:r>
        <w:rPr>
          <w:rFonts w:ascii="Arial" w:cs="Arial" w:eastAsia="Arial" w:hAnsi="Arial"/>
          <w:sz w:val="20"/>
          <w:szCs w:val="20"/>
          <w:u w:val="single" w:color="auto"/>
          <w:color w:val="auto"/>
        </w:rPr>
        <w:t>Change in Time or Form of Distribution</w:t>
      </w:r>
      <w:r>
        <w:rPr>
          <w:rFonts w:ascii="Arial" w:cs="Arial" w:eastAsia="Arial" w:hAnsi="Arial"/>
          <w:sz w:val="20"/>
          <w:szCs w:val="20"/>
          <w:color w:val="auto"/>
        </w:rPr>
        <w:t>. A Participant may change the form of distribution by submitting a change request by the last day of the calendar year that ends at least 12 months before his or her Separation date, provided that his or her change cannot take effect earlier than twelve months after the change is requested. In addition, the Participant must agree to postpone the distribution for a period of at least five (5) years from the date that the amount would otherwise have been payable. In the case of installment payments, the five (5) year period of postponement is measured from the date that the first payment in the series of installments would have been paid.</w:t>
      </w:r>
    </w:p>
    <w:p>
      <w:pPr>
        <w:spacing w:after="0" w:line="21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7.5 </w:t>
      </w:r>
      <w:r>
        <w:rPr>
          <w:rFonts w:ascii="Arial" w:cs="Arial" w:eastAsia="Arial" w:hAnsi="Arial"/>
          <w:sz w:val="20"/>
          <w:szCs w:val="20"/>
          <w:u w:val="single" w:color="auto"/>
          <w:color w:val="auto"/>
        </w:rPr>
        <w:t>Cash and Stock Distributions</w:t>
      </w:r>
      <w:r>
        <w:rPr>
          <w:rFonts w:ascii="Arial" w:cs="Arial" w:eastAsia="Arial" w:hAnsi="Arial"/>
          <w:sz w:val="20"/>
          <w:szCs w:val="20"/>
          <w:color w:val="auto"/>
        </w:rPr>
        <w:t>. Distributions of a Participant’s Deemed Investment Sub-Account shall be made in cash only. Distributions of a Participant’s Company Shares Sub-Account shall be made in Common Stock of the Company. Distributions of a Participant’s Restricted Shares Sub-Account shall be made in Restricted Shares of the Company. Distributions</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1081" w:right="239" w:bottom="1440" w:gutter="0" w:footer="0" w:header="0"/>
        </w:sectPr>
      </w:pPr>
    </w:p>
    <w:bookmarkStart w:id="125" w:name="page126"/>
    <w:bookmarkEnd w:id="125"/>
    <w:p>
      <w:pPr>
        <w:jc w:val="both"/>
        <w:ind w:firstLine="648"/>
        <w:spacing w:after="0" w:line="260" w:lineRule="auto"/>
        <w:rPr>
          <w:sz w:val="20"/>
          <w:szCs w:val="20"/>
          <w:color w:val="auto"/>
        </w:rPr>
      </w:pPr>
      <w:r>
        <w:rPr>
          <w:rFonts w:ascii="Arial" w:cs="Arial" w:eastAsia="Arial" w:hAnsi="Arial"/>
          <w:sz w:val="20"/>
          <w:szCs w:val="20"/>
          <w:color w:val="auto"/>
        </w:rPr>
        <w:t>of a Participant’s Appreciation Units Sub-Account shall be converted to a cash value prior to distribution and distributed from the Deemed Investment Sub-Account.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VIII</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DEATH BENEFITS</w:t>
      </w:r>
    </w:p>
    <w:p>
      <w:pPr>
        <w:spacing w:after="0" w:line="200" w:lineRule="exact"/>
        <w:rPr>
          <w:sz w:val="20"/>
          <w:szCs w:val="20"/>
          <w:color w:val="auto"/>
        </w:rPr>
      </w:pPr>
    </w:p>
    <w:p>
      <w:pPr>
        <w:spacing w:after="0" w:line="24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8.1 </w:t>
      </w:r>
      <w:r>
        <w:rPr>
          <w:rFonts w:ascii="Arial" w:cs="Arial" w:eastAsia="Arial" w:hAnsi="Arial"/>
          <w:sz w:val="20"/>
          <w:szCs w:val="20"/>
          <w:u w:val="single" w:color="auto"/>
          <w:color w:val="auto"/>
        </w:rPr>
        <w:t>Designation of Beneficiary</w:t>
      </w:r>
      <w:r>
        <w:rPr>
          <w:rFonts w:ascii="Arial" w:cs="Arial" w:eastAsia="Arial" w:hAnsi="Arial"/>
          <w:sz w:val="20"/>
          <w:szCs w:val="20"/>
          <w:color w:val="auto"/>
        </w:rPr>
        <w:t>. A Participant shall designate a Beneficiary to receive death benefits under the Plan by completing the beneficiary designation form specified by the Administrative Committee. A Participant shall have the right to change the Beneficiary by submitting to Leadership Benefits a form designating the Participant’s change of Beneficiary. No beneficiary designation or change of beneficiary shall be effective until accepted by the Company.</w:t>
      </w:r>
    </w:p>
    <w:p>
      <w:pPr>
        <w:spacing w:after="0" w:line="20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Deemed Beneficiary</w:t>
      </w:r>
      <w:r>
        <w:rPr>
          <w:rFonts w:ascii="Arial" w:cs="Arial" w:eastAsia="Arial" w:hAnsi="Arial"/>
          <w:sz w:val="18"/>
          <w:szCs w:val="18"/>
          <w:color w:val="auto"/>
        </w:rPr>
        <w:t>. If a Participant is married, his or her legal spouse shall be deemed the designated Beneficiary, unless the spouse consents in writing to designation of a different Beneficiary on a form acceptable to the Administrative Committee. If no designation has been made, or if the deemed or designated Beneficiary has predeceased the Participant, then the Participant will be deemed to have designated the following as his or her surviving beneficiaries and contingent beneficiaries with priority in the order named below:</w:t>
      </w:r>
    </w:p>
    <w:p>
      <w:pPr>
        <w:spacing w:after="0" w:line="175" w:lineRule="exact"/>
        <w:rPr>
          <w:sz w:val="20"/>
          <w:szCs w:val="20"/>
          <w:color w:val="auto"/>
        </w:rPr>
      </w:pPr>
    </w:p>
    <w:p>
      <w:pPr>
        <w:ind w:left="1740" w:hanging="435"/>
        <w:spacing w:after="0"/>
        <w:tabs>
          <w:tab w:leader="none" w:pos="1740" w:val="left"/>
        </w:tabs>
        <w:numPr>
          <w:ilvl w:val="0"/>
          <w:numId w:val="130"/>
        </w:numPr>
        <w:rPr>
          <w:rFonts w:ascii="Arial" w:cs="Arial" w:eastAsia="Arial" w:hAnsi="Arial"/>
          <w:sz w:val="20"/>
          <w:szCs w:val="20"/>
          <w:color w:val="auto"/>
        </w:rPr>
      </w:pPr>
      <w:r>
        <w:rPr>
          <w:rFonts w:ascii="Arial" w:cs="Arial" w:eastAsia="Arial" w:hAnsi="Arial"/>
          <w:sz w:val="20"/>
          <w:szCs w:val="20"/>
          <w:color w:val="auto"/>
        </w:rPr>
        <w:t>first, to the Participant’s surviving spouse, as defined under federal law, or the Participant’s life partner; or</w:t>
      </w:r>
    </w:p>
    <w:p>
      <w:pPr>
        <w:spacing w:after="0" w:line="229" w:lineRule="exact"/>
        <w:rPr>
          <w:rFonts w:ascii="Arial" w:cs="Arial" w:eastAsia="Arial" w:hAnsi="Arial"/>
          <w:sz w:val="20"/>
          <w:szCs w:val="20"/>
          <w:color w:val="auto"/>
        </w:rPr>
      </w:pPr>
    </w:p>
    <w:p>
      <w:pPr>
        <w:ind w:left="1740" w:hanging="435"/>
        <w:spacing w:after="0"/>
        <w:tabs>
          <w:tab w:leader="none" w:pos="1740" w:val="left"/>
        </w:tabs>
        <w:numPr>
          <w:ilvl w:val="0"/>
          <w:numId w:val="130"/>
        </w:numPr>
        <w:rPr>
          <w:rFonts w:ascii="Arial" w:cs="Arial" w:eastAsia="Arial" w:hAnsi="Arial"/>
          <w:sz w:val="20"/>
          <w:szCs w:val="20"/>
          <w:color w:val="auto"/>
        </w:rPr>
      </w:pPr>
      <w:r>
        <w:rPr>
          <w:rFonts w:ascii="Arial" w:cs="Arial" w:eastAsia="Arial" w:hAnsi="Arial"/>
          <w:sz w:val="20"/>
          <w:szCs w:val="20"/>
          <w:color w:val="auto"/>
        </w:rPr>
        <w:t>if the Participant does not have a surviving spouse or life partner, to his or her estate.</w:t>
      </w:r>
    </w:p>
    <w:p>
      <w:pPr>
        <w:spacing w:after="0" w:line="229"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9"/>
          <w:szCs w:val="19"/>
          <w:color w:val="auto"/>
        </w:rPr>
        <w:t xml:space="preserve">8.3 </w:t>
      </w:r>
      <w:r>
        <w:rPr>
          <w:rFonts w:ascii="Arial" w:cs="Arial" w:eastAsia="Arial" w:hAnsi="Arial"/>
          <w:sz w:val="19"/>
          <w:szCs w:val="19"/>
          <w:u w:val="single" w:color="auto"/>
          <w:color w:val="auto"/>
        </w:rPr>
        <w:t>Surviving Beneficiary</w:t>
      </w:r>
      <w:r>
        <w:rPr>
          <w:rFonts w:ascii="Arial" w:cs="Arial" w:eastAsia="Arial" w:hAnsi="Arial"/>
          <w:sz w:val="19"/>
          <w:szCs w:val="19"/>
          <w:color w:val="auto"/>
        </w:rPr>
        <w:t>. For purposes of determining the appropriate named or deemed beneficiary or contingent beneficiary, an individual is considered to survive the Participant if that individual is alive seven (7) days after the date of the Participant’s death.</w:t>
      </w:r>
    </w:p>
    <w:p>
      <w:pPr>
        <w:spacing w:after="0" w:line="16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8.4 </w:t>
      </w:r>
      <w:r>
        <w:rPr>
          <w:rFonts w:ascii="Arial" w:cs="Arial" w:eastAsia="Arial" w:hAnsi="Arial"/>
          <w:sz w:val="20"/>
          <w:szCs w:val="20"/>
          <w:u w:val="single" w:color="auto"/>
          <w:color w:val="auto"/>
        </w:rPr>
        <w:t>Determination of Account Balance at Death</w:t>
      </w:r>
      <w:r>
        <w:rPr>
          <w:rFonts w:ascii="Arial" w:cs="Arial" w:eastAsia="Arial" w:hAnsi="Arial"/>
          <w:sz w:val="20"/>
          <w:szCs w:val="20"/>
          <w:color w:val="auto"/>
        </w:rPr>
        <w:t>. The value of a Participant’s Account shall be determined as of the later of: (a) the date of the Participant’s death; or (b) the date the Administrative Committee approves the distribution under Section 8.4. The amounts in such Account shall be maintained in the deemed investment Sub-Accounts under Section 5.3 after the Participant’s death and until the time of distribution, unless the Participant’s Beneficiary elects in writing to transfer such amounts from the deemed investment accounts into a separate interest-bearing account designated by the Administrative Committee for this purpose. Upon transfer to the interest-bearing account, the Account shall no longer be deemed invested under Section 5.3(a) and will not be adjusted for deemed investment gains and losses after the date of transfer.</w:t>
      </w:r>
    </w:p>
    <w:p>
      <w:pPr>
        <w:spacing w:after="0" w:line="20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Distribution of Bookkeeping Account Balance at Death</w:t>
      </w:r>
      <w:r>
        <w:rPr>
          <w:rFonts w:ascii="Arial" w:cs="Arial" w:eastAsia="Arial" w:hAnsi="Arial"/>
          <w:sz w:val="18"/>
          <w:szCs w:val="18"/>
          <w:color w:val="auto"/>
        </w:rPr>
        <w:t>. Upon a Participant’s death, the portion of a Participant’s Bookkeeping Account that is attributable to deferrals made with respect to Plan Years commencing January 1, 2014 and later, including Earnings thereon, shall at all times be distributable as provided in Section 8.5. Distributions of the portion of a Participant’s Bookkeeping Account that is attributable to deferrals made with respect to previous Plan Years shall be governed by the Plan provisions in effect prior to this Amendment.</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622" w:right="239" w:bottom="1440" w:gutter="0" w:footer="0" w:header="0"/>
        </w:sectPr>
      </w:pPr>
    </w:p>
    <w:bookmarkStart w:id="126" w:name="page127"/>
    <w:bookmarkEnd w:id="126"/>
    <w:p>
      <w:pPr>
        <w:jc w:val="both"/>
        <w:ind w:firstLine="648"/>
        <w:spacing w:after="0" w:line="244" w:lineRule="auto"/>
        <w:rPr>
          <w:sz w:val="20"/>
          <w:szCs w:val="20"/>
          <w:color w:val="auto"/>
        </w:rPr>
      </w:pPr>
      <w:r>
        <w:rPr>
          <w:rFonts w:ascii="Arial" w:cs="Arial" w:eastAsia="Arial" w:hAnsi="Arial"/>
          <w:sz w:val="20"/>
          <w:szCs w:val="20"/>
          <w:color w:val="auto"/>
        </w:rPr>
        <w:t>Distributions of the portion of the Participant’s Bookkeeping Account payable upon the Participant’s death under this Section 8.5 shall at all times be distributable as provided in Section 7.4(a) subject to Section 7.4(b). Where payments of the Participant’s Bookkeeping Account commenced prior to the Participant’s death, the Participant’s Beneficiary shall receive the Participant’s remaining Bookkeeping Account Balance in a manner consistent with the Participant’s distribution election under Section 7.4(a) together with interest credited under the interest bearing account.</w:t>
      </w:r>
    </w:p>
    <w:p>
      <w:pPr>
        <w:spacing w:after="0" w:line="208"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8.6 </w:t>
      </w:r>
      <w:r>
        <w:rPr>
          <w:rFonts w:ascii="Arial" w:cs="Arial" w:eastAsia="Arial" w:hAnsi="Arial"/>
          <w:sz w:val="20"/>
          <w:szCs w:val="20"/>
          <w:u w:val="single" w:color="auto"/>
          <w:color w:val="auto"/>
        </w:rPr>
        <w:t>Determination of Beneficiary</w:t>
      </w:r>
      <w:r>
        <w:rPr>
          <w:rFonts w:ascii="Arial" w:cs="Arial" w:eastAsia="Arial" w:hAnsi="Arial"/>
          <w:sz w:val="20"/>
          <w:szCs w:val="20"/>
          <w:color w:val="auto"/>
        </w:rPr>
        <w:t>. If the Administrative Committee has any doubt as to the proper Beneficiary to receive payments hereunder, the Administrative Committee shall have the right to direct the Company to withhold such payments until the matter is finally adjudicated. However, as provided in Section 12.8, any payment made by the Company, in good faith and in accordance with the Plan and the directions of the Administrative Committee shall fully discharge the Company, the Board and the Administrative Committee from all further obligations with respect to that payment.</w:t>
      </w:r>
    </w:p>
    <w:p>
      <w:pPr>
        <w:spacing w:after="0" w:line="20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8.7 </w:t>
      </w:r>
      <w:r>
        <w:rPr>
          <w:rFonts w:ascii="Arial" w:cs="Arial" w:eastAsia="Arial" w:hAnsi="Arial"/>
          <w:sz w:val="20"/>
          <w:szCs w:val="20"/>
          <w:u w:val="single" w:color="auto"/>
          <w:color w:val="auto"/>
        </w:rPr>
        <w:t>Payments to Minor or Incapacitated Beneficiaries</w:t>
      </w:r>
      <w:r>
        <w:rPr>
          <w:rFonts w:ascii="Arial" w:cs="Arial" w:eastAsia="Arial" w:hAnsi="Arial"/>
          <w:sz w:val="20"/>
          <w:szCs w:val="20"/>
          <w:color w:val="auto"/>
        </w:rPr>
        <w:t>. In distributing property hereunder to or for the benefit of any minor or incapacitated Beneficiary, the Administrative Committee, in its sole and absolute discretion, may direct the Company to make such distribution to a legal or natural guardian of such Beneficiary, or to any adult with whom the minor or incompetent temporarily or permanently resides. The receipt by such guardian or other adult shall be a complete discharge of liability to the Company, the Board, and the Administrative Committee. Neither the Board, the Administrative Committee, nor the Company shall have any responsibility to see to the proper application of any payments so made.</w:t>
      </w:r>
    </w:p>
    <w:p>
      <w:pPr>
        <w:spacing w:after="0" w:line="21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8.8 </w:t>
      </w:r>
      <w:r>
        <w:rPr>
          <w:rFonts w:ascii="Arial" w:cs="Arial" w:eastAsia="Arial" w:hAnsi="Arial"/>
          <w:sz w:val="20"/>
          <w:szCs w:val="20"/>
          <w:u w:val="single" w:color="auto"/>
          <w:color w:val="auto"/>
        </w:rPr>
        <w:t>Effect of Divorce</w:t>
      </w:r>
      <w:r>
        <w:rPr>
          <w:rFonts w:ascii="Arial" w:cs="Arial" w:eastAsia="Arial" w:hAnsi="Arial"/>
          <w:sz w:val="20"/>
          <w:szCs w:val="20"/>
          <w:color w:val="auto"/>
        </w:rPr>
        <w:t>. If a Participant and his or her named Beneficiary are or become married and thereafter their marriage is dissolved by entry of a decree of dissolution or other court order having the effect of dissolving the marriage, then any such pre-divorce beneficiary designation shall be deemed automatically revoked as to such beneficiary spouse as of the date of such dissolution unless the death benefit rights of such former spouse are subsequently reaffirmed by a qualified domestic relations order or the Participant’s subsequent written designation.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IX</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ADMINISTRATION OF THE PLAN</w:t>
      </w:r>
    </w:p>
    <w:p>
      <w:pPr>
        <w:spacing w:after="0" w:line="200" w:lineRule="exact"/>
        <w:rPr>
          <w:sz w:val="20"/>
          <w:szCs w:val="20"/>
          <w:color w:val="auto"/>
        </w:rPr>
      </w:pPr>
    </w:p>
    <w:p>
      <w:pPr>
        <w:spacing w:after="0" w:line="24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9.1 </w:t>
      </w:r>
      <w:r>
        <w:rPr>
          <w:rFonts w:ascii="Arial" w:cs="Arial" w:eastAsia="Arial" w:hAnsi="Arial"/>
          <w:sz w:val="20"/>
          <w:szCs w:val="20"/>
          <w:u w:val="single" w:color="auto"/>
          <w:color w:val="auto"/>
        </w:rPr>
        <w:t>Plan Sponsor and Administrator</w:t>
      </w:r>
      <w:r>
        <w:rPr>
          <w:rFonts w:ascii="Arial" w:cs="Arial" w:eastAsia="Arial" w:hAnsi="Arial"/>
          <w:sz w:val="20"/>
          <w:szCs w:val="20"/>
          <w:color w:val="auto"/>
        </w:rPr>
        <w:t>. The Company is the Plan Sponsor, and its address is: Nordstrom, Inc., 1700 Seventh Avenue, Seattle, Washington 98101-4407. The Administrative Committee acts as Plan Administrator.</w:t>
      </w:r>
    </w:p>
    <w:p>
      <w:pPr>
        <w:spacing w:after="0" w:line="19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9.2 </w:t>
      </w:r>
      <w:r>
        <w:rPr>
          <w:rFonts w:ascii="Arial" w:cs="Arial" w:eastAsia="Arial" w:hAnsi="Arial"/>
          <w:sz w:val="20"/>
          <w:szCs w:val="20"/>
          <w:u w:val="single" w:color="auto"/>
          <w:color w:val="auto"/>
        </w:rPr>
        <w:t>Powers and Authority of the Company</w:t>
      </w:r>
      <w:r>
        <w:rPr>
          <w:rFonts w:ascii="Arial" w:cs="Arial" w:eastAsia="Arial" w:hAnsi="Arial"/>
          <w:sz w:val="20"/>
          <w:szCs w:val="20"/>
          <w:color w:val="auto"/>
        </w:rPr>
        <w:t>. The Company, acting through its Board of Directors or through the body designated below, has the following absolute powers and authority under the Plan:</w:t>
      </w:r>
    </w:p>
    <w:p>
      <w:pPr>
        <w:spacing w:after="0" w:line="190" w:lineRule="exact"/>
        <w:rPr>
          <w:sz w:val="20"/>
          <w:szCs w:val="20"/>
          <w:color w:val="auto"/>
        </w:rPr>
      </w:pPr>
    </w:p>
    <w:p>
      <w:pPr>
        <w:ind w:left="1720" w:hanging="415"/>
        <w:spacing w:after="0"/>
        <w:tabs>
          <w:tab w:leader="none" w:pos="1720" w:val="left"/>
        </w:tabs>
        <w:numPr>
          <w:ilvl w:val="0"/>
          <w:numId w:val="131"/>
        </w:numPr>
        <w:rPr>
          <w:rFonts w:ascii="Arial" w:cs="Arial" w:eastAsia="Arial" w:hAnsi="Arial"/>
          <w:sz w:val="20"/>
          <w:szCs w:val="20"/>
          <w:color w:val="auto"/>
        </w:rPr>
      </w:pPr>
      <w:r>
        <w:rPr>
          <w:rFonts w:ascii="Arial" w:cs="Arial" w:eastAsia="Arial" w:hAnsi="Arial"/>
          <w:sz w:val="20"/>
          <w:szCs w:val="20"/>
          <w:u w:val="single" w:color="auto"/>
          <w:color w:val="auto"/>
        </w:rPr>
        <w:t>Corporate Governance and Nominating Committee</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ind w:left="2380" w:hanging="427"/>
        <w:spacing w:after="0"/>
        <w:tabs>
          <w:tab w:leader="none" w:pos="2380" w:val="left"/>
        </w:tabs>
        <w:numPr>
          <w:ilvl w:val="1"/>
          <w:numId w:val="131"/>
        </w:numPr>
        <w:rPr>
          <w:rFonts w:ascii="Arial" w:cs="Arial" w:eastAsia="Arial" w:hAnsi="Arial"/>
          <w:sz w:val="20"/>
          <w:szCs w:val="20"/>
          <w:color w:val="auto"/>
        </w:rPr>
      </w:pPr>
      <w:r>
        <w:rPr>
          <w:rFonts w:ascii="Arial" w:cs="Arial" w:eastAsia="Arial" w:hAnsi="Arial"/>
          <w:sz w:val="20"/>
          <w:szCs w:val="20"/>
          <w:color w:val="auto"/>
        </w:rPr>
        <w:t>To amend or terminate the Plan, at any time and for any reason;</w:t>
      </w: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1082" w:right="239" w:bottom="1440" w:gutter="0" w:footer="0" w:header="0"/>
        </w:sectPr>
      </w:pPr>
    </w:p>
    <w:bookmarkStart w:id="127" w:name="page128"/>
    <w:bookmarkEnd w:id="127"/>
    <w:p>
      <w:pPr>
        <w:ind w:left="2440" w:hanging="487"/>
        <w:spacing w:after="0"/>
        <w:tabs>
          <w:tab w:leader="none" w:pos="244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To determine the amount, timing, vesting, and other terms and conditions applicable to Plan contributions and</w:t>
      </w:r>
    </w:p>
    <w:p>
      <w:pPr>
        <w:spacing w:after="0" w:line="38"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20"/>
          <w:szCs w:val="20"/>
          <w:color w:val="auto"/>
        </w:rPr>
        <w:t>benefits;</w:t>
      </w:r>
    </w:p>
    <w:p>
      <w:pPr>
        <w:spacing w:after="0" w:line="213" w:lineRule="exact"/>
        <w:rPr>
          <w:rFonts w:ascii="Arial" w:cs="Arial" w:eastAsia="Arial" w:hAnsi="Arial"/>
          <w:sz w:val="18"/>
          <w:szCs w:val="18"/>
          <w:color w:val="auto"/>
        </w:rPr>
      </w:pPr>
    </w:p>
    <w:p>
      <w:pPr>
        <w:ind w:left="2380" w:hanging="427"/>
        <w:spacing w:after="0"/>
        <w:tabs>
          <w:tab w:leader="none" w:pos="2380" w:val="left"/>
        </w:tabs>
        <w:numPr>
          <w:ilvl w:val="1"/>
          <w:numId w:val="132"/>
        </w:numPr>
        <w:rPr>
          <w:rFonts w:ascii="Arial" w:cs="Arial" w:eastAsia="Arial" w:hAnsi="Arial"/>
          <w:sz w:val="20"/>
          <w:szCs w:val="20"/>
          <w:color w:val="auto"/>
        </w:rPr>
      </w:pPr>
      <w:r>
        <w:rPr>
          <w:rFonts w:ascii="Arial" w:cs="Arial" w:eastAsia="Arial" w:hAnsi="Arial"/>
          <w:sz w:val="20"/>
          <w:szCs w:val="20"/>
          <w:color w:val="auto"/>
        </w:rPr>
        <w:t>To take any actions as it deems advisable to carry out the purposes of the Plan; and</w:t>
      </w:r>
    </w:p>
    <w:p>
      <w:pPr>
        <w:spacing w:after="0" w:line="229" w:lineRule="exact"/>
        <w:rPr>
          <w:rFonts w:ascii="Arial" w:cs="Arial" w:eastAsia="Arial" w:hAnsi="Arial"/>
          <w:sz w:val="20"/>
          <w:szCs w:val="20"/>
          <w:color w:val="auto"/>
        </w:rPr>
      </w:pPr>
    </w:p>
    <w:p>
      <w:pPr>
        <w:ind w:left="1300" w:right="20" w:firstLine="653"/>
        <w:spacing w:after="0" w:line="260" w:lineRule="auto"/>
        <w:tabs>
          <w:tab w:leader="none" w:pos="2400" w:val="left"/>
        </w:tabs>
        <w:numPr>
          <w:ilvl w:val="1"/>
          <w:numId w:val="132"/>
        </w:numPr>
        <w:rPr>
          <w:rFonts w:ascii="Arial" w:cs="Arial" w:eastAsia="Arial" w:hAnsi="Arial"/>
          <w:sz w:val="20"/>
          <w:szCs w:val="20"/>
          <w:color w:val="auto"/>
        </w:rPr>
      </w:pPr>
      <w:r>
        <w:rPr>
          <w:rFonts w:ascii="Arial" w:cs="Arial" w:eastAsia="Arial" w:hAnsi="Arial"/>
          <w:sz w:val="20"/>
          <w:szCs w:val="20"/>
          <w:color w:val="auto"/>
        </w:rPr>
        <w:t>To delegate its authority to any officer, employee, committee or agent of the Company, as it deems advisable for the effective administration of the Plan.</w:t>
      </w:r>
    </w:p>
    <w:p>
      <w:pPr>
        <w:spacing w:after="0" w:line="190" w:lineRule="exact"/>
        <w:rPr>
          <w:rFonts w:ascii="Arial" w:cs="Arial" w:eastAsia="Arial" w:hAnsi="Arial"/>
          <w:sz w:val="20"/>
          <w:szCs w:val="20"/>
          <w:color w:val="auto"/>
        </w:rPr>
      </w:pPr>
    </w:p>
    <w:p>
      <w:pPr>
        <w:ind w:left="1740" w:hanging="435"/>
        <w:spacing w:after="0"/>
        <w:tabs>
          <w:tab w:leader="none" w:pos="1740" w:val="left"/>
        </w:tabs>
        <w:numPr>
          <w:ilvl w:val="0"/>
          <w:numId w:val="133"/>
        </w:numPr>
        <w:rPr>
          <w:rFonts w:ascii="Arial" w:cs="Arial" w:eastAsia="Arial" w:hAnsi="Arial"/>
          <w:sz w:val="20"/>
          <w:szCs w:val="20"/>
          <w:color w:val="auto"/>
        </w:rPr>
      </w:pPr>
      <w:r>
        <w:rPr>
          <w:rFonts w:ascii="Arial" w:cs="Arial" w:eastAsia="Arial" w:hAnsi="Arial"/>
          <w:sz w:val="20"/>
          <w:szCs w:val="20"/>
          <w:u w:val="single" w:color="auto"/>
          <w:color w:val="auto"/>
        </w:rPr>
        <w:t>Compensation Committee</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ind w:left="1300" w:firstLine="653"/>
        <w:spacing w:after="0" w:line="260" w:lineRule="auto"/>
        <w:tabs>
          <w:tab w:leader="none" w:pos="2423" w:val="left"/>
        </w:tabs>
        <w:numPr>
          <w:ilvl w:val="1"/>
          <w:numId w:val="133"/>
        </w:numPr>
        <w:rPr>
          <w:rFonts w:ascii="Arial" w:cs="Arial" w:eastAsia="Arial" w:hAnsi="Arial"/>
          <w:sz w:val="20"/>
          <w:szCs w:val="20"/>
          <w:color w:val="auto"/>
        </w:rPr>
      </w:pPr>
      <w:r>
        <w:rPr>
          <w:rFonts w:ascii="Arial" w:cs="Arial" w:eastAsia="Arial" w:hAnsi="Arial"/>
          <w:sz w:val="20"/>
          <w:szCs w:val="20"/>
          <w:color w:val="auto"/>
        </w:rPr>
        <w:t>To set aside funds to assist the Company to meet its obligations under this Plan, provided that the funds are set aside in a manner that does not result in immediate taxation to Participants;</w:t>
      </w:r>
    </w:p>
    <w:p>
      <w:pPr>
        <w:spacing w:after="0" w:line="190" w:lineRule="exact"/>
        <w:rPr>
          <w:rFonts w:ascii="Arial" w:cs="Arial" w:eastAsia="Arial" w:hAnsi="Arial"/>
          <w:sz w:val="20"/>
          <w:szCs w:val="20"/>
          <w:color w:val="auto"/>
        </w:rPr>
      </w:pPr>
    </w:p>
    <w:p>
      <w:pPr>
        <w:ind w:left="2380" w:hanging="427"/>
        <w:spacing w:after="0"/>
        <w:tabs>
          <w:tab w:leader="none" w:pos="2380" w:val="left"/>
        </w:tabs>
        <w:numPr>
          <w:ilvl w:val="1"/>
          <w:numId w:val="133"/>
        </w:numPr>
        <w:rPr>
          <w:rFonts w:ascii="Arial" w:cs="Arial" w:eastAsia="Arial" w:hAnsi="Arial"/>
          <w:sz w:val="20"/>
          <w:szCs w:val="20"/>
          <w:color w:val="auto"/>
        </w:rPr>
      </w:pPr>
      <w:r>
        <w:rPr>
          <w:rFonts w:ascii="Arial" w:cs="Arial" w:eastAsia="Arial" w:hAnsi="Arial"/>
          <w:sz w:val="20"/>
          <w:szCs w:val="20"/>
          <w:color w:val="auto"/>
        </w:rPr>
        <w:t>To establish investment policy guidelines applicable to funds (if any) set aside under (1); and</w:t>
      </w:r>
    </w:p>
    <w:p>
      <w:pPr>
        <w:spacing w:after="0" w:line="229" w:lineRule="exact"/>
        <w:rPr>
          <w:rFonts w:ascii="Arial" w:cs="Arial" w:eastAsia="Arial" w:hAnsi="Arial"/>
          <w:sz w:val="20"/>
          <w:szCs w:val="20"/>
          <w:color w:val="auto"/>
        </w:rPr>
      </w:pPr>
    </w:p>
    <w:p>
      <w:pPr>
        <w:ind w:left="1300" w:firstLine="653"/>
        <w:spacing w:after="0" w:line="260" w:lineRule="auto"/>
        <w:tabs>
          <w:tab w:leader="none" w:pos="2475" w:val="left"/>
        </w:tabs>
        <w:numPr>
          <w:ilvl w:val="1"/>
          <w:numId w:val="133"/>
        </w:numPr>
        <w:rPr>
          <w:rFonts w:ascii="Arial" w:cs="Arial" w:eastAsia="Arial" w:hAnsi="Arial"/>
          <w:sz w:val="20"/>
          <w:szCs w:val="20"/>
          <w:color w:val="auto"/>
        </w:rPr>
      </w:pPr>
      <w:r>
        <w:rPr>
          <w:rFonts w:ascii="Arial" w:cs="Arial" w:eastAsia="Arial" w:hAnsi="Arial"/>
          <w:sz w:val="20"/>
          <w:szCs w:val="20"/>
          <w:color w:val="auto"/>
        </w:rPr>
        <w:t xml:space="preserve">To establish one or more grantor trusts (as defined in Code Section 671 </w:t>
      </w:r>
      <w:r>
        <w:rPr>
          <w:rFonts w:ascii="Arial" w:cs="Arial" w:eastAsia="Arial" w:hAnsi="Arial"/>
          <w:sz w:val="20"/>
          <w:szCs w:val="20"/>
          <w:u w:val="single" w:color="auto"/>
          <w:color w:val="auto"/>
        </w:rPr>
        <w:t>et seq.</w:t>
      </w:r>
      <w:r>
        <w:rPr>
          <w:rFonts w:ascii="Arial" w:cs="Arial" w:eastAsia="Arial" w:hAnsi="Arial"/>
          <w:sz w:val="20"/>
          <w:szCs w:val="20"/>
          <w:color w:val="auto"/>
        </w:rPr>
        <w:t>) to facilitate the payment of benefits under the Plan;</w:t>
      </w:r>
    </w:p>
    <w:p>
      <w:pPr>
        <w:spacing w:after="0" w:line="19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9.3</w:t>
      </w:r>
      <w:r>
        <w:rPr>
          <w:sz w:val="20"/>
          <w:szCs w:val="20"/>
          <w:color w:val="auto"/>
        </w:rPr>
        <w:tab/>
      </w:r>
      <w:r>
        <w:rPr>
          <w:rFonts w:ascii="Arial" w:cs="Arial" w:eastAsia="Arial" w:hAnsi="Arial"/>
          <w:sz w:val="18"/>
          <w:szCs w:val="18"/>
          <w:u w:val="single" w:color="auto"/>
          <w:color w:val="auto"/>
        </w:rPr>
        <w:t>Administrative Committee</w:t>
      </w:r>
      <w:r>
        <w:rPr>
          <w:rFonts w:ascii="Arial" w:cs="Arial" w:eastAsia="Arial" w:hAnsi="Arial"/>
          <w:sz w:val="18"/>
          <w:szCs w:val="18"/>
          <w:color w:val="auto"/>
        </w:rPr>
        <w:t>.</w:t>
      </w:r>
    </w:p>
    <w:p>
      <w:pPr>
        <w:spacing w:after="0" w:line="229" w:lineRule="exact"/>
        <w:rPr>
          <w:sz w:val="20"/>
          <w:szCs w:val="20"/>
          <w:color w:val="auto"/>
        </w:rPr>
      </w:pPr>
    </w:p>
    <w:p>
      <w:pPr>
        <w:jc w:val="both"/>
        <w:ind w:left="660" w:firstLine="645"/>
        <w:spacing w:after="0" w:line="244" w:lineRule="auto"/>
        <w:tabs>
          <w:tab w:leader="none" w:pos="1888" w:val="left"/>
        </w:tabs>
        <w:numPr>
          <w:ilvl w:val="0"/>
          <w:numId w:val="134"/>
        </w:numPr>
        <w:rPr>
          <w:rFonts w:ascii="Arial" w:cs="Arial" w:eastAsia="Arial" w:hAnsi="Arial"/>
          <w:sz w:val="20"/>
          <w:szCs w:val="20"/>
          <w:color w:val="auto"/>
        </w:rPr>
      </w:pPr>
      <w:r>
        <w:rPr>
          <w:rFonts w:ascii="Arial" w:cs="Arial" w:eastAsia="Arial" w:hAnsi="Arial"/>
          <w:sz w:val="20"/>
          <w:szCs w:val="20"/>
          <w:u w:val="single" w:color="auto"/>
          <w:color w:val="auto"/>
        </w:rPr>
        <w:t>Role of Administrative Committee</w:t>
      </w:r>
      <w:r>
        <w:rPr>
          <w:rFonts w:ascii="Arial" w:cs="Arial" w:eastAsia="Arial" w:hAnsi="Arial"/>
          <w:sz w:val="20"/>
          <w:szCs w:val="20"/>
          <w:color w:val="auto"/>
        </w:rPr>
        <w:t>. The Company has appointed the Administrative Committee to act as Plan Administrator. All actions taken by the Administrative Committee, or by its delegate, as Plan Administrator will be conclusive and binding on all persons having any interest under the Plan, subject only to the provisions of Article X. All findings, decisions and determinations of any kind made by the Administrative Committee or its delegate shall not be disturbed unless the Administrative Committee has acted in an arbitrary and capricious manner.</w:t>
      </w:r>
    </w:p>
    <w:p>
      <w:pPr>
        <w:spacing w:after="0" w:line="208" w:lineRule="exact"/>
        <w:rPr>
          <w:rFonts w:ascii="Arial" w:cs="Arial" w:eastAsia="Arial" w:hAnsi="Arial"/>
          <w:sz w:val="20"/>
          <w:szCs w:val="20"/>
          <w:color w:val="auto"/>
        </w:rPr>
      </w:pPr>
    </w:p>
    <w:p>
      <w:pPr>
        <w:ind w:left="1740" w:hanging="435"/>
        <w:spacing w:after="0"/>
        <w:tabs>
          <w:tab w:leader="none" w:pos="1740" w:val="left"/>
        </w:tabs>
        <w:numPr>
          <w:ilvl w:val="0"/>
          <w:numId w:val="134"/>
        </w:numPr>
        <w:rPr>
          <w:rFonts w:ascii="Arial" w:cs="Arial" w:eastAsia="Arial" w:hAnsi="Arial"/>
          <w:sz w:val="20"/>
          <w:szCs w:val="20"/>
          <w:color w:val="auto"/>
        </w:rPr>
      </w:pPr>
      <w:r>
        <w:rPr>
          <w:rFonts w:ascii="Arial" w:cs="Arial" w:eastAsia="Arial" w:hAnsi="Arial"/>
          <w:sz w:val="20"/>
          <w:szCs w:val="20"/>
          <w:u w:val="single" w:color="auto"/>
          <w:color w:val="auto"/>
        </w:rPr>
        <w:t>Powers and Authority</w:t>
      </w:r>
      <w:r>
        <w:rPr>
          <w:rFonts w:ascii="Arial" w:cs="Arial" w:eastAsia="Arial" w:hAnsi="Arial"/>
          <w:sz w:val="20"/>
          <w:szCs w:val="20"/>
          <w:color w:val="auto"/>
        </w:rPr>
        <w:t>. The Administrative Committee has the following powers and authority under the Plan:</w:t>
      </w:r>
    </w:p>
    <w:p>
      <w:pPr>
        <w:spacing w:after="0" w:line="229" w:lineRule="exact"/>
        <w:rPr>
          <w:rFonts w:ascii="Arial" w:cs="Arial" w:eastAsia="Arial" w:hAnsi="Arial"/>
          <w:sz w:val="20"/>
          <w:szCs w:val="20"/>
          <w:color w:val="auto"/>
        </w:rPr>
      </w:pPr>
    </w:p>
    <w:p>
      <w:pPr>
        <w:jc w:val="both"/>
        <w:ind w:left="1300" w:firstLine="653"/>
        <w:spacing w:after="0" w:line="250" w:lineRule="auto"/>
        <w:tabs>
          <w:tab w:leader="none" w:pos="2387" w:val="left"/>
        </w:tabs>
        <w:numPr>
          <w:ilvl w:val="1"/>
          <w:numId w:val="134"/>
        </w:numPr>
        <w:rPr>
          <w:rFonts w:ascii="Arial" w:cs="Arial" w:eastAsia="Arial" w:hAnsi="Arial"/>
          <w:sz w:val="20"/>
          <w:szCs w:val="20"/>
          <w:color w:val="auto"/>
        </w:rPr>
      </w:pPr>
      <w:r>
        <w:rPr>
          <w:rFonts w:ascii="Arial" w:cs="Arial" w:eastAsia="Arial" w:hAnsi="Arial"/>
          <w:sz w:val="20"/>
          <w:szCs w:val="20"/>
          <w:color w:val="auto"/>
        </w:rPr>
        <w:t>In the exercise of its sole, absolute, and exclusive discretion, to construe and interpret the terms and provisions of the Plan, to remedy and resolve ambiguities, to grant or deny any and all non-routine claims for benefits and to determine all issues relating to eligibility for benefits;</w:t>
      </w:r>
    </w:p>
    <w:p>
      <w:pPr>
        <w:spacing w:after="0" w:line="199" w:lineRule="exact"/>
        <w:rPr>
          <w:rFonts w:ascii="Arial" w:cs="Arial" w:eastAsia="Arial" w:hAnsi="Arial"/>
          <w:sz w:val="20"/>
          <w:szCs w:val="20"/>
          <w:color w:val="auto"/>
        </w:rPr>
      </w:pPr>
    </w:p>
    <w:p>
      <w:pPr>
        <w:ind w:left="2380" w:hanging="427"/>
        <w:spacing w:after="0"/>
        <w:tabs>
          <w:tab w:leader="none" w:pos="2380" w:val="left"/>
        </w:tabs>
        <w:numPr>
          <w:ilvl w:val="1"/>
          <w:numId w:val="134"/>
        </w:numPr>
        <w:rPr>
          <w:rFonts w:ascii="Arial" w:cs="Arial" w:eastAsia="Arial" w:hAnsi="Arial"/>
          <w:sz w:val="20"/>
          <w:szCs w:val="20"/>
          <w:color w:val="auto"/>
        </w:rPr>
      </w:pPr>
      <w:r>
        <w:rPr>
          <w:rFonts w:ascii="Arial" w:cs="Arial" w:eastAsia="Arial" w:hAnsi="Arial"/>
          <w:sz w:val="20"/>
          <w:szCs w:val="20"/>
          <w:color w:val="auto"/>
        </w:rPr>
        <w:t>To authorize withdrawals due to unforeseeable financial emergency;</w:t>
      </w:r>
    </w:p>
    <w:p>
      <w:pPr>
        <w:spacing w:after="0" w:line="229" w:lineRule="exact"/>
        <w:rPr>
          <w:rFonts w:ascii="Arial" w:cs="Arial" w:eastAsia="Arial" w:hAnsi="Arial"/>
          <w:sz w:val="20"/>
          <w:szCs w:val="20"/>
          <w:color w:val="auto"/>
        </w:rPr>
      </w:pPr>
    </w:p>
    <w:p>
      <w:pPr>
        <w:ind w:left="2380" w:hanging="427"/>
        <w:spacing w:after="0"/>
        <w:tabs>
          <w:tab w:leader="none" w:pos="2380" w:val="left"/>
        </w:tabs>
        <w:numPr>
          <w:ilvl w:val="1"/>
          <w:numId w:val="134"/>
        </w:numPr>
        <w:rPr>
          <w:rFonts w:ascii="Arial" w:cs="Arial" w:eastAsia="Arial" w:hAnsi="Arial"/>
          <w:sz w:val="16"/>
          <w:szCs w:val="16"/>
          <w:color w:val="auto"/>
        </w:rPr>
      </w:pPr>
      <w:r>
        <w:rPr>
          <w:rFonts w:ascii="Arial" w:cs="Arial" w:eastAsia="Arial" w:hAnsi="Arial"/>
          <w:sz w:val="16"/>
          <w:szCs w:val="16"/>
          <w:color w:val="auto"/>
        </w:rPr>
        <w:t>To amend the Plan for legal, technical, administrative, or compliance purposes, as recommended by legal counsel;</w:t>
      </w:r>
    </w:p>
    <w:p>
      <w:pPr>
        <w:spacing w:after="0" w:line="298" w:lineRule="exact"/>
        <w:rPr>
          <w:sz w:val="20"/>
          <w:szCs w:val="20"/>
          <w:color w:val="auto"/>
        </w:rPr>
      </w:pPr>
    </w:p>
    <w:p>
      <w:pP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20"/>
          </w:cols>
          <w:pgMar w:left="240" w:top="1082" w:right="239" w:bottom="1440" w:gutter="0" w:footer="0" w:header="0"/>
        </w:sectPr>
      </w:pPr>
    </w:p>
    <w:bookmarkStart w:id="128" w:name="page129"/>
    <w:bookmarkEnd w:id="128"/>
    <w:p>
      <w:pPr>
        <w:ind w:left="1300" w:firstLine="653"/>
        <w:spacing w:after="0" w:line="260" w:lineRule="auto"/>
        <w:tabs>
          <w:tab w:leader="none" w:pos="2427" w:val="left"/>
        </w:tabs>
        <w:numPr>
          <w:ilvl w:val="1"/>
          <w:numId w:val="135"/>
        </w:numPr>
        <w:rPr>
          <w:rFonts w:ascii="Arial" w:cs="Arial" w:eastAsia="Arial" w:hAnsi="Arial"/>
          <w:sz w:val="20"/>
          <w:szCs w:val="20"/>
          <w:color w:val="auto"/>
        </w:rPr>
      </w:pPr>
      <w:r>
        <w:rPr>
          <w:rFonts w:ascii="Arial" w:cs="Arial" w:eastAsia="Arial" w:hAnsi="Arial"/>
          <w:sz w:val="20"/>
          <w:szCs w:val="20"/>
          <w:color w:val="auto"/>
        </w:rPr>
        <w:t>To retain and pay service providers whose services the Administrative Committee deems necessary to effective administration of the Plan;</w:t>
      </w:r>
    </w:p>
    <w:p>
      <w:pPr>
        <w:spacing w:after="0" w:line="190" w:lineRule="exact"/>
        <w:rPr>
          <w:rFonts w:ascii="Arial" w:cs="Arial" w:eastAsia="Arial" w:hAnsi="Arial"/>
          <w:sz w:val="20"/>
          <w:szCs w:val="20"/>
          <w:color w:val="auto"/>
        </w:rPr>
      </w:pPr>
    </w:p>
    <w:p>
      <w:pPr>
        <w:ind w:left="1300" w:firstLine="653"/>
        <w:spacing w:after="0" w:line="247" w:lineRule="auto"/>
        <w:tabs>
          <w:tab w:leader="none" w:pos="2583" w:val="left"/>
        </w:tabs>
        <w:numPr>
          <w:ilvl w:val="1"/>
          <w:numId w:val="135"/>
        </w:numPr>
        <w:rPr>
          <w:rFonts w:ascii="Arial" w:cs="Arial" w:eastAsia="Arial" w:hAnsi="Arial"/>
          <w:sz w:val="20"/>
          <w:szCs w:val="20"/>
          <w:color w:val="auto"/>
        </w:rPr>
      </w:pPr>
      <w:r>
        <w:rPr>
          <w:rFonts w:ascii="Arial" w:cs="Arial" w:eastAsia="Arial" w:hAnsi="Arial"/>
          <w:sz w:val="20"/>
          <w:szCs w:val="20"/>
          <w:color w:val="auto"/>
        </w:rPr>
        <w:t>To implement, in the manner it deems appropriate, the investment policy guidelines established by the Compensation Committee;</w:t>
      </w:r>
    </w:p>
    <w:p>
      <w:pPr>
        <w:spacing w:after="0" w:line="1" w:lineRule="exact"/>
        <w:rPr>
          <w:rFonts w:ascii="Arial" w:cs="Arial" w:eastAsia="Arial" w:hAnsi="Arial"/>
          <w:sz w:val="20"/>
          <w:szCs w:val="20"/>
          <w:color w:val="auto"/>
        </w:rPr>
      </w:pPr>
    </w:p>
    <w:p>
      <w:pPr>
        <w:jc w:val="both"/>
        <w:ind w:left="1300" w:firstLine="653"/>
        <w:spacing w:after="0" w:line="241" w:lineRule="auto"/>
        <w:tabs>
          <w:tab w:leader="none" w:pos="2400" w:val="left"/>
        </w:tabs>
        <w:numPr>
          <w:ilvl w:val="1"/>
          <w:numId w:val="135"/>
        </w:numPr>
        <w:rPr>
          <w:rFonts w:ascii="Arial" w:cs="Arial" w:eastAsia="Arial" w:hAnsi="Arial"/>
          <w:sz w:val="20"/>
          <w:szCs w:val="20"/>
          <w:color w:val="auto"/>
        </w:rPr>
      </w:pPr>
      <w:r>
        <w:rPr>
          <w:rFonts w:ascii="Arial" w:cs="Arial" w:eastAsia="Arial" w:hAnsi="Arial"/>
          <w:sz w:val="20"/>
          <w:szCs w:val="20"/>
          <w:color w:val="auto"/>
        </w:rPr>
        <w:t>To delegate its authority to any officer, employee, committee or agent of the Company, as it deems advisable for the effective administration of the Plan, any such delegation to carry with it the full discretion and authority vested in the Administrative Committee; and</w:t>
      </w:r>
    </w:p>
    <w:p>
      <w:pPr>
        <w:spacing w:after="0" w:line="209" w:lineRule="exact"/>
        <w:rPr>
          <w:rFonts w:ascii="Arial" w:cs="Arial" w:eastAsia="Arial" w:hAnsi="Arial"/>
          <w:sz w:val="20"/>
          <w:szCs w:val="20"/>
          <w:color w:val="auto"/>
        </w:rPr>
      </w:pPr>
    </w:p>
    <w:p>
      <w:pPr>
        <w:ind w:left="1300" w:firstLine="653"/>
        <w:spacing w:after="0" w:line="260" w:lineRule="auto"/>
        <w:tabs>
          <w:tab w:leader="none" w:pos="2586" w:val="left"/>
        </w:tabs>
        <w:numPr>
          <w:ilvl w:val="1"/>
          <w:numId w:val="135"/>
        </w:numPr>
        <w:rPr>
          <w:rFonts w:ascii="Arial" w:cs="Arial" w:eastAsia="Arial" w:hAnsi="Arial"/>
          <w:sz w:val="20"/>
          <w:szCs w:val="20"/>
          <w:color w:val="auto"/>
        </w:rPr>
      </w:pPr>
      <w:r>
        <w:rPr>
          <w:rFonts w:ascii="Arial" w:cs="Arial" w:eastAsia="Arial" w:hAnsi="Arial"/>
          <w:sz w:val="20"/>
          <w:szCs w:val="20"/>
          <w:color w:val="auto"/>
        </w:rPr>
        <w:t>To adopt such administrative policies, procedures and protocols as it deems advisable for the effective administration of the Plan.</w:t>
      </w:r>
    </w:p>
    <w:p>
      <w:pPr>
        <w:spacing w:after="0" w:line="190" w:lineRule="exact"/>
        <w:rPr>
          <w:rFonts w:ascii="Arial" w:cs="Arial" w:eastAsia="Arial" w:hAnsi="Arial"/>
          <w:sz w:val="20"/>
          <w:szCs w:val="20"/>
          <w:color w:val="auto"/>
        </w:rPr>
      </w:pPr>
    </w:p>
    <w:p>
      <w:pPr>
        <w:jc w:val="both"/>
        <w:ind w:left="660" w:firstLine="645"/>
        <w:spacing w:after="0" w:line="250" w:lineRule="auto"/>
        <w:tabs>
          <w:tab w:leader="none" w:pos="1739" w:val="left"/>
        </w:tabs>
        <w:numPr>
          <w:ilvl w:val="0"/>
          <w:numId w:val="136"/>
        </w:numPr>
        <w:rPr>
          <w:rFonts w:ascii="Arial" w:cs="Arial" w:eastAsia="Arial" w:hAnsi="Arial"/>
          <w:sz w:val="20"/>
          <w:szCs w:val="20"/>
          <w:color w:val="auto"/>
        </w:rPr>
      </w:pPr>
      <w:r>
        <w:rPr>
          <w:rFonts w:ascii="Arial" w:cs="Arial" w:eastAsia="Arial" w:hAnsi="Arial"/>
          <w:sz w:val="20"/>
          <w:szCs w:val="20"/>
          <w:u w:val="single" w:color="auto"/>
          <w:color w:val="auto"/>
        </w:rPr>
        <w:t>Exercise of Authority</w:t>
      </w:r>
      <w:r>
        <w:rPr>
          <w:rFonts w:ascii="Arial" w:cs="Arial" w:eastAsia="Arial" w:hAnsi="Arial"/>
          <w:sz w:val="20"/>
          <w:szCs w:val="20"/>
          <w:color w:val="auto"/>
        </w:rPr>
        <w:t>. All resolutions or other actions taken by the Administrative Committee shall be either: (a) by vote of a majority of those present at a meeting at which a majority of the members are present; or (b) in writing by a majority of all the members at the time in office if they act without a meeting.</w:t>
      </w:r>
    </w:p>
    <w:p>
      <w:pPr>
        <w:spacing w:after="0" w:line="200"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 xml:space="preserve">9.4 </w:t>
      </w:r>
      <w:r>
        <w:rPr>
          <w:rFonts w:ascii="Arial" w:cs="Arial" w:eastAsia="Arial" w:hAnsi="Arial"/>
          <w:sz w:val="20"/>
          <w:szCs w:val="20"/>
          <w:u w:val="single" w:color="auto"/>
          <w:color w:val="auto"/>
        </w:rPr>
        <w:t>Powers and Authority of Leadership Benefits</w:t>
      </w:r>
      <w:r>
        <w:rPr>
          <w:rFonts w:ascii="Arial" w:cs="Arial" w:eastAsia="Arial" w:hAnsi="Arial"/>
          <w:sz w:val="20"/>
          <w:szCs w:val="20"/>
          <w:color w:val="auto"/>
        </w:rPr>
        <w:t>. Leadership Benefits, any other person(s), committee(s), department or group appointed by the Company’s Chief Human Resources Officer, has the following powers and authority under the Plan:</w:t>
      </w:r>
    </w:p>
    <w:p>
      <w:pPr>
        <w:spacing w:after="0" w:line="190" w:lineRule="exact"/>
        <w:rPr>
          <w:sz w:val="20"/>
          <w:szCs w:val="20"/>
          <w:color w:val="auto"/>
        </w:rPr>
      </w:pPr>
    </w:p>
    <w:p>
      <w:pPr>
        <w:jc w:val="both"/>
        <w:ind w:left="660" w:firstLine="645"/>
        <w:spacing w:after="0" w:line="291" w:lineRule="auto"/>
        <w:tabs>
          <w:tab w:leader="none" w:pos="181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To carry out day-to-day administration of the Plan, including notifying Board members of the provisions of the Plan, approving and processing Deferral Agreements, providing Participants with periodic statements of Account, approving and processing changes in the time and/or form of distributions, and forwarding non-routine distribution requests to the Administrative Committee;</w:t>
      </w:r>
    </w:p>
    <w:p>
      <w:pPr>
        <w:spacing w:after="0" w:line="165" w:lineRule="exact"/>
        <w:rPr>
          <w:rFonts w:ascii="Arial" w:cs="Arial" w:eastAsia="Arial" w:hAnsi="Arial"/>
          <w:sz w:val="18"/>
          <w:szCs w:val="18"/>
          <w:color w:val="auto"/>
        </w:rPr>
      </w:pPr>
    </w:p>
    <w:p>
      <w:pPr>
        <w:ind w:left="660" w:firstLine="645"/>
        <w:spacing w:after="0" w:line="316" w:lineRule="auto"/>
        <w:tabs>
          <w:tab w:leader="none" w:pos="1806"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To prepare forms necessary for the administration of the Plan, including Deferral Agreements, beneficiary designation forms, investment designation forms, and any other form or document deemed necessary to the effective administration of the Plan;</w:t>
      </w:r>
    </w:p>
    <w:p>
      <w:pPr>
        <w:spacing w:after="0" w:line="143" w:lineRule="exact"/>
        <w:rPr>
          <w:rFonts w:ascii="Arial" w:cs="Arial" w:eastAsia="Arial" w:hAnsi="Arial"/>
          <w:sz w:val="18"/>
          <w:szCs w:val="18"/>
          <w:color w:val="auto"/>
        </w:rPr>
      </w:pPr>
    </w:p>
    <w:p>
      <w:pPr>
        <w:ind w:left="660" w:firstLine="645"/>
        <w:spacing w:after="0" w:line="260" w:lineRule="auto"/>
        <w:tabs>
          <w:tab w:leader="none" w:pos="1813" w:val="left"/>
        </w:tabs>
        <w:numPr>
          <w:ilvl w:val="0"/>
          <w:numId w:val="137"/>
        </w:numPr>
        <w:rPr>
          <w:rFonts w:ascii="Arial" w:cs="Arial" w:eastAsia="Arial" w:hAnsi="Arial"/>
          <w:sz w:val="20"/>
          <w:szCs w:val="20"/>
          <w:color w:val="auto"/>
        </w:rPr>
      </w:pPr>
      <w:r>
        <w:rPr>
          <w:rFonts w:ascii="Arial" w:cs="Arial" w:eastAsia="Arial" w:hAnsi="Arial"/>
          <w:sz w:val="20"/>
          <w:szCs w:val="20"/>
          <w:color w:val="auto"/>
        </w:rPr>
        <w:t>To approve and adopt communications to be furnished to eligible Board members explaining the material provisions, terms, and conditions of the Plan;</w:t>
      </w:r>
    </w:p>
    <w:p>
      <w:pPr>
        <w:spacing w:after="0" w:line="190" w:lineRule="exact"/>
        <w:rPr>
          <w:rFonts w:ascii="Arial" w:cs="Arial" w:eastAsia="Arial" w:hAnsi="Arial"/>
          <w:sz w:val="20"/>
          <w:szCs w:val="20"/>
          <w:color w:val="auto"/>
        </w:rPr>
      </w:pPr>
    </w:p>
    <w:p>
      <w:pPr>
        <w:ind w:left="1720" w:hanging="415"/>
        <w:spacing w:after="0"/>
        <w:tabs>
          <w:tab w:leader="none" w:pos="1720" w:val="left"/>
        </w:tabs>
        <w:numPr>
          <w:ilvl w:val="0"/>
          <w:numId w:val="137"/>
        </w:numPr>
        <w:rPr>
          <w:rFonts w:ascii="Arial" w:cs="Arial" w:eastAsia="Arial" w:hAnsi="Arial"/>
          <w:sz w:val="20"/>
          <w:szCs w:val="20"/>
          <w:color w:val="auto"/>
        </w:rPr>
      </w:pPr>
      <w:r>
        <w:rPr>
          <w:rFonts w:ascii="Arial" w:cs="Arial" w:eastAsia="Arial" w:hAnsi="Arial"/>
          <w:sz w:val="20"/>
          <w:szCs w:val="20"/>
          <w:color w:val="auto"/>
        </w:rPr>
        <w:t>To process routine distributions;</w:t>
      </w:r>
    </w:p>
    <w:p>
      <w:pPr>
        <w:spacing w:after="0" w:line="229" w:lineRule="exact"/>
        <w:rPr>
          <w:rFonts w:ascii="Arial" w:cs="Arial" w:eastAsia="Arial" w:hAnsi="Arial"/>
          <w:sz w:val="20"/>
          <w:szCs w:val="20"/>
          <w:color w:val="auto"/>
        </w:rPr>
      </w:pPr>
    </w:p>
    <w:p>
      <w:pPr>
        <w:ind w:left="1720" w:hanging="415"/>
        <w:spacing w:after="0"/>
        <w:tabs>
          <w:tab w:leader="none" w:pos="1720" w:val="left"/>
        </w:tabs>
        <w:numPr>
          <w:ilvl w:val="0"/>
          <w:numId w:val="137"/>
        </w:numPr>
        <w:rPr>
          <w:rFonts w:ascii="Arial" w:cs="Arial" w:eastAsia="Arial" w:hAnsi="Arial"/>
          <w:sz w:val="20"/>
          <w:szCs w:val="20"/>
          <w:color w:val="auto"/>
        </w:rPr>
      </w:pPr>
      <w:r>
        <w:rPr>
          <w:rFonts w:ascii="Arial" w:cs="Arial" w:eastAsia="Arial" w:hAnsi="Arial"/>
          <w:sz w:val="20"/>
          <w:szCs w:val="20"/>
          <w:color w:val="auto"/>
        </w:rPr>
        <w:t>To process non-routine distributions that have been approved by the Administrative Committee;</w:t>
      </w:r>
    </w:p>
    <w:p>
      <w:pPr>
        <w:spacing w:after="0" w:line="229" w:lineRule="exact"/>
        <w:rPr>
          <w:rFonts w:ascii="Arial" w:cs="Arial" w:eastAsia="Arial" w:hAnsi="Arial"/>
          <w:sz w:val="20"/>
          <w:szCs w:val="20"/>
          <w:color w:val="auto"/>
        </w:rPr>
      </w:pPr>
    </w:p>
    <w:p>
      <w:pPr>
        <w:ind w:left="1820" w:hanging="515"/>
        <w:spacing w:after="0"/>
        <w:tabs>
          <w:tab w:leader="none" w:pos="1820" w:val="left"/>
        </w:tabs>
        <w:numPr>
          <w:ilvl w:val="0"/>
          <w:numId w:val="137"/>
        </w:numPr>
        <w:rPr>
          <w:rFonts w:ascii="Arial" w:cs="Arial" w:eastAsia="Arial" w:hAnsi="Arial"/>
          <w:sz w:val="19"/>
          <w:szCs w:val="19"/>
          <w:color w:val="auto"/>
        </w:rPr>
      </w:pPr>
      <w:r>
        <w:rPr>
          <w:rFonts w:ascii="Arial" w:cs="Arial" w:eastAsia="Arial" w:hAnsi="Arial"/>
          <w:sz w:val="19"/>
          <w:szCs w:val="19"/>
          <w:color w:val="auto"/>
        </w:rPr>
        <w:t>To negotiate and document agreements with Plan service providers, subject to final approval by the Administrative</w:t>
      </w:r>
    </w:p>
    <w:p>
      <w:pPr>
        <w:spacing w:after="0" w:line="27"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0"/>
          <w:szCs w:val="20"/>
          <w:color w:val="auto"/>
        </w:rPr>
        <w:t>Committee;</w:t>
      </w:r>
    </w:p>
    <w:p>
      <w:pPr>
        <w:spacing w:after="0" w:line="213" w:lineRule="exact"/>
        <w:rPr>
          <w:rFonts w:ascii="Arial" w:cs="Arial" w:eastAsia="Arial" w:hAnsi="Arial"/>
          <w:sz w:val="19"/>
          <w:szCs w:val="19"/>
          <w:color w:val="auto"/>
        </w:rPr>
      </w:pPr>
    </w:p>
    <w:p>
      <w:pPr>
        <w:ind w:left="1720" w:hanging="415"/>
        <w:spacing w:after="0"/>
        <w:tabs>
          <w:tab w:leader="none" w:pos="1720" w:val="left"/>
        </w:tabs>
        <w:numPr>
          <w:ilvl w:val="0"/>
          <w:numId w:val="137"/>
        </w:numPr>
        <w:rPr>
          <w:rFonts w:ascii="Arial" w:cs="Arial" w:eastAsia="Arial" w:hAnsi="Arial"/>
          <w:sz w:val="20"/>
          <w:szCs w:val="20"/>
          <w:color w:val="auto"/>
        </w:rPr>
      </w:pPr>
      <w:r>
        <w:rPr>
          <w:rFonts w:ascii="Arial" w:cs="Arial" w:eastAsia="Arial" w:hAnsi="Arial"/>
          <w:sz w:val="20"/>
          <w:szCs w:val="20"/>
          <w:color w:val="auto"/>
        </w:rPr>
        <w:t>To implement any policies or procedures approved by the Company or the Administrative Committee;</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20"/>
          </w:cols>
          <w:pgMar w:left="240" w:top="1082" w:right="239" w:bottom="1440" w:gutter="0" w:footer="0" w:header="0"/>
        </w:sectPr>
      </w:pPr>
    </w:p>
    <w:bookmarkStart w:id="129" w:name="page130"/>
    <w:bookmarkEnd w:id="129"/>
    <w:p>
      <w:pPr>
        <w:ind w:left="1720" w:hanging="415"/>
        <w:spacing w:after="0"/>
        <w:tabs>
          <w:tab w:leader="none" w:pos="1720" w:val="left"/>
        </w:tabs>
        <w:numPr>
          <w:ilvl w:val="0"/>
          <w:numId w:val="138"/>
        </w:numPr>
        <w:rPr>
          <w:rFonts w:ascii="Arial" w:cs="Arial" w:eastAsia="Arial" w:hAnsi="Arial"/>
          <w:sz w:val="20"/>
          <w:szCs w:val="20"/>
          <w:color w:val="auto"/>
        </w:rPr>
      </w:pPr>
      <w:r>
        <w:rPr>
          <w:rFonts w:ascii="Arial" w:cs="Arial" w:eastAsia="Arial" w:hAnsi="Arial"/>
          <w:sz w:val="20"/>
          <w:szCs w:val="20"/>
          <w:color w:val="auto"/>
        </w:rPr>
        <w:t>To recommend amendments to the Plan for adoption by the Company or the Administrative Committee;</w:t>
      </w:r>
    </w:p>
    <w:p>
      <w:pPr>
        <w:spacing w:after="0" w:line="229" w:lineRule="exact"/>
        <w:rPr>
          <w:rFonts w:ascii="Arial" w:cs="Arial" w:eastAsia="Arial" w:hAnsi="Arial"/>
          <w:sz w:val="20"/>
          <w:szCs w:val="20"/>
          <w:color w:val="auto"/>
        </w:rPr>
      </w:pPr>
    </w:p>
    <w:p>
      <w:pPr>
        <w:ind w:left="1680" w:hanging="375"/>
        <w:spacing w:after="0"/>
        <w:tabs>
          <w:tab w:leader="none" w:pos="1680" w:val="left"/>
        </w:tabs>
        <w:numPr>
          <w:ilvl w:val="0"/>
          <w:numId w:val="138"/>
        </w:numPr>
        <w:rPr>
          <w:rFonts w:ascii="Arial" w:cs="Arial" w:eastAsia="Arial" w:hAnsi="Arial"/>
          <w:sz w:val="20"/>
          <w:szCs w:val="20"/>
          <w:color w:val="auto"/>
        </w:rPr>
      </w:pPr>
      <w:r>
        <w:rPr>
          <w:rFonts w:ascii="Arial" w:cs="Arial" w:eastAsia="Arial" w:hAnsi="Arial"/>
          <w:sz w:val="20"/>
          <w:szCs w:val="20"/>
          <w:color w:val="auto"/>
        </w:rPr>
        <w:t>To work with Plan service providers to ensure the effective administration of the Plan; and</w:t>
      </w:r>
    </w:p>
    <w:p>
      <w:pPr>
        <w:spacing w:after="0" w:line="229" w:lineRule="exact"/>
        <w:rPr>
          <w:rFonts w:ascii="Arial" w:cs="Arial" w:eastAsia="Arial" w:hAnsi="Arial"/>
          <w:sz w:val="20"/>
          <w:szCs w:val="20"/>
          <w:color w:val="auto"/>
        </w:rPr>
      </w:pPr>
    </w:p>
    <w:p>
      <w:pPr>
        <w:ind w:left="1680" w:hanging="375"/>
        <w:spacing w:after="0"/>
        <w:tabs>
          <w:tab w:leader="none" w:pos="16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To perform any and all tasks, duties, and responsibilities delegated by the Company or the Administrative Committee.</w:t>
      </w:r>
    </w:p>
    <w:p>
      <w:pPr>
        <w:spacing w:after="0" w:line="25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9.5 </w:t>
      </w:r>
      <w:r>
        <w:rPr>
          <w:rFonts w:ascii="Arial" w:cs="Arial" w:eastAsia="Arial" w:hAnsi="Arial"/>
          <w:sz w:val="20"/>
          <w:szCs w:val="20"/>
          <w:u w:val="single" w:color="auto"/>
          <w:color w:val="auto"/>
        </w:rPr>
        <w:t>Reliance on Opinions</w:t>
      </w:r>
      <w:r>
        <w:rPr>
          <w:rFonts w:ascii="Arial" w:cs="Arial" w:eastAsia="Arial" w:hAnsi="Arial"/>
          <w:sz w:val="20"/>
          <w:szCs w:val="20"/>
          <w:color w:val="auto"/>
        </w:rPr>
        <w:t>. The members of the Administrative Committee and the officers, employees and directors of the Company responsible for administration of the Plan shall be entitled to rely on all certificates and reports made by any duly appointed accountants, and on all opinions given by any duly appointed legal counsel, including legal counsel for the Company.</w:t>
      </w:r>
    </w:p>
    <w:p>
      <w:pPr>
        <w:spacing w:after="0" w:line="20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9.6 </w:t>
      </w:r>
      <w:r>
        <w:rPr>
          <w:rFonts w:ascii="Arial" w:cs="Arial" w:eastAsia="Arial" w:hAnsi="Arial"/>
          <w:sz w:val="20"/>
          <w:szCs w:val="20"/>
          <w:u w:val="single" w:color="auto"/>
          <w:color w:val="auto"/>
        </w:rPr>
        <w:t>Information</w:t>
      </w:r>
      <w:r>
        <w:rPr>
          <w:rFonts w:ascii="Arial" w:cs="Arial" w:eastAsia="Arial" w:hAnsi="Arial"/>
          <w:sz w:val="20"/>
          <w:szCs w:val="20"/>
          <w:color w:val="auto"/>
        </w:rPr>
        <w:t>. The Company shall supply full and timely information to the Administrative Committee on all matters relating to Plan administration as the Administrative Committee may reasonably require.</w:t>
      </w:r>
    </w:p>
    <w:p>
      <w:pPr>
        <w:spacing w:after="0" w:line="19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u w:val="single" w:color="auto"/>
          <w:color w:val="auto"/>
        </w:rPr>
        <w:t>Indemnification</w:t>
      </w:r>
      <w:r>
        <w:rPr>
          <w:rFonts w:ascii="Arial" w:cs="Arial" w:eastAsia="Arial" w:hAnsi="Arial"/>
          <w:sz w:val="18"/>
          <w:szCs w:val="18"/>
          <w:color w:val="auto"/>
        </w:rPr>
        <w:t>. The Company shall indemnify and hold harmless each Administrative Committee or Board member, and each Company employee, performing services or acting in any capacity with respect to the Plan, from and against any and all expenses and liabilities arising in connection with services performed in regard to this Plan. Expenses against which such individual shall be indemnified hereunder shall include, without limitation, the amount of any settlement or judgment, costs, counsel fees and related charges reasonably incurred in connection with a claim asserted, or a proceeding brought or settlement thereof. The foregoing right of indemnification shall be in addition to any other rights to which any such individual may be entitled as a matter of law or other agreement. However, the right to indemnification does not apply where an expense or liability is incurred due to an individual’s fraudulent or intentionally dishonest acts.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ARTICLE X</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20"/>
          <w:szCs w:val="20"/>
          <w:u w:val="single" w:color="auto"/>
          <w:color w:val="auto"/>
        </w:rPr>
        <w:t>CLAIMS PROCEDURE</w:t>
      </w:r>
    </w:p>
    <w:p>
      <w:pPr>
        <w:spacing w:after="0" w:line="200" w:lineRule="exact"/>
        <w:rPr>
          <w:sz w:val="20"/>
          <w:szCs w:val="20"/>
          <w:color w:val="auto"/>
        </w:rPr>
      </w:pPr>
    </w:p>
    <w:p>
      <w:pPr>
        <w:spacing w:after="0" w:line="24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10.1 </w:t>
      </w:r>
      <w:r>
        <w:rPr>
          <w:rFonts w:ascii="Arial" w:cs="Arial" w:eastAsia="Arial" w:hAnsi="Arial"/>
          <w:sz w:val="20"/>
          <w:szCs w:val="20"/>
          <w:u w:val="single" w:color="auto"/>
          <w:color w:val="auto"/>
        </w:rPr>
        <w:t>Submission of Claim</w:t>
      </w:r>
      <w:r>
        <w:rPr>
          <w:rFonts w:ascii="Arial" w:cs="Arial" w:eastAsia="Arial" w:hAnsi="Arial"/>
          <w:sz w:val="20"/>
          <w:szCs w:val="20"/>
          <w:color w:val="auto"/>
        </w:rPr>
        <w:t>. Benefits shall be paid in accordance with the provisions of this Plan. The Participant, or any person claiming through the Participant (“Claiming Party”), shall make a written request for benefits under this Plan, mailed or delivered to Leadership Benefits. If the claim cannot be processed as a routine payment of benefits, Leadership Benefits will forward the claim to the Administrative Committee for its review.</w:t>
      </w:r>
    </w:p>
    <w:p>
      <w:pPr>
        <w:spacing w:after="0" w:line="20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10.2 </w:t>
      </w:r>
      <w:r>
        <w:rPr>
          <w:rFonts w:ascii="Arial" w:cs="Arial" w:eastAsia="Arial" w:hAnsi="Arial"/>
          <w:sz w:val="20"/>
          <w:szCs w:val="20"/>
          <w:u w:val="single" w:color="auto"/>
          <w:color w:val="auto"/>
        </w:rPr>
        <w:t>Denial of Claim</w:t>
      </w:r>
      <w:r>
        <w:rPr>
          <w:rFonts w:ascii="Arial" w:cs="Arial" w:eastAsia="Arial" w:hAnsi="Arial"/>
          <w:sz w:val="20"/>
          <w:szCs w:val="20"/>
          <w:color w:val="auto"/>
        </w:rPr>
        <w:t>. If a claim for payment of benefits is denied in full or in part, the Administrative Committee or its delegate shall provide a written notice to the Claiming Party within ninety (90) days setting forth: (a) the specific reasons for denial; (b) any additional material or information necessary to perfect the claim; (c) an explanation of why such material or information is necessary; and (d) an explanation of the steps to be taken for a review of the denial.</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420"/>
          </w:cols>
          <w:pgMar w:left="240" w:top="622" w:right="239" w:bottom="1440" w:gutter="0" w:footer="0" w:header="0"/>
        </w:sectPr>
      </w:pPr>
    </w:p>
    <w:bookmarkStart w:id="130" w:name="page131"/>
    <w:bookmarkEnd w:id="130"/>
    <w:p>
      <w:pPr>
        <w:jc w:val="both"/>
        <w:ind w:firstLine="648"/>
        <w:spacing w:after="0" w:line="260" w:lineRule="auto"/>
        <w:rPr>
          <w:sz w:val="20"/>
          <w:szCs w:val="20"/>
          <w:color w:val="auto"/>
        </w:rPr>
      </w:pPr>
      <w:r>
        <w:rPr>
          <w:rFonts w:ascii="Arial" w:cs="Arial" w:eastAsia="Arial" w:hAnsi="Arial"/>
          <w:sz w:val="20"/>
          <w:szCs w:val="20"/>
          <w:color w:val="auto"/>
        </w:rPr>
        <w:t>A claim shall be deemed denied if the Administrative Committee or its delegate does not take any action within the aforesaid ninety (90) day period.</w:t>
      </w:r>
    </w:p>
    <w:p>
      <w:pPr>
        <w:spacing w:after="0" w:line="190" w:lineRule="exact"/>
        <w:rPr>
          <w:sz w:val="20"/>
          <w:szCs w:val="20"/>
          <w:color w:val="auto"/>
        </w:rPr>
      </w:pPr>
    </w:p>
    <w:p>
      <w:pPr>
        <w:jc w:val="both"/>
        <w:ind w:right="20" w:firstLine="648"/>
        <w:spacing w:after="0" w:line="247" w:lineRule="auto"/>
        <w:rPr>
          <w:sz w:val="20"/>
          <w:szCs w:val="20"/>
          <w:color w:val="auto"/>
        </w:rPr>
      </w:pPr>
      <w:r>
        <w:rPr>
          <w:rFonts w:ascii="Arial" w:cs="Arial" w:eastAsia="Arial" w:hAnsi="Arial"/>
          <w:sz w:val="20"/>
          <w:szCs w:val="20"/>
          <w:color w:val="auto"/>
        </w:rPr>
        <w:t xml:space="preserve">10.3 </w:t>
      </w:r>
      <w:r>
        <w:rPr>
          <w:rFonts w:ascii="Arial" w:cs="Arial" w:eastAsia="Arial" w:hAnsi="Arial"/>
          <w:sz w:val="20"/>
          <w:szCs w:val="20"/>
          <w:u w:val="single" w:color="auto"/>
          <w:color w:val="auto"/>
        </w:rPr>
        <w:t>Review of Denied Claim</w:t>
      </w:r>
      <w:r>
        <w:rPr>
          <w:rFonts w:ascii="Arial" w:cs="Arial" w:eastAsia="Arial" w:hAnsi="Arial"/>
          <w:sz w:val="20"/>
          <w:szCs w:val="20"/>
          <w:color w:val="auto"/>
        </w:rPr>
        <w:t>. If the Claiming Party desires Administrative Committee review of a denied claim, the Claiming Party shall notify the Administrative Committee or its</w:t>
      </w:r>
    </w:p>
    <w:p>
      <w:pPr>
        <w:spacing w:after="0" w:line="2"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delegate in writing within sixty (60) days after receipt of the written notice of denial. As part of such written request, the Claiming Party may request a review of the Plan document or other relevant documents, may submit any written issues and comments, and may request an extension of time for such written submission of issues and comments.</w:t>
      </w:r>
    </w:p>
    <w:p>
      <w:pPr>
        <w:spacing w:after="0" w:line="21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10.4 </w:t>
      </w:r>
      <w:r>
        <w:rPr>
          <w:rFonts w:ascii="Arial" w:cs="Arial" w:eastAsia="Arial" w:hAnsi="Arial"/>
          <w:sz w:val="20"/>
          <w:szCs w:val="20"/>
          <w:u w:val="single" w:color="auto"/>
          <w:color w:val="auto"/>
        </w:rPr>
        <w:t>Decision Upon Review of Denied Claim</w:t>
      </w:r>
      <w:r>
        <w:rPr>
          <w:rFonts w:ascii="Arial" w:cs="Arial" w:eastAsia="Arial" w:hAnsi="Arial"/>
          <w:sz w:val="20"/>
          <w:szCs w:val="20"/>
          <w:color w:val="auto"/>
        </w:rPr>
        <w:t>. The decision on the review of the denied claim shall be rendered by the Administrative Committee within sixty (60) days after receipt of the request for review (or within 120 days if special circumstances exist). The decision shall be in writing and shall state the specific reasons for the decision, including reference to specific provisions of the Plan on which the decision is based.</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ARTICLE XI</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20"/>
          <w:szCs w:val="20"/>
          <w:u w:val="single" w:color="auto"/>
          <w:color w:val="auto"/>
        </w:rPr>
        <w:t>AMENDMENT AND TERMINATION</w:t>
      </w:r>
    </w:p>
    <w:p>
      <w:pPr>
        <w:spacing w:after="0" w:line="200" w:lineRule="exact"/>
        <w:rPr>
          <w:sz w:val="20"/>
          <w:szCs w:val="20"/>
          <w:color w:val="auto"/>
        </w:rPr>
      </w:pPr>
    </w:p>
    <w:p>
      <w:pPr>
        <w:spacing w:after="0" w:line="24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Plan may be amended or terminated at any time for any reason. Such amendment or termination may modify or eliminate any benefit hereunder, provided that no such amendment or termination shall in any way reduce the vested portion of the affected Participants’ or Beneficiaries’ Bookkeeping Accounts. To be effective, an amendment must be in writing and must be signed by a person who has amendment authority under the terms of the Plan. Oral amendments or modifications to the Plan, and any written amendments that are not signed by an authorized person, are not valid or binding on the Company or any other person. Upon termination of the Plan, the Board of Directors may elect to accelerate distribution of Participant Accounts, but only if the accelerated distribution would not result in additional tax to the Participant under Code Section 409A.</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ARTICLE XII</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20"/>
          <w:szCs w:val="20"/>
          <w:u w:val="single" w:color="auto"/>
          <w:color w:val="auto"/>
        </w:rPr>
        <w:t>MISCELLANEOUS</w:t>
      </w:r>
    </w:p>
    <w:p>
      <w:pPr>
        <w:spacing w:after="0" w:line="200" w:lineRule="exact"/>
        <w:rPr>
          <w:sz w:val="20"/>
          <w:szCs w:val="20"/>
          <w:color w:val="auto"/>
        </w:rPr>
      </w:pPr>
    </w:p>
    <w:p>
      <w:pPr>
        <w:spacing w:after="0" w:line="24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u w:val="single" w:color="auto"/>
          <w:color w:val="auto"/>
        </w:rPr>
        <w:t>No Employment Contract</w:t>
      </w:r>
      <w:r>
        <w:rPr>
          <w:rFonts w:ascii="Arial" w:cs="Arial" w:eastAsia="Arial" w:hAnsi="Arial"/>
          <w:sz w:val="18"/>
          <w:szCs w:val="18"/>
          <w:color w:val="auto"/>
        </w:rPr>
        <w:t>. The terms and conditions of the Plan shall not be deemed to constitute a contract of employment between the Company and any Board member. Nothing in this Plan shall be deemed to give any Board member the right to be retained in the service of the Company or to interfere with any right of the Company to discipline or discharge the Board member at any time.</w:t>
      </w:r>
    </w:p>
    <w:p>
      <w:pPr>
        <w:spacing w:after="0" w:line="165" w:lineRule="exact"/>
        <w:rPr>
          <w:sz w:val="20"/>
          <w:szCs w:val="20"/>
          <w:color w:val="auto"/>
        </w:rPr>
      </w:pPr>
    </w:p>
    <w:p>
      <w:pPr>
        <w:jc w:val="both"/>
        <w:ind w:right="20" w:firstLine="648"/>
        <w:spacing w:after="0" w:line="316"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u w:val="single" w:color="auto"/>
          <w:color w:val="auto"/>
        </w:rPr>
        <w:t>Cooperation</w:t>
      </w:r>
      <w:r>
        <w:rPr>
          <w:rFonts w:ascii="Arial" w:cs="Arial" w:eastAsia="Arial" w:hAnsi="Arial"/>
          <w:sz w:val="18"/>
          <w:szCs w:val="18"/>
          <w:color w:val="auto"/>
        </w:rPr>
        <w:t>. A Board member will cooperate with the Company by furnishing any and all information reasonably requested by the Company and take such other actions as may be requested to facilitate Plan administration and the payment of benefits hereunder.</w:t>
      </w:r>
    </w:p>
    <w:p>
      <w:pPr>
        <w:spacing w:after="0" w:line="144"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u w:val="single" w:color="auto"/>
          <w:color w:val="auto"/>
        </w:rPr>
        <w:t>Illegality and Invalidity</w:t>
      </w:r>
      <w:r>
        <w:rPr>
          <w:rFonts w:ascii="Arial" w:cs="Arial" w:eastAsia="Arial" w:hAnsi="Arial"/>
          <w:sz w:val="18"/>
          <w:szCs w:val="18"/>
          <w:color w:val="auto"/>
        </w:rPr>
        <w:t>. If any provision of this Plan is found illegal or invalid, said illegality or invalidity shall not affect the remaining parts hereof, but the Plan shall be construed and enforced as if such illegal and invalid provision had not been included herein.</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420"/>
          </w:cols>
          <w:pgMar w:left="240" w:top="622" w:right="239" w:bottom="1440" w:gutter="0" w:footer="0" w:header="0"/>
        </w:sectPr>
      </w:pPr>
    </w:p>
    <w:bookmarkStart w:id="131" w:name="page132"/>
    <w:bookmarkEnd w:id="131"/>
    <w:p>
      <w:pPr>
        <w:jc w:val="both"/>
        <w:ind w:firstLine="648"/>
        <w:spacing w:after="0" w:line="232" w:lineRule="exact"/>
        <w:rPr>
          <w:sz w:val="20"/>
          <w:szCs w:val="20"/>
          <w:color w:val="auto"/>
        </w:rPr>
      </w:pPr>
      <w:r>
        <w:rPr>
          <w:rFonts w:ascii="Arial" w:cs="Arial" w:eastAsia="Arial" w:hAnsi="Arial"/>
          <w:sz w:val="20"/>
          <w:szCs w:val="20"/>
          <w:color w:val="auto"/>
        </w:rPr>
        <w:t xml:space="preserve">12.4 </w:t>
      </w:r>
      <w:r>
        <w:rPr>
          <w:rFonts w:ascii="Arial" w:cs="Arial" w:eastAsia="Arial" w:hAnsi="Arial"/>
          <w:sz w:val="20"/>
          <w:szCs w:val="20"/>
          <w:u w:val="single" w:color="auto"/>
          <w:color w:val="auto"/>
        </w:rPr>
        <w:t>Required Notice</w:t>
      </w:r>
      <w:r>
        <w:rPr>
          <w:rFonts w:ascii="Arial" w:cs="Arial" w:eastAsia="Arial" w:hAnsi="Arial"/>
          <w:sz w:val="20"/>
          <w:szCs w:val="20"/>
          <w:color w:val="auto"/>
        </w:rPr>
        <w:t>. Any notice which shall be or may be given under the Plan or a Deferral Agreement or Participation Agreement shall be in writing and shall be mailed by United States mail, postage prepaid. If notice is to be given to the Company, such notice shall be addressed to the Company c/o Leadership Benefits Department, at 1700 Seventh Avenue, Suite 1000, Seattle Washington 98101-4407. If notice is to be given to a Participant, such notice shall be addressed to the last known address on the Company’s records. Any notice or filing required or permitted to be given to a Participant under this Plan shall be sufficient if in writing and hand</w:t>
      </w:r>
      <w:r>
        <w:rPr>
          <w:rFonts w:ascii="MS PGothic" w:cs="MS PGothic" w:eastAsia="MS PGothic" w:hAnsi="MS PGothic"/>
          <w:sz w:val="20"/>
          <w:szCs w:val="20"/>
          <w:color w:val="auto"/>
        </w:rPr>
        <w:t>‑</w:t>
      </w:r>
      <w:r>
        <w:rPr>
          <w:rFonts w:ascii="Arial" w:cs="Arial" w:eastAsia="Arial" w:hAnsi="Arial"/>
          <w:sz w:val="20"/>
          <w:szCs w:val="20"/>
          <w:color w:val="auto"/>
        </w:rPr>
        <w:t>delivered, or sent by mail, to the last known address of the Participant. Any party may, from time to time, change the address to which notices shall be mailed by giving written notice of such new address.</w:t>
      </w:r>
    </w:p>
    <w:p>
      <w:pPr>
        <w:spacing w:after="0" w:line="21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12.5 </w:t>
      </w:r>
      <w:r>
        <w:rPr>
          <w:rFonts w:ascii="Arial" w:cs="Arial" w:eastAsia="Arial" w:hAnsi="Arial"/>
          <w:sz w:val="20"/>
          <w:szCs w:val="20"/>
          <w:u w:val="single" w:color="auto"/>
          <w:color w:val="auto"/>
        </w:rPr>
        <w:t>Interest of Participant’s Spouse</w:t>
      </w:r>
      <w:r>
        <w:rPr>
          <w:rFonts w:ascii="Arial" w:cs="Arial" w:eastAsia="Arial" w:hAnsi="Arial"/>
          <w:sz w:val="20"/>
          <w:szCs w:val="20"/>
          <w:color w:val="auto"/>
        </w:rPr>
        <w:t>. The interest in the benefits hereunder of a spouse of a Participant who has predeceased the Participant shall automatically pass to the Participant and shall not be transferable by such spouse in any manner, including but not limited to such spouse’s will, nor shall such interest pass under the laws of intestate succession.</w:t>
      </w:r>
    </w:p>
    <w:p>
      <w:pPr>
        <w:spacing w:after="0" w:line="20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12.6 </w:t>
      </w:r>
      <w:r>
        <w:rPr>
          <w:rFonts w:ascii="Arial" w:cs="Arial" w:eastAsia="Arial" w:hAnsi="Arial"/>
          <w:sz w:val="20"/>
          <w:szCs w:val="20"/>
          <w:u w:val="single" w:color="auto"/>
          <w:color w:val="auto"/>
        </w:rPr>
        <w:t>Tax Liabilities from Plan</w:t>
      </w:r>
      <w:r>
        <w:rPr>
          <w:rFonts w:ascii="Arial" w:cs="Arial" w:eastAsia="Arial" w:hAnsi="Arial"/>
          <w:sz w:val="20"/>
          <w:szCs w:val="20"/>
          <w:color w:val="auto"/>
        </w:rPr>
        <w:t>. If all or any portion of a Participant’s benefit under this Plan generates a state or federal income tax liability (including a liability under Code Section 409A) to the Participant prior to receipt, the Administrative Committee may instruct the Company to distribute to the Participant immediately available funds in an amount equal to that Participant’s federal, state and local tax liability associated with such taxation, which liability shall be measured by using that Participant’s then current highest federal, state and local marginal tax rate, plus the rates or amounts for the applicable additions to tax, penalties and interest. Such a distribution shall affect and reduce the benefits to be paid under Articles VII and VIII hereof.</w:t>
      </w:r>
    </w:p>
    <w:p>
      <w:pPr>
        <w:spacing w:after="0" w:line="21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 xml:space="preserve">12.7 </w:t>
      </w:r>
      <w:r>
        <w:rPr>
          <w:rFonts w:ascii="Arial" w:cs="Arial" w:eastAsia="Arial" w:hAnsi="Arial"/>
          <w:sz w:val="19"/>
          <w:szCs w:val="19"/>
          <w:u w:val="single" w:color="auto"/>
          <w:color w:val="auto"/>
        </w:rPr>
        <w:t>Benefits Nonexclusive</w:t>
      </w:r>
      <w:r>
        <w:rPr>
          <w:rFonts w:ascii="Arial" w:cs="Arial" w:eastAsia="Arial" w:hAnsi="Arial"/>
          <w:sz w:val="19"/>
          <w:szCs w:val="19"/>
          <w:color w:val="auto"/>
        </w:rPr>
        <w:t>. The benefits provided for a Participant and Participant’s Beneficiary under the Plan are in addition to any other benefits available to the Participant under any other plan or program for directors of the Company. The Plan shall supplement and shall not supersede, modify or amend any other such plan or program except as may otherwise be expressly provided.</w:t>
      </w:r>
    </w:p>
    <w:p>
      <w:pPr>
        <w:spacing w:after="0" w:line="18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 xml:space="preserve">12.8 </w:t>
      </w:r>
      <w:r>
        <w:rPr>
          <w:rFonts w:ascii="Arial" w:cs="Arial" w:eastAsia="Arial" w:hAnsi="Arial"/>
          <w:sz w:val="18"/>
          <w:szCs w:val="18"/>
          <w:u w:val="single" w:color="auto"/>
          <w:color w:val="auto"/>
        </w:rPr>
        <w:t>Discharge of Company Obligation</w:t>
      </w:r>
      <w:r>
        <w:rPr>
          <w:rFonts w:ascii="Arial" w:cs="Arial" w:eastAsia="Arial" w:hAnsi="Arial"/>
          <w:sz w:val="18"/>
          <w:szCs w:val="18"/>
          <w:color w:val="auto"/>
        </w:rPr>
        <w:t>. The payment of benefits under the Plan to a Participant or Beneficiary shall fully and completely discharge the Company, the Board, and the Administrative Committee from all further obligations under this Plan with respect to a Participant, and that Participant’s Deferral Agreement and Participation Agreement shall terminate upon such full payment of benefits.</w:t>
      </w:r>
    </w:p>
    <w:p>
      <w:pPr>
        <w:spacing w:after="0" w:line="16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12.9 </w:t>
      </w:r>
      <w:r>
        <w:rPr>
          <w:rFonts w:ascii="Arial" w:cs="Arial" w:eastAsia="Arial" w:hAnsi="Arial"/>
          <w:sz w:val="20"/>
          <w:szCs w:val="20"/>
          <w:u w:val="single" w:color="auto"/>
          <w:color w:val="auto"/>
        </w:rPr>
        <w:t>Costs of Enforcement</w:t>
      </w:r>
      <w:r>
        <w:rPr>
          <w:rFonts w:ascii="Arial" w:cs="Arial" w:eastAsia="Arial" w:hAnsi="Arial"/>
          <w:sz w:val="20"/>
          <w:szCs w:val="20"/>
          <w:color w:val="auto"/>
        </w:rPr>
        <w:t>. If any action at law or in equity is necessary by the Administrative Committee or the Company to enforce the terms of the Plan, the Administrative Committee or the Company shall be entitled to recover reasonable attorneys’ fees, costs and necessary disbursements in addition to any other relief to which that party may be entitled.</w:t>
      </w:r>
    </w:p>
    <w:p>
      <w:pPr>
        <w:spacing w:after="0" w:line="20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u w:val="single" w:color="auto"/>
          <w:color w:val="auto"/>
        </w:rPr>
        <w:t>12.10 Gender and Case</w:t>
      </w:r>
      <w:r>
        <w:rPr>
          <w:rFonts w:ascii="Arial" w:cs="Arial" w:eastAsia="Arial" w:hAnsi="Arial"/>
          <w:sz w:val="20"/>
          <w:szCs w:val="20"/>
          <w:color w:val="auto"/>
        </w:rPr>
        <w:t>. Unless the context clearly indicates otherwise, masculine pronouns shall include the feminine and singular words shall include the plural and vice versa.</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420"/>
          </w:cols>
          <w:pgMar w:left="240" w:top="1082" w:right="239" w:bottom="1440" w:gutter="0" w:footer="0" w:header="0"/>
        </w:sectPr>
      </w:pPr>
    </w:p>
    <w:bookmarkStart w:id="132" w:name="page133"/>
    <w:bookmarkEnd w:id="132"/>
    <w:p>
      <w:pPr>
        <w:ind w:firstLine="648"/>
        <w:spacing w:after="0" w:line="260" w:lineRule="auto"/>
        <w:rPr>
          <w:sz w:val="20"/>
          <w:szCs w:val="20"/>
          <w:color w:val="auto"/>
        </w:rPr>
      </w:pPr>
      <w:r>
        <w:rPr>
          <w:rFonts w:ascii="Arial" w:cs="Arial" w:eastAsia="Arial" w:hAnsi="Arial"/>
          <w:sz w:val="20"/>
          <w:szCs w:val="20"/>
          <w:color w:val="auto"/>
        </w:rPr>
        <w:t xml:space="preserve">12.11 </w:t>
      </w:r>
      <w:r>
        <w:rPr>
          <w:rFonts w:ascii="Arial" w:cs="Arial" w:eastAsia="Arial" w:hAnsi="Arial"/>
          <w:sz w:val="20"/>
          <w:szCs w:val="20"/>
          <w:u w:val="single" w:color="auto"/>
          <w:color w:val="auto"/>
        </w:rPr>
        <w:t>Titles and Headings</w:t>
      </w:r>
      <w:r>
        <w:rPr>
          <w:rFonts w:ascii="Arial" w:cs="Arial" w:eastAsia="Arial" w:hAnsi="Arial"/>
          <w:sz w:val="20"/>
          <w:szCs w:val="20"/>
          <w:color w:val="auto"/>
        </w:rPr>
        <w:t>. Titles and headings of the Articles and Sections of the Plan are included for ease of reference only and are not to be used for the purpose of construing any portion or provision of the Plan document.</w:t>
      </w:r>
    </w:p>
    <w:p>
      <w:pPr>
        <w:spacing w:after="0" w:line="19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12.12</w:t>
      </w:r>
      <w:r>
        <w:rPr>
          <w:sz w:val="20"/>
          <w:szCs w:val="20"/>
          <w:color w:val="auto"/>
        </w:rPr>
        <w:tab/>
      </w:r>
      <w:r>
        <w:rPr>
          <w:rFonts w:ascii="Arial" w:cs="Arial" w:eastAsia="Arial" w:hAnsi="Arial"/>
          <w:sz w:val="16"/>
          <w:szCs w:val="16"/>
          <w:u w:val="single" w:color="auto"/>
          <w:color w:val="auto"/>
        </w:rPr>
        <w:t>Applicable Law</w:t>
      </w:r>
      <w:r>
        <w:rPr>
          <w:rFonts w:ascii="Arial" w:cs="Arial" w:eastAsia="Arial" w:hAnsi="Arial"/>
          <w:sz w:val="16"/>
          <w:szCs w:val="16"/>
          <w:color w:val="auto"/>
        </w:rPr>
        <w:t>. To the extent not preempted by federal law, the Plan shall be governed by the laws of the State of Washington.</w:t>
      </w:r>
    </w:p>
    <w:p>
      <w:pPr>
        <w:spacing w:after="0" w:line="229"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 xml:space="preserve">12.13 </w:t>
      </w:r>
      <w:r>
        <w:rPr>
          <w:rFonts w:ascii="Arial" w:cs="Arial" w:eastAsia="Arial" w:hAnsi="Arial"/>
          <w:sz w:val="20"/>
          <w:szCs w:val="20"/>
          <w:u w:val="single" w:color="auto"/>
          <w:color w:val="auto"/>
        </w:rPr>
        <w:t>Counterparts</w:t>
      </w:r>
      <w:r>
        <w:rPr>
          <w:rFonts w:ascii="Arial" w:cs="Arial" w:eastAsia="Arial" w:hAnsi="Arial"/>
          <w:sz w:val="20"/>
          <w:szCs w:val="20"/>
          <w:color w:val="auto"/>
        </w:rPr>
        <w:t>. This instrument and any Deferral Agreement may be executed in one or more counterparts, each of which is legally binding and enforceable.</w:t>
      </w:r>
    </w:p>
    <w:p>
      <w:pPr>
        <w:spacing w:after="0" w:line="19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12.14</w:t>
      </w:r>
      <w:r>
        <w:rPr>
          <w:sz w:val="20"/>
          <w:szCs w:val="20"/>
          <w:color w:val="auto"/>
        </w:rPr>
        <w:tab/>
      </w:r>
      <w:r>
        <w:rPr>
          <w:rFonts w:ascii="Arial" w:cs="Arial" w:eastAsia="Arial" w:hAnsi="Arial"/>
          <w:sz w:val="19"/>
          <w:szCs w:val="19"/>
          <w:u w:val="single" w:color="auto"/>
          <w:color w:val="auto"/>
        </w:rPr>
        <w:t>Definitions</w:t>
      </w:r>
      <w:r>
        <w:rPr>
          <w:rFonts w:ascii="Arial" w:cs="Arial" w:eastAsia="Arial" w:hAnsi="Arial"/>
          <w:sz w:val="19"/>
          <w:szCs w:val="19"/>
          <w:color w:val="auto"/>
        </w:rPr>
        <w:t>:</w:t>
      </w:r>
    </w:p>
    <w:p>
      <w:pPr>
        <w:spacing w:after="0" w:line="229" w:lineRule="exact"/>
        <w:rPr>
          <w:sz w:val="20"/>
          <w:szCs w:val="20"/>
          <w:color w:val="auto"/>
        </w:rPr>
      </w:pPr>
    </w:p>
    <w:p>
      <w:pPr>
        <w:ind w:left="660" w:firstLine="645"/>
        <w:spacing w:after="0" w:line="260" w:lineRule="auto"/>
        <w:tabs>
          <w:tab w:leader="none" w:pos="1823" w:val="left"/>
        </w:tabs>
        <w:numPr>
          <w:ilvl w:val="0"/>
          <w:numId w:val="139"/>
        </w:numPr>
        <w:rPr>
          <w:rFonts w:ascii="Arial" w:cs="Arial" w:eastAsia="Arial" w:hAnsi="Arial"/>
          <w:sz w:val="20"/>
          <w:szCs w:val="20"/>
          <w:color w:val="auto"/>
        </w:rPr>
      </w:pPr>
      <w:r>
        <w:rPr>
          <w:rFonts w:ascii="Arial" w:cs="Arial" w:eastAsia="Arial" w:hAnsi="Arial"/>
          <w:sz w:val="20"/>
          <w:szCs w:val="20"/>
          <w:color w:val="auto"/>
        </w:rPr>
        <w:t>“Administrative Committee” means the committee established by the Board to oversee administration of the Plan, in cooperation with Leadership Benefits.</w:t>
      </w:r>
    </w:p>
    <w:p>
      <w:pPr>
        <w:spacing w:after="0" w:line="190" w:lineRule="exact"/>
        <w:rPr>
          <w:rFonts w:ascii="Arial" w:cs="Arial" w:eastAsia="Arial" w:hAnsi="Arial"/>
          <w:sz w:val="20"/>
          <w:szCs w:val="20"/>
          <w:color w:val="auto"/>
        </w:rPr>
      </w:pPr>
    </w:p>
    <w:p>
      <w:pPr>
        <w:ind w:left="1740" w:hanging="435"/>
        <w:spacing w:after="0"/>
        <w:tabs>
          <w:tab w:leader="none" w:pos="1740" w:val="left"/>
        </w:tabs>
        <w:numPr>
          <w:ilvl w:val="0"/>
          <w:numId w:val="139"/>
        </w:numPr>
        <w:rPr>
          <w:rFonts w:ascii="Arial" w:cs="Arial" w:eastAsia="Arial" w:hAnsi="Arial"/>
          <w:sz w:val="20"/>
          <w:szCs w:val="20"/>
          <w:color w:val="auto"/>
        </w:rPr>
      </w:pPr>
      <w:r>
        <w:rPr>
          <w:rFonts w:ascii="Arial" w:cs="Arial" w:eastAsia="Arial" w:hAnsi="Arial"/>
          <w:sz w:val="20"/>
          <w:szCs w:val="20"/>
          <w:color w:val="auto"/>
        </w:rPr>
        <w:t>“Board” means the Board of Directors of Nordstrom, Inc.</w:t>
      </w:r>
    </w:p>
    <w:p>
      <w:pPr>
        <w:spacing w:after="0" w:line="229" w:lineRule="exact"/>
        <w:rPr>
          <w:rFonts w:ascii="Arial" w:cs="Arial" w:eastAsia="Arial" w:hAnsi="Arial"/>
          <w:sz w:val="20"/>
          <w:szCs w:val="20"/>
          <w:color w:val="auto"/>
        </w:rPr>
      </w:pPr>
    </w:p>
    <w:p>
      <w:pPr>
        <w:ind w:left="1720" w:hanging="415"/>
        <w:spacing w:after="0"/>
        <w:tabs>
          <w:tab w:leader="none" w:pos="1720" w:val="left"/>
        </w:tabs>
        <w:numPr>
          <w:ilvl w:val="0"/>
          <w:numId w:val="139"/>
        </w:numPr>
        <w:rPr>
          <w:rFonts w:ascii="Arial" w:cs="Arial" w:eastAsia="Arial" w:hAnsi="Arial"/>
          <w:sz w:val="20"/>
          <w:szCs w:val="20"/>
          <w:color w:val="auto"/>
        </w:rPr>
      </w:pPr>
      <w:r>
        <w:rPr>
          <w:rFonts w:ascii="Arial" w:cs="Arial" w:eastAsia="Arial" w:hAnsi="Arial"/>
          <w:sz w:val="20"/>
          <w:szCs w:val="20"/>
          <w:color w:val="auto"/>
        </w:rPr>
        <w:t>“Code” means the Internal Revenue Code of 1986, as amended.</w:t>
      </w:r>
    </w:p>
    <w:p>
      <w:pPr>
        <w:spacing w:after="0" w:line="229" w:lineRule="exact"/>
        <w:rPr>
          <w:rFonts w:ascii="Arial" w:cs="Arial" w:eastAsia="Arial" w:hAnsi="Arial"/>
          <w:sz w:val="20"/>
          <w:szCs w:val="20"/>
          <w:color w:val="auto"/>
        </w:rPr>
      </w:pPr>
    </w:p>
    <w:p>
      <w:pPr>
        <w:ind w:left="1740" w:hanging="435"/>
        <w:spacing w:after="0"/>
        <w:tabs>
          <w:tab w:leader="none" w:pos="1740" w:val="left"/>
        </w:tabs>
        <w:numPr>
          <w:ilvl w:val="0"/>
          <w:numId w:val="139"/>
        </w:numPr>
        <w:rPr>
          <w:rFonts w:ascii="Arial" w:cs="Arial" w:eastAsia="Arial" w:hAnsi="Arial"/>
          <w:sz w:val="20"/>
          <w:szCs w:val="20"/>
          <w:color w:val="auto"/>
        </w:rPr>
      </w:pPr>
      <w:r>
        <w:rPr>
          <w:rFonts w:ascii="Arial" w:cs="Arial" w:eastAsia="Arial" w:hAnsi="Arial"/>
          <w:sz w:val="20"/>
          <w:szCs w:val="20"/>
          <w:color w:val="auto"/>
        </w:rPr>
        <w:t>“Compensation Committee” means the Compensation Committee of the Board.</w:t>
      </w:r>
    </w:p>
    <w:p>
      <w:pPr>
        <w:spacing w:after="0" w:line="229" w:lineRule="exact"/>
        <w:rPr>
          <w:rFonts w:ascii="Arial" w:cs="Arial" w:eastAsia="Arial" w:hAnsi="Arial"/>
          <w:sz w:val="20"/>
          <w:szCs w:val="20"/>
          <w:color w:val="auto"/>
        </w:rPr>
      </w:pPr>
    </w:p>
    <w:p>
      <w:pPr>
        <w:jc w:val="both"/>
        <w:ind w:left="660" w:firstLine="645"/>
        <w:spacing w:after="0" w:line="250" w:lineRule="auto"/>
        <w:tabs>
          <w:tab w:leader="none" w:pos="1789" w:val="left"/>
        </w:tabs>
        <w:numPr>
          <w:ilvl w:val="0"/>
          <w:numId w:val="139"/>
        </w:numPr>
        <w:rPr>
          <w:rFonts w:ascii="Arial" w:cs="Arial" w:eastAsia="Arial" w:hAnsi="Arial"/>
          <w:sz w:val="20"/>
          <w:szCs w:val="20"/>
          <w:color w:val="auto"/>
        </w:rPr>
      </w:pPr>
      <w:r>
        <w:rPr>
          <w:rFonts w:ascii="Arial" w:cs="Arial" w:eastAsia="Arial" w:hAnsi="Arial"/>
          <w:sz w:val="20"/>
          <w:szCs w:val="20"/>
          <w:color w:val="auto"/>
        </w:rPr>
        <w:t>“Director Incentive Plan” means the separately stated Nordstrom, Inc. 2002 Non-Employee Director Incentive Plan, as amended through November 4, 2007 and as it may be thereafter amended from time to time, or any successor to the Director Incentive Plan that provides for performance-based equity compensation for non-employee Directors.</w:t>
      </w:r>
    </w:p>
    <w:p>
      <w:pPr>
        <w:spacing w:after="0" w:line="199" w:lineRule="exact"/>
        <w:rPr>
          <w:rFonts w:ascii="Arial" w:cs="Arial" w:eastAsia="Arial" w:hAnsi="Arial"/>
          <w:sz w:val="20"/>
          <w:szCs w:val="20"/>
          <w:color w:val="auto"/>
        </w:rPr>
      </w:pPr>
    </w:p>
    <w:p>
      <w:pPr>
        <w:jc w:val="both"/>
        <w:ind w:left="660" w:firstLine="645"/>
        <w:spacing w:after="0" w:line="246" w:lineRule="auto"/>
        <w:tabs>
          <w:tab w:leader="none" w:pos="1720" w:val="left"/>
        </w:tabs>
        <w:numPr>
          <w:ilvl w:val="0"/>
          <w:numId w:val="139"/>
        </w:numPr>
        <w:rPr>
          <w:rFonts w:ascii="Arial" w:cs="Arial" w:eastAsia="Arial" w:hAnsi="Arial"/>
          <w:sz w:val="20"/>
          <w:szCs w:val="20"/>
          <w:color w:val="auto"/>
        </w:rPr>
      </w:pPr>
      <w:r>
        <w:rPr>
          <w:rFonts w:ascii="Arial" w:cs="Arial" w:eastAsia="Arial" w:hAnsi="Arial"/>
          <w:sz w:val="20"/>
          <w:szCs w:val="20"/>
          <w:color w:val="auto"/>
        </w:rPr>
        <w:t>“Early Retirement” means the Participant’s Separation date, if as of such date, the Participant is at least fifty (50) years of age and has been a Board member for at least ten (10) years. For this purpose, years served as a Board member are measured in consecutive full years (i.e., periods of 12 consecutive months), based on service from the date Participant began serving as a Board member.</w:t>
      </w:r>
    </w:p>
    <w:p>
      <w:pPr>
        <w:spacing w:after="0" w:line="205" w:lineRule="exact"/>
        <w:rPr>
          <w:rFonts w:ascii="Arial" w:cs="Arial" w:eastAsia="Arial" w:hAnsi="Arial"/>
          <w:sz w:val="20"/>
          <w:szCs w:val="20"/>
          <w:color w:val="auto"/>
        </w:rPr>
      </w:pPr>
    </w:p>
    <w:p>
      <w:pPr>
        <w:ind w:left="1740" w:hanging="435"/>
        <w:spacing w:after="0"/>
        <w:tabs>
          <w:tab w:leader="none" w:pos="1740" w:val="left"/>
        </w:tabs>
        <w:numPr>
          <w:ilvl w:val="0"/>
          <w:numId w:val="139"/>
        </w:numPr>
        <w:rPr>
          <w:rFonts w:ascii="Arial" w:cs="Arial" w:eastAsia="Arial" w:hAnsi="Arial"/>
          <w:sz w:val="20"/>
          <w:szCs w:val="20"/>
          <w:color w:val="auto"/>
        </w:rPr>
      </w:pPr>
      <w:r>
        <w:rPr>
          <w:rFonts w:ascii="Arial" w:cs="Arial" w:eastAsia="Arial" w:hAnsi="Arial"/>
          <w:sz w:val="20"/>
          <w:szCs w:val="20"/>
          <w:color w:val="auto"/>
        </w:rPr>
        <w:t>“Plan Year” means the calendar year.</w:t>
      </w:r>
    </w:p>
    <w:p>
      <w:pPr>
        <w:spacing w:after="0" w:line="229" w:lineRule="exact"/>
        <w:rPr>
          <w:rFonts w:ascii="Arial" w:cs="Arial" w:eastAsia="Arial" w:hAnsi="Arial"/>
          <w:sz w:val="20"/>
          <w:szCs w:val="20"/>
          <w:color w:val="auto"/>
        </w:rPr>
      </w:pPr>
    </w:p>
    <w:p>
      <w:pPr>
        <w:ind w:left="660" w:right="20" w:firstLine="645"/>
        <w:spacing w:after="0" w:line="260" w:lineRule="auto"/>
        <w:tabs>
          <w:tab w:leader="none" w:pos="1773" w:val="left"/>
        </w:tabs>
        <w:numPr>
          <w:ilvl w:val="0"/>
          <w:numId w:val="139"/>
        </w:numPr>
        <w:rPr>
          <w:rFonts w:ascii="Arial" w:cs="Arial" w:eastAsia="Arial" w:hAnsi="Arial"/>
          <w:sz w:val="20"/>
          <w:szCs w:val="20"/>
          <w:color w:val="auto"/>
        </w:rPr>
      </w:pPr>
      <w:r>
        <w:rPr>
          <w:rFonts w:ascii="Arial" w:cs="Arial" w:eastAsia="Arial" w:hAnsi="Arial"/>
          <w:sz w:val="20"/>
          <w:szCs w:val="20"/>
          <w:color w:val="auto"/>
        </w:rPr>
        <w:t>“Retirement” means the Participant’s Early Retirement, if applicable, or if not applicable, a Separation that occurs on or after the Participant’s 60th birthday.</w:t>
      </w:r>
    </w:p>
    <w:p>
      <w:pPr>
        <w:spacing w:after="0" w:line="190" w:lineRule="exact"/>
        <w:rPr>
          <w:rFonts w:ascii="Arial" w:cs="Arial" w:eastAsia="Arial" w:hAnsi="Arial"/>
          <w:sz w:val="20"/>
          <w:szCs w:val="20"/>
          <w:color w:val="auto"/>
        </w:rPr>
      </w:pPr>
    </w:p>
    <w:p>
      <w:pPr>
        <w:ind w:left="1680" w:hanging="375"/>
        <w:spacing w:after="0"/>
        <w:tabs>
          <w:tab w:leader="none" w:pos="1680" w:val="left"/>
        </w:tabs>
        <w:numPr>
          <w:ilvl w:val="0"/>
          <w:numId w:val="139"/>
        </w:numPr>
        <w:rPr>
          <w:rFonts w:ascii="Arial" w:cs="Arial" w:eastAsia="Arial" w:hAnsi="Arial"/>
          <w:sz w:val="20"/>
          <w:szCs w:val="20"/>
          <w:color w:val="auto"/>
        </w:rPr>
      </w:pPr>
      <w:r>
        <w:rPr>
          <w:rFonts w:ascii="Arial" w:cs="Arial" w:eastAsia="Arial" w:hAnsi="Arial"/>
          <w:sz w:val="20"/>
          <w:szCs w:val="20"/>
          <w:color w:val="auto"/>
        </w:rPr>
        <w:t>“Separation” means the date on which the Participant ceases to be a Board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420"/>
          </w:cols>
          <w:pgMar w:left="240" w:top="1081" w:right="239" w:bottom="1440" w:gutter="0" w:footer="0" w:header="0"/>
        </w:sectPr>
      </w:pPr>
    </w:p>
    <w:bookmarkStart w:id="133" w:name="page134"/>
    <w:bookmarkEnd w:id="133"/>
    <w:p>
      <w:pPr>
        <w:jc w:val="both"/>
        <w:ind w:firstLine="648"/>
        <w:spacing w:after="0" w:line="250" w:lineRule="auto"/>
        <w:rPr>
          <w:sz w:val="20"/>
          <w:szCs w:val="20"/>
          <w:color w:val="auto"/>
        </w:rPr>
      </w:pPr>
      <w:r>
        <w:rPr>
          <w:rFonts w:ascii="Arial" w:cs="Arial" w:eastAsia="Arial" w:hAnsi="Arial"/>
          <w:sz w:val="20"/>
          <w:szCs w:val="20"/>
          <w:color w:val="auto"/>
        </w:rPr>
        <w:t>IN WITNESS WHEREOF, this instrument setting forth the terms and conditions of this amendment and restatement to the NORDSTROM DIRECTORS DEFERRED COMPENSATION PLAN (2017 Restatement) is executed this _________ day of ________, 2018, effective November 1, 2017, except as otherwise provided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740"/>
        <w:spacing w:after="0"/>
        <w:rPr>
          <w:sz w:val="20"/>
          <w:szCs w:val="20"/>
          <w:color w:val="auto"/>
        </w:rPr>
      </w:pPr>
      <w:r>
        <w:rPr>
          <w:rFonts w:ascii="Arial" w:cs="Arial" w:eastAsia="Arial" w:hAnsi="Arial"/>
          <w:sz w:val="22"/>
          <w:szCs w:val="22"/>
          <w:b w:val="1"/>
          <w:bCs w:val="1"/>
          <w:color w:val="auto"/>
        </w:rPr>
        <w:t>NORDSTROM, INC.</w:t>
      </w:r>
    </w:p>
    <w:p>
      <w:pPr>
        <w:spacing w:after="0" w:line="239"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3848100</wp:posOffset>
            </wp:positionH>
            <wp:positionV relativeFrom="paragraph">
              <wp:posOffset>-17780</wp:posOffset>
            </wp:positionV>
            <wp:extent cx="10287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76">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213" w:lineRule="exact"/>
        <w:rPr>
          <w:sz w:val="20"/>
          <w:szCs w:val="20"/>
          <w:color w:val="auto"/>
        </w:rPr>
      </w:pPr>
    </w:p>
    <w:p>
      <w:pPr>
        <w:jc w:val="center"/>
        <w:ind w:left="54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3942080</wp:posOffset>
            </wp:positionH>
            <wp:positionV relativeFrom="paragraph">
              <wp:posOffset>-17780</wp:posOffset>
            </wp:positionV>
            <wp:extent cx="10287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77">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420"/>
          </w:cols>
          <w:pgMar w:left="240" w:top="622" w:right="2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color w:val="auto"/>
        </w:rPr>
        <w:t>Exhibit 21.1</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Nordstrom,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Subsidiaries of the Registrant</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60" w:type="dxa"/>
            <w:vAlign w:val="bottom"/>
            <w:gridSpan w:val="2"/>
          </w:tcPr>
          <w:p>
            <w:pPr>
              <w:ind w:left="40"/>
              <w:spacing w:after="0"/>
              <w:rPr>
                <w:sz w:val="20"/>
                <w:szCs w:val="20"/>
                <w:color w:val="auto"/>
              </w:rPr>
            </w:pPr>
            <w:r>
              <w:rPr>
                <w:rFonts w:ascii="Arial" w:cs="Arial" w:eastAsia="Arial" w:hAnsi="Arial"/>
                <w:sz w:val="18"/>
                <w:szCs w:val="18"/>
                <w:color w:val="auto"/>
              </w:rPr>
              <w:t>Name of Subsidiary</w:t>
            </w:r>
          </w:p>
        </w:tc>
        <w:tc>
          <w:tcPr>
            <w:tcW w:w="5460" w:type="dxa"/>
            <w:vAlign w:val="bottom"/>
          </w:tcPr>
          <w:p>
            <w:pPr>
              <w:ind w:left="20"/>
              <w:spacing w:after="0"/>
              <w:rPr>
                <w:sz w:val="20"/>
                <w:szCs w:val="20"/>
                <w:color w:val="auto"/>
              </w:rPr>
            </w:pPr>
            <w:r>
              <w:rPr>
                <w:rFonts w:ascii="Arial" w:cs="Arial" w:eastAsia="Arial" w:hAnsi="Arial"/>
                <w:sz w:val="18"/>
                <w:szCs w:val="18"/>
                <w:color w:val="auto"/>
              </w:rPr>
              <w:t>State of Incorporation</w:t>
            </w:r>
          </w:p>
        </w:tc>
      </w:tr>
      <w:tr>
        <w:trPr>
          <w:trHeight w:val="27"/>
        </w:trPr>
        <w:tc>
          <w:tcPr>
            <w:tcW w:w="538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r>
      <w:tr>
        <w:trPr>
          <w:trHeight w:val="561"/>
        </w:trPr>
        <w:tc>
          <w:tcPr>
            <w:tcW w:w="5960" w:type="dxa"/>
            <w:vAlign w:val="bottom"/>
            <w:gridSpan w:val="2"/>
          </w:tcPr>
          <w:p>
            <w:pPr>
              <w:ind w:left="40"/>
              <w:spacing w:after="0"/>
              <w:rPr>
                <w:sz w:val="20"/>
                <w:szCs w:val="20"/>
                <w:color w:val="auto"/>
              </w:rPr>
            </w:pPr>
            <w:r>
              <w:rPr>
                <w:rFonts w:ascii="Arial" w:cs="Arial" w:eastAsia="Arial" w:hAnsi="Arial"/>
                <w:sz w:val="18"/>
                <w:szCs w:val="18"/>
                <w:color w:val="auto"/>
              </w:rPr>
              <w:t>Nordstrom Card Services, Inc.</w:t>
            </w:r>
          </w:p>
        </w:tc>
        <w:tc>
          <w:tcPr>
            <w:tcW w:w="5460" w:type="dxa"/>
            <w:vAlign w:val="bottom"/>
          </w:tcPr>
          <w:p>
            <w:pPr>
              <w:ind w:left="20"/>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420"/>
          </w:cols>
          <w:pgMar w:left="240" w:top="584" w:right="2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color w:val="auto"/>
        </w:rPr>
        <w:t>Exhibit 31.1</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required by Section 302(a) of the Sarbanes-Oxley Act of 2002</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 Blake W. Nordstrom, certify that:</w:t>
      </w:r>
    </w:p>
    <w:p>
      <w:pPr>
        <w:spacing w:after="0" w:line="144" w:lineRule="exact"/>
        <w:rPr>
          <w:sz w:val="20"/>
          <w:szCs w:val="20"/>
          <w:color w:val="auto"/>
        </w:rPr>
      </w:pPr>
    </w:p>
    <w:p>
      <w:pPr>
        <w:ind w:left="180" w:hanging="172"/>
        <w:spacing w:after="0"/>
        <w:tabs>
          <w:tab w:leader="none" w:pos="1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Nordstrom, Inc.;</w:t>
      </w:r>
    </w:p>
    <w:p>
      <w:pPr>
        <w:spacing w:after="0" w:line="144"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2"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9"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0" w:lineRule="exact"/>
        <w:rPr>
          <w:rFonts w:ascii="Arial" w:cs="Arial" w:eastAsia="Arial" w:hAnsi="Arial"/>
          <w:sz w:val="18"/>
          <w:szCs w:val="18"/>
          <w:color w:val="auto"/>
        </w:rPr>
      </w:pPr>
    </w:p>
    <w:p>
      <w:pPr>
        <w:ind w:left="660" w:right="20" w:hanging="4"/>
        <w:spacing w:after="0" w:line="264" w:lineRule="auto"/>
        <w:tabs>
          <w:tab w:leader="none" w:pos="845" w:val="left"/>
        </w:tabs>
        <w:numPr>
          <w:ilvl w:val="1"/>
          <w:numId w:val="1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Arial" w:cs="Arial" w:eastAsia="Arial" w:hAnsi="Arial"/>
          <w:sz w:val="18"/>
          <w:szCs w:val="18"/>
          <w:color w:val="auto"/>
        </w:rPr>
      </w:pPr>
    </w:p>
    <w:p>
      <w:pPr>
        <w:ind w:left="660" w:right="240" w:hanging="4"/>
        <w:spacing w:after="0" w:line="264" w:lineRule="auto"/>
        <w:tabs>
          <w:tab w:leader="none" w:pos="855" w:val="left"/>
        </w:tabs>
        <w:numPr>
          <w:ilvl w:val="1"/>
          <w:numId w:val="1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0" w:lineRule="exact"/>
        <w:rPr>
          <w:rFonts w:ascii="Arial" w:cs="Arial" w:eastAsia="Arial" w:hAnsi="Arial"/>
          <w:sz w:val="18"/>
          <w:szCs w:val="18"/>
          <w:color w:val="auto"/>
        </w:rPr>
      </w:pPr>
    </w:p>
    <w:p>
      <w:pPr>
        <w:ind w:left="660" w:right="880" w:hanging="4"/>
        <w:spacing w:after="0" w:line="342" w:lineRule="auto"/>
        <w:tabs>
          <w:tab w:leader="none" w:pos="845" w:val="left"/>
        </w:tabs>
        <w:numPr>
          <w:ilvl w:val="1"/>
          <w:numId w:val="1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Arial" w:cs="Arial" w:eastAsia="Arial" w:hAnsi="Arial"/>
          <w:sz w:val="16"/>
          <w:szCs w:val="16"/>
          <w:color w:val="auto"/>
        </w:rPr>
      </w:pPr>
    </w:p>
    <w:p>
      <w:pPr>
        <w:ind w:left="660" w:right="260" w:hanging="4"/>
        <w:spacing w:after="0" w:line="264" w:lineRule="auto"/>
        <w:tabs>
          <w:tab w:leader="none" w:pos="855" w:val="left"/>
        </w:tabs>
        <w:numPr>
          <w:ilvl w:val="1"/>
          <w:numId w:val="1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0"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5" w:lineRule="exact"/>
        <w:rPr>
          <w:rFonts w:ascii="Arial" w:cs="Arial" w:eastAsia="Arial" w:hAnsi="Arial"/>
          <w:sz w:val="17"/>
          <w:szCs w:val="17"/>
          <w:color w:val="auto"/>
        </w:rPr>
      </w:pPr>
    </w:p>
    <w:p>
      <w:pPr>
        <w:ind w:left="660" w:right="260" w:hanging="4"/>
        <w:spacing w:after="0" w:line="277" w:lineRule="auto"/>
        <w:tabs>
          <w:tab w:leader="none" w:pos="845" w:val="left"/>
        </w:tabs>
        <w:numPr>
          <w:ilvl w:val="1"/>
          <w:numId w:val="1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660" w:right="220" w:hanging="4"/>
        <w:spacing w:after="0" w:line="277" w:lineRule="auto"/>
        <w:tabs>
          <w:tab w:leader="none" w:pos="855" w:val="left"/>
        </w:tabs>
        <w:numPr>
          <w:ilvl w:val="1"/>
          <w:numId w:val="1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Date: March 19, 2018</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220"/>
        <w:spacing w:after="0"/>
        <w:rPr>
          <w:sz w:val="20"/>
          <w:szCs w:val="20"/>
          <w:color w:val="auto"/>
        </w:rPr>
      </w:pPr>
      <w:r>
        <w:rPr>
          <w:rFonts w:ascii="Arial" w:cs="Arial" w:eastAsia="Arial" w:hAnsi="Arial"/>
          <w:sz w:val="18"/>
          <w:szCs w:val="18"/>
          <w:u w:val="single" w:color="auto"/>
          <w:color w:val="auto"/>
        </w:rPr>
        <w:t>/s/ Blake W. Nordstrom</w:t>
      </w:r>
    </w:p>
    <w:p>
      <w:pPr>
        <w:spacing w:after="0" w:line="6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Blake W. Nordstrom</w:t>
      </w:r>
    </w:p>
    <w:p>
      <w:pPr>
        <w:spacing w:after="0" w:line="6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Co-President of Nordstrom, Inc.</w:t>
      </w:r>
    </w:p>
    <w:p>
      <w:pPr>
        <w:sectPr>
          <w:pgSz w:w="11900" w:h="16838" w:orient="portrait"/>
          <w:cols w:equalWidth="0" w:num="1">
            <w:col w:w="11420"/>
          </w:cols>
          <w:pgMar w:left="240" w:top="584" w:right="2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color w:val="auto"/>
        </w:rPr>
        <w:t>Exhibit 31.2</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required by Section 302(a) of the Sarbanes-Oxley Act of 2002</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 Anne L. Bramman, certify that:</w:t>
      </w:r>
    </w:p>
    <w:p>
      <w:pPr>
        <w:spacing w:after="0" w:line="144" w:lineRule="exact"/>
        <w:rPr>
          <w:sz w:val="20"/>
          <w:szCs w:val="20"/>
          <w:color w:val="auto"/>
        </w:rPr>
      </w:pPr>
    </w:p>
    <w:p>
      <w:pPr>
        <w:ind w:left="180" w:hanging="172"/>
        <w:spacing w:after="0"/>
        <w:tabs>
          <w:tab w:leader="none" w:pos="1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Nordstrom, Inc.;</w:t>
      </w:r>
    </w:p>
    <w:p>
      <w:pPr>
        <w:spacing w:after="0" w:line="144"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2"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9"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0" w:lineRule="exact"/>
        <w:rPr>
          <w:rFonts w:ascii="Arial" w:cs="Arial" w:eastAsia="Arial" w:hAnsi="Arial"/>
          <w:sz w:val="18"/>
          <w:szCs w:val="18"/>
          <w:color w:val="auto"/>
        </w:rPr>
      </w:pPr>
    </w:p>
    <w:p>
      <w:pPr>
        <w:ind w:left="660" w:right="20" w:hanging="4"/>
        <w:spacing w:after="0" w:line="264" w:lineRule="auto"/>
        <w:tabs>
          <w:tab w:leader="none" w:pos="845" w:val="left"/>
        </w:tabs>
        <w:numPr>
          <w:ilvl w:val="1"/>
          <w:numId w:val="1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Arial" w:cs="Arial" w:eastAsia="Arial" w:hAnsi="Arial"/>
          <w:sz w:val="18"/>
          <w:szCs w:val="18"/>
          <w:color w:val="auto"/>
        </w:rPr>
      </w:pPr>
    </w:p>
    <w:p>
      <w:pPr>
        <w:ind w:left="660" w:right="240" w:hanging="4"/>
        <w:spacing w:after="0" w:line="264" w:lineRule="auto"/>
        <w:tabs>
          <w:tab w:leader="none" w:pos="855" w:val="left"/>
        </w:tabs>
        <w:numPr>
          <w:ilvl w:val="1"/>
          <w:numId w:val="1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0" w:lineRule="exact"/>
        <w:rPr>
          <w:rFonts w:ascii="Arial" w:cs="Arial" w:eastAsia="Arial" w:hAnsi="Arial"/>
          <w:sz w:val="18"/>
          <w:szCs w:val="18"/>
          <w:color w:val="auto"/>
        </w:rPr>
      </w:pPr>
    </w:p>
    <w:p>
      <w:pPr>
        <w:ind w:left="660" w:right="880" w:hanging="4"/>
        <w:spacing w:after="0" w:line="342" w:lineRule="auto"/>
        <w:tabs>
          <w:tab w:leader="none" w:pos="845" w:val="left"/>
        </w:tabs>
        <w:numPr>
          <w:ilvl w:val="1"/>
          <w:numId w:val="1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Arial" w:cs="Arial" w:eastAsia="Arial" w:hAnsi="Arial"/>
          <w:sz w:val="16"/>
          <w:szCs w:val="16"/>
          <w:color w:val="auto"/>
        </w:rPr>
      </w:pPr>
    </w:p>
    <w:p>
      <w:pPr>
        <w:ind w:left="660" w:right="260" w:hanging="4"/>
        <w:spacing w:after="0" w:line="264" w:lineRule="auto"/>
        <w:tabs>
          <w:tab w:leader="none" w:pos="855" w:val="left"/>
        </w:tabs>
        <w:numPr>
          <w:ilvl w:val="1"/>
          <w:numId w:val="1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0"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5" w:lineRule="exact"/>
        <w:rPr>
          <w:rFonts w:ascii="Arial" w:cs="Arial" w:eastAsia="Arial" w:hAnsi="Arial"/>
          <w:sz w:val="17"/>
          <w:szCs w:val="17"/>
          <w:color w:val="auto"/>
        </w:rPr>
      </w:pPr>
    </w:p>
    <w:p>
      <w:pPr>
        <w:ind w:left="660" w:right="260" w:hanging="4"/>
        <w:spacing w:after="0" w:line="277" w:lineRule="auto"/>
        <w:tabs>
          <w:tab w:leader="none" w:pos="845" w:val="left"/>
        </w:tabs>
        <w:numPr>
          <w:ilvl w:val="1"/>
          <w:numId w:val="1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660" w:right="220" w:hanging="4"/>
        <w:spacing w:after="0" w:line="277" w:lineRule="auto"/>
        <w:tabs>
          <w:tab w:leader="none" w:pos="855" w:val="left"/>
        </w:tabs>
        <w:numPr>
          <w:ilvl w:val="1"/>
          <w:numId w:val="1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Date: March 19, 2018</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220"/>
        <w:spacing w:after="0"/>
        <w:rPr>
          <w:sz w:val="20"/>
          <w:szCs w:val="20"/>
          <w:color w:val="auto"/>
        </w:rPr>
      </w:pPr>
      <w:r>
        <w:rPr>
          <w:rFonts w:ascii="Arial" w:cs="Arial" w:eastAsia="Arial" w:hAnsi="Arial"/>
          <w:sz w:val="18"/>
          <w:szCs w:val="18"/>
          <w:u w:val="single" w:color="auto"/>
          <w:color w:val="auto"/>
        </w:rPr>
        <w:t>/s/ Anne L. Bramman</w:t>
      </w:r>
    </w:p>
    <w:p>
      <w:pPr>
        <w:spacing w:after="0" w:line="6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Anne L. Bramman</w:t>
      </w:r>
    </w:p>
    <w:p>
      <w:pPr>
        <w:spacing w:after="0" w:line="6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Chief Financial Officer of</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Nordstrom, Inc.</w:t>
      </w:r>
    </w:p>
    <w:p>
      <w:pPr>
        <w:sectPr>
          <w:pgSz w:w="11900" w:h="16838" w:orient="portrait"/>
          <w:cols w:equalWidth="0" w:num="1">
            <w:col w:w="11420"/>
          </w:cols>
          <w:pgMar w:left="240" w:top="584" w:right="2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color w:val="auto"/>
        </w:rPr>
        <w:t>Exhibit 32.1</w:t>
      </w:r>
    </w:p>
    <w:p>
      <w:pPr>
        <w:spacing w:after="0" w:line="334" w:lineRule="exact"/>
        <w:rPr>
          <w:sz w:val="20"/>
          <w:szCs w:val="20"/>
          <w:color w:val="auto"/>
        </w:rPr>
      </w:pPr>
    </w:p>
    <w:p>
      <w:pPr>
        <w:ind w:left="4720"/>
        <w:spacing w:after="0"/>
        <w:rPr>
          <w:sz w:val="20"/>
          <w:szCs w:val="20"/>
          <w:color w:val="auto"/>
        </w:rPr>
      </w:pPr>
      <w:r>
        <w:rPr>
          <w:rFonts w:ascii="Arial" w:cs="Arial" w:eastAsia="Arial" w:hAnsi="Arial"/>
          <w:sz w:val="22"/>
          <w:szCs w:val="22"/>
          <w:b w:val="1"/>
          <w:bCs w:val="1"/>
          <w:color w:val="auto"/>
        </w:rPr>
        <w:t>NORDSTROM, INC.</w:t>
      </w:r>
    </w:p>
    <w:p>
      <w:pPr>
        <w:spacing w:after="0" w:line="166" w:lineRule="exact"/>
        <w:rPr>
          <w:sz w:val="20"/>
          <w:szCs w:val="20"/>
          <w:color w:val="auto"/>
        </w:rPr>
      </w:pPr>
    </w:p>
    <w:p>
      <w:pPr>
        <w:ind w:left="4660"/>
        <w:spacing w:after="0"/>
        <w:rPr>
          <w:sz w:val="20"/>
          <w:szCs w:val="20"/>
          <w:color w:val="auto"/>
        </w:rPr>
      </w:pPr>
      <w:r>
        <w:rPr>
          <w:rFonts w:ascii="Arial" w:cs="Arial" w:eastAsia="Arial" w:hAnsi="Arial"/>
          <w:sz w:val="22"/>
          <w:szCs w:val="22"/>
          <w:b w:val="1"/>
          <w:bCs w:val="1"/>
          <w:color w:val="auto"/>
        </w:rPr>
        <w:t>1617 SIXTH AVENUE</w:t>
      </w:r>
    </w:p>
    <w:p>
      <w:pPr>
        <w:spacing w:after="0" w:line="166" w:lineRule="exact"/>
        <w:rPr>
          <w:sz w:val="20"/>
          <w:szCs w:val="20"/>
          <w:color w:val="auto"/>
        </w:rPr>
      </w:pPr>
    </w:p>
    <w:p>
      <w:pPr>
        <w:ind w:left="4120"/>
        <w:spacing w:after="0"/>
        <w:rPr>
          <w:sz w:val="20"/>
          <w:szCs w:val="20"/>
          <w:color w:val="auto"/>
        </w:rPr>
      </w:pPr>
      <w:r>
        <w:rPr>
          <w:rFonts w:ascii="Arial" w:cs="Arial" w:eastAsia="Arial" w:hAnsi="Arial"/>
          <w:sz w:val="22"/>
          <w:szCs w:val="22"/>
          <w:b w:val="1"/>
          <w:bCs w:val="1"/>
          <w:color w:val="auto"/>
        </w:rPr>
        <w:t>SEATTLE, WASHINGTON 98101</w:t>
      </w:r>
    </w:p>
    <w:p>
      <w:pPr>
        <w:spacing w:after="0" w:line="166" w:lineRule="exact"/>
        <w:rPr>
          <w:sz w:val="20"/>
          <w:szCs w:val="20"/>
          <w:color w:val="auto"/>
        </w:rPr>
      </w:pPr>
    </w:p>
    <w:p>
      <w:pPr>
        <w:ind w:left="4040"/>
        <w:spacing w:after="0"/>
        <w:rPr>
          <w:sz w:val="20"/>
          <w:szCs w:val="20"/>
          <w:color w:val="auto"/>
        </w:rPr>
      </w:pPr>
      <w:r>
        <w:rPr>
          <w:rFonts w:ascii="Arial" w:cs="Arial" w:eastAsia="Arial" w:hAnsi="Arial"/>
          <w:sz w:val="22"/>
          <w:szCs w:val="22"/>
          <w:b w:val="1"/>
          <w:bCs w:val="1"/>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18 U.S.C. SECTION 1350,</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ADOPTED 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906 OF THE SARBANES-OXLEY ACT OF 2002</w:t>
      </w:r>
    </w:p>
    <w:p>
      <w:pPr>
        <w:spacing w:after="0" w:line="141"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In connection with the Annual Report of Nordstrom, Inc. (the “Company”) on Form 10-K for the period ended February 3, 2018, as filed with the Securities and Exchange Commission on the date hereof (the “Report”), we, Blake W. Nordstrom, Co-President (Principal Executive Officer), and Anne L. Bramman, Chief Financial Officer (Principal Financial Officer), of the Company, certify, pursuant to 18 U.S.C. Section 1350, as adopted pursuant to Section 906 of the Sarbanes-Oxley Act of 2002, that:</w:t>
      </w:r>
    </w:p>
    <w:p>
      <w:pPr>
        <w:spacing w:after="0" w:line="133" w:lineRule="exact"/>
        <w:rPr>
          <w:sz w:val="20"/>
          <w:szCs w:val="20"/>
          <w:color w:val="auto"/>
        </w:rPr>
      </w:pPr>
    </w:p>
    <w:p>
      <w:pPr>
        <w:ind w:left="980" w:hanging="324"/>
        <w:spacing w:after="0"/>
        <w:tabs>
          <w:tab w:leader="none" w:pos="9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63" w:lineRule="exact"/>
        <w:rPr>
          <w:rFonts w:ascii="Arial" w:cs="Arial" w:eastAsia="Arial" w:hAnsi="Arial"/>
          <w:sz w:val="18"/>
          <w:szCs w:val="18"/>
          <w:color w:val="auto"/>
        </w:rPr>
      </w:pPr>
    </w:p>
    <w:p>
      <w:pPr>
        <w:ind w:left="980" w:right="780" w:hanging="324"/>
        <w:spacing w:after="0" w:line="277" w:lineRule="auto"/>
        <w:tabs>
          <w:tab w:leader="none" w:pos="9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16" w:lineRule="exact"/>
        <w:rPr>
          <w:sz w:val="20"/>
          <w:szCs w:val="20"/>
          <w:color w:val="auto"/>
        </w:rPr>
      </w:pPr>
    </w:p>
    <w:p>
      <w:pPr>
        <w:ind w:left="5880"/>
        <w:spacing w:after="0"/>
        <w:tabs>
          <w:tab w:leader="none" w:pos="6480" w:val="left"/>
        </w:tabs>
        <w:rPr>
          <w:sz w:val="20"/>
          <w:szCs w:val="20"/>
          <w:color w:val="auto"/>
        </w:rPr>
      </w:pPr>
      <w:r>
        <w:rPr>
          <w:rFonts w:ascii="Arial" w:cs="Arial" w:eastAsia="Arial" w:hAnsi="Arial"/>
          <w:sz w:val="18"/>
          <w:szCs w:val="18"/>
          <w:color w:val="auto"/>
        </w:rPr>
        <w:t>Date:</w:t>
        <w:tab/>
        <w:t>March 19, 2018</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880"/>
        <w:spacing w:after="0"/>
        <w:rPr>
          <w:sz w:val="20"/>
          <w:szCs w:val="20"/>
          <w:color w:val="auto"/>
        </w:rPr>
      </w:pPr>
      <w:r>
        <w:rPr>
          <w:rFonts w:ascii="Arial" w:cs="Arial" w:eastAsia="Arial" w:hAnsi="Arial"/>
          <w:sz w:val="18"/>
          <w:szCs w:val="18"/>
          <w:u w:val="single" w:color="auto"/>
          <w:color w:val="auto"/>
        </w:rPr>
        <w:t>/s/ Blake W. Nordstrom</w:t>
      </w:r>
    </w:p>
    <w:p>
      <w:pPr>
        <w:spacing w:after="0" w:line="6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Blake W. Nordstrom</w:t>
      </w:r>
    </w:p>
    <w:p>
      <w:pPr>
        <w:spacing w:after="0" w:line="6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Co-President of Nordstrom,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880"/>
        <w:spacing w:after="0"/>
        <w:rPr>
          <w:sz w:val="20"/>
          <w:szCs w:val="20"/>
          <w:color w:val="auto"/>
        </w:rPr>
      </w:pPr>
      <w:r>
        <w:rPr>
          <w:rFonts w:ascii="Arial" w:cs="Arial" w:eastAsia="Arial" w:hAnsi="Arial"/>
          <w:sz w:val="18"/>
          <w:szCs w:val="18"/>
          <w:u w:val="single" w:color="auto"/>
          <w:color w:val="auto"/>
        </w:rPr>
        <w:t>/s/ Anne L. Bramman</w:t>
      </w:r>
    </w:p>
    <w:p>
      <w:pPr>
        <w:spacing w:after="0" w:line="6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Anne L. Bramman</w:t>
      </w:r>
    </w:p>
    <w:p>
      <w:pPr>
        <w:spacing w:after="0" w:line="6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Chief Financial Officer of Nordstrom, Inc.</w:t>
      </w:r>
    </w:p>
    <w:p>
      <w:pPr>
        <w:spacing w:after="0" w:line="200" w:lineRule="exact"/>
        <w:rPr>
          <w:sz w:val="20"/>
          <w:szCs w:val="20"/>
          <w:color w:val="auto"/>
        </w:rPr>
      </w:pPr>
    </w:p>
    <w:p>
      <w:pPr>
        <w:spacing w:after="0" w:line="268"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Nordstrom, Inc. and will be retained by Nordstrom, Inc. and furnished to the Securities and Exchange Commission or its staff upon request.</w:t>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94764"/>
    <w:multiLevelType w:val="hybridMultilevel"/>
    <w:lvl w:ilvl="0">
      <w:lvlJc w:val="left"/>
      <w:lvlText w:val="☑"/>
      <w:numFmt w:val="bullet"/>
      <w:start w:val="1"/>
    </w:lvl>
  </w:abstractNum>
  <w:abstractNum w:abstractNumId="1">
    <w:nsid w:val="42C296BD"/>
    <w:multiLevelType w:val="hybridMultilevel"/>
    <w:lvl w:ilvl="0">
      <w:lvlJc w:val="left"/>
      <w:lvlText w:val="☐"/>
      <w:numFmt w:val="bullet"/>
      <w:start w:val="1"/>
    </w:lvl>
  </w:abstractNum>
  <w:abstractNum w:abstractNumId="2">
    <w:nsid w:val="168E121F"/>
    <w:multiLevelType w:val="hybridMultilevel"/>
    <w:lvl w:ilvl="0">
      <w:lvlJc w:val="left"/>
      <w:lvlText w:val="•"/>
      <w:numFmt w:val="bullet"/>
      <w:start w:val="1"/>
    </w:lvl>
  </w:abstractNum>
  <w:abstractNum w:abstractNumId="3">
    <w:nsid w:val="1EBA5D23"/>
    <w:multiLevelType w:val="hybridMultilevel"/>
    <w:lvl w:ilvl="0">
      <w:lvlJc w:val="left"/>
      <w:lvlText w:val="•"/>
      <w:numFmt w:val="bullet"/>
      <w:start w:val="1"/>
    </w:lvl>
  </w:abstractNum>
  <w:abstractNum w:abstractNumId="4">
    <w:nsid w:val="661E3F1E"/>
    <w:multiLevelType w:val="hybridMultilevel"/>
    <w:lvl w:ilvl="0">
      <w:lvlJc w:val="left"/>
      <w:lvlText w:val="•"/>
      <w:numFmt w:val="bullet"/>
      <w:start w:val="1"/>
    </w:lvl>
  </w:abstractNum>
  <w:abstractNum w:abstractNumId="5">
    <w:nsid w:val="5DC79EA8"/>
    <w:multiLevelType w:val="hybridMultilevel"/>
    <w:lvl w:ilvl="0">
      <w:lvlJc w:val="left"/>
      <w:lvlText w:val="•"/>
      <w:numFmt w:val="bullet"/>
      <w:start w:val="1"/>
    </w:lvl>
  </w:abstractNum>
  <w:abstractNum w:abstractNumId="6">
    <w:nsid w:val="540A471C"/>
    <w:multiLevelType w:val="hybridMultilevel"/>
    <w:lvl w:ilvl="0">
      <w:lvlJc w:val="left"/>
      <w:lvlText w:val="(%1)"/>
      <w:numFmt w:val="decimal"/>
      <w:start w:val="206"/>
    </w:lvl>
  </w:abstractNum>
  <w:abstractNum w:abstractNumId="7">
    <w:nsid w:val="7BD3EE7B"/>
    <w:multiLevelType w:val="hybridMultilevel"/>
    <w:lvl w:ilvl="0">
      <w:lvlJc w:val="left"/>
      <w:lvlText w:val="1"/>
      <w:numFmt w:val="bullet"/>
      <w:start w:val="1"/>
    </w:lvl>
  </w:abstractNum>
  <w:abstractNum w:abstractNumId="8">
    <w:nsid w:val="51D9C564"/>
    <w:multiLevelType w:val="hybridMultilevel"/>
    <w:lvl w:ilvl="0">
      <w:lvlJc w:val="left"/>
      <w:lvlText w:val="1"/>
      <w:numFmt w:val="bullet"/>
      <w:start w:val="1"/>
    </w:lvl>
  </w:abstractNum>
  <w:abstractNum w:abstractNumId="9">
    <w:nsid w:val="613EFDC5"/>
    <w:multiLevelType w:val="hybridMultilevel"/>
    <w:lvl w:ilvl="0">
      <w:lvlJc w:val="left"/>
      <w:lvlText w:val="2"/>
      <w:numFmt w:val="bullet"/>
      <w:start w:val="1"/>
    </w:lvl>
  </w:abstractNum>
  <w:abstractNum w:abstractNumId="10">
    <w:nsid w:val="BF72B14"/>
    <w:multiLevelType w:val="hybridMultilevel"/>
    <w:lvl w:ilvl="0">
      <w:lvlJc w:val="left"/>
      <w:lvlText w:val="9"/>
      <w:numFmt w:val="bullet"/>
      <w:start w:val="1"/>
    </w:lvl>
  </w:abstractNum>
  <w:abstractNum w:abstractNumId="11">
    <w:nsid w:val="11447B73"/>
    <w:multiLevelType w:val="hybridMultilevel"/>
    <w:lvl w:ilvl="0">
      <w:lvlJc w:val="left"/>
      <w:lvlText w:val="2"/>
      <w:numFmt w:val="bullet"/>
      <w:start w:val="1"/>
    </w:lvl>
  </w:abstractNum>
  <w:abstractNum w:abstractNumId="12">
    <w:nsid w:val="42963E5A"/>
    <w:multiLevelType w:val="hybridMultilevel"/>
    <w:lvl w:ilvl="0">
      <w:lvlJc w:val="left"/>
      <w:lvlText w:val="7"/>
      <w:numFmt w:val="bullet"/>
      <w:start w:val="1"/>
    </w:lvl>
  </w:abstractNum>
  <w:abstractNum w:abstractNumId="13">
    <w:nsid w:val="A0382C5"/>
    <w:multiLevelType w:val="hybridMultilevel"/>
    <w:lvl w:ilvl="0">
      <w:lvlJc w:val="left"/>
      <w:lvlText w:val="3"/>
      <w:numFmt w:val="bullet"/>
      <w:start w:val="1"/>
    </w:lvl>
  </w:abstractNum>
  <w:abstractNum w:abstractNumId="14">
    <w:nsid w:val="8F2B15E"/>
    <w:multiLevelType w:val="hybridMultilevel"/>
    <w:lvl w:ilvl="0">
      <w:lvlJc w:val="left"/>
      <w:lvlText w:val="3"/>
      <w:numFmt w:val="bullet"/>
      <w:start w:val="1"/>
    </w:lvl>
  </w:abstractNum>
  <w:abstractNum w:abstractNumId="15">
    <w:nsid w:val="1A32234B"/>
    <w:multiLevelType w:val="hybridMultilevel"/>
    <w:lvl w:ilvl="0">
      <w:lvlJc w:val="left"/>
      <w:lvlText w:val="2"/>
      <w:numFmt w:val="bullet"/>
      <w:start w:val="1"/>
    </w:lvl>
  </w:abstractNum>
  <w:abstractNum w:abstractNumId="16">
    <w:nsid w:val="3B0FD379"/>
    <w:multiLevelType w:val="hybridMultilevel"/>
    <w:lvl w:ilvl="0">
      <w:lvlJc w:val="left"/>
      <w:lvlText w:val="9"/>
      <w:numFmt w:val="bullet"/>
      <w:start w:val="1"/>
    </w:lvl>
  </w:abstractNum>
  <w:abstractNum w:abstractNumId="17">
    <w:nsid w:val="68EB2F63"/>
    <w:multiLevelType w:val="hybridMultilevel"/>
    <w:lvl w:ilvl="0">
      <w:lvlJc w:val="left"/>
      <w:lvlText w:val="8"/>
      <w:numFmt w:val="bullet"/>
      <w:start w:val="1"/>
    </w:lvl>
  </w:abstractNum>
  <w:abstractNum w:abstractNumId="18">
    <w:nsid w:val="4962813B"/>
    <w:multiLevelType w:val="hybridMultilevel"/>
    <w:lvl w:ilvl="0">
      <w:lvlJc w:val="left"/>
      <w:lvlText w:val="7"/>
      <w:numFmt w:val="bullet"/>
      <w:start w:val="1"/>
    </w:lvl>
  </w:abstractNum>
  <w:abstractNum w:abstractNumId="19">
    <w:nsid w:val="60B6DF70"/>
    <w:multiLevelType w:val="hybridMultilevel"/>
    <w:lvl w:ilvl="0">
      <w:lvlJc w:val="left"/>
      <w:lvlText w:val="4"/>
      <w:numFmt w:val="bullet"/>
      <w:start w:val="1"/>
    </w:lvl>
  </w:abstractNum>
  <w:abstractNum w:abstractNumId="20">
    <w:nsid w:val="6A5EE64"/>
    <w:multiLevelType w:val="hybridMultilevel"/>
    <w:lvl w:ilvl="0">
      <w:lvlJc w:val="left"/>
      <w:lvlText w:val="4"/>
      <w:numFmt w:val="bullet"/>
      <w:start w:val="1"/>
    </w:lvl>
  </w:abstractNum>
  <w:abstractNum w:abstractNumId="21">
    <w:nsid w:val="14330624"/>
    <w:multiLevelType w:val="hybridMultilevel"/>
    <w:lvl w:ilvl="0">
      <w:lvlJc w:val="left"/>
      <w:lvlText w:val="9"/>
      <w:numFmt w:val="bullet"/>
      <w:start w:val="1"/>
    </w:lvl>
  </w:abstractNum>
  <w:abstractNum w:abstractNumId="22">
    <w:nsid w:val="7FFFCA11"/>
    <w:multiLevelType w:val="hybridMultilevel"/>
    <w:lvl w:ilvl="0">
      <w:lvlJc w:val="left"/>
      <w:lvlText w:val="8"/>
      <w:numFmt w:val="bullet"/>
      <w:start w:val="1"/>
    </w:lvl>
  </w:abstractNum>
  <w:abstractNum w:abstractNumId="23">
    <w:nsid w:val="1A27709E"/>
    <w:multiLevelType w:val="hybridMultilevel"/>
    <w:lvl w:ilvl="0">
      <w:lvlJc w:val="left"/>
      <w:lvlText w:val="1"/>
      <w:numFmt w:val="bullet"/>
      <w:start w:val="1"/>
    </w:lvl>
  </w:abstractNum>
  <w:abstractNum w:abstractNumId="24">
    <w:nsid w:val="71EA1109"/>
    <w:multiLevelType w:val="hybridMultilevel"/>
    <w:lvl w:ilvl="0">
      <w:lvlJc w:val="left"/>
      <w:lvlText w:val="2"/>
      <w:numFmt w:val="bullet"/>
      <w:start w:val="1"/>
    </w:lvl>
  </w:abstractNum>
  <w:abstractNum w:abstractNumId="25">
    <w:nsid w:val="100F59DC"/>
    <w:multiLevelType w:val="hybridMultilevel"/>
    <w:lvl w:ilvl="0">
      <w:lvlJc w:val="left"/>
      <w:lvlText w:val="4"/>
      <w:numFmt w:val="bullet"/>
      <w:start w:val="1"/>
    </w:lvl>
  </w:abstractNum>
  <w:abstractNum w:abstractNumId="26">
    <w:nsid w:val="7FB7E0AA"/>
    <w:multiLevelType w:val="hybridMultilevel"/>
    <w:lvl w:ilvl="0">
      <w:lvlJc w:val="left"/>
      <w:lvlText w:val="3"/>
      <w:numFmt w:val="bullet"/>
      <w:start w:val="1"/>
    </w:lvl>
  </w:abstractNum>
  <w:abstractNum w:abstractNumId="27">
    <w:nsid w:val="6EB5BD4"/>
    <w:multiLevelType w:val="hybridMultilevel"/>
    <w:lvl w:ilvl="0">
      <w:lvlJc w:val="left"/>
      <w:lvlText w:val="6"/>
      <w:numFmt w:val="bullet"/>
      <w:start w:val="1"/>
    </w:lvl>
  </w:abstractNum>
  <w:abstractNum w:abstractNumId="28">
    <w:nsid w:val="6F6DD9AC"/>
    <w:multiLevelType w:val="hybridMultilevel"/>
    <w:lvl w:ilvl="0">
      <w:lvlJc w:val="left"/>
      <w:lvlText w:val="4"/>
      <w:numFmt w:val="bullet"/>
      <w:start w:val="1"/>
    </w:lvl>
  </w:abstractNum>
  <w:abstractNum w:abstractNumId="29">
    <w:nsid w:val="94211F2"/>
    <w:multiLevelType w:val="hybridMultilevel"/>
    <w:lvl w:ilvl="0">
      <w:lvlJc w:val="left"/>
      <w:lvlText w:val="3"/>
      <w:numFmt w:val="bullet"/>
      <w:start w:val="1"/>
    </w:lvl>
  </w:abstractNum>
  <w:abstractNum w:abstractNumId="30">
    <w:nsid w:val="885E1B"/>
    <w:multiLevelType w:val="hybridMultilevel"/>
    <w:lvl w:ilvl="0">
      <w:lvlJc w:val="left"/>
      <w:lvlText w:val="1"/>
      <w:numFmt w:val="bullet"/>
      <w:start w:val="1"/>
    </w:lvl>
  </w:abstractNum>
  <w:abstractNum w:abstractNumId="31">
    <w:nsid w:val="76272110"/>
    <w:multiLevelType w:val="hybridMultilevel"/>
    <w:lvl w:ilvl="0">
      <w:lvlJc w:val="left"/>
      <w:lvlText w:val="1"/>
      <w:numFmt w:val="bullet"/>
      <w:start w:val="1"/>
    </w:lvl>
  </w:abstractNum>
  <w:abstractNum w:abstractNumId="32">
    <w:nsid w:val="4C04A8AF"/>
    <w:multiLevelType w:val="hybridMultilevel"/>
    <w:lvl w:ilvl="0">
      <w:lvlJc w:val="left"/>
      <w:lvlText w:val="4"/>
      <w:numFmt w:val="bullet"/>
      <w:start w:val="1"/>
    </w:lvl>
  </w:abstractNum>
  <w:abstractNum w:abstractNumId="33">
    <w:nsid w:val="1716703B"/>
    <w:multiLevelType w:val="hybridMultilevel"/>
    <w:lvl w:ilvl="0">
      <w:lvlJc w:val="left"/>
      <w:lvlText w:val="•"/>
      <w:numFmt w:val="bullet"/>
      <w:start w:val="1"/>
    </w:lvl>
  </w:abstractNum>
  <w:abstractNum w:abstractNumId="34">
    <w:nsid w:val="14E17E33"/>
    <w:multiLevelType w:val="hybridMultilevel"/>
    <w:lvl w:ilvl="0">
      <w:lvlJc w:val="left"/>
      <w:lvlText w:val="1"/>
      <w:numFmt w:val="bullet"/>
      <w:start w:val="1"/>
    </w:lvl>
  </w:abstractNum>
  <w:abstractNum w:abstractNumId="35">
    <w:nsid w:val="3222E7CD"/>
    <w:multiLevelType w:val="hybridMultilevel"/>
    <w:lvl w:ilvl="0">
      <w:lvlJc w:val="left"/>
      <w:lvlText w:val="2"/>
      <w:numFmt w:val="bullet"/>
      <w:start w:val="1"/>
    </w:lvl>
  </w:abstractNum>
  <w:abstractNum w:abstractNumId="36">
    <w:nsid w:val="74DE0EE3"/>
    <w:multiLevelType w:val="hybridMultilevel"/>
    <w:lvl w:ilvl="0">
      <w:lvlJc w:val="left"/>
      <w:lvlText w:val="3"/>
      <w:numFmt w:val="bullet"/>
      <w:start w:val="1"/>
    </w:lvl>
  </w:abstractNum>
  <w:abstractNum w:abstractNumId="37">
    <w:nsid w:val="68EBC550"/>
    <w:multiLevelType w:val="hybridMultilevel"/>
    <w:lvl w:ilvl="0">
      <w:lvlJc w:val="left"/>
      <w:lvlText w:val="4"/>
      <w:numFmt w:val="bullet"/>
      <w:start w:val="1"/>
    </w:lvl>
  </w:abstractNum>
  <w:abstractNum w:abstractNumId="38">
    <w:nsid w:val="2DF6D648"/>
    <w:multiLevelType w:val="hybridMultilevel"/>
    <w:lvl w:ilvl="0">
      <w:lvlJc w:val="left"/>
      <w:lvlText w:val="•"/>
      <w:numFmt w:val="bullet"/>
      <w:start w:val="1"/>
    </w:lvl>
  </w:abstractNum>
  <w:abstractNum w:abstractNumId="39">
    <w:nsid w:val="46B7D447"/>
    <w:multiLevelType w:val="hybridMultilevel"/>
    <w:lvl w:ilvl="0">
      <w:lvlJc w:val="left"/>
      <w:lvlText w:val="•"/>
      <w:numFmt w:val="bullet"/>
      <w:start w:val="1"/>
    </w:lvl>
    <w:lvl w:ilvl="1">
      <w:lvlJc w:val="left"/>
      <w:lvlText w:val="•"/>
      <w:numFmt w:val="bullet"/>
      <w:start w:val="1"/>
    </w:lvl>
  </w:abstractNum>
  <w:abstractNum w:abstractNumId="40">
    <w:nsid w:val="4A2AC315"/>
    <w:multiLevelType w:val="hybridMultilevel"/>
    <w:lvl w:ilvl="0">
      <w:lvlJc w:val="left"/>
      <w:lvlText w:val="1"/>
      <w:numFmt w:val="bullet"/>
      <w:start w:val="1"/>
    </w:lvl>
  </w:abstractNum>
  <w:abstractNum w:abstractNumId="41">
    <w:nsid w:val="39EE015C"/>
    <w:multiLevelType w:val="hybridMultilevel"/>
    <w:lvl w:ilvl="0">
      <w:lvlJc w:val="left"/>
      <w:lvlText w:val="1"/>
      <w:numFmt w:val="bullet"/>
      <w:start w:val="1"/>
    </w:lvl>
  </w:abstractNum>
  <w:abstractNum w:abstractNumId="42">
    <w:nsid w:val="57FC4FBB"/>
    <w:multiLevelType w:val="hybridMultilevel"/>
    <w:lvl w:ilvl="0">
      <w:lvlJc w:val="left"/>
      <w:lvlText w:val="2"/>
      <w:numFmt w:val="bullet"/>
      <w:start w:val="1"/>
    </w:lvl>
  </w:abstractNum>
  <w:abstractNum w:abstractNumId="43">
    <w:nsid w:val="CC1016F"/>
    <w:multiLevelType w:val="hybridMultilevel"/>
    <w:lvl w:ilvl="0">
      <w:lvlJc w:val="left"/>
      <w:lvlText w:val="1"/>
      <w:numFmt w:val="bullet"/>
      <w:start w:val="1"/>
    </w:lvl>
  </w:abstractNum>
  <w:abstractNum w:abstractNumId="44">
    <w:nsid w:val="43F18422"/>
    <w:multiLevelType w:val="hybridMultilevel"/>
    <w:lvl w:ilvl="0">
      <w:lvlJc w:val="left"/>
      <w:lvlText w:val="1"/>
      <w:numFmt w:val="bullet"/>
      <w:start w:val="1"/>
    </w:lvl>
  </w:abstractNum>
  <w:abstractNum w:abstractNumId="45">
    <w:nsid w:val="60EF0119"/>
    <w:multiLevelType w:val="hybridMultilevel"/>
    <w:lvl w:ilvl="0">
      <w:lvlJc w:val="left"/>
      <w:lvlText w:val="1"/>
      <w:numFmt w:val="bullet"/>
      <w:start w:val="1"/>
    </w:lvl>
  </w:abstractNum>
  <w:abstractNum w:abstractNumId="46">
    <w:nsid w:val="26F324BA"/>
    <w:multiLevelType w:val="hybridMultilevel"/>
    <w:lvl w:ilvl="0">
      <w:lvlJc w:val="left"/>
      <w:lvlText w:val="•"/>
      <w:numFmt w:val="bullet"/>
      <w:start w:val="1"/>
    </w:lvl>
  </w:abstractNum>
  <w:abstractNum w:abstractNumId="47">
    <w:nsid w:val="7F01579B"/>
    <w:multiLevelType w:val="hybridMultilevel"/>
    <w:lvl w:ilvl="0">
      <w:lvlJc w:val="left"/>
      <w:lvlText w:val="1"/>
      <w:numFmt w:val="bullet"/>
      <w:start w:val="1"/>
    </w:lvl>
  </w:abstractNum>
  <w:abstractNum w:abstractNumId="48">
    <w:nsid w:val="49DA307D"/>
    <w:multiLevelType w:val="hybridMultilevel"/>
    <w:lvl w:ilvl="0">
      <w:lvlJc w:val="left"/>
      <w:lvlText w:val="2"/>
      <w:numFmt w:val="bullet"/>
      <w:start w:val="1"/>
    </w:lvl>
  </w:abstractNum>
  <w:abstractNum w:abstractNumId="49">
    <w:nsid w:val="7055A5F5"/>
    <w:multiLevelType w:val="hybridMultilevel"/>
    <w:lvl w:ilvl="0">
      <w:lvlJc w:val="left"/>
      <w:lvlText w:val="3"/>
      <w:numFmt w:val="bullet"/>
      <w:start w:val="1"/>
    </w:lvl>
  </w:abstractNum>
  <w:abstractNum w:abstractNumId="50">
    <w:nsid w:val="5FB8370B"/>
    <w:multiLevelType w:val="hybridMultilevel"/>
    <w:lvl w:ilvl="0">
      <w:lvlJc w:val="left"/>
      <w:lvlText w:val="4"/>
      <w:numFmt w:val="bullet"/>
      <w:start w:val="1"/>
    </w:lvl>
  </w:abstractNum>
  <w:abstractNum w:abstractNumId="51">
    <w:nsid w:val="50801EE1"/>
    <w:multiLevelType w:val="hybridMultilevel"/>
    <w:lvl w:ilvl="0">
      <w:lvlJc w:val="left"/>
      <w:lvlText w:val="5"/>
      <w:numFmt w:val="bullet"/>
      <w:start w:val="1"/>
    </w:lvl>
  </w:abstractNum>
  <w:abstractNum w:abstractNumId="52">
    <w:nsid w:val="488AC1A"/>
    <w:multiLevelType w:val="hybridMultilevel"/>
    <w:lvl w:ilvl="0">
      <w:lvlJc w:val="left"/>
      <w:lvlText w:val="1"/>
      <w:numFmt w:val="bullet"/>
      <w:start w:val="1"/>
    </w:lvl>
  </w:abstractNum>
  <w:abstractNum w:abstractNumId="53">
    <w:nsid w:val="5FB8011C"/>
    <w:multiLevelType w:val="hybridMultilevel"/>
    <w:lvl w:ilvl="0">
      <w:lvlJc w:val="left"/>
      <w:lvlText w:val="2"/>
      <w:numFmt w:val="bullet"/>
      <w:start w:val="1"/>
    </w:lvl>
  </w:abstractNum>
  <w:abstractNum w:abstractNumId="54">
    <w:nsid w:val="6AA78F7F"/>
    <w:multiLevelType w:val="hybridMultilevel"/>
    <w:lvl w:ilvl="0">
      <w:lvlJc w:val="left"/>
      <w:lvlText w:val="3"/>
      <w:numFmt w:val="bullet"/>
      <w:start w:val="1"/>
    </w:lvl>
  </w:abstractNum>
  <w:abstractNum w:abstractNumId="55">
    <w:nsid w:val="7672BD23"/>
    <w:multiLevelType w:val="hybridMultilevel"/>
    <w:lvl w:ilvl="0">
      <w:lvlJc w:val="left"/>
      <w:lvlText w:val="1"/>
      <w:numFmt w:val="bullet"/>
      <w:start w:val="1"/>
    </w:lvl>
  </w:abstractNum>
  <w:abstractNum w:abstractNumId="56">
    <w:nsid w:val="6FC75AF8"/>
    <w:multiLevelType w:val="hybridMultilevel"/>
    <w:lvl w:ilvl="0">
      <w:lvlJc w:val="left"/>
      <w:lvlText w:val="2"/>
      <w:numFmt w:val="bullet"/>
      <w:start w:val="1"/>
    </w:lvl>
  </w:abstractNum>
  <w:abstractNum w:abstractNumId="57">
    <w:nsid w:val="6A5F7029"/>
    <w:multiLevelType w:val="hybridMultilevel"/>
    <w:lvl w:ilvl="0">
      <w:lvlJc w:val="left"/>
      <w:lvlText w:val="1"/>
      <w:numFmt w:val="bullet"/>
      <w:start w:val="1"/>
    </w:lvl>
  </w:abstractNum>
  <w:abstractNum w:abstractNumId="58">
    <w:nsid w:val="7D5E18F8"/>
    <w:multiLevelType w:val="hybridMultilevel"/>
    <w:lvl w:ilvl="0">
      <w:lvlJc w:val="left"/>
      <w:lvlText w:val="2"/>
      <w:numFmt w:val="bullet"/>
      <w:start w:val="1"/>
    </w:lvl>
  </w:abstractNum>
  <w:abstractNum w:abstractNumId="59">
    <w:nsid w:val="5F3534A4"/>
    <w:multiLevelType w:val="hybridMultilevel"/>
    <w:lvl w:ilvl="0">
      <w:lvlJc w:val="left"/>
      <w:lvlText w:val="3"/>
      <w:numFmt w:val="bullet"/>
      <w:start w:val="1"/>
    </w:lvl>
  </w:abstractNum>
  <w:abstractNum w:abstractNumId="60">
    <w:nsid w:val="73A1821B"/>
    <w:multiLevelType w:val="hybridMultilevel"/>
    <w:lvl w:ilvl="0">
      <w:lvlJc w:val="left"/>
      <w:lvlText w:val="4"/>
      <w:numFmt w:val="bullet"/>
      <w:start w:val="1"/>
    </w:lvl>
  </w:abstractNum>
  <w:abstractNum w:abstractNumId="61">
    <w:nsid w:val="7DE67713"/>
    <w:multiLevelType w:val="hybridMultilevel"/>
    <w:lvl w:ilvl="0">
      <w:lvlJc w:val="left"/>
      <w:lvlText w:val="1"/>
      <w:numFmt w:val="bullet"/>
      <w:start w:val="1"/>
    </w:lvl>
  </w:abstractNum>
  <w:abstractNum w:abstractNumId="62">
    <w:nsid w:val="555C55B5"/>
    <w:multiLevelType w:val="hybridMultilevel"/>
    <w:lvl w:ilvl="0">
      <w:lvlJc w:val="left"/>
      <w:lvlText w:val="1"/>
      <w:numFmt w:val="bullet"/>
      <w:start w:val="1"/>
    </w:lvl>
  </w:abstractNum>
  <w:abstractNum w:abstractNumId="63">
    <w:nsid w:val="3FA62ACA"/>
    <w:multiLevelType w:val="hybridMultilevel"/>
    <w:lvl w:ilvl="0">
      <w:lvlJc w:val="left"/>
      <w:lvlText w:val="•"/>
      <w:numFmt w:val="bullet"/>
      <w:start w:val="1"/>
    </w:lvl>
  </w:abstractNum>
  <w:abstractNum w:abstractNumId="64">
    <w:nsid w:val="14FCE74E"/>
    <w:multiLevelType w:val="hybridMultilevel"/>
    <w:lvl w:ilvl="0">
      <w:lvlJc w:val="left"/>
      <w:lvlText w:val="•"/>
      <w:numFmt w:val="bullet"/>
      <w:start w:val="1"/>
    </w:lvl>
  </w:abstractNum>
  <w:abstractNum w:abstractNumId="65">
    <w:nsid w:val="6A3DD3E8"/>
    <w:multiLevelType w:val="hybridMultilevel"/>
    <w:lvl w:ilvl="0">
      <w:lvlJc w:val="left"/>
      <w:lvlText w:val="1"/>
      <w:numFmt w:val="bullet"/>
      <w:start w:val="1"/>
    </w:lvl>
  </w:abstractNum>
  <w:abstractNum w:abstractNumId="66">
    <w:nsid w:val="71C91298"/>
    <w:multiLevelType w:val="hybridMultilevel"/>
    <w:lvl w:ilvl="0">
      <w:lvlJc w:val="left"/>
      <w:lvlText w:val="1"/>
      <w:numFmt w:val="bullet"/>
      <w:start w:val="1"/>
    </w:lvl>
  </w:abstractNum>
  <w:abstractNum w:abstractNumId="67">
    <w:nsid w:val="9DAF632"/>
    <w:multiLevelType w:val="hybridMultilevel"/>
    <w:lvl w:ilvl="0">
      <w:lvlJc w:val="left"/>
      <w:lvlText w:val="1"/>
      <w:numFmt w:val="bullet"/>
      <w:start w:val="1"/>
    </w:lvl>
  </w:abstractNum>
  <w:abstractNum w:abstractNumId="68">
    <w:nsid w:val="53299938"/>
    <w:multiLevelType w:val="hybridMultilevel"/>
    <w:lvl w:ilvl="0">
      <w:lvlJc w:val="left"/>
      <w:lvlText w:val="1"/>
      <w:numFmt w:val="bullet"/>
      <w:start w:val="1"/>
    </w:lvl>
  </w:abstractNum>
  <w:abstractNum w:abstractNumId="69">
    <w:nsid w:val="1FBFE8E0"/>
    <w:multiLevelType w:val="hybridMultilevel"/>
    <w:lvl w:ilvl="0">
      <w:lvlJc w:val="left"/>
      <w:lvlText w:val="2"/>
      <w:numFmt w:val="bullet"/>
      <w:start w:val="1"/>
    </w:lvl>
  </w:abstractNum>
  <w:abstractNum w:abstractNumId="70">
    <w:nsid w:val="5092CA79"/>
    <w:multiLevelType w:val="hybridMultilevel"/>
    <w:lvl w:ilvl="0">
      <w:lvlJc w:val="left"/>
      <w:lvlText w:val="1"/>
      <w:numFmt w:val="bullet"/>
      <w:start w:val="1"/>
    </w:lvl>
  </w:abstractNum>
  <w:abstractNum w:abstractNumId="71">
    <w:nsid w:val="1D545C4D"/>
    <w:multiLevelType w:val="hybridMultilevel"/>
    <w:lvl w:ilvl="0">
      <w:lvlJc w:val="left"/>
      <w:lvlText w:val="2"/>
      <w:numFmt w:val="bullet"/>
      <w:start w:val="1"/>
    </w:lvl>
  </w:abstractNum>
  <w:abstractNum w:abstractNumId="72">
    <w:nsid w:val="59ADEA3D"/>
    <w:multiLevelType w:val="hybridMultilevel"/>
    <w:lvl w:ilvl="0">
      <w:lvlJc w:val="left"/>
      <w:lvlText w:val="3"/>
      <w:numFmt w:val="bullet"/>
      <w:start w:val="1"/>
    </w:lvl>
  </w:abstractNum>
  <w:abstractNum w:abstractNumId="73">
    <w:nsid w:val="288F1A34"/>
    <w:multiLevelType w:val="hybridMultilevel"/>
    <w:lvl w:ilvl="0">
      <w:lvlJc w:val="left"/>
      <w:lvlText w:val="4"/>
      <w:numFmt w:val="bullet"/>
      <w:start w:val="1"/>
    </w:lvl>
  </w:abstractNum>
  <w:abstractNum w:abstractNumId="74">
    <w:nsid w:val="2A155DBC"/>
    <w:multiLevelType w:val="hybridMultilevel"/>
    <w:lvl w:ilvl="0">
      <w:lvlJc w:val="left"/>
      <w:lvlText w:val="5"/>
      <w:numFmt w:val="bullet"/>
      <w:start w:val="1"/>
    </w:lvl>
  </w:abstractNum>
  <w:abstractNum w:abstractNumId="75">
    <w:nsid w:val="1D9F6E5F"/>
    <w:multiLevelType w:val="hybridMultilevel"/>
    <w:lvl w:ilvl="0">
      <w:lvlJc w:val="left"/>
      <w:lvlText w:val="(%1)"/>
      <w:numFmt w:val="lowerLetter"/>
      <w:start w:val="1"/>
    </w:lvl>
    <w:lvl w:ilvl="1">
      <w:lvlJc w:val="left"/>
      <w:lvlText w:val="(%2)"/>
      <w:numFmt w:val="decimal"/>
      <w:start w:val="1"/>
    </w:lvl>
  </w:abstractNum>
  <w:abstractNum w:abstractNumId="76">
    <w:nsid w:val="97E1B4E"/>
    <w:multiLevelType w:val="hybridMultilevel"/>
    <w:lvl w:ilvl="0">
      <w:lvlJc w:val="left"/>
      <w:lvlText w:val="(%1)"/>
      <w:numFmt w:val="lowerLetter"/>
      <w:start w:val="1"/>
    </w:lvl>
  </w:abstractNum>
  <w:abstractNum w:abstractNumId="77">
    <w:nsid w:val="51088277"/>
    <w:multiLevelType w:val="hybridMultilevel"/>
    <w:lvl w:ilvl="0">
      <w:lvlJc w:val="left"/>
      <w:lvlText w:val="(%1)"/>
      <w:numFmt w:val="lowerLetter"/>
      <w:start w:val="1"/>
    </w:lvl>
  </w:abstractNum>
  <w:abstractNum w:abstractNumId="78">
    <w:nsid w:val="1CA0C5FA"/>
    <w:multiLevelType w:val="hybridMultilevel"/>
    <w:lvl w:ilvl="0">
      <w:lvlJc w:val="left"/>
      <w:lvlText w:val="(%1)"/>
      <w:numFmt w:val="lowerLetter"/>
      <w:start w:val="1"/>
    </w:lvl>
    <w:lvl w:ilvl="1">
      <w:lvlJc w:val="left"/>
      <w:lvlText w:val="(%2)"/>
      <w:numFmt w:val="decimal"/>
      <w:start w:val="1"/>
    </w:lvl>
  </w:abstractNum>
  <w:abstractNum w:abstractNumId="79">
    <w:nsid w:val="53584BCB"/>
    <w:multiLevelType w:val="hybridMultilevel"/>
    <w:lvl w:ilvl="0">
      <w:lvlJc w:val="left"/>
      <w:lvlText w:val="(%1)"/>
      <w:numFmt w:val="lowerLetter"/>
      <w:start w:val="2"/>
    </w:lvl>
    <w:lvl w:ilvl="1">
      <w:lvlJc w:val="left"/>
      <w:lvlText w:val="(%2)"/>
      <w:numFmt w:val="decimal"/>
      <w:start w:val="1"/>
    </w:lvl>
  </w:abstractNum>
  <w:abstractNum w:abstractNumId="80">
    <w:nsid w:val="415E286C"/>
    <w:multiLevelType w:val="hybridMultilevel"/>
    <w:lvl w:ilvl="0">
      <w:lvlJc w:val="left"/>
      <w:lvlText w:val="(%1)"/>
      <w:numFmt w:val="decimal"/>
      <w:start w:val="2"/>
    </w:lvl>
  </w:abstractNum>
  <w:abstractNum w:abstractNumId="81">
    <w:nsid w:val="7C58FD05"/>
    <w:multiLevelType w:val="hybridMultilevel"/>
    <w:lvl w:ilvl="0">
      <w:lvlJc w:val="left"/>
      <w:lvlText w:val="(%1)"/>
      <w:numFmt w:val="lowerLetter"/>
      <w:start w:val="1"/>
    </w:lvl>
  </w:abstractNum>
  <w:abstractNum w:abstractNumId="82">
    <w:nsid w:val="23D86AAC"/>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83">
    <w:nsid w:val="45E6D486"/>
    <w:multiLevelType w:val="hybridMultilevel"/>
    <w:lvl w:ilvl="0">
      <w:lvlJc w:val="left"/>
      <w:lvlText w:val="(%1)"/>
      <w:numFmt w:val="lowerLetter"/>
      <w:start w:val="4"/>
    </w:lvl>
    <w:lvl w:ilvl="1">
      <w:lvlJc w:val="left"/>
      <w:lvlText w:val="(%2)"/>
      <w:numFmt w:val="decimal"/>
      <w:start w:val="1"/>
    </w:lvl>
    <w:lvl w:ilvl="2">
      <w:lvlJc w:val="left"/>
      <w:lvlText w:val="(%3)"/>
      <w:numFmt w:val="upperLetter"/>
      <w:start w:val="1"/>
    </w:lvl>
  </w:abstractNum>
  <w:abstractNum w:abstractNumId="84">
    <w:nsid w:val="5C10FE21"/>
    <w:multiLevelType w:val="hybridMultilevel"/>
    <w:lvl w:ilvl="0">
      <w:lvlJc w:val="left"/>
      <w:lvlText w:val="(%1)"/>
      <w:numFmt w:val="upperLetter"/>
      <w:start w:val="1"/>
    </w:lvl>
  </w:abstractNum>
  <w:abstractNum w:abstractNumId="85">
    <w:nsid w:val="E7FFA2B"/>
    <w:multiLevelType w:val="hybridMultilevel"/>
    <w:lvl w:ilvl="0">
      <w:lvlJc w:val="left"/>
      <w:lvlText w:val="(%1)"/>
      <w:numFmt w:val="lowerLetter"/>
      <w:start w:val="1"/>
    </w:lvl>
    <w:lvl w:ilvl="1">
      <w:lvlJc w:val="left"/>
      <w:lvlText w:val="(%2)"/>
      <w:numFmt w:val="decimal"/>
      <w:start w:val="1"/>
    </w:lvl>
  </w:abstractNum>
  <w:abstractNum w:abstractNumId="86">
    <w:nsid w:val="3C5991AA"/>
    <w:multiLevelType w:val="hybridMultilevel"/>
    <w:lvl w:ilvl="0">
      <w:lvlJc w:val="left"/>
      <w:lvlText w:val="(%1)"/>
      <w:numFmt w:val="upperLetter"/>
      <w:start w:val="1"/>
    </w:lvl>
  </w:abstractNum>
  <w:abstractNum w:abstractNumId="87">
    <w:nsid w:val="4BD8591A"/>
    <w:multiLevelType w:val="hybridMultilevel"/>
    <w:lvl w:ilvl="0">
      <w:lvlJc w:val="left"/>
      <w:lvlText w:val="(%1)"/>
      <w:numFmt w:val="lowerLetter"/>
      <w:start w:val="2"/>
    </w:lvl>
  </w:abstractNum>
  <w:abstractNum w:abstractNumId="88">
    <w:nsid w:val="78DF6A55"/>
    <w:multiLevelType w:val="hybridMultilevel"/>
    <w:lvl w:ilvl="0">
      <w:lvlJc w:val="left"/>
      <w:lvlText w:val="(%1)"/>
      <w:numFmt w:val="decimal"/>
      <w:start w:val="1"/>
    </w:lvl>
  </w:abstractNum>
  <w:abstractNum w:abstractNumId="89">
    <w:nsid w:val="39B7AAA2"/>
    <w:multiLevelType w:val="hybridMultilevel"/>
    <w:lvl w:ilvl="0">
      <w:lvlJc w:val="left"/>
      <w:lvlText w:val="(%1)"/>
      <w:numFmt w:val="lowerRoman"/>
      <w:start w:val="2"/>
    </w:lvl>
  </w:abstractNum>
  <w:abstractNum w:abstractNumId="90">
    <w:nsid w:val="2B0D8DBE"/>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91">
    <w:nsid w:val="6C80EC70"/>
    <w:multiLevelType w:val="hybridMultilevel"/>
    <w:lvl w:ilvl="0">
      <w:lvlJc w:val="left"/>
      <w:lvlText w:val="(%1)"/>
      <w:numFmt w:val="lowerLetter"/>
      <w:start w:val="1"/>
    </w:lvl>
  </w:abstractNum>
  <w:abstractNum w:abstractNumId="92">
    <w:nsid w:val="379E21B5"/>
    <w:multiLevelType w:val="hybridMultilevel"/>
    <w:lvl w:ilvl="0">
      <w:lvlJc w:val="left"/>
      <w:lvlText w:val="(%1)"/>
      <w:numFmt w:val="lowerLetter"/>
      <w:start w:val="1"/>
    </w:lvl>
  </w:abstractNum>
  <w:abstractNum w:abstractNumId="93">
    <w:nsid w:val="69E373"/>
    <w:multiLevelType w:val="hybridMultilevel"/>
    <w:lvl w:ilvl="0">
      <w:lvlJc w:val="left"/>
      <w:lvlText w:val="(%1)"/>
      <w:numFmt w:val="lowerLetter"/>
      <w:start w:val="1"/>
    </w:lvl>
    <w:lvl w:ilvl="1">
      <w:lvlJc w:val="left"/>
      <w:lvlText w:val="(%2)"/>
      <w:numFmt w:val="decimal"/>
      <w:start w:val="1"/>
    </w:lvl>
  </w:abstractNum>
  <w:abstractNum w:abstractNumId="94">
    <w:nsid w:val="2C27173B"/>
    <w:multiLevelType w:val="hybridMultilevel"/>
    <w:lvl w:ilvl="0">
      <w:lvlJc w:val="left"/>
      <w:lvlText w:val="(%1)"/>
      <w:numFmt w:val="lowerLetter"/>
      <w:start w:val="1"/>
    </w:lvl>
    <w:lvl w:ilvl="1">
      <w:lvlJc w:val="left"/>
      <w:lvlText w:val="(%2)"/>
      <w:numFmt w:val="decimal"/>
      <w:start w:val="1"/>
    </w:lvl>
  </w:abstractNum>
  <w:abstractNum w:abstractNumId="95">
    <w:nsid w:val="4C9B0904"/>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96">
    <w:nsid w:val="6AA7B75C"/>
    <w:multiLevelType w:val="hybridMultilevel"/>
    <w:lvl w:ilvl="0">
      <w:lvlJc w:val="left"/>
      <w:lvlText w:val="(%1)"/>
      <w:numFmt w:val="lowerLetter"/>
      <w:start w:val="1"/>
    </w:lvl>
  </w:abstractNum>
  <w:abstractNum w:abstractNumId="97">
    <w:nsid w:val="1DF029D3"/>
    <w:multiLevelType w:val="hybridMultilevel"/>
    <w:lvl w:ilvl="0">
      <w:lvlJc w:val="left"/>
      <w:lvlText w:val="(%1)"/>
      <w:numFmt w:val="lowerLetter"/>
      <w:start w:val="1"/>
    </w:lvl>
  </w:abstractNum>
  <w:abstractNum w:abstractNumId="98">
    <w:nsid w:val="5675FF36"/>
    <w:multiLevelType w:val="hybridMultilevel"/>
    <w:lvl w:ilvl="0">
      <w:lvlJc w:val="left"/>
      <w:lvlText w:val="(%1)"/>
      <w:numFmt w:val="lowerLetter"/>
      <w:start w:val="1"/>
    </w:lvl>
  </w:abstractNum>
  <w:abstractNum w:abstractNumId="99">
    <w:nsid w:val="3DD15094"/>
    <w:multiLevelType w:val="hybridMultilevel"/>
    <w:lvl w:ilvl="0">
      <w:lvlJc w:val="left"/>
      <w:lvlText w:val="%1"/>
      <w:numFmt w:val="decimal"/>
      <w:start w:val="1"/>
    </w:lvl>
    <w:lvl w:ilvl="1">
      <w:lvlJc w:val="left"/>
      <w:lvlText w:val="(%2)"/>
      <w:numFmt w:val="lowerLetter"/>
      <w:start w:val="3"/>
    </w:lvl>
    <w:lvl w:ilvl="2">
      <w:lvlJc w:val="left"/>
      <w:lvlText w:val="%3"/>
      <w:numFmt w:val="decimal"/>
      <w:start w:val="1"/>
    </w:lvl>
    <w:lvl w:ilvl="3">
      <w:lvlJc w:val="left"/>
      <w:lvlText w:val="%4"/>
      <w:numFmt w:val="upperLetter"/>
      <w:start w:val="1"/>
    </w:lvl>
  </w:abstractNum>
  <w:abstractNum w:abstractNumId="100">
    <w:nsid w:val="3DB012B3"/>
    <w:multiLevelType w:val="hybridMultilevel"/>
    <w:lvl w:ilvl="0">
      <w:lvlJc w:val="left"/>
      <w:lvlText w:val="(%1)"/>
      <w:numFmt w:val="decimal"/>
      <w:start w:val="3"/>
    </w:lvl>
    <w:lvl w:ilvl="1">
      <w:lvlJc w:val="left"/>
      <w:lvlText w:val="%2"/>
      <w:numFmt w:val="lowerLetter"/>
      <w:start w:val="1"/>
    </w:lvl>
    <w:lvl w:ilvl="2">
      <w:lvlJc w:val="left"/>
      <w:lvlText w:val="(%3)"/>
      <w:numFmt w:val="decimal"/>
      <w:start w:val="1"/>
    </w:lvl>
    <w:lvl w:ilvl="3">
      <w:lvlJc w:val="left"/>
      <w:lvlText w:val="(%4)"/>
      <w:numFmt w:val="upperLetter"/>
      <w:start w:val="1"/>
    </w:lvl>
  </w:abstractNum>
  <w:abstractNum w:abstractNumId="101">
    <w:nsid w:val="2708C9AF"/>
    <w:multiLevelType w:val="hybridMultilevel"/>
    <w:lvl w:ilvl="0">
      <w:lvlJc w:val="left"/>
      <w:lvlText w:val="(%1)"/>
      <w:numFmt w:val="upperLetter"/>
      <w:start w:val="3"/>
    </w:lvl>
  </w:abstractNum>
  <w:abstractNum w:abstractNumId="102">
    <w:nsid w:val="5B25ACE2"/>
    <w:multiLevelType w:val="hybridMultilevel"/>
    <w:lvl w:ilvl="0">
      <w:lvlJc w:val="left"/>
      <w:lvlText w:val="(%1)"/>
      <w:numFmt w:val="decimal"/>
      <w:start w:val="4"/>
    </w:lvl>
  </w:abstractNum>
  <w:abstractNum w:abstractNumId="103">
    <w:nsid w:val="175DFCF0"/>
    <w:multiLevelType w:val="hybridMultilevel"/>
    <w:lvl w:ilvl="0">
      <w:lvlJc w:val="left"/>
      <w:lvlText w:val="(%1)"/>
      <w:numFmt w:val="lowerLetter"/>
      <w:start w:val="1"/>
    </w:lvl>
  </w:abstractNum>
  <w:abstractNum w:abstractNumId="104">
    <w:nsid w:val="4F97E3E4"/>
    <w:multiLevelType w:val="hybridMultilevel"/>
    <w:lvl w:ilvl="0">
      <w:lvlJc w:val="left"/>
      <w:lvlText w:val="(%1)"/>
      <w:numFmt w:val="lowerLetter"/>
      <w:start w:val="2"/>
    </w:lvl>
  </w:abstractNum>
  <w:abstractNum w:abstractNumId="105">
    <w:nsid w:val="53B0A9E"/>
    <w:multiLevelType w:val="hybridMultilevel"/>
    <w:lvl w:ilvl="0">
      <w:lvlJc w:val="left"/>
      <w:lvlText w:val="(%1)"/>
      <w:numFmt w:val="lowerLetter"/>
      <w:start w:val="1"/>
    </w:lvl>
  </w:abstractNum>
  <w:abstractNum w:abstractNumId="106">
    <w:nsid w:val="34FD6B4F"/>
    <w:multiLevelType w:val="hybridMultilevel"/>
    <w:lvl w:ilvl="0">
      <w:lvlJc w:val="left"/>
      <w:lvlText w:val="(%1)"/>
      <w:numFmt w:val="lowerLetter"/>
      <w:start w:val="1"/>
    </w:lvl>
    <w:lvl w:ilvl="1">
      <w:lvlJc w:val="left"/>
      <w:lvlText w:val="(%2)"/>
      <w:numFmt w:val="decimal"/>
      <w:start w:val="1"/>
    </w:lvl>
  </w:abstractNum>
  <w:abstractNum w:abstractNumId="107">
    <w:nsid w:val="5915FF32"/>
    <w:multiLevelType w:val="hybridMultilevel"/>
    <w:lvl w:ilvl="0">
      <w:lvlJc w:val="left"/>
      <w:lvlText w:val="(%1)"/>
      <w:numFmt w:val="lowerLetter"/>
      <w:start w:val="1"/>
    </w:lvl>
  </w:abstractNum>
  <w:abstractNum w:abstractNumId="108">
    <w:nsid w:val="56438D15"/>
    <w:multiLevelType w:val="hybridMultilevel"/>
    <w:lvl w:ilvl="0">
      <w:lvlJc w:val="left"/>
      <w:lvlText w:val="(%1)"/>
      <w:numFmt w:val="lowerLetter"/>
      <w:start w:val="1"/>
    </w:lvl>
  </w:abstractNum>
  <w:abstractNum w:abstractNumId="109">
    <w:nsid w:val="519E3149"/>
    <w:multiLevelType w:val="hybridMultilevel"/>
    <w:lvl w:ilvl="0">
      <w:lvlJc w:val="left"/>
      <w:lvlText w:val="(%1)"/>
      <w:numFmt w:val="lowerLetter"/>
      <w:start w:val="4"/>
    </w:lvl>
  </w:abstractNum>
  <w:abstractNum w:abstractNumId="110">
    <w:nsid w:val="2C6E4AFD"/>
    <w:multiLevelType w:val="hybridMultilevel"/>
    <w:lvl w:ilvl="0">
      <w:lvlJc w:val="left"/>
      <w:lvlText w:val="(%1)"/>
      <w:numFmt w:val="lowerLetter"/>
      <w:start w:val="13"/>
    </w:lvl>
  </w:abstractNum>
  <w:abstractNum w:abstractNumId="111">
    <w:nsid w:val="17A1B582"/>
    <w:multiLevelType w:val="hybridMultilevel"/>
    <w:lvl w:ilvl="0">
      <w:lvlJc w:val="left"/>
      <w:lvlText w:val="(%1)"/>
      <w:numFmt w:val="lowerLetter"/>
      <w:start w:val="1"/>
    </w:lvl>
  </w:abstractNum>
  <w:abstractNum w:abstractNumId="112">
    <w:nsid w:val="4DF72E4E"/>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abstractNum>
  <w:abstractNum w:abstractNumId="113">
    <w:nsid w:val="5046B5A9"/>
    <w:multiLevelType w:val="hybridMultilevel"/>
    <w:lvl w:ilvl="0">
      <w:lvlJc w:val="left"/>
      <w:lvlText w:val="(%1)"/>
      <w:numFmt w:val="upperLetter"/>
      <w:start w:val="2"/>
    </w:lvl>
  </w:abstractNum>
  <w:abstractNum w:abstractNumId="114">
    <w:nsid w:val="5D888A08"/>
    <w:multiLevelType w:val="hybridMultilevel"/>
    <w:lvl w:ilvl="0">
      <w:lvlJc w:val="left"/>
      <w:lvlText w:val="(%1)"/>
      <w:numFmt w:val="lowerLetter"/>
      <w:start w:val="1"/>
    </w:lvl>
  </w:abstractNum>
  <w:abstractNum w:abstractNumId="115">
    <w:nsid w:val="2A082C70"/>
    <w:multiLevelType w:val="hybridMultilevel"/>
    <w:lvl w:ilvl="0">
      <w:lvlJc w:val="left"/>
      <w:lvlText w:val="(%1)"/>
      <w:numFmt w:val="lowerLetter"/>
      <w:start w:val="1"/>
    </w:lvl>
  </w:abstractNum>
  <w:abstractNum w:abstractNumId="116">
    <w:nsid w:val="5EC6AFD4"/>
    <w:multiLevelType w:val="hybridMultilevel"/>
    <w:lvl w:ilvl="0">
      <w:lvlJc w:val="left"/>
      <w:lvlText w:val="(%1)"/>
      <w:numFmt w:val="lowerLetter"/>
      <w:start w:val="1"/>
    </w:lvl>
  </w:abstractNum>
  <w:abstractNum w:abstractNumId="117">
    <w:nsid w:val="19E21BB2"/>
    <w:multiLevelType w:val="hybridMultilevel"/>
    <w:lvl w:ilvl="0">
      <w:lvlJc w:val="left"/>
      <w:lvlText w:val="%1"/>
      <w:numFmt w:val="lowerLetter"/>
      <w:start w:val="1"/>
    </w:lvl>
    <w:lvl w:ilvl="1">
      <w:lvlJc w:val="left"/>
      <w:lvlText w:val="(%2)"/>
      <w:numFmt w:val="decimal"/>
      <w:start w:val="1"/>
    </w:lvl>
  </w:abstractNum>
  <w:abstractNum w:abstractNumId="118">
    <w:nsid w:val="75E0858A"/>
    <w:multiLevelType w:val="hybridMultilevel"/>
    <w:lvl w:ilvl="0">
      <w:lvlJc w:val="left"/>
      <w:lvlText w:val="(%1)"/>
      <w:numFmt w:val="lowerLetter"/>
      <w:start w:val="2"/>
    </w:lvl>
    <w:lvl w:ilvl="1">
      <w:lvlJc w:val="left"/>
      <w:lvlText w:val="%2"/>
      <w:numFmt w:val="decimal"/>
      <w:start w:val="1"/>
    </w:lvl>
  </w:abstractNum>
  <w:abstractNum w:abstractNumId="119">
    <w:nsid w:val="57A61A29"/>
    <w:multiLevelType w:val="hybridMultilevel"/>
    <w:lvl w:ilvl="0">
      <w:lvlJc w:val="left"/>
      <w:lvlText w:val="(%1)"/>
      <w:numFmt w:val="lowerLetter"/>
      <w:start w:val="1"/>
    </w:lvl>
  </w:abstractNum>
  <w:abstractNum w:abstractNumId="120">
    <w:nsid w:val="5399C654"/>
    <w:multiLevelType w:val="hybridMultilevel"/>
    <w:lvl w:ilvl="0">
      <w:lvlJc w:val="left"/>
      <w:lvlText w:val="(%1)"/>
      <w:numFmt w:val="lowerLetter"/>
      <w:start w:val="2"/>
    </w:lvl>
  </w:abstractNum>
  <w:abstractNum w:abstractNumId="121">
    <w:nsid w:val="20EE1348"/>
    <w:multiLevelType w:val="hybridMultilevel"/>
    <w:lvl w:ilvl="0">
      <w:lvlJc w:val="left"/>
      <w:lvlText w:val="(%1)"/>
      <w:numFmt w:val="lowerLetter"/>
      <w:start w:val="1"/>
    </w:lvl>
    <w:lvl w:ilvl="1">
      <w:lvlJc w:val="left"/>
      <w:lvlText w:val="(%2)"/>
      <w:numFmt w:val="decimal"/>
      <w:start w:val="1"/>
    </w:lvl>
  </w:abstractNum>
  <w:abstractNum w:abstractNumId="122">
    <w:nsid w:val="4427069A"/>
    <w:multiLevelType w:val="hybridMultilevel"/>
    <w:lvl w:ilvl="0">
      <w:lvlJc w:val="left"/>
      <w:lvlText w:val="(%1)"/>
      <w:numFmt w:val="decimal"/>
      <w:start w:val="2"/>
    </w:lvl>
  </w:abstractNum>
  <w:abstractNum w:abstractNumId="123">
    <w:nsid w:val="B37E80A"/>
    <w:multiLevelType w:val="hybridMultilevel"/>
    <w:lvl w:ilvl="0">
      <w:lvlJc w:val="left"/>
      <w:lvlText w:val="(%1)"/>
      <w:numFmt w:val="decimal"/>
      <w:start w:val="3"/>
    </w:lvl>
  </w:abstractNum>
  <w:abstractNum w:abstractNumId="124">
    <w:nsid w:val="2157F6BC"/>
    <w:multiLevelType w:val="hybridMultilevel"/>
    <w:lvl w:ilvl="0">
      <w:lvlJc w:val="left"/>
      <w:lvlText w:val="(%1)"/>
      <w:numFmt w:val="lowerLetter"/>
      <w:start w:val="1"/>
    </w:lvl>
    <w:lvl w:ilvl="1">
      <w:lvlJc w:val="left"/>
      <w:lvlText w:val="(%2)"/>
      <w:numFmt w:val="decimal"/>
      <w:start w:val="1"/>
    </w:lvl>
  </w:abstractNum>
  <w:abstractNum w:abstractNumId="125">
    <w:nsid w:val="704E1DD5"/>
    <w:multiLevelType w:val="hybridMultilevel"/>
    <w:lvl w:ilvl="0">
      <w:lvlJc w:val="left"/>
      <w:lvlText w:val="%1"/>
      <w:numFmt w:val="lowerLetter"/>
      <w:start w:val="1"/>
    </w:lvl>
    <w:lvl w:ilvl="1">
      <w:lvlJc w:val="left"/>
      <w:lvlText w:val="(%2)"/>
      <w:numFmt w:val="decimal"/>
      <w:start w:val="3"/>
    </w:lvl>
  </w:abstractNum>
  <w:abstractNum w:abstractNumId="126">
    <w:nsid w:val="57D2F10E"/>
    <w:multiLevelType w:val="hybridMultilevel"/>
    <w:lvl w:ilvl="0">
      <w:lvlJc w:val="left"/>
      <w:lvlText w:val="(%1)"/>
      <w:numFmt w:val="lowerLetter"/>
      <w:start w:val="2"/>
    </w:lvl>
    <w:lvl w:ilvl="1">
      <w:lvlJc w:val="left"/>
      <w:lvlText w:val="%2"/>
      <w:numFmt w:val="decimal"/>
      <w:start w:val="1"/>
    </w:lvl>
  </w:abstractNum>
  <w:abstractNum w:abstractNumId="127">
    <w:nsid w:val="BFFAE18"/>
    <w:multiLevelType w:val="hybridMultilevel"/>
    <w:lvl w:ilvl="0">
      <w:lvlJc w:val="left"/>
      <w:lvlText w:val="(%1)"/>
      <w:numFmt w:val="lowerLetter"/>
      <w:start w:val="1"/>
    </w:lvl>
  </w:abstractNum>
  <w:abstractNum w:abstractNumId="128">
    <w:nsid w:val="E3E47A8"/>
    <w:multiLevelType w:val="hybridMultilevel"/>
    <w:lvl w:ilvl="0">
      <w:lvlJc w:val="left"/>
      <w:lvlText w:val="(%1)"/>
      <w:numFmt w:val="lowerLetter"/>
      <w:start w:val="2"/>
    </w:lvl>
  </w:abstractNum>
  <w:abstractNum w:abstractNumId="129">
    <w:nsid w:val="2E48F044"/>
    <w:multiLevelType w:val="hybridMultilevel"/>
    <w:lvl w:ilvl="0">
      <w:lvlJc w:val="left"/>
      <w:lvlText w:val="(%1)"/>
      <w:numFmt w:val="decimal"/>
      <w:start w:val="1"/>
    </w:lvl>
  </w:abstractNum>
  <w:abstractNum w:abstractNumId="130">
    <w:nsid w:val="49D0FEAC"/>
    <w:multiLevelType w:val="hybridMultilevel"/>
    <w:lvl w:ilvl="0">
      <w:lvlJc w:val="left"/>
      <w:lvlText w:val="(%1)"/>
      <w:numFmt w:val="lowerLetter"/>
      <w:start w:val="1"/>
    </w:lvl>
    <w:lvl w:ilvl="1">
      <w:lvlJc w:val="left"/>
      <w:lvlText w:val="(%2)"/>
      <w:numFmt w:val="decimal"/>
      <w:start w:val="1"/>
    </w:lvl>
  </w:abstractNum>
  <w:abstractNum w:abstractNumId="131">
    <w:nsid w:val="4BEE5A5B"/>
    <w:multiLevelType w:val="hybridMultilevel"/>
    <w:lvl w:ilvl="0">
      <w:lvlJc w:val="left"/>
      <w:lvlText w:val="%1"/>
      <w:numFmt w:val="lowerLetter"/>
      <w:start w:val="1"/>
    </w:lvl>
    <w:lvl w:ilvl="1">
      <w:lvlJc w:val="left"/>
      <w:lvlText w:val="(%2)"/>
      <w:numFmt w:val="decimal"/>
      <w:start w:val="2"/>
    </w:lvl>
  </w:abstractNum>
  <w:abstractNum w:abstractNumId="132">
    <w:nsid w:val="5551B9F3"/>
    <w:multiLevelType w:val="hybridMultilevel"/>
    <w:lvl w:ilvl="0">
      <w:lvlJc w:val="left"/>
      <w:lvlText w:val="(%1)"/>
      <w:numFmt w:val="lowerLetter"/>
      <w:start w:val="2"/>
    </w:lvl>
    <w:lvl w:ilvl="1">
      <w:lvlJc w:val="left"/>
      <w:lvlText w:val="(%2)"/>
      <w:numFmt w:val="decimal"/>
      <w:start w:val="1"/>
    </w:lvl>
  </w:abstractNum>
  <w:abstractNum w:abstractNumId="133">
    <w:nsid w:val="24F6AB8E"/>
    <w:multiLevelType w:val="hybridMultilevel"/>
    <w:lvl w:ilvl="0">
      <w:lvlJc w:val="left"/>
      <w:lvlText w:val="(%1)"/>
      <w:numFmt w:val="lowerLetter"/>
      <w:start w:val="1"/>
    </w:lvl>
    <w:lvl w:ilvl="1">
      <w:lvlJc w:val="left"/>
      <w:lvlText w:val="(%2)"/>
      <w:numFmt w:val="decimal"/>
      <w:start w:val="1"/>
    </w:lvl>
  </w:abstractNum>
  <w:abstractNum w:abstractNumId="134">
    <w:nsid w:val="634C574C"/>
    <w:multiLevelType w:val="hybridMultilevel"/>
    <w:lvl w:ilvl="0">
      <w:lvlJc w:val="left"/>
      <w:lvlText w:val="%1"/>
      <w:numFmt w:val="lowerLetter"/>
      <w:start w:val="1"/>
    </w:lvl>
    <w:lvl w:ilvl="1">
      <w:lvlJc w:val="left"/>
      <w:lvlText w:val="(%2)"/>
      <w:numFmt w:val="decimal"/>
      <w:start w:val="4"/>
    </w:lvl>
  </w:abstractNum>
  <w:abstractNum w:abstractNumId="135">
    <w:nsid w:val="24E99DD7"/>
    <w:multiLevelType w:val="hybridMultilevel"/>
    <w:lvl w:ilvl="0">
      <w:lvlJc w:val="left"/>
      <w:lvlText w:val="(%1)"/>
      <w:numFmt w:val="lowerLetter"/>
      <w:start w:val="3"/>
    </w:lvl>
    <w:lvl w:ilvl="1">
      <w:lvlJc w:val="left"/>
      <w:lvlText w:val="%2"/>
      <w:numFmt w:val="decimal"/>
      <w:start w:val="1"/>
    </w:lvl>
  </w:abstractNum>
  <w:abstractNum w:abstractNumId="136">
    <w:nsid w:val="2A31B62D"/>
    <w:multiLevelType w:val="hybridMultilevel"/>
    <w:lvl w:ilvl="0">
      <w:lvlJc w:val="left"/>
      <w:lvlText w:val="(%1)"/>
      <w:numFmt w:val="lowerLetter"/>
      <w:start w:val="1"/>
    </w:lvl>
  </w:abstractNum>
  <w:abstractNum w:abstractNumId="137">
    <w:nsid w:val="1849C29B"/>
    <w:multiLevelType w:val="hybridMultilevel"/>
    <w:lvl w:ilvl="0">
      <w:lvlJc w:val="left"/>
      <w:lvlText w:val="(%1)"/>
      <w:numFmt w:val="lowerLetter"/>
      <w:start w:val="8"/>
    </w:lvl>
  </w:abstractNum>
  <w:abstractNum w:abstractNumId="138">
    <w:nsid w:val="7DFF9D09"/>
    <w:multiLevelType w:val="hybridMultilevel"/>
    <w:lvl w:ilvl="0">
      <w:lvlJc w:val="left"/>
      <w:lvlText w:val="(%1)"/>
      <w:numFmt w:val="lowerLetter"/>
      <w:start w:val="1"/>
    </w:lvl>
  </w:abstractNum>
  <w:abstractNum w:abstractNumId="139">
    <w:nsid w:val="754342"/>
    <w:multiLevelType w:val="hybridMultilevel"/>
    <w:lvl w:ilvl="0">
      <w:lvlJc w:val="left"/>
      <w:lvlText w:val="%1."/>
      <w:numFmt w:val="decimal"/>
      <w:start w:val="1"/>
    </w:lvl>
    <w:lvl w:ilvl="1">
      <w:lvlJc w:val="left"/>
      <w:lvlText w:val="%2)"/>
      <w:numFmt w:val="lowerLetter"/>
      <w:start w:val="1"/>
    </w:lvl>
  </w:abstractNum>
  <w:abstractNum w:abstractNumId="140">
    <w:nsid w:val="69E7F3E5"/>
    <w:multiLevelType w:val="hybridMultilevel"/>
    <w:lvl w:ilvl="0">
      <w:lvlJc w:val="left"/>
      <w:lvlText w:val="%1."/>
      <w:numFmt w:val="decimal"/>
      <w:start w:val="1"/>
    </w:lvl>
    <w:lvl w:ilvl="1">
      <w:lvlJc w:val="left"/>
      <w:lvlText w:val="%2)"/>
      <w:numFmt w:val="lowerLetter"/>
      <w:start w:val="1"/>
    </w:lvl>
  </w:abstractNum>
  <w:abstractNum w:abstractNumId="141">
    <w:nsid w:val="2A6DE80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142" Type="http://schemas.openxmlformats.org/officeDocument/2006/relationships/image" Target="media/image56.png"/><Relationship Id="rId158" Type="http://schemas.openxmlformats.org/officeDocument/2006/relationships/image" Target="media/image57.png"/><Relationship Id="rId159" Type="http://schemas.openxmlformats.org/officeDocument/2006/relationships/image" Target="media/image58.png"/><Relationship Id="rId168" Type="http://schemas.openxmlformats.org/officeDocument/2006/relationships/image" Target="media/image59.png"/><Relationship Id="rId169" Type="http://schemas.openxmlformats.org/officeDocument/2006/relationships/image" Target="media/image60.png"/><Relationship Id="rId170" Type="http://schemas.openxmlformats.org/officeDocument/2006/relationships/image" Target="media/image61.png"/><Relationship Id="rId171" Type="http://schemas.openxmlformats.org/officeDocument/2006/relationships/image" Target="media/image62.png"/><Relationship Id="rId172" Type="http://schemas.openxmlformats.org/officeDocument/2006/relationships/image" Target="media/image63.png"/><Relationship Id="rId173" Type="http://schemas.openxmlformats.org/officeDocument/2006/relationships/image" Target="media/image64.png"/><Relationship Id="rId174" Type="http://schemas.openxmlformats.org/officeDocument/2006/relationships/image" Target="media/image65.png"/><Relationship Id="rId175" Type="http://schemas.openxmlformats.org/officeDocument/2006/relationships/image" Target="media/image66.png"/><Relationship Id="rId176" Type="http://schemas.openxmlformats.org/officeDocument/2006/relationships/image" Target="media/image67.png"/><Relationship Id="rId177" Type="http://schemas.openxmlformats.org/officeDocument/2006/relationships/image" Target="media/image68.png"/><Relationship Id="rId63" Type="http://schemas.openxmlformats.org/officeDocument/2006/relationships/hyperlink" Target="http://www.sec.gov/Archives/edgar/data/72333/000119312517078882/d356054dex11.htm" TargetMode="External"/><Relationship Id="rId64" Type="http://schemas.openxmlformats.org/officeDocument/2006/relationships/hyperlink" Target="http://www.sec.gov/Archives/edgar/data/72333/000007233305000134/ni053105ex31.txt" TargetMode="External"/><Relationship Id="rId65" Type="http://schemas.openxmlformats.org/officeDocument/2006/relationships/hyperlink" Target="http://www.sec.gov/Archives/edgar/data/72333/000007233317000124/jwn-06082017xex31.htm" TargetMode="External"/><Relationship Id="rId66" Type="http://schemas.openxmlformats.org/officeDocument/2006/relationships/hyperlink" Target="http://www.sec.gov/Archives/edgar/data/72333/0001047469-98-009655.txt" TargetMode="External"/><Relationship Id="rId67" Type="http://schemas.openxmlformats.org/officeDocument/2006/relationships/hyperlink" Target="http://www.sec.gov/Archives/edgar/data/72333/000136231007000681/c70464exv4w1.htm" TargetMode="External"/><Relationship Id="rId68" Type="http://schemas.openxmlformats.org/officeDocument/2006/relationships/hyperlink" Target="http://www.sec.gov/Archives/edgar/data/72333/000119312511323041/d260946dex42.htm" TargetMode="External"/><Relationship Id="rId69" Type="http://schemas.openxmlformats.org/officeDocument/2006/relationships/hyperlink" Target="http://www.sec.gov/Archives/edgar/data/72333/000119312514163621/d714242dex41.htm" TargetMode="External"/><Relationship Id="rId70" Type="http://schemas.openxmlformats.org/officeDocument/2006/relationships/hyperlink" Target="http://www.sec.gov/Archives/edgar/data/72333/000119312511323041/d260946dex41.htm" TargetMode="External"/><Relationship Id="rId71" Type="http://schemas.openxmlformats.org/officeDocument/2006/relationships/hyperlink" Target="http://www.sec.gov/Archives/edgar/data/72333/000095013407024845/v36128exv4w1.htm" TargetMode="External"/><Relationship Id="rId72" Type="http://schemas.openxmlformats.org/officeDocument/2006/relationships/hyperlink" Target="http://www.sec.gov/Archives/edgar/data/72333/000095012310037656/v55560exv4w1.htm" TargetMode="External"/><Relationship Id="rId73" Type="http://schemas.openxmlformats.org/officeDocument/2006/relationships/hyperlink" Target="http://www.sec.gov/Archives/edgar/data/72333/000110465911055648/a11-27693_1ex4d1.htm" TargetMode="External"/><Relationship Id="rId74" Type="http://schemas.openxmlformats.org/officeDocument/2006/relationships/hyperlink" Target="http://www.sec.gov/Archives/edgar/data/72333/000119312514121699/d698951dex42.htm" TargetMode="External"/><Relationship Id="rId75" Type="http://schemas.openxmlformats.org/officeDocument/2006/relationships/hyperlink" Target="http://www.sec.gov/Archives/edgar/data/72333/000119312514121699/d698951dex43.htm" TargetMode="External"/><Relationship Id="rId76" Type="http://schemas.openxmlformats.org/officeDocument/2006/relationships/hyperlink" Target="http://www.sec.gov/Archives/edgar/data/72333/000119312514121699/d698951dex44.htm" TargetMode="External"/><Relationship Id="rId77" Type="http://schemas.openxmlformats.org/officeDocument/2006/relationships/hyperlink" Target="http://www.sec.gov/Archives/edgar/data/72333/000119312517076885/d356517dex41.htm" TargetMode="External"/><Relationship Id="rId78" Type="http://schemas.openxmlformats.org/officeDocument/2006/relationships/hyperlink" Target="http://www.sec.gov/Archives/edgar/data/72333/000119312517076885/d356517dex42.htm" TargetMode="External"/><Relationship Id="rId79" Type="http://schemas.openxmlformats.org/officeDocument/2006/relationships/hyperlink" Target="http://www.sec.gov/Archives/edgar/data/72333/000119312514121699/d698951dex45.htm" TargetMode="External"/><Relationship Id="rId80" Type="http://schemas.openxmlformats.org/officeDocument/2006/relationships/hyperlink" Target="http://www.sec.gov/Archives/edgar/data/72333/000119312514323853/d778746dex41.htm" TargetMode="External"/><Relationship Id="rId81" Type="http://schemas.openxmlformats.org/officeDocument/2006/relationships/hyperlink" Target="http://www.sec.gov/Archives/edgar/data/72333/000007233315000097/jwn-q12015xex102.htm" TargetMode="External"/><Relationship Id="rId82" Type="http://schemas.openxmlformats.org/officeDocument/2006/relationships/hyperlink" Target="http://www.sec.gov/Archives/edgar/data/72333/000007233314000140/jwn-q22014xex106.htm" TargetMode="External"/><Relationship Id="rId83" Type="http://schemas.openxmlformats.org/officeDocument/2006/relationships/hyperlink" Target="http://www.sec.gov/Archives/edgar/data/72333/000007233314000158/jwn-q32014xex102.htm" TargetMode="External"/><Relationship Id="rId84" Type="http://schemas.openxmlformats.org/officeDocument/2006/relationships/hyperlink" Target="http://www.sec.gov/Archives/edgar/data/72333/000007233314000158/jwn-q32014xex103.htm" TargetMode="External"/><Relationship Id="rId85" Type="http://schemas.openxmlformats.org/officeDocument/2006/relationships/hyperlink" Target="http://www.sec.gov/Archives/edgar/data/72333/000119312512143108/d281048ddef14a.htm" TargetMode="External"/><Relationship Id="rId86" Type="http://schemas.openxmlformats.org/officeDocument/2006/relationships/hyperlink" Target="http://www.sec.gov/Archives/edgar/data/72333/000130817916000322/ljwn2016_def14a.htm" TargetMode="External"/><Relationship Id="rId87" Type="http://schemas.openxmlformats.org/officeDocument/2006/relationships/hyperlink" Target="http://www.sec.gov/Archives/edgar/data/72333/000119312511085144/ddef14a.htm" TargetMode="External"/><Relationship Id="rId88" Type="http://schemas.openxmlformats.org/officeDocument/2006/relationships/hyperlink" Target="http://www.sec.gov/Archives/edgar/data/72333/000007233316000371/jwn-q22016xex101.htm" TargetMode="External"/><Relationship Id="rId89" Type="http://schemas.openxmlformats.org/officeDocument/2006/relationships/hyperlink" Target="http://www.sec.gov/Archives/edgar/data/72333/000007233305000086/ni8kex101b.txt" TargetMode="External"/><Relationship Id="rId90" Type="http://schemas.openxmlformats.org/officeDocument/2006/relationships/hyperlink" Target="http://www.sec.gov/Archives/edgar/data/72333/000095013408005196/v39073exv10w45.htm" TargetMode="External"/><Relationship Id="rId91" Type="http://schemas.openxmlformats.org/officeDocument/2006/relationships/hyperlink" Target="http://www.sec.gov/Archives/edgar/data/72333/000007233307000023/ni8kex101b.txt" TargetMode="External"/><Relationship Id="rId92" Type="http://schemas.openxmlformats.org/officeDocument/2006/relationships/hyperlink" Target="http://www.sec.gov/Archives/edgar/data/72333/000089102008000041/v38364exv10w1.htm" TargetMode="External"/><Relationship Id="rId93" Type="http://schemas.openxmlformats.org/officeDocument/2006/relationships/hyperlink" Target="http://www.sec.gov/Archives/edgar/data/72333/000095013409004351/v51692exv10w2.htm" TargetMode="External"/><Relationship Id="rId94" Type="http://schemas.openxmlformats.org/officeDocument/2006/relationships/hyperlink" Target="http://www.sec.gov/Archives/edgar/data/72333/000095012309065248/v54140exv10w1.htm" TargetMode="External"/><Relationship Id="rId95" Type="http://schemas.openxmlformats.org/officeDocument/2006/relationships/hyperlink" Target="http://www.sec.gov/Archives/edgar/data/72333/000119312510265230/dex101.htm" TargetMode="External"/><Relationship Id="rId96" Type="http://schemas.openxmlformats.org/officeDocument/2006/relationships/hyperlink" Target="http://www.sec.gov/Archives/edgar/data/72333/000119312511317170/d257302dex101.htm" TargetMode="External"/><Relationship Id="rId97" Type="http://schemas.openxmlformats.org/officeDocument/2006/relationships/hyperlink" Target="http://www.sec.gov/Archives/edgar/data/72333/000119312512470833/d441142dex101.htm" TargetMode="External"/><Relationship Id="rId98" Type="http://schemas.openxmlformats.org/officeDocument/2006/relationships/hyperlink" Target="http://www.sec.gov/Archives/edgar/data/72333/000119312514082506/d687665dex101.htm" TargetMode="External"/><Relationship Id="rId99" Type="http://schemas.openxmlformats.org/officeDocument/2006/relationships/hyperlink" Target="http://www.sec.gov/Archives/edgar/data/72333/000119312515054192/d875189dex101.htm" TargetMode="External"/><Relationship Id="rId100" Type="http://schemas.openxmlformats.org/officeDocument/2006/relationships/hyperlink" Target="http://www.sec.gov/Archives/edgar/data/72333/000119312516488320/d152147dex101.htm" TargetMode="External"/><Relationship Id="rId101" Type="http://schemas.openxmlformats.org/officeDocument/2006/relationships/hyperlink" Target="http://www.sec.gov/Archives/edgar/data/72333/000007233316000371/jwn-q22016xex102.htm" TargetMode="External"/><Relationship Id="rId102" Type="http://schemas.openxmlformats.org/officeDocument/2006/relationships/hyperlink" Target="http://www.sec.gov/Archives/edgar/data/72333/000119312517054213/d342375dex101.htm" TargetMode="External"/><Relationship Id="rId103" Type="http://schemas.openxmlformats.org/officeDocument/2006/relationships/hyperlink" Target="http://www.sec.gov/Archives/edgar/data/72333/000089102004000369/v97696dedef14a.htm" TargetMode="External"/><Relationship Id="rId104" Type="http://schemas.openxmlformats.org/officeDocument/2006/relationships/hyperlink" Target="http://www.sec.gov/Archives/edgar/data/72333/000007233307000213/ex1044111907.txt" TargetMode="External"/><Relationship Id="rId105" Type="http://schemas.openxmlformats.org/officeDocument/2006/relationships/hyperlink" Target="http://www.sec.gov/Archives/edgar/data/72333/000095013408021126/v50680exv10w1.htm" TargetMode="External"/><Relationship Id="rId106" Type="http://schemas.openxmlformats.org/officeDocument/2006/relationships/hyperlink" Target="http://www.sec.gov/Archives/edgar/data/72333/000119312510079583/ddef14a.htm" TargetMode="External"/><Relationship Id="rId107" Type="http://schemas.openxmlformats.org/officeDocument/2006/relationships/hyperlink" Target="http://www.sec.gov/Archives/edgar/data/72333/000130817913000145/lnordstrom2013_def14a.htm" TargetMode="External"/><Relationship Id="rId108" Type="http://schemas.openxmlformats.org/officeDocument/2006/relationships/hyperlink" Target="http://www.sec.gov/Archives/edgar/data/72333/000119312514082506/d687665dex104.htm" TargetMode="External"/><Relationship Id="rId109" Type="http://schemas.openxmlformats.org/officeDocument/2006/relationships/hyperlink" Target="http://www.sec.gov/Archives/edgar/data/72333/000130817917000102/ljwn2017_def14a.htm" TargetMode="External"/><Relationship Id="rId110" Type="http://schemas.openxmlformats.org/officeDocument/2006/relationships/hyperlink" Target="http://www.sec.gov/Archives/edgar/data/72333/000089102005000104/v07697exv10w43.txt" TargetMode="External"/><Relationship Id="rId111" Type="http://schemas.openxmlformats.org/officeDocument/2006/relationships/hyperlink" Target="http://www.sec.gov/Archives/edgar/data/72333/000095013408005196/v39073exv10w56.htm" TargetMode="External"/><Relationship Id="rId112" Type="http://schemas.openxmlformats.org/officeDocument/2006/relationships/hyperlink" Target="http://www.sec.gov/Archives/edgar/data/72333/000095013408021126/v50680exv10w3.htm" TargetMode="External"/><Relationship Id="rId113" Type="http://schemas.openxmlformats.org/officeDocument/2006/relationships/hyperlink" Target="http://www.sec.gov/Archives/edgar/data/72333/000007233311000111/ex101082511.txt" TargetMode="External"/><Relationship Id="rId114" Type="http://schemas.openxmlformats.org/officeDocument/2006/relationships/hyperlink" Target="http://www.sec.gov/Archives/edgar/data/72333/000119312513091904/d498018dex101.htm" TargetMode="External"/><Relationship Id="rId115" Type="http://schemas.openxmlformats.org/officeDocument/2006/relationships/hyperlink" Target="http://www.sec.gov/Archives/edgar/data/72333/000119312516488320/d152147dex104.htm" TargetMode="External"/><Relationship Id="rId116" Type="http://schemas.openxmlformats.org/officeDocument/2006/relationships/hyperlink" Target="http://www.sec.gov/Archives/edgar/data/72333/000119312510265230/dex102.htm" TargetMode="External"/><Relationship Id="rId117" Type="http://schemas.openxmlformats.org/officeDocument/2006/relationships/hyperlink" Target="http://www.sec.gov/Archives/edgar/data/72333/000119312511317170/d257302dex102.htm" TargetMode="External"/><Relationship Id="rId118" Type="http://schemas.openxmlformats.org/officeDocument/2006/relationships/hyperlink" Target="http://www.sec.gov/Archives/edgar/data/72333/000119312512470833/d441142dex102.htm" TargetMode="External"/><Relationship Id="rId119" Type="http://schemas.openxmlformats.org/officeDocument/2006/relationships/hyperlink" Target="http://www.sec.gov/Archives/edgar/data/72333/000119312514082506/d687665dex103.htm" TargetMode="External"/><Relationship Id="rId120" Type="http://schemas.openxmlformats.org/officeDocument/2006/relationships/hyperlink" Target="http://www.sec.gov/Archives/edgar/data/72333/000119312515054192/d875189dex103.htm" TargetMode="External"/><Relationship Id="rId121" Type="http://schemas.openxmlformats.org/officeDocument/2006/relationships/hyperlink" Target="http://www.sec.gov/Archives/edgar/data/72333/000119312516488320/d152147dex103.htm" TargetMode="External"/><Relationship Id="rId122" Type="http://schemas.openxmlformats.org/officeDocument/2006/relationships/hyperlink" Target="http://www.sec.gov/Archives/edgar/data/72333/000119312517054213/d342375dex103.htm" TargetMode="External"/><Relationship Id="rId123" Type="http://schemas.openxmlformats.org/officeDocument/2006/relationships/hyperlink" Target="http://www.sec.gov/Archives/edgar/data/72333/000095013408021126/v50680exv10w4.htm" TargetMode="External"/><Relationship Id="rId124" Type="http://schemas.openxmlformats.org/officeDocument/2006/relationships/hyperlink" Target="http://www.sec.gov/Archives/edgar/data/72333/000095013409004351/v51692exv10w4.htm" TargetMode="External"/><Relationship Id="rId125" Type="http://schemas.openxmlformats.org/officeDocument/2006/relationships/hyperlink" Target="http://www.sec.gov/Archives/edgar/data/72333/000007233314000132/jwn-08252014xex101.htm" TargetMode="External"/><Relationship Id="rId126" Type="http://schemas.openxmlformats.org/officeDocument/2006/relationships/hyperlink" Target="http://www.sec.gov/Archives/edgar/data/72333/000007233314000132/jwn-08252014xex102.htm" TargetMode="External"/><Relationship Id="rId127" Type="http://schemas.openxmlformats.org/officeDocument/2006/relationships/hyperlink" Target="http://www.sec.gov/Archives/edgar/data/72333/000095013409004351/v51692exv10w1.htm" TargetMode="External"/><Relationship Id="rId128" Type="http://schemas.openxmlformats.org/officeDocument/2006/relationships/hyperlink" Target="http://www.sec.gov/Archives/edgar/data/72333/000119312511071211/dex1078.htm" TargetMode="External"/><Relationship Id="rId129" Type="http://schemas.openxmlformats.org/officeDocument/2006/relationships/hyperlink" Target="http://www.sec.gov/Archives/edgar/data/72333/000007233302000013/ex101.txt" TargetMode="External"/><Relationship Id="rId130" Type="http://schemas.openxmlformats.org/officeDocument/2006/relationships/hyperlink" Target="http://www.sec.gov/Archives/edgar/data/72333/000007233307000213/ni8k111907.txt" TargetMode="External"/><Relationship Id="rId131" Type="http://schemas.openxmlformats.org/officeDocument/2006/relationships/hyperlink" Target="http://www.sec.gov/Archives/edgar/data/72333/000095013407025032/v36114exv10w1.htm" TargetMode="External"/><Relationship Id="rId132" Type="http://schemas.openxmlformats.org/officeDocument/2006/relationships/hyperlink" Target="http://www.sec.gov/Archives/edgar/data/72333/000119312511317170/d257302dex103.htm" TargetMode="External"/><Relationship Id="rId133" Type="http://schemas.openxmlformats.org/officeDocument/2006/relationships/hyperlink" Target="http://www.sec.gov/Archives/edgar/data/72333/000119312512470833/d441142dex103.htm" TargetMode="External"/><Relationship Id="rId134" Type="http://schemas.openxmlformats.org/officeDocument/2006/relationships/hyperlink" Target="http://www.sec.gov/Archives/edgar/data/72333/000119312514082506/d687665dex102.htm" TargetMode="External"/><Relationship Id="rId135" Type="http://schemas.openxmlformats.org/officeDocument/2006/relationships/hyperlink" Target="http://www.sec.gov/Archives/edgar/data/72333/000119312515054192/d875189dex102.htm" TargetMode="External"/><Relationship Id="rId136" Type="http://schemas.openxmlformats.org/officeDocument/2006/relationships/hyperlink" Target="http://www.sec.gov/Archives/edgar/data/72333/000119312516488320/d152147dex102.htm" TargetMode="External"/><Relationship Id="rId137" Type="http://schemas.openxmlformats.org/officeDocument/2006/relationships/hyperlink" Target="http://www.sec.gov/Archives/edgar/data/72333/000007233316000371/jwn-q22016xex103.htm" TargetMode="External"/><Relationship Id="rId138" Type="http://schemas.openxmlformats.org/officeDocument/2006/relationships/hyperlink" Target="http://www.sec.gov/Archives/edgar/data/72333/000119312517054213/d342375dex102.htm" TargetMode="External"/><Relationship Id="rId139" Type="http://schemas.openxmlformats.org/officeDocument/2006/relationships/hyperlink" Target="http://www.sec.gov/Archives/edgar/data/72333/000007233317000071/jwn-1282017x10kex1067.htm" TargetMode="External"/><Relationship Id="rId140" Type="http://schemas.openxmlformats.org/officeDocument/2006/relationships/hyperlink" Target="http://www.sec.gov/Archives/edgar/data/72333/000007233304000209/ex104.txt" TargetMode="External"/><Relationship Id="rId141" Type="http://schemas.openxmlformats.org/officeDocument/2006/relationships/hyperlink" Target="http://www.sec.gov/Archives/edgar/data/72333/000007233304000209/ex105.txt" TargetMode="External"/><Relationship Id="rId143" Type="http://schemas.openxmlformats.org/officeDocument/2006/relationships/hyperlink" Target="http://www.sec.gov/Archives/edgar/data/72333/000119312515120063/d904027dex101.htm" TargetMode="External"/><Relationship Id="rId144" Type="http://schemas.openxmlformats.org/officeDocument/2006/relationships/hyperlink" Target="http://www.sec.gov/Archives/edgar/data/72333/000007233316000287/jwn-04062016xex101.htm" TargetMode="External"/><Relationship Id="rId145" Type="http://schemas.openxmlformats.org/officeDocument/2006/relationships/hyperlink" Target="http://www.sec.gov/Archives/edgar/data/72333/000089102002000499/v80728ex10-38.txt" TargetMode="External"/><Relationship Id="rId146" Type="http://schemas.openxmlformats.org/officeDocument/2006/relationships/hyperlink" Target="http://www.sec.gov/Archives/edgar/data/72333/000136231007000681/c70464exv99w2.htm" TargetMode="External"/><Relationship Id="rId147" Type="http://schemas.openxmlformats.org/officeDocument/2006/relationships/hyperlink" Target="http://www.sec.gov/Archives/edgar/data/72333/000136231007000681/c70464exv99w4.htm" TargetMode="External"/><Relationship Id="rId148" Type="http://schemas.openxmlformats.org/officeDocument/2006/relationships/hyperlink" Target="http://www.sec.gov/Archives/edgar/data/72333/000136231007000681/c70464exv99w5.htm" TargetMode="External"/><Relationship Id="rId149" Type="http://schemas.openxmlformats.org/officeDocument/2006/relationships/hyperlink" Target="http://www.sec.gov/Archives/edgar/data/72333/000136231007000681/c70464exv99w6.htm" TargetMode="External"/><Relationship Id="rId150" Type="http://schemas.openxmlformats.org/officeDocument/2006/relationships/hyperlink" Target="http://www.sec.gov/Archives/edgar/data/72333/000136231007000681/c70464exv99w3.htm" TargetMode="External"/><Relationship Id="rId151" Type="http://schemas.openxmlformats.org/officeDocument/2006/relationships/hyperlink" Target="http://www.sec.gov/Archives/edgar/data/72333/000136231007000681/c70464exv99w1.htm" TargetMode="External"/><Relationship Id="rId152" Type="http://schemas.openxmlformats.org/officeDocument/2006/relationships/hyperlink" Target="http://www.sec.gov/Archives/edgar/data/72333/000095012309073083/v54480exv10w1.htm" TargetMode="External"/><Relationship Id="rId153" Type="http://schemas.openxmlformats.org/officeDocument/2006/relationships/hyperlink" Target="http://www.sec.gov/Archives/edgar/data/72333/000095012309073083/v54480exv10w2.htm" TargetMode="External"/><Relationship Id="rId154" Type="http://schemas.openxmlformats.org/officeDocument/2006/relationships/hyperlink" Target="http://www.sec.gov/Archives/edgar/data/72333/000007233313000003/ex99102272013.txt" TargetMode="External"/><Relationship Id="rId155" Type="http://schemas.openxmlformats.org/officeDocument/2006/relationships/hyperlink" Target="http://www.sec.gov/Archives/edgar/data/72333/000007233314000142/jwn-09042014xex991.htm" TargetMode="External"/><Relationship Id="rId156" Type="http://schemas.openxmlformats.org/officeDocument/2006/relationships/hyperlink" Target="http://www.sec.gov/Archives/edgar/data/72333/000007233315000143/jwn-10022015xex991.htm" TargetMode="External"/><Relationship Id="rId157" Type="http://schemas.openxmlformats.org/officeDocument/2006/relationships/hyperlink" Target="http://www.sec.gov/Archives/edgar/data/72333/000007233317000003/jwn-02212017xex992.htm" TargetMode="External"/><Relationship Id="rId160" Type="http://schemas.openxmlformats.org/officeDocument/2006/relationships/hyperlink" Target="http://www.sec.gov/Archives/edgar/data/72333/000119312513461073/d639248dex991.htm" TargetMode="External"/><Relationship Id="rId161" Type="http://schemas.openxmlformats.org/officeDocument/2006/relationships/hyperlink" Target="http://www.sec.gov/Archives/edgar/data/72333/000119312513461073/d639248dex992.htm" TargetMode="External"/><Relationship Id="rId162" Type="http://schemas.openxmlformats.org/officeDocument/2006/relationships/hyperlink" Target="http://www.sec.gov/Archives/edgar/data/72333/000119312513471789/d642094dex991.htm" TargetMode="External"/><Relationship Id="rId163" Type="http://schemas.openxmlformats.org/officeDocument/2006/relationships/hyperlink" Target="http://www.sec.gov/Archives/edgar/data/72333/000119312513475894/d645976dex991.htm" TargetMode="External"/><Relationship Id="rId164" Type="http://schemas.openxmlformats.org/officeDocument/2006/relationships/hyperlink" Target="http://www.sec.gov/Archives/edgar/data/72333/000119312514000900/d649904dex991.htm" TargetMode="External"/><Relationship Id="rId165" Type="http://schemas.openxmlformats.org/officeDocument/2006/relationships/hyperlink" Target="http://www.sec.gov/Archives/edgar/data/72333/000007233315000131/jwn-q22015xex101.htm" TargetMode="External"/><Relationship Id="rId166" Type="http://schemas.openxmlformats.org/officeDocument/2006/relationships/hyperlink" Target="http://www.sec.gov/Archives/edgar/data/72333/000007233315000182/jwn-q32015xex101.htm" TargetMode="External"/><Relationship Id="rId167" Type="http://schemas.openxmlformats.org/officeDocument/2006/relationships/hyperlink" Target="http://www.sec.gov/Archives/edgar/data/72333/000119312517197746/d411855dex99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2019-12-28T23:59:39Z</dcterms:created>
  <dcterms:modified xsi:type="dcterms:W3CDTF">2019-12-28T23:59:39Z</dcterms:modified>
</cp:coreProperties>
</file>