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4000" w:right="2220" w:hanging="3965"/>
        <w:spacing w:after="0" w:line="333" w:lineRule="auto"/>
        <w:tabs>
          <w:tab w:leader="none" w:pos="527"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July 29, 2017</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440" w:right="2200" w:hanging="3405"/>
        <w:spacing w:after="0" w:line="333"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8"/>
          <w:szCs w:val="18"/>
          <w:b w:val="1"/>
          <w:bCs w:val="1"/>
          <w:color w:val="auto"/>
        </w:rPr>
        <w:t>For the transition period from ___________ to___________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8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Washington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594"/>
        </w:trPr>
        <w:tc>
          <w:tcPr>
            <w:tcW w:w="6580" w:type="dxa"/>
            <w:vAlign w:val="bottom"/>
          </w:tcPr>
          <w:p>
            <w:pPr>
              <w:jc w:val="center"/>
              <w:ind w:right="347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91"/>
        </w:trPr>
        <w:tc>
          <w:tcPr>
            <w:tcW w:w="6580" w:type="dxa"/>
            <w:vAlign w:val="bottom"/>
          </w:tcPr>
          <w:p>
            <w:pPr>
              <w:jc w:val="right"/>
              <w:ind w:right="1510"/>
              <w:spacing w:after="0"/>
              <w:rPr>
                <w:sz w:val="20"/>
                <w:szCs w:val="20"/>
                <w:color w:val="auto"/>
              </w:rPr>
            </w:pPr>
            <w:r>
              <w:rPr>
                <w:rFonts w:ascii="Arial" w:cs="Arial" w:eastAsia="Arial" w:hAnsi="Arial"/>
                <w:sz w:val="18"/>
                <w:szCs w:val="18"/>
                <w:b w:val="1"/>
                <w:bCs w:val="1"/>
                <w:color w:val="auto"/>
              </w:rPr>
              <w:t>206-628-2111</w:t>
            </w:r>
          </w:p>
        </w:tc>
        <w:tc>
          <w:tcPr>
            <w:tcW w:w="1540" w:type="dxa"/>
            <w:vAlign w:val="bottom"/>
          </w:tcPr>
          <w:p>
            <w:pPr>
              <w:spacing w:after="0"/>
              <w:rPr>
                <w:sz w:val="24"/>
                <w:szCs w:val="24"/>
                <w:color w:val="auto"/>
              </w:rPr>
            </w:pPr>
          </w:p>
        </w:tc>
      </w:tr>
      <w:tr>
        <w:trPr>
          <w:trHeight w:val="230"/>
        </w:trPr>
        <w:tc>
          <w:tcPr>
            <w:tcW w:w="6580" w:type="dxa"/>
            <w:vAlign w:val="bottom"/>
          </w:tcPr>
          <w:p>
            <w:pPr>
              <w:jc w:val="center"/>
              <w:ind w:left="227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14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95"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00" w:space="720"/>
            <w:col w:w="4300"/>
          </w:cols>
          <w:pgMar w:left="240" w:top="225" w:right="23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3">
            <w:col w:w="2120" w:space="40"/>
            <w:col w:w="4240" w:space="720"/>
            <w:col w:w="4300"/>
          </w:cols>
          <w:pgMar w:left="240" w:top="225" w:right="239" w:bottom="1440" w:gutter="0" w:footer="0" w:header="0"/>
          <w:type w:val="continuous"/>
        </w:sectPr>
      </w:pPr>
    </w:p>
    <w:p>
      <w:pPr>
        <w:ind w:left="7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5" w:right="239" w:bottom="1440" w:gutter="0" w:footer="0" w:header="0"/>
          <w:type w:val="continuous"/>
        </w:sectPr>
      </w:pPr>
    </w:p>
    <w:p>
      <w:pPr>
        <w:spacing w:after="0" w:line="24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August 23, 2017: 166,239,726 shares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 of 29</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00" w:type="dxa"/>
            <w:vAlign w:val="bottom"/>
            <w:gridSpan w:val="14"/>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4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1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Earnings</w:t>
              </w:r>
            </w:hyperlink>
          </w:p>
        </w:tc>
        <w:tc>
          <w:tcPr>
            <w:tcW w:w="4080" w:type="dxa"/>
            <w:vAlign w:val="bottom"/>
            <w:gridSpan w:val="10"/>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0" w:type="dxa"/>
            <w:vAlign w:val="bottom"/>
            <w:gridSpan w:val="16"/>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Quarter and Six Months Ended July 29, 2017 and July 30, 2016</w:t>
              </w:r>
            </w:hyperlink>
          </w:p>
        </w:tc>
        <w:tc>
          <w:tcPr>
            <w:tcW w:w="3040" w:type="dxa"/>
            <w:vAlign w:val="bottom"/>
            <w:gridSpan w:val="3"/>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Earnings</w:t>
              </w:r>
            </w:hyperlink>
          </w:p>
        </w:tc>
        <w:tc>
          <w:tcPr>
            <w:tcW w:w="29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Quarter and Six Months Ended July 29, 2017 and July 30, 2016</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w:t>
              </w:r>
            </w:hyperlink>
          </w:p>
        </w:tc>
        <w:tc>
          <w:tcPr>
            <w:tcW w:w="1620" w:type="dxa"/>
            <w:vAlign w:val="bottom"/>
            <w:tcBorders>
              <w:top w:val="single" w:sz="8" w:color="0000EE"/>
            </w:tcBorders>
            <w:gridSpan w:val="8"/>
          </w:tcPr>
          <w:p>
            <w:pPr>
              <w:spacing w:after="0"/>
              <w:rPr>
                <w:sz w:val="24"/>
                <w:szCs w:val="24"/>
                <w:color w:val="auto"/>
              </w:rPr>
            </w:pPr>
          </w:p>
        </w:tc>
        <w:tc>
          <w:tcPr>
            <w:tcW w:w="304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July 29, 2017, January 28, 2017 and July 30, 2016</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w:t>
              </w:r>
            </w:hyperlink>
          </w:p>
        </w:tc>
        <w:tc>
          <w:tcPr>
            <w:tcW w:w="3200" w:type="dxa"/>
            <w:vAlign w:val="bottom"/>
            <w:gridSpan w:val="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Six Months Ended July 29, 2017 and July 30, 2016</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3880" w:type="dxa"/>
            <w:vAlign w:val="bottom"/>
            <w:gridSpan w:val="7"/>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Six Months Ended July 29, 2017 and July 30, 2016</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40" w:type="dxa"/>
            <w:vAlign w:val="bottom"/>
            <w:gridSpan w:val="6"/>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6500" w:type="dxa"/>
            <w:vAlign w:val="bottom"/>
            <w:gridSpan w:val="19"/>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4380" w:type="dxa"/>
            <w:vAlign w:val="bottom"/>
            <w:gridSpan w:val="1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3600" w:type="dxa"/>
            <w:vAlign w:val="bottom"/>
            <w:tcBorders>
              <w:left w:val="single" w:sz="8" w:color="0000EE"/>
            </w:tcBorders>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438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3600" w:type="dxa"/>
            <w:vAlign w:val="bottom"/>
            <w:gridSpan w:val="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6500" w:type="dxa"/>
            <w:vAlign w:val="bottom"/>
            <w:gridSpan w:val="15"/>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1380" w:type="dxa"/>
            <w:vAlign w:val="bottom"/>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600" w:type="dxa"/>
            <w:vAlign w:val="bottom"/>
            <w:gridSpan w:val="16"/>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1A.</w:t>
            </w:r>
          </w:p>
        </w:tc>
        <w:tc>
          <w:tcPr>
            <w:tcW w:w="138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600" w:type="dxa"/>
            <w:vAlign w:val="bottom"/>
            <w:gridSpan w:val="16"/>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798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3"/>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3740" w:type="dxa"/>
            <w:vAlign w:val="bottom"/>
            <w:gridSpan w:val="13"/>
          </w:tcPr>
          <w:p>
            <w:pPr>
              <w:spacing w:after="0"/>
              <w:rPr>
                <w:sz w:val="24"/>
                <w:szCs w:val="24"/>
                <w:color w:val="auto"/>
              </w:rPr>
            </w:pPr>
          </w:p>
        </w:tc>
        <w:tc>
          <w:tcPr>
            <w:tcW w:w="3600" w:type="dxa"/>
            <w:vAlign w:val="bottom"/>
            <w:gridSpan w:val="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Arial" w:cs="Arial" w:eastAsia="Arial" w:hAnsi="Arial"/>
                <w:sz w:val="18"/>
                <w:szCs w:val="18"/>
                <w:b w:val="1"/>
                <w:bCs w:val="1"/>
                <w:color w:val="0000EE"/>
                <w:w w:val="85"/>
              </w:rPr>
            </w:pPr>
            <w:hyperlink w:anchor="page28">
              <w:r>
                <w:rPr>
                  <w:rFonts w:ascii="Arial" w:cs="Arial" w:eastAsia="Arial" w:hAnsi="Arial"/>
                  <w:sz w:val="18"/>
                  <w:szCs w:val="18"/>
                  <w:b w:val="1"/>
                  <w:bCs w:val="1"/>
                  <w:color w:val="0000EE"/>
                  <w:w w:val="85"/>
                </w:rPr>
                <w:t>Signatures</w:t>
              </w:r>
            </w:hyperlink>
          </w:p>
        </w:tc>
        <w:tc>
          <w:tcPr>
            <w:tcW w:w="560" w:type="dxa"/>
            <w:vAlign w:val="bottom"/>
            <w:gridSpan w:val="2"/>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Exhibit Index</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60" w:type="dxa"/>
            <w:vAlign w:val="bottom"/>
            <w:gridSpan w:val="8"/>
          </w:tcPr>
          <w:p>
            <w:pPr>
              <w:ind w:left="20"/>
              <w:spacing w:after="0"/>
              <w:rPr>
                <w:sz w:val="20"/>
                <w:szCs w:val="20"/>
                <w:color w:val="auto"/>
              </w:rPr>
            </w:pPr>
            <w:r>
              <w:rPr>
                <w:rFonts w:ascii="Arial" w:cs="Arial" w:eastAsia="Arial" w:hAnsi="Arial"/>
                <w:sz w:val="18"/>
                <w:szCs w:val="18"/>
                <w:color w:val="auto"/>
              </w:rPr>
              <w:t>2 of 29</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760" w:firstLine="3757"/>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30, 2016</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$3,717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$6,996</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76</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152</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3,793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3,651</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7,148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Cost of sales and related buying and occupancy costs</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(2,451)</w:t>
            </w:r>
          </w:p>
        </w:tc>
        <w:tc>
          <w:tcPr>
            <w:tcW w:w="1180" w:type="dxa"/>
            <w:vAlign w:val="bottom"/>
          </w:tcPr>
          <w:p>
            <w:pPr>
              <w:jc w:val="right"/>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20"/>
                <w:szCs w:val="20"/>
                <w:color w:val="auto"/>
              </w:rPr>
            </w:pPr>
          </w:p>
        </w:tc>
        <w:tc>
          <w:tcPr>
            <w:tcW w:w="2600" w:type="dxa"/>
            <w:vAlign w:val="bottom"/>
          </w:tcPr>
          <w:p>
            <w:pPr>
              <w:jc w:val="right"/>
              <w:ind w:right="779"/>
              <w:spacing w:after="0"/>
              <w:rPr>
                <w:sz w:val="20"/>
                <w:szCs w:val="20"/>
                <w:color w:val="auto"/>
              </w:rPr>
            </w:pPr>
            <w:r>
              <w:rPr>
                <w:rFonts w:ascii="Arial" w:cs="Arial" w:eastAsia="Arial" w:hAnsi="Arial"/>
                <w:sz w:val="16"/>
                <w:szCs w:val="16"/>
                <w:b w:val="1"/>
                <w:bCs w:val="1"/>
                <w:color w:val="auto"/>
              </w:rPr>
              <w:t>(4,607)</w:t>
            </w:r>
          </w:p>
        </w:tc>
        <w:tc>
          <w:tcPr>
            <w:tcW w:w="1120" w:type="dxa"/>
            <w:vAlign w:val="bottom"/>
          </w:tcPr>
          <w:p>
            <w:pPr>
              <w:jc w:val="right"/>
              <w:spacing w:after="0"/>
              <w:rPr>
                <w:sz w:val="20"/>
                <w:szCs w:val="20"/>
                <w:color w:val="auto"/>
              </w:rPr>
            </w:pPr>
            <w:r>
              <w:rPr>
                <w:rFonts w:ascii="Arial" w:cs="Arial" w:eastAsia="Arial" w:hAnsi="Arial"/>
                <w:sz w:val="16"/>
                <w:szCs w:val="16"/>
                <w:color w:val="auto"/>
              </w:rPr>
              <w:t>(4,459)</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(1,125)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(2,173)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(2,114)</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217</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368</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(76)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188</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292</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(78)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(119)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earnings</w:t>
            </w: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$110</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$173</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2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$0.66</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$1.04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$0.65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$1.02</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$0.93</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2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166.4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166.8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168.5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168.8</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175.2</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30, 2016</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$110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$173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32</w:t>
            </w: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20</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plan adjustments, net of tax</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$143</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$195</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29</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29, 2017</w:t>
            </w:r>
          </w:p>
        </w:tc>
        <w:tc>
          <w:tcPr>
            <w:tcW w:w="2060" w:type="dxa"/>
            <w:vAlign w:val="bottom"/>
          </w:tcPr>
          <w:p>
            <w:pPr>
              <w:jc w:val="right"/>
              <w:ind w:right="439"/>
              <w:spacing w:after="0"/>
              <w:rPr>
                <w:sz w:val="20"/>
                <w:szCs w:val="20"/>
                <w:color w:val="auto"/>
              </w:rPr>
            </w:pPr>
            <w:r>
              <w:rPr>
                <w:rFonts w:ascii="Arial" w:cs="Arial" w:eastAsia="Arial" w:hAnsi="Arial"/>
                <w:sz w:val="16"/>
                <w:szCs w:val="16"/>
                <w:b w:val="1"/>
                <w:bCs w:val="1"/>
                <w:color w:val="auto"/>
              </w:rPr>
              <w:t>January 28, 2017</w:t>
            </w:r>
          </w:p>
        </w:tc>
        <w:tc>
          <w:tcPr>
            <w:tcW w:w="150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7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7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$919</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$1,007</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320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199</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2,077</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1,896</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157</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140</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3,473</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3,242</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3,350</w:t>
            </w:r>
          </w:p>
        </w:tc>
        <w:tc>
          <w:tcPr>
            <w:tcW w:w="0" w:type="dxa"/>
            <w:vAlign w:val="bottom"/>
          </w:tcPr>
          <w:p>
            <w:pPr>
              <w:spacing w:after="0"/>
              <w:rPr>
                <w:sz w:val="1"/>
                <w:szCs w:val="1"/>
                <w:color w:val="auto"/>
              </w:rPr>
            </w:pPr>
          </w:p>
        </w:tc>
      </w:tr>
      <w:tr>
        <w:trPr>
          <w:trHeight w:val="297"/>
        </w:trPr>
        <w:tc>
          <w:tcPr>
            <w:tcW w:w="6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Land, property and equipment (net of accumulated depreciation of $5,866, $5,596 and</w:t>
            </w:r>
          </w:p>
        </w:tc>
        <w:tc>
          <w:tcPr>
            <w:tcW w:w="178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3,930</w:t>
            </w:r>
          </w:p>
        </w:tc>
        <w:tc>
          <w:tcPr>
            <w:tcW w:w="20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$5,330)</w:t>
            </w:r>
          </w:p>
        </w:tc>
        <w:tc>
          <w:tcPr>
            <w:tcW w:w="1780" w:type="dxa"/>
            <w:vAlign w:val="bottom"/>
            <w:tcBorders>
              <w:bottom w:val="single" w:sz="8" w:color="CCEEFF"/>
            </w:tcBorders>
            <w:vMerge w:val="continue"/>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3,897</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Goodwill</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238</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238</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520</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481</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1"/>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7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$8,161</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$7,858</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$8,130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7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7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$1,704</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$1,340</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397</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455</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1,339</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1,223</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11</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11</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1"/>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17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3,451</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3,029</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3,321</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2,729</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2,763</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524</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521</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672</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675</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Commitments and contingencies (Note 4)</w:t>
            </w:r>
          </w:p>
        </w:tc>
        <w:tc>
          <w:tcPr>
            <w:tcW w:w="17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17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no par value: 1,000 shares authorized; 166.2, 170.0 and 173.3</w:t>
            </w:r>
          </w:p>
        </w:tc>
        <w:tc>
          <w:tcPr>
            <w:tcW w:w="178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2,757</w:t>
            </w:r>
          </w:p>
        </w:tc>
        <w:tc>
          <w:tcPr>
            <w:tcW w:w="20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shares issued and outstanding</w:t>
            </w:r>
          </w:p>
        </w:tc>
        <w:tc>
          <w:tcPr>
            <w:tcW w:w="1780" w:type="dxa"/>
            <w:vAlign w:val="bottom"/>
            <w:tcBorders>
              <w:bottom w:val="single" w:sz="8" w:color="CCEEFF"/>
            </w:tcBorders>
            <w:vMerge w:val="continue"/>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2,707</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rPr>
              <w:t>(1,951)</w:t>
            </w:r>
          </w:p>
        </w:tc>
        <w:tc>
          <w:tcPr>
            <w:tcW w:w="2060" w:type="dxa"/>
            <w:vAlign w:val="bottom"/>
          </w:tcPr>
          <w:p>
            <w:pPr>
              <w:jc w:val="right"/>
              <w:ind w:right="399"/>
              <w:spacing w:after="0"/>
              <w:rPr>
                <w:sz w:val="20"/>
                <w:szCs w:val="20"/>
                <w:color w:val="auto"/>
              </w:rPr>
            </w:pPr>
            <w:r>
              <w:rPr>
                <w:rFonts w:ascii="Arial" w:cs="Arial" w:eastAsia="Arial" w:hAnsi="Arial"/>
                <w:sz w:val="16"/>
                <w:szCs w:val="16"/>
                <w:color w:val="auto"/>
              </w:rPr>
              <w:t>(1,794)</w:t>
            </w:r>
          </w:p>
        </w:tc>
        <w:tc>
          <w:tcPr>
            <w:tcW w:w="1500" w:type="dxa"/>
            <w:vAlign w:val="bottom"/>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7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(21)</w:t>
            </w:r>
          </w:p>
        </w:tc>
        <w:tc>
          <w:tcPr>
            <w:tcW w:w="20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1"/>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shareholders’ equity</w:t>
            </w:r>
          </w:p>
        </w:tc>
        <w:tc>
          <w:tcPr>
            <w:tcW w:w="17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785</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870</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$8,161</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$7,858</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$8,130</w:t>
            </w:r>
          </w:p>
        </w:tc>
        <w:tc>
          <w:tcPr>
            <w:tcW w:w="0" w:type="dxa"/>
            <w:vAlign w:val="bottom"/>
          </w:tcPr>
          <w:p>
            <w:pPr>
              <w:spacing w:after="0"/>
              <w:rPr>
                <w:sz w:val="1"/>
                <w:szCs w:val="1"/>
                <w:color w:val="auto"/>
              </w:rPr>
            </w:pPr>
          </w:p>
        </w:tc>
      </w:tr>
      <w:tr>
        <w:trPr>
          <w:trHeight w:val="20"/>
        </w:trPr>
        <w:tc>
          <w:tcPr>
            <w:tcW w:w="60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29</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ind w:right="-59"/>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jc w:val="right"/>
              <w:ind w:right="579"/>
              <w:spacing w:after="0"/>
              <w:rPr>
                <w:sz w:val="20"/>
                <w:szCs w:val="20"/>
                <w:color w:val="auto"/>
              </w:rPr>
            </w:pPr>
            <w:r>
              <w:rPr>
                <w:rFonts w:ascii="Arial" w:cs="Arial" w:eastAsia="Arial" w:hAnsi="Arial"/>
                <w:sz w:val="16"/>
                <w:szCs w:val="16"/>
                <w:b w:val="1"/>
                <w:bCs w:val="1"/>
                <w:color w:val="auto"/>
              </w:rPr>
              <w:t>Accumulated</w:t>
            </w:r>
          </w:p>
        </w:tc>
        <w:tc>
          <w:tcPr>
            <w:tcW w:w="104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920" w:type="dxa"/>
            <w:vAlign w:val="bottom"/>
          </w:tcPr>
          <w:p>
            <w:pPr>
              <w:jc w:val="right"/>
              <w:ind w:right="539"/>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920" w:type="dxa"/>
            <w:vAlign w:val="bottom"/>
          </w:tcPr>
          <w:p>
            <w:pPr>
              <w:jc w:val="right"/>
              <w:ind w:right="539"/>
              <w:spacing w:after="0"/>
              <w:rPr>
                <w:sz w:val="20"/>
                <w:szCs w:val="20"/>
                <w:color w:val="auto"/>
              </w:rPr>
            </w:pPr>
            <w:r>
              <w:rPr>
                <w:rFonts w:ascii="Arial" w:cs="Arial" w:eastAsia="Arial" w:hAnsi="Arial"/>
                <w:sz w:val="16"/>
                <w:szCs w:val="16"/>
                <w:b w:val="1"/>
                <w:bCs w:val="1"/>
                <w:color w:val="auto"/>
              </w:rPr>
              <w:t>Comprehensive</w:t>
            </w:r>
          </w:p>
        </w:tc>
        <w:tc>
          <w:tcPr>
            <w:tcW w:w="104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6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920" w:type="dxa"/>
            <w:vAlign w:val="bottom"/>
          </w:tcPr>
          <w:p>
            <w:pPr>
              <w:jc w:val="right"/>
              <w:ind w:right="539"/>
              <w:spacing w:after="0"/>
              <w:rPr>
                <w:sz w:val="20"/>
                <w:szCs w:val="20"/>
                <w:color w:val="auto"/>
              </w:rPr>
            </w:pPr>
            <w:r>
              <w:rPr>
                <w:rFonts w:ascii="Arial" w:cs="Arial" w:eastAsia="Arial" w:hAnsi="Arial"/>
                <w:sz w:val="16"/>
                <w:szCs w:val="16"/>
                <w:b w:val="1"/>
                <w:bCs w:val="1"/>
                <w:color w:val="auto"/>
              </w:rPr>
              <w:t>Loss</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28, 2017</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170.0</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$2,707</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($1,794)</w:t>
            </w:r>
          </w:p>
        </w:tc>
        <w:tc>
          <w:tcPr>
            <w:tcW w:w="19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($43)</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173</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22</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Dividends ($0.74 per share)</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(124)</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0.4</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0.4</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2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(4.6)</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(206)</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July 29, 2017</w:t>
            </w:r>
          </w:p>
        </w:tc>
        <w:tc>
          <w:tcPr>
            <w:tcW w:w="226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166.2</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$2,757</w:t>
            </w:r>
          </w:p>
        </w:tc>
        <w:tc>
          <w:tcPr>
            <w:tcW w:w="17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($1,951)</w:t>
            </w:r>
          </w:p>
        </w:tc>
        <w:tc>
          <w:tcPr>
            <w:tcW w:w="19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($21)</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$785</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49"/>
        </w:trPr>
        <w:tc>
          <w:tcPr>
            <w:tcW w:w="3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jc w:val="right"/>
              <w:ind w:right="539"/>
              <w:spacing w:after="0"/>
              <w:rPr>
                <w:sz w:val="20"/>
                <w:szCs w:val="20"/>
                <w:color w:val="auto"/>
              </w:rPr>
            </w:pPr>
            <w:r>
              <w:rPr>
                <w:rFonts w:ascii="Arial" w:cs="Arial" w:eastAsia="Arial" w:hAnsi="Arial"/>
                <w:sz w:val="16"/>
                <w:szCs w:val="16"/>
                <w:b w:val="1"/>
                <w:bCs w:val="1"/>
                <w:color w:val="auto"/>
              </w:rPr>
              <w:t>Accumulated</w:t>
            </w:r>
          </w:p>
        </w:tc>
        <w:tc>
          <w:tcPr>
            <w:tcW w:w="1040" w:type="dxa"/>
            <w:vAlign w:val="bottom"/>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920" w:type="dxa"/>
            <w:vAlign w:val="bottom"/>
          </w:tcPr>
          <w:p>
            <w:pPr>
              <w:jc w:val="right"/>
              <w:ind w:right="539"/>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920" w:type="dxa"/>
            <w:vAlign w:val="bottom"/>
          </w:tcPr>
          <w:p>
            <w:pPr>
              <w:jc w:val="right"/>
              <w:ind w:right="539"/>
              <w:spacing w:after="0"/>
              <w:rPr>
                <w:sz w:val="20"/>
                <w:szCs w:val="20"/>
                <w:color w:val="auto"/>
              </w:rPr>
            </w:pPr>
            <w:r>
              <w:rPr>
                <w:rFonts w:ascii="Arial" w:cs="Arial" w:eastAsia="Arial" w:hAnsi="Arial"/>
                <w:sz w:val="16"/>
                <w:szCs w:val="16"/>
                <w:b w:val="1"/>
                <w:bCs w:val="1"/>
                <w:color w:val="auto"/>
              </w:rPr>
              <w:t>Comprehensive</w:t>
            </w:r>
          </w:p>
        </w:tc>
        <w:tc>
          <w:tcPr>
            <w:tcW w:w="104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6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920" w:type="dxa"/>
            <w:vAlign w:val="bottom"/>
          </w:tcPr>
          <w:p>
            <w:pPr>
              <w:jc w:val="right"/>
              <w:ind w:right="539"/>
              <w:spacing w:after="0"/>
              <w:rPr>
                <w:sz w:val="20"/>
                <w:szCs w:val="20"/>
                <w:color w:val="auto"/>
              </w:rPr>
            </w:pPr>
            <w:r>
              <w:rPr>
                <w:rFonts w:ascii="Arial" w:cs="Arial" w:eastAsia="Arial" w:hAnsi="Arial"/>
                <w:sz w:val="16"/>
                <w:szCs w:val="16"/>
                <w:b w:val="1"/>
                <w:bCs w:val="1"/>
                <w:color w:val="auto"/>
              </w:rPr>
              <w:t>Loss</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at January 30, 2016</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173.5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$2,539</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($1,610)</w:t>
            </w:r>
          </w:p>
        </w:tc>
        <w:tc>
          <w:tcPr>
            <w:tcW w:w="1920" w:type="dxa"/>
            <w:vAlign w:val="bottom"/>
          </w:tcPr>
          <w:p>
            <w:pPr>
              <w:jc w:val="right"/>
              <w:ind w:right="499"/>
              <w:spacing w:after="0"/>
              <w:rPr>
                <w:sz w:val="20"/>
                <w:szCs w:val="20"/>
                <w:color w:val="auto"/>
              </w:rPr>
            </w:pPr>
            <w:r>
              <w:rPr>
                <w:rFonts w:ascii="Arial" w:cs="Arial" w:eastAsia="Arial" w:hAnsi="Arial"/>
                <w:sz w:val="16"/>
                <w:szCs w:val="16"/>
                <w:color w:val="auto"/>
              </w:rPr>
              <w:t>($58)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163</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earnings</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18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($0.74 per share)</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(128)</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3540" w:type="dxa"/>
            <w:vAlign w:val="bottom"/>
          </w:tcPr>
          <w:p>
            <w:pPr>
              <w:ind w:left="280"/>
              <w:spacing w:after="0"/>
              <w:rPr>
                <w:sz w:val="20"/>
                <w:szCs w:val="20"/>
                <w:color w:val="auto"/>
              </w:rPr>
            </w:pPr>
            <w:r>
              <w:rPr>
                <w:rFonts w:ascii="Arial" w:cs="Arial" w:eastAsia="Arial" w:hAnsi="Arial"/>
                <w:sz w:val="16"/>
                <w:szCs w:val="16"/>
                <w:color w:val="auto"/>
              </w:rPr>
              <w:t>plans</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0.9</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0.2</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2260" w:type="dxa"/>
            <w:vAlign w:val="bottom"/>
          </w:tcPr>
          <w:p>
            <w:pPr>
              <w:jc w:val="right"/>
              <w:ind w:right="759"/>
              <w:spacing w:after="0"/>
              <w:rPr>
                <w:sz w:val="20"/>
                <w:szCs w:val="20"/>
                <w:color w:val="auto"/>
              </w:rPr>
            </w:pPr>
            <w:r>
              <w:rPr>
                <w:rFonts w:ascii="Arial" w:cs="Arial" w:eastAsia="Arial" w:hAnsi="Arial"/>
                <w:sz w:val="16"/>
                <w:szCs w:val="16"/>
                <w:color w:val="auto"/>
              </w:rPr>
              <w:t>(1.3)</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July 30, 2016</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173.3</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($1,635)</w:t>
            </w:r>
          </w:p>
        </w:tc>
        <w:tc>
          <w:tcPr>
            <w:tcW w:w="19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($40)</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r>
      <w:tr>
        <w:trPr>
          <w:trHeight w:val="20"/>
        </w:trPr>
        <w:tc>
          <w:tcPr>
            <w:tcW w:w="354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 of 29</w:t>
      </w:r>
    </w:p>
    <w:p>
      <w:pPr>
        <w:sectPr>
          <w:pgSz w:w="11900" w:h="16838" w:orient="portrait"/>
          <w:cols w:equalWidth="0" w:num="1">
            <w:col w:w="11360"/>
          </w:cols>
          <w:pgMar w:left="240" w:top="118" w:right="2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4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$173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320</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(48)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(71)</w:t>
            </w: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(120)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Merchandise inventories</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(141)</w:t>
            </w: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(24)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319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(58)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current liabilities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117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property incentives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46</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20</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574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w:t>
            </w:r>
          </w:p>
        </w:tc>
      </w:tr>
      <w:tr>
        <w:trPr>
          <w:trHeight w:val="291"/>
        </w:trPr>
        <w:tc>
          <w:tcPr>
            <w:tcW w:w="76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(341)</w:t>
            </w:r>
          </w:p>
        </w:tc>
        <w:tc>
          <w:tcPr>
            <w:tcW w:w="112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64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(308)</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635</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(655)</w:t>
            </w: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(decrease) in cash book overdrafts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(124)</w:t>
            </w:r>
          </w:p>
        </w:tc>
        <w:tc>
          <w:tcPr>
            <w:tcW w:w="11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(211)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14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withholding on share-based awards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(13)</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(354)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91"/>
        </w:trPr>
        <w:tc>
          <w:tcPr>
            <w:tcW w:w="76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(88)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1,007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595</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$919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w:t>
            </w:r>
          </w:p>
        </w:tc>
      </w:tr>
      <w:tr>
        <w:trPr>
          <w:trHeight w:val="291"/>
        </w:trPr>
        <w:tc>
          <w:tcPr>
            <w:tcW w:w="7660" w:type="dxa"/>
            <w:vAlign w:val="bottom"/>
            <w:tcBorders>
              <w:top w:val="single" w:sz="8" w:color="auto"/>
              <w:bottom w:val="single" w:sz="8" w:color="auto"/>
            </w:tcBorders>
          </w:tcPr>
          <w:p>
            <w:pPr>
              <w:spacing w:after="0"/>
              <w:rPr>
                <w:sz w:val="24"/>
                <w:szCs w:val="24"/>
                <w:color w:val="auto"/>
              </w:rPr>
            </w:pPr>
          </w:p>
        </w:tc>
        <w:tc>
          <w:tcPr>
            <w:tcW w:w="26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(refund), net</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$188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Interest, net of capitalized interest</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84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29</w:t>
      </w:r>
    </w:p>
    <w:p>
      <w:pPr>
        <w:sectPr>
          <w:pgSz w:w="11900" w:h="16838" w:orient="portrait"/>
          <w:cols w:equalWidth="0" w:num="1">
            <w:col w:w="11420"/>
          </w:cols>
          <w:pgMar w:left="240" w:top="118" w:right="239" w:bottom="1045"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balances of Nordstrom, Inc. and its subsidiaries (the “Company”). All intercompany transactions and balances are eliminated in consolidation. The interim Condensed Consolidated Financial Statements have been prepared on a basis consistent in all material respects with the accounting policies described and applied in our 2016 Annual Report on Form 10-K (“Annual Report”), and reflect all adjustments of a normal recurring nature that are, in management’s opinion, necessary for the fair presentation of the results of operations, financial position and cash flows for the periods presented.</w:t>
      </w:r>
    </w:p>
    <w:p>
      <w:pPr>
        <w:spacing w:after="0" w:line="1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July 29, 2017 and July 30, 2016 are unaudited. The Condensed Consolidated Balance Sheet as of January 28, 2017 has been derived from the audited Consolidated Financial Statements included in our 2016 Annual Report. The interim Condensed Consolidated Financial Statements should be read together with the Consolidated Financial Statements and related footnote disclosures contained in our 2016 Annual Report.</w:t>
      </w:r>
    </w:p>
    <w:p>
      <w:pPr>
        <w:spacing w:after="0" w:line="13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like that of other retailers, is subject to seasonal fluctuations. Our sales are typically higher during our Anniversary Sale and the holidays in the fourth quarter. Consistent with the timing in 2016, our 2017 Anniversary Sale began in July and extended one week of the event into the third quarter. Results for any quarter are not indicative of the results that may be achieved for a full fiscal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On July 31, 2017, we entered into an agreement with TD Bank USA, N.A. (“TD”) to sell our employee credit card receivables for an amount equal to the gross value of the outstanding receivables. Additionally, we entered into an amended long-term program agreement under which TD will continue to be the exclusive issuer of all our U.S. Visa and private label credit cards and we will continue to perform account servicing functions. The transaction is subject to regulatory approvals and other customary conditions, and is expected to close by the end of the year. As of July 29, 2017, our employee credit card receivables of $58, included in accounts receivable, net on the Condensed Consolidated Balance Sheets, is “held for sale” and, as such, is recorded at the lower of cost or fair value (see Note 3: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which was subsequently modified in August 2015 by ASU No. 2015-14,</w:t>
      </w:r>
      <w:r>
        <w:rPr>
          <w:rFonts w:ascii="Arial" w:cs="Arial" w:eastAsia="Arial" w:hAnsi="Arial"/>
          <w:sz w:val="17"/>
          <w:szCs w:val="17"/>
          <w:i w:val="1"/>
          <w:iCs w:val="1"/>
          <w:color w:val="auto"/>
        </w:rPr>
        <w:t xml:space="preserve"> Revenue from Contracts with Customers: Deferral of the Effective Date</w:t>
      </w:r>
      <w:r>
        <w:rPr>
          <w:rFonts w:ascii="Arial" w:cs="Arial" w:eastAsia="Arial" w:hAnsi="Arial"/>
          <w:sz w:val="17"/>
          <w:szCs w:val="17"/>
          <w:color w:val="auto"/>
        </w:rPr>
        <w:t>. The core principle of ASU No. 2014-09 is that companies should recognize revenue when the transfer of promised goods or services to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occurs in an amount that reflects what the company expects to receive. It requires additional disclosures to describe the nature, amount, timing and uncertainty of revenue and cash flows from contracts with customers. In 2016, the FASB issued additional ASUs which clarify the implementation guidance on principal versus agent considerations, on identifying performance obligations and licensing, on the revenue recognition criteria and other technical corrections. In our ongoing evaluation of this ASU, we have determined that the new standard will primarily impact the following areas: gift card breakage will be estimated based on expected customer redemption periods, rather than when redemption is considered remote; sales attributable to the loyalty program benefits (e.g., points, alterations) will be deferred rather than recorded as an increase to cost of sales; revenue related to our online sales will be recognized at the shipping point rather than receipt by the customer; and estimated costs of returns will be recorded as a current asset rather than netted with our sales return reserve. We plan to adopt this ASU in the first quarter of 2018 and are continuing to evaluate the impacts this ASU and related disclosures will have on our Consolidated Financial Statements, as well as our preferred transition method.</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ASU increases transparency and comparability by recognizing a lessee’s rights and obligations resulting from leases by recording them on the balance sheet as right-of-use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Additional qualitative and quantitative disclosures will be required to give financial statement users information on the amount, timing and judgments related to a reporting entity’s cash flows arising from leases. This ASU is effective for us beginning in the first quarter of 2019. We are currently evaluating the standard, which will require recognizing and measuring leases at the beginning of the earliest period presented using a modified retrospective approach. We expect adoption of this standard will have a material impact on our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of 29</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 Improvements to Employee Share-Based Payment Accounting</w:t>
      </w:r>
      <w:r>
        <w:rPr>
          <w:rFonts w:ascii="Arial" w:cs="Arial" w:eastAsia="Arial" w:hAnsi="Arial"/>
          <w:sz w:val="18"/>
          <w:szCs w:val="18"/>
          <w:color w:val="auto"/>
        </w:rPr>
        <w:t>, which simplifies several aspects of the accounting for share-based payments and presentation within the financial statements. We adopted ASU No. 2016-09 with an effective date of January 29, 2017. The impact of the adoption resulted in the following:</w:t>
      </w:r>
    </w:p>
    <w:p>
      <w:pPr>
        <w:spacing w:after="0" w:line="127" w:lineRule="exact"/>
        <w:rPr>
          <w:sz w:val="20"/>
          <w:szCs w:val="20"/>
          <w:color w:val="auto"/>
        </w:rPr>
      </w:pPr>
    </w:p>
    <w:p>
      <w:pPr>
        <w:ind w:left="340" w:hanging="332"/>
        <w:spacing w:after="0" w:line="29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Excess tax benefits and deficiencies resulting from stock-based compensation arrangements are now recorded within income tax expense on the Condensed Consolidated Statement of Earnings when the awards vest or are settled, rather than within equity. Additionally, excess tax benefits are now excluded from assumed future proceeds in our calculation of diluted shares for purposes of determining diluted earnings per share. The prospective adoption of this provision did not have a material effect on the Condensed Consolidated Financial Statements for the six months ended July 29, 2017. We had no previously unrecognized excess tax benefits that would have resulted in a cumulative-effect adjustment to beginning retained earnings.</w:t>
      </w:r>
    </w:p>
    <w:p>
      <w:pPr>
        <w:spacing w:after="0" w:line="3" w:lineRule="exact"/>
        <w:rPr>
          <w:rFonts w:ascii="Arial" w:cs="Arial" w:eastAsia="Arial" w:hAnsi="Arial"/>
          <w:sz w:val="16"/>
          <w:szCs w:val="16"/>
          <w:color w:val="auto"/>
        </w:rPr>
      </w:pPr>
    </w:p>
    <w:p>
      <w:pPr>
        <w:ind w:left="340" w:right="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Forfeitures on share-based awards are recorded as they occur, rather than our historical method of estimating forfeitures at the grant date. In evaluating the impact of this change, the adjustment to adopt on a modified retrospective basis was immaterial, therefore no adjustment has been made to beginning retained earnings.</w:t>
      </w:r>
    </w:p>
    <w:p>
      <w:pPr>
        <w:spacing w:after="0" w:line="19" w:lineRule="exact"/>
        <w:rPr>
          <w:rFonts w:ascii="Arial" w:cs="Arial" w:eastAsia="Arial" w:hAnsi="Arial"/>
          <w:sz w:val="18"/>
          <w:szCs w:val="18"/>
          <w:color w:val="auto"/>
        </w:rPr>
      </w:pPr>
    </w:p>
    <w:p>
      <w:pPr>
        <w:ind w:left="340" w:right="20" w:hanging="332"/>
        <w:spacing w:after="0" w:line="273"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Excess tax benefits from stock-based compensation arrangements are classified as cash flows from operations, rather than as cash flows from financing activities. We adopted this change retrospectively, which resulted in an increase to net cash provided by operating activities and an increase in cash flows used in financing activities of $1 for the six months ended July 30, 2016. Additionally, cash flows related to withholding shares for tax purposes on net-settled awards are classified as financing activities, rather than operating activities. This classification change was also adopted retrospectively, resulting in an increase of $4 to net cash provided by operating activities with an offsetting increase to net cash used in financing activities on the Condensed Consolidated Statement of Cash Flows for the six months ended July 30, 2016.</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Simplifying the Test for Goodwill Impairment</w:t>
      </w:r>
      <w:r>
        <w:rPr>
          <w:rFonts w:ascii="Arial" w:cs="Arial" w:eastAsia="Arial" w:hAnsi="Arial"/>
          <w:sz w:val="17"/>
          <w:szCs w:val="17"/>
          <w:color w:val="auto"/>
        </w:rPr>
        <w:t>, which simplifies the accounting for goodwill impairment by eliminating step two from the goodwill impairment test. Under this new guidance, if the carrying amount of a reporting unit exceeds its estimated fair value, an impairment charge shall be recognized in an amount equal to that excess, limited to the total amount of goodwill allocated to that reporting unit. The ASU is effective prospectively for fiscal years and interim periods within those years beginning after December 15, 2019. Early adoption is permitted for interim or annual goodwill impairment tests performed on testing dates after January 1, 2017. We are currently evaluating the impact this guidance would have on our Condensed Consolidated Financial Statements.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 of 29</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94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29, 2017</w:t>
            </w:r>
          </w:p>
        </w:tc>
        <w:tc>
          <w:tcPr>
            <w:tcW w:w="2060" w:type="dxa"/>
            <w:vAlign w:val="bottom"/>
          </w:tcPr>
          <w:p>
            <w:pPr>
              <w:jc w:val="right"/>
              <w:ind w:right="439"/>
              <w:spacing w:after="0"/>
              <w:rPr>
                <w:sz w:val="20"/>
                <w:szCs w:val="20"/>
                <w:color w:val="auto"/>
              </w:rPr>
            </w:pPr>
            <w:r>
              <w:rPr>
                <w:rFonts w:ascii="Arial" w:cs="Arial" w:eastAsia="Arial" w:hAnsi="Arial"/>
                <w:sz w:val="16"/>
                <w:szCs w:val="16"/>
                <w:b w:val="1"/>
                <w:bCs w:val="1"/>
                <w:color w:val="auto"/>
              </w:rPr>
              <w:t>January 28, 2017</w:t>
            </w:r>
          </w:p>
        </w:tc>
        <w:tc>
          <w:tcPr>
            <w:tcW w:w="150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4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29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Mortgage payable, 7.68%, due April 2020</w:t>
            </w:r>
          </w:p>
        </w:tc>
        <w:tc>
          <w:tcPr>
            <w:tcW w:w="2940" w:type="dxa"/>
            <w:vAlign w:val="bottom"/>
          </w:tcPr>
          <w:p>
            <w:pPr>
              <w:jc w:val="right"/>
              <w:ind w:right="339"/>
              <w:spacing w:after="0"/>
              <w:rPr>
                <w:sz w:val="20"/>
                <w:szCs w:val="20"/>
                <w:color w:val="auto"/>
              </w:rPr>
            </w:pPr>
            <w:r>
              <w:rPr>
                <w:rFonts w:ascii="Arial" w:cs="Arial" w:eastAsia="Arial" w:hAnsi="Arial"/>
                <w:sz w:val="16"/>
                <w:szCs w:val="16"/>
                <w:b w:val="1"/>
                <w:bCs w:val="1"/>
                <w:color w:val="auto"/>
              </w:rPr>
              <w:t>$22</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$24</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4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secured debt</w:t>
            </w:r>
          </w:p>
        </w:tc>
        <w:tc>
          <w:tcPr>
            <w:tcW w:w="2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23</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27</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4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1"/>
        </w:trPr>
        <w:tc>
          <w:tcPr>
            <w:tcW w:w="492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Unsecured</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of unamortized discount:</w:t>
            </w:r>
          </w:p>
        </w:tc>
        <w:tc>
          <w:tcPr>
            <w:tcW w:w="29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500"/>
              <w:spacing w:after="0"/>
              <w:rPr>
                <w:sz w:val="20"/>
                <w:szCs w:val="20"/>
                <w:color w:val="auto"/>
              </w:rPr>
            </w:pPr>
            <w:r>
              <w:rPr>
                <w:rFonts w:ascii="Arial" w:cs="Arial" w:eastAsia="Arial" w:hAnsi="Arial"/>
                <w:sz w:val="16"/>
                <w:szCs w:val="16"/>
                <w:color w:val="auto"/>
              </w:rPr>
              <w:t>Senior notes, 6.25%, due January 2018</w:t>
            </w:r>
          </w:p>
        </w:tc>
        <w:tc>
          <w:tcPr>
            <w:tcW w:w="29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650</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649</w:t>
            </w:r>
          </w:p>
        </w:tc>
      </w:tr>
      <w:tr>
        <w:trPr>
          <w:trHeight w:val="33"/>
        </w:trPr>
        <w:tc>
          <w:tcPr>
            <w:tcW w:w="4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4.75%, due May 2020</w:t>
            </w:r>
          </w:p>
        </w:tc>
        <w:tc>
          <w:tcPr>
            <w:tcW w:w="2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499</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499</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r>
      <w:tr>
        <w:trPr>
          <w:trHeight w:val="237"/>
        </w:trPr>
        <w:tc>
          <w:tcPr>
            <w:tcW w:w="4920" w:type="dxa"/>
            <w:vAlign w:val="bottom"/>
          </w:tcPr>
          <w:p>
            <w:pPr>
              <w:ind w:left="500"/>
              <w:spacing w:after="0"/>
              <w:rPr>
                <w:sz w:val="20"/>
                <w:szCs w:val="20"/>
                <w:color w:val="auto"/>
              </w:rPr>
            </w:pPr>
            <w:r>
              <w:rPr>
                <w:rFonts w:ascii="Arial" w:cs="Arial" w:eastAsia="Arial" w:hAnsi="Arial"/>
                <w:sz w:val="16"/>
                <w:szCs w:val="16"/>
                <w:color w:val="auto"/>
              </w:rPr>
              <w:t>Senior notes, 4.00%, due October 2021</w:t>
            </w:r>
          </w:p>
        </w:tc>
        <w:tc>
          <w:tcPr>
            <w:tcW w:w="2940" w:type="dxa"/>
            <w:vAlign w:val="bottom"/>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500</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4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4.00%, due March 2027</w:t>
            </w:r>
          </w:p>
        </w:tc>
        <w:tc>
          <w:tcPr>
            <w:tcW w:w="2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349</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920" w:type="dxa"/>
            <w:vAlign w:val="bottom"/>
          </w:tcPr>
          <w:p>
            <w:pPr>
              <w:ind w:left="500"/>
              <w:spacing w:after="0"/>
              <w:rPr>
                <w:sz w:val="20"/>
                <w:szCs w:val="20"/>
                <w:color w:val="auto"/>
              </w:rPr>
            </w:pPr>
            <w:r>
              <w:rPr>
                <w:rFonts w:ascii="Arial" w:cs="Arial" w:eastAsia="Arial" w:hAnsi="Arial"/>
                <w:sz w:val="16"/>
                <w:szCs w:val="16"/>
                <w:color w:val="auto"/>
              </w:rPr>
              <w:t>Senior debentures, 6.95%, due March 2028</w:t>
            </w:r>
          </w:p>
        </w:tc>
        <w:tc>
          <w:tcPr>
            <w:tcW w:w="2940" w:type="dxa"/>
            <w:vAlign w:val="bottom"/>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300</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4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7.00%, due January 2038</w:t>
            </w:r>
          </w:p>
        </w:tc>
        <w:tc>
          <w:tcPr>
            <w:tcW w:w="2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146</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146</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37"/>
        </w:trPr>
        <w:tc>
          <w:tcPr>
            <w:tcW w:w="4920" w:type="dxa"/>
            <w:vAlign w:val="bottom"/>
          </w:tcPr>
          <w:p>
            <w:pPr>
              <w:ind w:left="500"/>
              <w:spacing w:after="0"/>
              <w:rPr>
                <w:sz w:val="20"/>
                <w:szCs w:val="20"/>
                <w:color w:val="auto"/>
              </w:rPr>
            </w:pPr>
            <w:r>
              <w:rPr>
                <w:rFonts w:ascii="Arial" w:cs="Arial" w:eastAsia="Arial" w:hAnsi="Arial"/>
                <w:sz w:val="16"/>
                <w:szCs w:val="16"/>
                <w:color w:val="auto"/>
              </w:rPr>
              <w:t>Senior notes, 5.00%, due January 2044</w:t>
            </w:r>
          </w:p>
        </w:tc>
        <w:tc>
          <w:tcPr>
            <w:tcW w:w="2940" w:type="dxa"/>
            <w:vAlign w:val="bottom"/>
          </w:tcPr>
          <w:p>
            <w:pPr>
              <w:jc w:val="right"/>
              <w:ind w:right="339"/>
              <w:spacing w:after="0"/>
              <w:rPr>
                <w:sz w:val="20"/>
                <w:szCs w:val="20"/>
                <w:color w:val="auto"/>
              </w:rPr>
            </w:pPr>
            <w:r>
              <w:rPr>
                <w:rFonts w:ascii="Arial" w:cs="Arial" w:eastAsia="Arial" w:hAnsi="Arial"/>
                <w:sz w:val="16"/>
                <w:szCs w:val="16"/>
                <w:b w:val="1"/>
                <w:bCs w:val="1"/>
                <w:color w:val="auto"/>
              </w:rPr>
              <w:t>890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602</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601</w:t>
            </w:r>
          </w:p>
        </w:tc>
      </w:tr>
      <w:tr>
        <w:trPr>
          <w:trHeight w:val="33"/>
        </w:trPr>
        <w:tc>
          <w:tcPr>
            <w:tcW w:w="4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33</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50</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unsecured debt</w:t>
            </w:r>
          </w:p>
        </w:tc>
        <w:tc>
          <w:tcPr>
            <w:tcW w:w="2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2,717</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2,747</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2,751</w:t>
            </w:r>
          </w:p>
        </w:tc>
      </w:tr>
      <w:tr>
        <w:trPr>
          <w:trHeight w:val="33"/>
        </w:trPr>
        <w:tc>
          <w:tcPr>
            <w:tcW w:w="4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1"/>
        </w:trPr>
        <w:tc>
          <w:tcPr>
            <w:tcW w:w="492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2940" w:type="dxa"/>
            <w:vAlign w:val="bottom"/>
          </w:tcPr>
          <w:p>
            <w:pPr>
              <w:jc w:val="right"/>
              <w:ind w:right="339"/>
              <w:spacing w:after="0"/>
              <w:rPr>
                <w:sz w:val="20"/>
                <w:szCs w:val="20"/>
                <w:color w:val="auto"/>
              </w:rPr>
            </w:pPr>
            <w:r>
              <w:rPr>
                <w:rFonts w:ascii="Arial" w:cs="Arial" w:eastAsia="Arial" w:hAnsi="Arial"/>
                <w:sz w:val="16"/>
                <w:szCs w:val="16"/>
                <w:b w:val="1"/>
                <w:bCs w:val="1"/>
                <w:color w:val="auto"/>
              </w:rPr>
              <w:t>2,740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2,774</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2,782</w:t>
            </w:r>
          </w:p>
        </w:tc>
      </w:tr>
      <w:tr>
        <w:trPr>
          <w:trHeight w:val="33"/>
        </w:trPr>
        <w:tc>
          <w:tcPr>
            <w:tcW w:w="4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9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(11)</w:t>
            </w:r>
          </w:p>
        </w:tc>
        <w:tc>
          <w:tcPr>
            <w:tcW w:w="20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2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$2,729</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$2,763</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$2,772</w:t>
            </w:r>
          </w:p>
        </w:tc>
      </w:tr>
      <w:tr>
        <w:trPr>
          <w:trHeight w:val="33"/>
        </w:trPr>
        <w:tc>
          <w:tcPr>
            <w:tcW w:w="4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During the first quarter of 2017, we issued $350 aggregate principal amount of 4.00% senior unsecured notes due March 2027 and $300 aggregate principal amount of 5.00% senior unsecured notes due January 2044. With the proceeds of these new notes, we retired our $650 senior unsecured notes that were due January 2018. We incurred $18 of net interest expense related to the refinancing, which included the write-off of unamortized balances associated with the debt discount, issue costs and fair value hedge adjustment resulting from the sale of our interest rate swap agreements in 2012. It also included a one-time payment of $24 to 2018 Senior Note holders under a make-whole provision, which represents the net present value of expected coupon payments had the notes been outstanding through the original maturity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July 29, 2017,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From time to time we utilize our commercial paper program to fund working capital needs which has the effect of reducing available liquidity under the revolver until repaid.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As of July 29, 2017, we had no issuances outstanding under our commercial paper program and no borrowings outstanding under our revolver.</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As of July 29, 2017, we were in compliance with this covenant.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Financial instruments not measured at fair value on a recurring basis include cash and cash equivalents, accounts receivable (excluding employee credit card receivables “held for sale”), accounts payable and certificates of deposit, which approximate fair value due to their short-term nature, and long-term debt.</w:t>
      </w:r>
    </w:p>
    <w:p>
      <w:pPr>
        <w:spacing w:after="0" w:line="8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estimate the fair value of our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46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29, 2017</w:t>
            </w:r>
          </w:p>
        </w:tc>
        <w:tc>
          <w:tcPr>
            <w:tcW w:w="2080" w:type="dxa"/>
            <w:vAlign w:val="bottom"/>
          </w:tcPr>
          <w:p>
            <w:pPr>
              <w:jc w:val="right"/>
              <w:ind w:right="419"/>
              <w:spacing w:after="0"/>
              <w:rPr>
                <w:sz w:val="20"/>
                <w:szCs w:val="20"/>
                <w:color w:val="auto"/>
              </w:rPr>
            </w:pPr>
            <w:r>
              <w:rPr>
                <w:rFonts w:ascii="Arial" w:cs="Arial" w:eastAsia="Arial" w:hAnsi="Arial"/>
                <w:sz w:val="16"/>
                <w:szCs w:val="16"/>
                <w:b w:val="1"/>
                <w:bCs w:val="1"/>
                <w:color w:val="auto"/>
              </w:rPr>
              <w:t>January 28, 2017</w:t>
            </w: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4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4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$2,740</w:t>
            </w:r>
          </w:p>
        </w:tc>
        <w:tc>
          <w:tcPr>
            <w:tcW w:w="20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$2,774</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$2,782</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460" w:type="dxa"/>
            <w:vAlign w:val="bottom"/>
          </w:tcPr>
          <w:p>
            <w:pPr>
              <w:jc w:val="right"/>
              <w:ind w:right="299"/>
              <w:spacing w:after="0"/>
              <w:rPr>
                <w:sz w:val="20"/>
                <w:szCs w:val="20"/>
                <w:color w:val="auto"/>
              </w:rPr>
            </w:pPr>
            <w:r>
              <w:rPr>
                <w:rFonts w:ascii="Arial" w:cs="Arial" w:eastAsia="Arial" w:hAnsi="Arial"/>
                <w:sz w:val="16"/>
                <w:szCs w:val="16"/>
                <w:b w:val="1"/>
                <w:bCs w:val="1"/>
                <w:color w:val="auto"/>
              </w:rPr>
              <w:t>2,908</w:t>
            </w:r>
          </w:p>
        </w:tc>
        <w:tc>
          <w:tcPr>
            <w:tcW w:w="2080" w:type="dxa"/>
            <w:vAlign w:val="bottom"/>
          </w:tcPr>
          <w:p>
            <w:pPr>
              <w:jc w:val="right"/>
              <w:ind w:right="419"/>
              <w:spacing w:after="0"/>
              <w:rPr>
                <w:sz w:val="20"/>
                <w:szCs w:val="20"/>
                <w:color w:val="auto"/>
              </w:rPr>
            </w:pPr>
            <w:r>
              <w:rPr>
                <w:rFonts w:ascii="Arial" w:cs="Arial" w:eastAsia="Arial" w:hAnsi="Arial"/>
                <w:sz w:val="16"/>
                <w:szCs w:val="16"/>
                <w:color w:val="auto"/>
              </w:rPr>
              <w:t>2,949</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3,076</w:t>
            </w:r>
          </w:p>
        </w:tc>
      </w:tr>
      <w:tr>
        <w:trPr>
          <w:trHeight w:val="33"/>
        </w:trPr>
        <w:tc>
          <w:tcPr>
            <w:tcW w:w="4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Nonrecurring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Our employee credit card receivables are classified as “held for sale” (“receivables held for sale”) and are recorded at the lower of cost or fair value (see Note</w:t>
      </w:r>
    </w:p>
    <w:p>
      <w:pPr>
        <w:spacing w:after="0" w:line="32" w:lineRule="exact"/>
        <w:rPr>
          <w:sz w:val="20"/>
          <w:szCs w:val="20"/>
          <w:color w:val="auto"/>
        </w:rPr>
      </w:pPr>
    </w:p>
    <w:p>
      <w:pPr>
        <w:ind w:right="160" w:firstLine="8"/>
        <w:spacing w:after="0" w:line="255"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 We estimate the fair value of our receivables held for sale based on a discounted cash flow model using estimates and assumptions regarding future credit card portfolio performance. This fair value estimate is primarily based on Level 3 inputs in the fair value hierarchy. Based upon this assessment, the carrying value of the receivables held for sale approximated fair value at July 29,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investment in contract asset and long-lived tangible and intangible assets, in connection with periodic evaluations for potential impairment. We estimate the fair value of these assets using primarily unobservable inputs and, as such, these are considered Level 3 fair value measurements. There were no material impairment charges for these assets for the six months ended July 29, 2017 and July 30, 2016.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Plans for our Manhattan full-line store, which we currently expect to open in 2019, ultimately include owning a condominium interest in a mixed-use tower and leasing certain nearby properties. As of July 29, 2017, we had approximately $249 of fee interest in land, which is expected to convert to a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SHAREHOLDERS’ EQUITY</w:t>
      </w:r>
    </w:p>
    <w:p>
      <w:pPr>
        <w:spacing w:after="0" w:line="27"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In February 2017, our Board of Directors authorized a program to repurchase up to $500 of our outstanding common stock through August 31, 2018. Our October 1, 2015 Board authorized share repurchase program expired in March 2017, which had $409 of unused capacity upon program expiration.</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six months ended July 29, 2017, we repurchased 4.6 shares of our common stock for an aggregate purchase price of $206 and had $414 remaining in share repurchase capacity as of July 29, 2017. The actual timing, price, manner and amounts of future share repurchases, if any, will be subject to market and economic conditions and applicable Securities and Exchange Commission (“SEC”) rules.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August 2017, subsequent to quarter end, we declared a quarterly dividend of $0.37 per share, which will be paid on September 12,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May 16, 2017, our shareholders approved an amendment to the 2010 Equity Incentive Plan (“Plan”). The amendment increases common stock available for issuance by 6.2. As of July 29, 2017, the aggregate number of shares to be issued under the Plan may not exceed 36.6, plus any shares currently outstanding under the 2004 Plan that are forfeited or expire during the term of the 2010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30, 2016</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$15</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8</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stock compensation</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Total stock-based compensation expense, before income</w:t>
            </w:r>
          </w:p>
        </w:tc>
        <w:tc>
          <w:tcPr>
            <w:tcW w:w="2620" w:type="dxa"/>
            <w:vAlign w:val="bottom"/>
            <w:vMerge w:val="restart"/>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24</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vMerge w:val="restart"/>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41</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benefit</w:t>
            </w:r>
          </w:p>
        </w:tc>
        <w:tc>
          <w:tcPr>
            <w:tcW w:w="2620" w:type="dxa"/>
            <w:vAlign w:val="bottom"/>
            <w:tcBorders>
              <w:bottom w:val="single" w:sz="8" w:color="CCEEFF"/>
            </w:tcBorders>
            <w:vMerge w:val="continue"/>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vMerge w:val="continue"/>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(9)</w:t>
            </w: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600" w:type="dxa"/>
            <w:vAlign w:val="bottom"/>
          </w:tcPr>
          <w:p>
            <w:pPr>
              <w:jc w:val="right"/>
              <w:ind w:right="779"/>
              <w:spacing w:after="0"/>
              <w:rPr>
                <w:sz w:val="20"/>
                <w:szCs w:val="20"/>
                <w:color w:val="auto"/>
              </w:rPr>
            </w:pPr>
            <w:r>
              <w:rPr>
                <w:rFonts w:ascii="Arial" w:cs="Arial" w:eastAsia="Arial" w:hAnsi="Arial"/>
                <w:sz w:val="16"/>
                <w:szCs w:val="16"/>
                <w:b w:val="1"/>
                <w:bCs w:val="1"/>
                <w:color w:val="auto"/>
              </w:rPr>
              <w:t>(16)</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stock-based compensation expense, net of</w:t>
            </w:r>
          </w:p>
        </w:tc>
        <w:tc>
          <w:tcPr>
            <w:tcW w:w="2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income tax benefit</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$15</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$25</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2014, restricted stock units became a growing component of our stock-based compensation mix. In the first half of 2017, this trend continued as our annual grant allocation shifted towards more restricted stock units and less options to better align with our compensation program’s guiding principles. The following table summarizes our grants:</w:t>
      </w:r>
    </w:p>
    <w:p>
      <w:pPr>
        <w:spacing w:after="0" w:line="141"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37465</wp:posOffset>
            </wp:positionV>
            <wp:extent cx="4853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920" w:type="dxa"/>
            <w:vAlign w:val="bottom"/>
            <w:gridSpan w:val="3"/>
          </w:tcPr>
          <w:p>
            <w:pPr>
              <w:ind w:left="1440"/>
              <w:spacing w:after="0"/>
              <w:rPr>
                <w:sz w:val="20"/>
                <w:szCs w:val="20"/>
                <w:color w:val="auto"/>
              </w:rPr>
            </w:pPr>
            <w:r>
              <w:rPr>
                <w:rFonts w:ascii="Arial" w:cs="Arial" w:eastAsia="Arial" w:hAnsi="Arial"/>
                <w:sz w:val="16"/>
                <w:szCs w:val="16"/>
                <w:b w:val="1"/>
                <w:bCs w:val="1"/>
                <w:color w:val="auto"/>
              </w:rPr>
              <w:t>July 29, 2017</w:t>
            </w:r>
          </w:p>
        </w:tc>
        <w:tc>
          <w:tcPr>
            <w:tcW w:w="3720" w:type="dxa"/>
            <w:vAlign w:val="bottom"/>
            <w:gridSpan w:val="2"/>
          </w:tcPr>
          <w:p>
            <w:pPr>
              <w:jc w:val="right"/>
              <w:ind w:right="133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Weighted-average</w:t>
            </w:r>
          </w:p>
        </w:tc>
        <w:tc>
          <w:tcPr>
            <w:tcW w:w="194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grant-date fair value</w:t>
            </w:r>
          </w:p>
        </w:tc>
        <w:tc>
          <w:tcPr>
            <w:tcW w:w="194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per unit</w:t>
            </w:r>
          </w:p>
        </w:tc>
        <w:tc>
          <w:tcPr>
            <w:tcW w:w="194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1.8</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0.3</w:t>
            </w: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20"/>
                <w:szCs w:val="20"/>
                <w:color w:val="auto"/>
              </w:rPr>
            </w:pPr>
          </w:p>
        </w:tc>
        <w:tc>
          <w:tcPr>
            <w:tcW w:w="1940" w:type="dxa"/>
            <w:vAlign w:val="bottom"/>
          </w:tcPr>
          <w:p>
            <w:pPr>
              <w:jc w:val="right"/>
              <w:ind w:right="159"/>
              <w:spacing w:after="0"/>
              <w:rPr>
                <w:sz w:val="20"/>
                <w:szCs w:val="20"/>
                <w:color w:val="auto"/>
              </w:rPr>
            </w:pPr>
            <w:r>
              <w:rPr>
                <w:rFonts w:ascii="Arial" w:cs="Arial" w:eastAsia="Arial" w:hAnsi="Arial"/>
                <w:sz w:val="16"/>
                <w:szCs w:val="16"/>
                <w:color w:val="auto"/>
              </w:rPr>
              <w:t>2.9</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share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0.1</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0"/>
        </w:trPr>
        <w:tc>
          <w:tcPr>
            <w:tcW w:w="37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30, 2016</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$110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$173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91"/>
        </w:trPr>
        <w:tc>
          <w:tcPr>
            <w:tcW w:w="37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166.4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166.8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Dilutive effect of common stock equivalents</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2.1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2.0</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168.5</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c>
          <w:tcPr>
            <w:tcW w:w="1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168.8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175.2</w:t>
            </w:r>
          </w:p>
        </w:tc>
      </w:tr>
      <w:tr>
        <w:trPr>
          <w:trHeight w:val="291"/>
        </w:trPr>
        <w:tc>
          <w:tcPr>
            <w:tcW w:w="37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$0.66</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$1.04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$0.65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$1.02</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$0.93</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Anti-dilutive common stock equivalents</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10.3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11.2</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 of 29</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REPORTING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Retail</w:t>
            </w: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Retail</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Corporate/Other</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Business</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Credit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Quarter Ended July 29, 2017</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$4,039</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($322)</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$3,717</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$3,717</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76</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76</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388</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(211)</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177</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40</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217</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(29)</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(29)</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388</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(240)</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148</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40</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188</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40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Quarter Ended July 30, 2016</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$3,871</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($279)</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$3,592</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59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383</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(179)</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204</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17</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(30)</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(30)</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383</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(209)</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174</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17</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r>
      <w:tr>
        <w:trPr>
          <w:trHeight w:val="297"/>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July 29, 2017</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$7,347</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($351)</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$6,996</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$6,996</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152</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152</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600</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(308)</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292</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76</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368</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(76)</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(76)</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600</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(384)</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216</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76</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292</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Six Months Ended July 30, 2016</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$7,129</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($345)</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$6,784</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$6,784</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116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(278)</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294</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(61)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(61)</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(339)</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233</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r>
      <w:tr>
        <w:trPr>
          <w:trHeight w:val="20"/>
        </w:trPr>
        <w:tc>
          <w:tcPr>
            <w:tcW w:w="40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represents a subtotal of the Retail segment and Corporate/Other and is not a reportable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within our reportable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30, 2016</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full-line stores - U.S.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$1,887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$3,369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Nordstrom.com</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819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1,367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1,178</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2,706</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4,736</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4,738</w:t>
            </w:r>
          </w:p>
        </w:tc>
      </w:tr>
      <w:tr>
        <w:trPr>
          <w:trHeight w:val="297"/>
        </w:trPr>
        <w:tc>
          <w:tcPr>
            <w:tcW w:w="3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990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1,944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199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397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323</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1,189</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2,341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2,142</w:t>
            </w:r>
          </w:p>
        </w:tc>
      </w:tr>
      <w:tr>
        <w:trPr>
          <w:trHeight w:val="297"/>
        </w:trPr>
        <w:tc>
          <w:tcPr>
            <w:tcW w:w="3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26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144</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auto"/>
            </w:tcBorders>
            <w:shd w:val="clear" w:color="auto" w:fill="CCEEFF"/>
          </w:tcPr>
          <w:p>
            <w:pPr>
              <w:spacing w:after="0"/>
              <w:rPr>
                <w:sz w:val="23"/>
                <w:szCs w:val="23"/>
                <w:color w:val="auto"/>
              </w:rPr>
            </w:pPr>
          </w:p>
        </w:tc>
        <w:tc>
          <w:tcPr>
            <w:tcW w:w="26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270</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Retail segment</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4,039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3,871</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7,347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7,129</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Corporate/Other</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(322)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(351)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$3,717</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$3,592</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$6,996</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$6,784</w:t>
            </w:r>
          </w:p>
        </w:tc>
      </w:tr>
    </w:tbl>
    <w:p>
      <w:pPr>
        <w:spacing w:after="0" w:line="28"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29</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Certain statements in this Quarterly Report on Form 10-Q contain or may suggest “forward-looking” information (as defined in the Private Securities Litigation Reform Act of 1995) that involve risks and uncertainties including, but not limited to, our anticipated financial outlook for the fiscal year ending February 3, 2018, our anticipated annual total and comparable sales rates, our anticipated new store openings in existing, new and international markets, our anticipated Return on Invested Capital and trends in our operations. Such statements are based upon the current beliefs and expectations of our management and are subject to significant risks and uncertainties. Our actual future results may differ materially from historical results or current expectations depending upon factors including, but not limited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500" w:right="4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execution of our customer strategy, including expansion into new domestic and international markets, acquisitions, investments in our stores and online, as well as investments in technology, our ability to realize the anticipated benefits from growth initiatives and our ability to provide a seamless experience across all channels,</w:t>
      </w:r>
    </w:p>
    <w:p>
      <w:pPr>
        <w:spacing w:after="0" w:line="1" w:lineRule="exact"/>
        <w:rPr>
          <w:rFonts w:ascii="Arial" w:cs="Arial" w:eastAsia="Arial" w:hAnsi="Arial"/>
          <w:sz w:val="18"/>
          <w:szCs w:val="18"/>
          <w:color w:val="auto"/>
        </w:rPr>
      </w:pPr>
    </w:p>
    <w:p>
      <w:pPr>
        <w:ind w:left="500" w:right="10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respond to the business and retail environment, fashion trends and consumer preferences, including changing expectations of service and experience in stores and online, and evolve our business model,</w:t>
      </w:r>
    </w:p>
    <w:p>
      <w:pPr>
        <w:ind w:left="500" w:right="24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and effective execution of our ecommerce initiatives and ability to manage the costs and organizational changes associated with this evolving business model,</w:t>
      </w: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utilize data in strategic planning and decision making,</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completion of construction associated with newly planned stores, relocations and remodels, all of which may be impacted by the financial health of third parties,</w:t>
      </w: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500" w:right="16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 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500" w:right="28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processes and systems, disruptions in our supply chain and our ability to control costs,</w:t>
      </w:r>
    </w:p>
    <w:p>
      <w:pPr>
        <w:ind w:left="500" w:right="34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the announcement by the members of the Nordstrom family relating to the exploration of a possible “going private transaction” on our relationships with our customers, employees, suppliers and partners, operating results and business generally,</w:t>
      </w: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our vendor relationships,</w:t>
      </w:r>
    </w:p>
    <w:p>
      <w:pPr>
        <w:spacing w:after="0" w:line="9" w:lineRule="exact"/>
        <w:rPr>
          <w:rFonts w:ascii="Arial" w:cs="Arial" w:eastAsia="Arial" w:hAnsi="Arial"/>
          <w:sz w:val="18"/>
          <w:szCs w:val="18"/>
          <w:color w:val="auto"/>
        </w:rPr>
      </w:pPr>
    </w:p>
    <w:p>
      <w:pPr>
        <w:ind w:left="500" w:right="20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future leaders, which could be impacted by the uncertainty about the possibility of a “going private transaction,”</w:t>
      </w:r>
    </w:p>
    <w:p>
      <w:pPr>
        <w:ind w:left="500" w:right="14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expected benefits, respond to potential risks and appropriately manage costs associated with our program agreement with TD Bank USA, N.A. (“TD”),</w:t>
      </w: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and promotional retail industry,</w:t>
      </w:r>
    </w:p>
    <w:p>
      <w:pPr>
        <w:spacing w:after="0" w:line="9" w:lineRule="exact"/>
        <w:rPr>
          <w:rFonts w:ascii="Arial" w:cs="Arial" w:eastAsia="Arial" w:hAnsi="Arial"/>
          <w:sz w:val="18"/>
          <w:szCs w:val="18"/>
          <w:color w:val="auto"/>
        </w:rPr>
      </w:pPr>
    </w:p>
    <w:p>
      <w:pPr>
        <w:ind w:left="500" w:right="40" w:hanging="168"/>
        <w:spacing w:after="0" w:line="261"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price, manner and amounts of future share repurchases by the Company, if any, or any share issuances by the Company, including issuances associated with option exercises or other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patterns,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or political conditions in the U.S. and countries where our third party vendors operate,</w:t>
      </w:r>
    </w:p>
    <w:p>
      <w:pPr>
        <w:spacing w:after="0" w:line="9" w:lineRule="exact"/>
        <w:rPr>
          <w:rFonts w:ascii="Arial" w:cs="Arial" w:eastAsia="Arial" w:hAnsi="Arial"/>
          <w:sz w:val="18"/>
          <w:szCs w:val="18"/>
          <w:color w:val="auto"/>
        </w:rPr>
      </w:pPr>
    </w:p>
    <w:p>
      <w:pPr>
        <w:ind w:left="500" w:right="300" w:hanging="168"/>
        <w:spacing w:after="0" w:line="261"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natural disasters, health hazards, national security or other market disruptions, or the prospects of these events and the resulting impact on consumer spending patterns or information technology systems and 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500" w:right="6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banking, employment and tax and the outcome of claims and litigation and resolution of such matters,</w:t>
      </w: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and health care reforms, and</w:t>
      </w:r>
    </w:p>
    <w:p>
      <w:pPr>
        <w:spacing w:after="0" w:line="9" w:lineRule="exact"/>
        <w:rPr>
          <w:rFonts w:ascii="Arial" w:cs="Arial" w:eastAsia="Arial" w:hAnsi="Arial"/>
          <w:sz w:val="18"/>
          <w:szCs w:val="18"/>
          <w:color w:val="auto"/>
        </w:rPr>
      </w:pPr>
    </w:p>
    <w:p>
      <w:pPr>
        <w:ind w:left="500" w:right="420" w:hanging="168"/>
        <w:spacing w:after="0" w:line="261"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debt covenants, availability and cost of credit, changes in our credit rating, changes in interest rates, debt repayment patterns and personal bankruptcies.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and other factors, including those factors described in Part I, “Item 1A. Risk Factors” in our 2016 Annual Report on Form 10-K and Part II, “Item 1A. Risk Factors” in this Quarterly Report on Form 10-Q could affect our financial results and cause actual results to differ materially from any forward-looking information we may provide. We undertake no obligation to update or revise any forward-looking statements to reflect subsequent events, new information or future circumstances, except as may be required by law.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of 29</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second quarter net earnings of $110, or $0.65 per diluted share, achieved our expectations, reflecting our positive Anniversary Sale results, ongoing inventory and expense discipline, and continued strength of our financial position.</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net sales increased 3.5%, and comparable sales increased 1.7% driven by our digital businesses and our Anniversary Sale, our biggest event of the year, with significant volumes rivaling the holiday period. This event outperformed our recent sales trends as customers responded favorably to newness and the ability to shop the way they prefer, whether in stores, with a mobile device, or online. Sales outside of this event were more consistent with our recent trends, and therefore, our Anniversary Sale results may not necessarily inform our second half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continued our progress in executing our customer strategy while maintaining discipline around inventory and expenses:</w:t>
      </w:r>
    </w:p>
    <w:p>
      <w:pPr>
        <w:spacing w:after="0" w:line="171"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our ongoing efforts to provide newness and limited-distribution product to customers, our Nordstrom proprietary labels represented three of the top five selling brands during the Anniversary Sale.</w:t>
      </w:r>
    </w:p>
    <w:p>
      <w:pPr>
        <w:spacing w:after="0" w:line="8"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executing our digital strategy, we delivered online sales growth of 20% at Nordstrom.com, reflecting our largest online volume day in our history, and 27% at Nordstromrack.com/HauteLook.</w:t>
      </w:r>
    </w:p>
    <w:p>
      <w:pPr>
        <w:spacing w:after="0" w:line="8" w:lineRule="exact"/>
        <w:rPr>
          <w:rFonts w:ascii="Arial" w:cs="Arial" w:eastAsia="Arial" w:hAnsi="Arial"/>
          <w:sz w:val="18"/>
          <w:szCs w:val="18"/>
          <w:color w:val="auto"/>
        </w:rPr>
      </w:pPr>
    </w:p>
    <w:p>
      <w:pPr>
        <w:ind w:left="340" w:right="40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Nordstrom Rewards loyalty program continues to play an important role in reaching new customers and strengthening existing customer relationships. We had 9.4 million active Rewards customers in the U.S. and Canada, up approximately 50%, from 6.2 million a year ago. Sales from Nordstrom Rewards customers represented 56% of second quarter sales, compared with 48% a year ago.</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Looking to the second half of the year, we continue to focus on enhancing the customer experience and reaching new customers by leveraging our digital capabilities and investing in our top markets:</w:t>
      </w:r>
    </w:p>
    <w:p>
      <w:pPr>
        <w:spacing w:after="0" w:line="116" w:lineRule="exact"/>
        <w:rPr>
          <w:sz w:val="20"/>
          <w:szCs w:val="20"/>
          <w:color w:val="auto"/>
        </w:rPr>
      </w:pPr>
    </w:p>
    <w:p>
      <w:pPr>
        <w:ind w:left="340" w:right="14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part of our customer strategy, we continually test and roll out new ways to connect the physical and digital shopping experiences. We plan to expand our Reserve Online and Try In Store service from six stores to approximately 50 stores by the end of the year. We have been encouraged to find that around 80% of customers who try this service choose to shop this way again.</w:t>
      </w:r>
    </w:p>
    <w:p>
      <w:pPr>
        <w:spacing w:after="0" w:line="19"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executing on our digital strategy to meet our ambition for continued double-digit online growth. We continue to modernize our platform, enabling us to increase the speed and agility of enhancements to our product pages, navigation, and content.</w:t>
      </w:r>
    </w:p>
    <w:p>
      <w:pPr>
        <w:spacing w:after="0" w:line="8" w:lineRule="exact"/>
        <w:rPr>
          <w:rFonts w:ascii="Arial" w:cs="Arial" w:eastAsia="Arial" w:hAnsi="Arial"/>
          <w:sz w:val="18"/>
          <w:szCs w:val="18"/>
          <w:color w:val="auto"/>
        </w:rPr>
      </w:pPr>
    </w:p>
    <w:p>
      <w:pPr>
        <w:jc w:val="both"/>
        <w:ind w:left="340" w:right="340" w:hanging="332"/>
        <w:spacing w:after="0" w:line="30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our efforts to gain market share, we continue to prioritize our investments in the top North American markets. In September, we will complete our planned full-line store expansion into Canada with a sixth store – at Sherway Gardens in Toronto. In October, we will relocate two full-line stores in California – one from Westside Pavilion to Century City in Los Angeles, and the other into a new space in University Towne Centre in La Jolla.</w:t>
      </w:r>
    </w:p>
    <w:p>
      <w:pPr>
        <w:ind w:left="340" w:right="4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Nordstrom Rack business is an important way to attract new customers to Nordstrom. We opened six stores this spring with 11 more opening this fall, which will bring our total Rack store count to 232 at year end. These stores incorporate our latest store designs, with improvements to the layout and fitting room experience.</w:t>
      </w:r>
    </w:p>
    <w:p>
      <w:pPr>
        <w:spacing w:after="0" w:line="19" w:lineRule="exact"/>
        <w:rPr>
          <w:rFonts w:ascii="Arial" w:cs="Arial" w:eastAsia="Arial" w:hAnsi="Arial"/>
          <w:sz w:val="18"/>
          <w:szCs w:val="18"/>
          <w:color w:val="auto"/>
        </w:rPr>
      </w:pPr>
    </w:p>
    <w:p>
      <w:pPr>
        <w:ind w:left="340" w:right="10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Through strategic partnerships with our vendors, we continue to focus on providing customers with newness and relevant product. Our efforts to expand product with limited distribution helps us provide customers with the most relevant brands while strengthening our regular-price business.</w:t>
      </w:r>
    </w:p>
    <w:p>
      <w:pPr>
        <w:spacing w:after="0" w:line="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well-positioned in the market, with the combination of our physical and digital assets representing a competitive advantage. Our omni-channel business model provides favorable economics related to the cost of serving customers and strengthening our brand. Our local market assets – our stores, salespeople, product, and services – are the core of our brand and play an important role in engaging with our customers. Nearly 80% of customers who shop with us across multiple channels began at our stores. With our customers at the center of everything we do, our ongoing efforts to better serve them in more ways have contributed positively to our second quarter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 of 29</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reportable segments are Retail and Credit. We analyze our results of operations through earnings before interest and income taxes for our Retail Business and Credit, while interest expense, income taxes and earnings per share are discussed on a total Company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Business</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Retail Business includes our Nordstrom U.S. and Canada full-line stores, Nordstrom.com, Nordstrom Rack stores, Nordstromrack.com/HauteLook, Trunk Club, Jeffrey boutiques and Last Chance clearance stores. For purposes of discussion and analysis of our results of operations of our Retail Business, we combine our Retail segment results with revenues and expenses in the “Corporate/Other” column of Note 8: Segment Reporting in Item 1 (collectively, the “Retail Business”).</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metrics we use to evaluate the Retail Business may not be calculated in a consistent manner among industry peers. Provided below are definitions of metrics we present within our analysis of the Retail Business:</w:t>
      </w:r>
    </w:p>
    <w:p>
      <w:pPr>
        <w:spacing w:after="0" w:line="11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Comparable Sales – includes sales from stores that have been open at least one full year at the beginning of the year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Total Company comparable sales includes sales from our online channels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 net sales less cost of sales and related buying and occupancy costs</w:t>
      </w:r>
    </w:p>
    <w:p>
      <w:pPr>
        <w:spacing w:after="0" w:line="63"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Turnover Rate – trailing 12-months cost of sales and related buying and occupancy costs (for all segments) divided by the trailing 4-quarter average inventory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Sales Per Square Foot – net sales divided by weighted-average square footage</w:t>
      </w:r>
    </w:p>
    <w:p>
      <w:pPr>
        <w:spacing w:after="0" w:line="63"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4-wall Sales Per Square Foot – sales for Nordstrom U.S. and Canada full-line stores, Nordstrom Rack stores, Trunk Club clubhouses, Jeffrey boutiques and Last Chance clearance stores divided by their weighted-average square footage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Retail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36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5"/>
              </w:rPr>
              <w:t>Quarter Ended</w:t>
            </w:r>
          </w:p>
        </w:tc>
        <w:tc>
          <w:tcPr>
            <w:tcW w:w="1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July 29, 2017</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July 30, 2016</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480" w:type="dxa"/>
            <w:vAlign w:val="bottom"/>
          </w:tcPr>
          <w:p>
            <w:pPr>
              <w:jc w:val="right"/>
              <w:ind w:right="799"/>
              <w:spacing w:after="0"/>
              <w:rPr>
                <w:sz w:val="20"/>
                <w:szCs w:val="20"/>
                <w:color w:val="auto"/>
              </w:rPr>
            </w:pPr>
            <w:r>
              <w:rPr>
                <w:rFonts w:ascii="Arial" w:cs="Arial" w:eastAsia="Arial" w:hAnsi="Arial"/>
                <w:sz w:val="16"/>
                <w:szCs w:val="16"/>
                <w:b w:val="1"/>
                <w:bCs w:val="1"/>
                <w:color w:val="auto"/>
              </w:rPr>
              <w:t>Amount</w:t>
            </w:r>
          </w:p>
        </w:tc>
        <w:tc>
          <w:tcPr>
            <w:tcW w:w="2360" w:type="dxa"/>
            <w:vAlign w:val="bottom"/>
            <w:gridSpan w:val="3"/>
          </w:tcPr>
          <w:p>
            <w:pPr>
              <w:ind w:left="60"/>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1680" w:type="dxa"/>
            <w:vAlign w:val="bottom"/>
          </w:tcPr>
          <w:p>
            <w:pPr>
              <w:jc w:val="right"/>
              <w:ind w:right="799"/>
              <w:spacing w:after="0"/>
              <w:rPr>
                <w:sz w:val="20"/>
                <w:szCs w:val="20"/>
                <w:color w:val="auto"/>
              </w:rPr>
            </w:pPr>
            <w:r>
              <w:rPr>
                <w:rFonts w:ascii="Arial" w:cs="Arial" w:eastAsia="Arial" w:hAnsi="Arial"/>
                <w:sz w:val="16"/>
                <w:szCs w:val="16"/>
                <w:b w:val="1"/>
                <w:bCs w:val="1"/>
                <w:color w:val="auto"/>
              </w:rPr>
              <w:t>Amount</w:t>
            </w: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0"/>
              </w:rPr>
              <w:t>% of net sales</w:t>
            </w:r>
            <w:r>
              <w:rPr>
                <w:rFonts w:ascii="Arial" w:cs="Arial" w:eastAsia="Arial" w:hAnsi="Arial"/>
                <w:sz w:val="21"/>
                <w:szCs w:val="21"/>
                <w:color w:val="auto"/>
                <w:w w:val="90"/>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8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$3,717</w:t>
            </w:r>
          </w:p>
        </w:tc>
        <w:tc>
          <w:tcPr>
            <w:tcW w:w="14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$3,592</w:t>
            </w:r>
          </w:p>
        </w:tc>
        <w:tc>
          <w:tcPr>
            <w:tcW w:w="14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48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(2,449)</w:t>
            </w:r>
          </w:p>
        </w:tc>
        <w:tc>
          <w:tcPr>
            <w:tcW w:w="14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280"/>
              <w:spacing w:after="0"/>
              <w:rPr>
                <w:sz w:val="20"/>
                <w:szCs w:val="20"/>
                <w:color w:val="auto"/>
              </w:rPr>
            </w:pPr>
            <w:r>
              <w:rPr>
                <w:rFonts w:ascii="Arial" w:cs="Arial" w:eastAsia="Arial" w:hAnsi="Arial"/>
                <w:sz w:val="16"/>
                <w:szCs w:val="16"/>
                <w:color w:val="auto"/>
              </w:rPr>
              <w:t>costs</w:t>
            </w:r>
          </w:p>
        </w:tc>
        <w:tc>
          <w:tcPr>
            <w:tcW w:w="2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(2,358)</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1,268</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1,234</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480" w:type="dxa"/>
            <w:vAlign w:val="bottom"/>
          </w:tcPr>
          <w:p>
            <w:pPr>
              <w:jc w:val="right"/>
              <w:ind w:right="759"/>
              <w:spacing w:after="0"/>
              <w:rPr>
                <w:sz w:val="20"/>
                <w:szCs w:val="20"/>
                <w:color w:val="auto"/>
              </w:rPr>
            </w:pPr>
            <w:r>
              <w:rPr>
                <w:rFonts w:ascii="Arial" w:cs="Arial" w:eastAsia="Arial" w:hAnsi="Arial"/>
                <w:sz w:val="16"/>
                <w:szCs w:val="16"/>
                <w:b w:val="1"/>
                <w:bCs w:val="1"/>
                <w:color w:val="auto"/>
              </w:rPr>
              <w:t>(1,091)</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(29.4%)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(1,030)</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4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$177</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$204</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555"/>
        </w:trPr>
        <w:tc>
          <w:tcPr>
            <w:tcW w:w="34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w w:val="92"/>
              </w:rPr>
              <w:t>Six Months Ended</w:t>
            </w:r>
          </w:p>
        </w:tc>
        <w:tc>
          <w:tcPr>
            <w:tcW w:w="16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July 29, 2017</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July 30, 2016</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480" w:type="dxa"/>
            <w:vAlign w:val="bottom"/>
          </w:tcPr>
          <w:p>
            <w:pPr>
              <w:jc w:val="right"/>
              <w:ind w:right="799"/>
              <w:spacing w:after="0"/>
              <w:rPr>
                <w:sz w:val="20"/>
                <w:szCs w:val="20"/>
                <w:color w:val="auto"/>
              </w:rPr>
            </w:pPr>
            <w:r>
              <w:rPr>
                <w:rFonts w:ascii="Arial" w:cs="Arial" w:eastAsia="Arial" w:hAnsi="Arial"/>
                <w:sz w:val="16"/>
                <w:szCs w:val="16"/>
                <w:b w:val="1"/>
                <w:bCs w:val="1"/>
                <w:color w:val="auto"/>
              </w:rPr>
              <w:t>Amount</w:t>
            </w:r>
          </w:p>
        </w:tc>
        <w:tc>
          <w:tcPr>
            <w:tcW w:w="2360" w:type="dxa"/>
            <w:vAlign w:val="bottom"/>
            <w:gridSpan w:val="3"/>
          </w:tcPr>
          <w:p>
            <w:pPr>
              <w:ind w:left="60"/>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1680" w:type="dxa"/>
            <w:vAlign w:val="bottom"/>
          </w:tcPr>
          <w:p>
            <w:pPr>
              <w:jc w:val="right"/>
              <w:ind w:right="799"/>
              <w:spacing w:after="0"/>
              <w:rPr>
                <w:sz w:val="20"/>
                <w:szCs w:val="20"/>
                <w:color w:val="auto"/>
              </w:rPr>
            </w:pPr>
            <w:r>
              <w:rPr>
                <w:rFonts w:ascii="Arial" w:cs="Arial" w:eastAsia="Arial" w:hAnsi="Arial"/>
                <w:sz w:val="16"/>
                <w:szCs w:val="16"/>
                <w:b w:val="1"/>
                <w:bCs w:val="1"/>
                <w:color w:val="auto"/>
              </w:rPr>
              <w:t>Amount</w:t>
            </w: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0"/>
              </w:rPr>
              <w:t>% of net sales</w:t>
            </w:r>
            <w:r>
              <w:rPr>
                <w:rFonts w:ascii="Arial" w:cs="Arial" w:eastAsia="Arial" w:hAnsi="Arial"/>
                <w:sz w:val="21"/>
                <w:szCs w:val="21"/>
                <w:color w:val="auto"/>
                <w:w w:val="90"/>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8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$6,996</w:t>
            </w:r>
          </w:p>
        </w:tc>
        <w:tc>
          <w:tcPr>
            <w:tcW w:w="14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$6,784</w:t>
            </w:r>
          </w:p>
        </w:tc>
        <w:tc>
          <w:tcPr>
            <w:tcW w:w="14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48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(4,603)</w:t>
            </w:r>
          </w:p>
        </w:tc>
        <w:tc>
          <w:tcPr>
            <w:tcW w:w="14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280"/>
              <w:spacing w:after="0"/>
              <w:rPr>
                <w:sz w:val="20"/>
                <w:szCs w:val="20"/>
                <w:color w:val="auto"/>
              </w:rPr>
            </w:pPr>
            <w:r>
              <w:rPr>
                <w:rFonts w:ascii="Arial" w:cs="Arial" w:eastAsia="Arial" w:hAnsi="Arial"/>
                <w:sz w:val="16"/>
                <w:szCs w:val="16"/>
                <w:color w:val="auto"/>
              </w:rPr>
              <w:t>costs</w:t>
            </w:r>
          </w:p>
        </w:tc>
        <w:tc>
          <w:tcPr>
            <w:tcW w:w="2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(4,456)</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2,393</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2,328</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480" w:type="dxa"/>
            <w:vAlign w:val="bottom"/>
          </w:tcPr>
          <w:p>
            <w:pPr>
              <w:jc w:val="right"/>
              <w:ind w:right="759"/>
              <w:spacing w:after="0"/>
              <w:rPr>
                <w:sz w:val="20"/>
                <w:szCs w:val="20"/>
                <w:color w:val="auto"/>
              </w:rPr>
            </w:pPr>
            <w:r>
              <w:rPr>
                <w:rFonts w:ascii="Arial" w:cs="Arial" w:eastAsia="Arial" w:hAnsi="Arial"/>
                <w:sz w:val="16"/>
                <w:szCs w:val="16"/>
                <w:b w:val="1"/>
                <w:bCs w:val="1"/>
                <w:color w:val="auto"/>
              </w:rPr>
              <w:t>(2,101)</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(2,034)</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48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$292</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$294</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34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Subtotals and totals may not foot due to rounding.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29</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Net Sales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In our ongoing effort to enhance the customer experience, we are focused on providing customers with a seamless experience across our channels. While our customers may engage with us through multiple channels, we know they value the overall Nordstrom brand experience and view us simply as Nordstrom, which is ultimately how we view our business. The following is a summary of our net sales by channel for our Retail Business:</w:t>
      </w:r>
    </w:p>
    <w:p>
      <w:pPr>
        <w:sectPr>
          <w:pgSz w:w="11900" w:h="16838" w:orient="portrait"/>
          <w:cols w:equalWidth="0" w:num="1">
            <w:col w:w="11420"/>
          </w:cols>
          <w:pgMar w:left="240" w:top="118" w:right="239" w:bottom="1440" w:gutter="0" w:footer="0" w:header="0"/>
        </w:sectPr>
      </w:pPr>
    </w:p>
    <w:p>
      <w:pPr>
        <w:spacing w:after="0" w:line="133"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37465</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0" w:lineRule="exact"/>
        <w:rPr>
          <w:sz w:val="20"/>
          <w:szCs w:val="20"/>
          <w:color w:val="auto"/>
        </w:rPr>
      </w:pPr>
    </w:p>
    <w:p>
      <w:pPr>
        <w:ind w:left="4100"/>
        <w:spacing w:after="0"/>
        <w:tabs>
          <w:tab w:leader="none" w:pos="6100" w:val="left"/>
        </w:tabs>
        <w:rPr>
          <w:sz w:val="20"/>
          <w:szCs w:val="20"/>
          <w:color w:val="auto"/>
        </w:rPr>
      </w:pPr>
      <w:r>
        <w:rPr>
          <w:rFonts w:ascii="Arial" w:cs="Arial" w:eastAsia="Arial" w:hAnsi="Arial"/>
          <w:sz w:val="16"/>
          <w:szCs w:val="16"/>
          <w:b w:val="1"/>
          <w:bCs w:val="1"/>
          <w:color w:val="auto"/>
        </w:rPr>
        <w:t>July 29, 2017</w:t>
      </w:r>
      <w:r>
        <w:rPr>
          <w:sz w:val="20"/>
          <w:szCs w:val="20"/>
          <w:color w:val="auto"/>
        </w:rPr>
        <w:tab/>
      </w:r>
      <w:r>
        <w:rPr>
          <w:rFonts w:ascii="Arial" w:cs="Arial" w:eastAsia="Arial" w:hAnsi="Arial"/>
          <w:sz w:val="14"/>
          <w:szCs w:val="14"/>
          <w:b w:val="1"/>
          <w:bCs w:val="1"/>
          <w:color w:val="auto"/>
        </w:rPr>
        <w:t>July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37465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80"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b w:val="1"/>
          <w:bCs w:val="1"/>
          <w:color w:val="auto"/>
        </w:rPr>
        <w:t>July 29, 2017</w:t>
      </w:r>
      <w:r>
        <w:rPr>
          <w:sz w:val="20"/>
          <w:szCs w:val="20"/>
          <w:color w:val="auto"/>
        </w:rPr>
        <w:tab/>
      </w:r>
      <w:r>
        <w:rPr>
          <w:rFonts w:ascii="Arial" w:cs="Arial" w:eastAsia="Arial" w:hAnsi="Arial"/>
          <w:sz w:val="14"/>
          <w:szCs w:val="14"/>
          <w:b w:val="1"/>
          <w:bCs w:val="1"/>
          <w:color w:val="auto"/>
        </w:rPr>
        <w:t>July 30, 2016</w:t>
      </w:r>
    </w:p>
    <w:p>
      <w:pPr>
        <w:spacing w:after="0" w:line="10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Net sales by channel:</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1900" w:type="dxa"/>
            <w:vAlign w:val="bottom"/>
          </w:tcPr>
          <w:p>
            <w:pPr>
              <w:jc w:val="right"/>
              <w:ind w:right="819"/>
              <w:spacing w:after="0"/>
              <w:rPr>
                <w:sz w:val="20"/>
                <w:szCs w:val="20"/>
                <w:color w:val="auto"/>
              </w:rPr>
            </w:pPr>
            <w:r>
              <w:rPr>
                <w:rFonts w:ascii="Arial" w:cs="Arial" w:eastAsia="Arial" w:hAnsi="Arial"/>
                <w:sz w:val="16"/>
                <w:szCs w:val="16"/>
                <w:b w:val="1"/>
                <w:bCs w:val="1"/>
                <w:color w:val="auto"/>
              </w:rPr>
              <w:t>$1,887</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$1,978</w:t>
            </w:r>
          </w:p>
        </w:tc>
        <w:tc>
          <w:tcPr>
            <w:tcW w:w="2040" w:type="dxa"/>
            <w:vAlign w:val="bottom"/>
          </w:tcPr>
          <w:p>
            <w:pPr>
              <w:jc w:val="right"/>
              <w:ind w:right="839"/>
              <w:spacing w:after="0"/>
              <w:rPr>
                <w:sz w:val="20"/>
                <w:szCs w:val="20"/>
                <w:color w:val="auto"/>
              </w:rPr>
            </w:pPr>
            <w:r>
              <w:rPr>
                <w:rFonts w:ascii="Arial" w:cs="Arial" w:eastAsia="Arial" w:hAnsi="Arial"/>
                <w:sz w:val="16"/>
                <w:szCs w:val="16"/>
                <w:b w:val="1"/>
                <w:bCs w:val="1"/>
                <w:color w:val="auto"/>
              </w:rPr>
              <w:t>$3,369</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$3,560</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19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819</w:t>
            </w:r>
          </w:p>
        </w:tc>
        <w:tc>
          <w:tcPr>
            <w:tcW w:w="20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683</w:t>
            </w:r>
          </w:p>
        </w:tc>
        <w:tc>
          <w:tcPr>
            <w:tcW w:w="2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1,367</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1,178</w:t>
            </w:r>
          </w:p>
        </w:tc>
      </w:tr>
      <w:tr>
        <w:trPr>
          <w:trHeight w:val="231"/>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Full-price</w:t>
            </w:r>
          </w:p>
        </w:tc>
        <w:tc>
          <w:tcPr>
            <w:tcW w:w="19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2,706</w:t>
            </w:r>
          </w:p>
        </w:tc>
        <w:tc>
          <w:tcPr>
            <w:tcW w:w="200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2,661</w:t>
            </w:r>
          </w:p>
        </w:tc>
        <w:tc>
          <w:tcPr>
            <w:tcW w:w="2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4,736</w:t>
            </w:r>
          </w:p>
        </w:tc>
        <w:tc>
          <w:tcPr>
            <w:tcW w:w="1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4,738</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40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Nordstrom Rack</w:t>
            </w:r>
          </w:p>
        </w:tc>
        <w:tc>
          <w:tcPr>
            <w:tcW w:w="1900" w:type="dxa"/>
            <w:vAlign w:val="bottom"/>
          </w:tcPr>
          <w:p>
            <w:pPr>
              <w:jc w:val="right"/>
              <w:ind w:right="819"/>
              <w:spacing w:after="0"/>
              <w:rPr>
                <w:sz w:val="20"/>
                <w:szCs w:val="20"/>
                <w:color w:val="auto"/>
              </w:rPr>
            </w:pPr>
            <w:r>
              <w:rPr>
                <w:rFonts w:ascii="Arial" w:cs="Arial" w:eastAsia="Arial" w:hAnsi="Arial"/>
                <w:sz w:val="16"/>
                <w:szCs w:val="16"/>
                <w:b w:val="1"/>
                <w:bCs w:val="1"/>
                <w:color w:val="auto"/>
              </w:rPr>
              <w:t>990</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926</w:t>
            </w:r>
          </w:p>
        </w:tc>
        <w:tc>
          <w:tcPr>
            <w:tcW w:w="2040" w:type="dxa"/>
            <w:vAlign w:val="bottom"/>
          </w:tcPr>
          <w:p>
            <w:pPr>
              <w:jc w:val="right"/>
              <w:ind w:right="839"/>
              <w:spacing w:after="0"/>
              <w:rPr>
                <w:sz w:val="20"/>
                <w:szCs w:val="20"/>
                <w:color w:val="auto"/>
              </w:rPr>
            </w:pPr>
            <w:r>
              <w:rPr>
                <w:rFonts w:ascii="Arial" w:cs="Arial" w:eastAsia="Arial" w:hAnsi="Arial"/>
                <w:sz w:val="16"/>
                <w:szCs w:val="16"/>
                <w:b w:val="1"/>
                <w:bCs w:val="1"/>
                <w:color w:val="auto"/>
              </w:rPr>
              <w:t>1,944</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1,819</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Nordstromrack.com/HauteLook</w:t>
            </w:r>
          </w:p>
        </w:tc>
        <w:tc>
          <w:tcPr>
            <w:tcW w:w="19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199</w:t>
            </w:r>
          </w:p>
        </w:tc>
        <w:tc>
          <w:tcPr>
            <w:tcW w:w="20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157</w:t>
            </w:r>
          </w:p>
        </w:tc>
        <w:tc>
          <w:tcPr>
            <w:tcW w:w="2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397</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323</w:t>
            </w:r>
          </w:p>
        </w:tc>
      </w:tr>
      <w:tr>
        <w:trPr>
          <w:trHeight w:val="231"/>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Off-price</w:t>
            </w:r>
          </w:p>
        </w:tc>
        <w:tc>
          <w:tcPr>
            <w:tcW w:w="19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1,189</w:t>
            </w:r>
          </w:p>
        </w:tc>
        <w:tc>
          <w:tcPr>
            <w:tcW w:w="200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1,083</w:t>
            </w:r>
          </w:p>
        </w:tc>
        <w:tc>
          <w:tcPr>
            <w:tcW w:w="2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2,341</w:t>
            </w:r>
          </w:p>
        </w:tc>
        <w:tc>
          <w:tcPr>
            <w:tcW w:w="1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2,142</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40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70"/>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19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144</w:t>
            </w:r>
          </w:p>
        </w:tc>
        <w:tc>
          <w:tcPr>
            <w:tcW w:w="2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127</w:t>
            </w:r>
          </w:p>
        </w:tc>
        <w:tc>
          <w:tcPr>
            <w:tcW w:w="2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270</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249</w:t>
            </w: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segment</w:t>
            </w:r>
          </w:p>
        </w:tc>
        <w:tc>
          <w:tcPr>
            <w:tcW w:w="19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4,039</w:t>
            </w:r>
          </w:p>
        </w:tc>
        <w:tc>
          <w:tcPr>
            <w:tcW w:w="20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3,871</w:t>
            </w:r>
          </w:p>
        </w:tc>
        <w:tc>
          <w:tcPr>
            <w:tcW w:w="2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7,347</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7,129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Corporate/Other</w:t>
            </w:r>
          </w:p>
        </w:tc>
        <w:tc>
          <w:tcPr>
            <w:tcW w:w="1900" w:type="dxa"/>
            <w:vAlign w:val="bottom"/>
          </w:tcPr>
          <w:p>
            <w:pPr>
              <w:jc w:val="right"/>
              <w:ind w:right="759"/>
              <w:spacing w:after="0"/>
              <w:rPr>
                <w:sz w:val="20"/>
                <w:szCs w:val="20"/>
                <w:color w:val="auto"/>
              </w:rPr>
            </w:pPr>
            <w:r>
              <w:rPr>
                <w:rFonts w:ascii="Arial" w:cs="Arial" w:eastAsia="Arial" w:hAnsi="Arial"/>
                <w:sz w:val="16"/>
                <w:szCs w:val="16"/>
                <w:b w:val="1"/>
                <w:bCs w:val="1"/>
                <w:color w:val="auto"/>
              </w:rPr>
              <w:t>(322)</w:t>
            </w:r>
          </w:p>
        </w:tc>
        <w:tc>
          <w:tcPr>
            <w:tcW w:w="2000" w:type="dxa"/>
            <w:vAlign w:val="bottom"/>
          </w:tcPr>
          <w:p>
            <w:pPr>
              <w:jc w:val="right"/>
              <w:ind w:right="739"/>
              <w:spacing w:after="0"/>
              <w:rPr>
                <w:sz w:val="20"/>
                <w:szCs w:val="20"/>
                <w:color w:val="auto"/>
              </w:rPr>
            </w:pPr>
            <w:r>
              <w:rPr>
                <w:rFonts w:ascii="Arial" w:cs="Arial" w:eastAsia="Arial" w:hAnsi="Arial"/>
                <w:sz w:val="16"/>
                <w:szCs w:val="16"/>
                <w:color w:val="auto"/>
              </w:rPr>
              <w:t>(279)</w:t>
            </w:r>
          </w:p>
        </w:tc>
        <w:tc>
          <w:tcPr>
            <w:tcW w:w="2040" w:type="dxa"/>
            <w:vAlign w:val="bottom"/>
          </w:tcPr>
          <w:p>
            <w:pPr>
              <w:jc w:val="right"/>
              <w:ind w:right="779"/>
              <w:spacing w:after="0"/>
              <w:rPr>
                <w:sz w:val="20"/>
                <w:szCs w:val="20"/>
                <w:color w:val="auto"/>
              </w:rPr>
            </w:pPr>
            <w:r>
              <w:rPr>
                <w:rFonts w:ascii="Arial" w:cs="Arial" w:eastAsia="Arial" w:hAnsi="Arial"/>
                <w:sz w:val="16"/>
                <w:szCs w:val="16"/>
                <w:b w:val="1"/>
                <w:bCs w:val="1"/>
                <w:color w:val="auto"/>
              </w:rPr>
              <w:t>(351)</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(345)</w:t>
            </w:r>
          </w:p>
        </w:tc>
      </w:tr>
      <w:tr>
        <w:trPr>
          <w:trHeight w:val="33"/>
        </w:trPr>
        <w:tc>
          <w:tcPr>
            <w:tcW w:w="40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19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$3,717</w:t>
            </w:r>
          </w:p>
        </w:tc>
        <w:tc>
          <w:tcPr>
            <w:tcW w:w="20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$3,592</w:t>
            </w:r>
          </w:p>
        </w:tc>
        <w:tc>
          <w:tcPr>
            <w:tcW w:w="2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$6,996</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$6,784</w:t>
            </w:r>
          </w:p>
        </w:tc>
      </w:tr>
      <w:tr>
        <w:trPr>
          <w:trHeight w:val="291"/>
        </w:trPr>
        <w:tc>
          <w:tcPr>
            <w:tcW w:w="40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increase (decrease)</w:t>
            </w:r>
          </w:p>
        </w:tc>
        <w:tc>
          <w:tcPr>
            <w:tcW w:w="19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3.5%</w:t>
            </w:r>
          </w:p>
        </w:tc>
        <w:tc>
          <w:tcPr>
            <w:tcW w:w="20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(0.2%)</w:t>
            </w:r>
          </w:p>
        </w:tc>
        <w:tc>
          <w:tcPr>
            <w:tcW w:w="20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3.1%</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r>
      <w:tr>
        <w:trPr>
          <w:trHeight w:val="297"/>
        </w:trPr>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Comparable sales increase (decrease) by channel:</w:t>
            </w:r>
          </w:p>
        </w:tc>
        <w:tc>
          <w:tcPr>
            <w:tcW w:w="19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1900" w:type="dxa"/>
            <w:vAlign w:val="bottom"/>
          </w:tcPr>
          <w:p>
            <w:pPr>
              <w:jc w:val="right"/>
              <w:ind w:right="599"/>
              <w:spacing w:after="0"/>
              <w:rPr>
                <w:sz w:val="20"/>
                <w:szCs w:val="20"/>
                <w:color w:val="auto"/>
              </w:rPr>
            </w:pPr>
            <w:r>
              <w:rPr>
                <w:rFonts w:ascii="Arial" w:cs="Arial" w:eastAsia="Arial" w:hAnsi="Arial"/>
                <w:sz w:val="16"/>
                <w:szCs w:val="16"/>
                <w:b w:val="1"/>
                <w:bCs w:val="1"/>
                <w:color w:val="auto"/>
              </w:rPr>
              <w:t>(4.4%)</w:t>
            </w:r>
          </w:p>
        </w:tc>
        <w:tc>
          <w:tcPr>
            <w:tcW w:w="2000" w:type="dxa"/>
            <w:vAlign w:val="bottom"/>
          </w:tcPr>
          <w:p>
            <w:pPr>
              <w:jc w:val="right"/>
              <w:ind w:right="599"/>
              <w:spacing w:after="0"/>
              <w:rPr>
                <w:sz w:val="20"/>
                <w:szCs w:val="20"/>
                <w:color w:val="auto"/>
              </w:rPr>
            </w:pPr>
            <w:r>
              <w:rPr>
                <w:rFonts w:ascii="Arial" w:cs="Arial" w:eastAsia="Arial" w:hAnsi="Arial"/>
                <w:sz w:val="16"/>
                <w:szCs w:val="16"/>
                <w:color w:val="auto"/>
              </w:rPr>
              <w:t>(6.5%)</w:t>
            </w:r>
          </w:p>
        </w:tc>
        <w:tc>
          <w:tcPr>
            <w:tcW w:w="2040" w:type="dxa"/>
            <w:vAlign w:val="bottom"/>
          </w:tcPr>
          <w:p>
            <w:pPr>
              <w:jc w:val="right"/>
              <w:ind w:right="619"/>
              <w:spacing w:after="0"/>
              <w:rPr>
                <w:sz w:val="20"/>
                <w:szCs w:val="20"/>
                <w:color w:val="auto"/>
              </w:rPr>
            </w:pPr>
            <w:r>
              <w:rPr>
                <w:rFonts w:ascii="Arial" w:cs="Arial" w:eastAsia="Arial" w:hAnsi="Arial"/>
                <w:sz w:val="16"/>
                <w:szCs w:val="16"/>
                <w:b w:val="1"/>
                <w:bCs w:val="1"/>
                <w:color w:val="auto"/>
              </w:rPr>
              <w:t>(5.3%)</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(7.0%)</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19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19.8%</w:t>
            </w:r>
          </w:p>
        </w:tc>
        <w:tc>
          <w:tcPr>
            <w:tcW w:w="2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9.4%</w:t>
            </w:r>
          </w:p>
        </w:tc>
        <w:tc>
          <w:tcPr>
            <w:tcW w:w="20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16.0%</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Full-price</w:t>
            </w: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1.8%</w:t>
            </w:r>
          </w:p>
        </w:tc>
        <w:tc>
          <w:tcPr>
            <w:tcW w:w="2000" w:type="dxa"/>
            <w:vAlign w:val="bottom"/>
          </w:tcPr>
          <w:p>
            <w:pPr>
              <w:jc w:val="right"/>
              <w:ind w:right="599"/>
              <w:spacing w:after="0"/>
              <w:rPr>
                <w:sz w:val="20"/>
                <w:szCs w:val="20"/>
                <w:color w:val="auto"/>
              </w:rPr>
            </w:pPr>
            <w:r>
              <w:rPr>
                <w:rFonts w:ascii="Arial" w:cs="Arial" w:eastAsia="Arial" w:hAnsi="Arial"/>
                <w:sz w:val="16"/>
                <w:szCs w:val="16"/>
                <w:color w:val="auto"/>
              </w:rPr>
              <w:t>(2.8%)</w:t>
            </w:r>
          </w:p>
        </w:tc>
        <w:tc>
          <w:tcPr>
            <w:tcW w:w="204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(4.0%)</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19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(1.0%)</w:t>
            </w:r>
          </w:p>
        </w:tc>
        <w:tc>
          <w:tcPr>
            <w:tcW w:w="2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1.1%</w:t>
            </w:r>
          </w:p>
        </w:tc>
        <w:tc>
          <w:tcPr>
            <w:tcW w:w="20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(0.9%)</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26.7%</w:t>
            </w:r>
          </w:p>
        </w:tc>
        <w:tc>
          <w:tcPr>
            <w:tcW w:w="2000" w:type="dxa"/>
            <w:vAlign w:val="bottom"/>
          </w:tcPr>
          <w:p>
            <w:pPr>
              <w:jc w:val="right"/>
              <w:ind w:right="659"/>
              <w:spacing w:after="0"/>
              <w:rPr>
                <w:sz w:val="20"/>
                <w:szCs w:val="20"/>
                <w:color w:val="auto"/>
              </w:rPr>
            </w:pPr>
            <w:r>
              <w:rPr>
                <w:rFonts w:ascii="Arial" w:cs="Arial" w:eastAsia="Arial" w:hAnsi="Arial"/>
                <w:sz w:val="16"/>
                <w:szCs w:val="16"/>
                <w:color w:val="auto"/>
              </w:rPr>
              <w:t>34.7%</w:t>
            </w:r>
          </w:p>
        </w:tc>
        <w:tc>
          <w:tcPr>
            <w:tcW w:w="2040" w:type="dxa"/>
            <w:vAlign w:val="bottom"/>
          </w:tcPr>
          <w:p>
            <w:pPr>
              <w:jc w:val="right"/>
              <w:ind w:right="659"/>
              <w:spacing w:after="0"/>
              <w:rPr>
                <w:sz w:val="20"/>
                <w:szCs w:val="20"/>
                <w:color w:val="auto"/>
              </w:rPr>
            </w:pPr>
            <w:r>
              <w:rPr>
                <w:rFonts w:ascii="Arial" w:cs="Arial" w:eastAsia="Arial" w:hAnsi="Arial"/>
                <w:sz w:val="16"/>
                <w:szCs w:val="16"/>
                <w:b w:val="1"/>
                <w:bCs w:val="1"/>
                <w:color w:val="auto"/>
              </w:rPr>
              <w:t>22.8%</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38.3%</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19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3.1%</w:t>
            </w:r>
          </w:p>
        </w:tc>
        <w:tc>
          <w:tcPr>
            <w:tcW w:w="2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5.3%</w:t>
            </w:r>
          </w:p>
        </w:tc>
        <w:tc>
          <w:tcPr>
            <w:tcW w:w="20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2.7%</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1.7%</w:t>
            </w:r>
          </w:p>
        </w:tc>
        <w:tc>
          <w:tcPr>
            <w:tcW w:w="2000" w:type="dxa"/>
            <w:vAlign w:val="bottom"/>
          </w:tcPr>
          <w:p>
            <w:pPr>
              <w:jc w:val="right"/>
              <w:ind w:right="599"/>
              <w:spacing w:after="0"/>
              <w:rPr>
                <w:sz w:val="20"/>
                <w:szCs w:val="20"/>
                <w:color w:val="auto"/>
              </w:rPr>
            </w:pPr>
            <w:r>
              <w:rPr>
                <w:rFonts w:ascii="Arial" w:cs="Arial" w:eastAsia="Arial" w:hAnsi="Arial"/>
                <w:sz w:val="16"/>
                <w:szCs w:val="16"/>
                <w:color w:val="auto"/>
              </w:rPr>
              <w:t>(1.2%)</w:t>
            </w:r>
          </w:p>
        </w:tc>
        <w:tc>
          <w:tcPr>
            <w:tcW w:w="2040" w:type="dxa"/>
            <w:vAlign w:val="bottom"/>
          </w:tcPr>
          <w:p>
            <w:pPr>
              <w:jc w:val="right"/>
              <w:ind w:right="659"/>
              <w:spacing w:after="0"/>
              <w:rPr>
                <w:sz w:val="20"/>
                <w:szCs w:val="20"/>
                <w:color w:val="auto"/>
              </w:rPr>
            </w:pPr>
            <w:r>
              <w:rPr>
                <w:rFonts w:ascii="Arial" w:cs="Arial" w:eastAsia="Arial" w:hAnsi="Arial"/>
                <w:sz w:val="16"/>
                <w:szCs w:val="16"/>
                <w:b w:val="1"/>
                <w:bCs w:val="1"/>
                <w:color w:val="auto"/>
              </w:rPr>
              <w:t>0.6%</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(1.5%)</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40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Sales per square foot:</w:t>
            </w: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sales per square foot</w:t>
            </w:r>
          </w:p>
        </w:tc>
        <w:tc>
          <w:tcPr>
            <w:tcW w:w="19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$125</w:t>
            </w:r>
          </w:p>
        </w:tc>
        <w:tc>
          <w:tcPr>
            <w:tcW w:w="20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$125</w:t>
            </w:r>
          </w:p>
        </w:tc>
        <w:tc>
          <w:tcPr>
            <w:tcW w:w="2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$235</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$236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4-wall sales per square foot</w:t>
            </w:r>
          </w:p>
        </w:tc>
        <w:tc>
          <w:tcPr>
            <w:tcW w:w="1900" w:type="dxa"/>
            <w:vAlign w:val="bottom"/>
          </w:tcPr>
          <w:p>
            <w:pPr>
              <w:jc w:val="right"/>
              <w:ind w:right="819"/>
              <w:spacing w:after="0"/>
              <w:rPr>
                <w:sz w:val="20"/>
                <w:szCs w:val="20"/>
                <w:color w:val="auto"/>
              </w:rPr>
            </w:pPr>
            <w:r>
              <w:rPr>
                <w:rFonts w:ascii="Arial" w:cs="Arial" w:eastAsia="Arial" w:hAnsi="Arial"/>
                <w:sz w:val="16"/>
                <w:szCs w:val="16"/>
                <w:b w:val="1"/>
                <w:bCs w:val="1"/>
                <w:color w:val="auto"/>
              </w:rPr>
              <w:t>100</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104</w:t>
            </w:r>
          </w:p>
        </w:tc>
        <w:tc>
          <w:tcPr>
            <w:tcW w:w="2040" w:type="dxa"/>
            <w:vAlign w:val="bottom"/>
          </w:tcPr>
          <w:p>
            <w:pPr>
              <w:jc w:val="right"/>
              <w:ind w:right="839"/>
              <w:spacing w:after="0"/>
              <w:rPr>
                <w:sz w:val="20"/>
                <w:szCs w:val="20"/>
                <w:color w:val="auto"/>
              </w:rPr>
            </w:pPr>
            <w:r>
              <w:rPr>
                <w:rFonts w:ascii="Arial" w:cs="Arial" w:eastAsia="Arial" w:hAnsi="Arial"/>
                <w:sz w:val="16"/>
                <w:szCs w:val="16"/>
                <w:b w:val="1"/>
                <w:bCs w:val="1"/>
                <w:color w:val="auto"/>
              </w:rPr>
              <w:t>186</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193</w:t>
            </w:r>
          </w:p>
        </w:tc>
      </w:tr>
      <w:tr>
        <w:trPr>
          <w:trHeight w:val="33"/>
        </w:trPr>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Full-line sales per square foot - U.S.</w:t>
            </w:r>
          </w:p>
        </w:tc>
        <w:tc>
          <w:tcPr>
            <w:tcW w:w="19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91</w:t>
            </w:r>
          </w:p>
        </w:tc>
        <w:tc>
          <w:tcPr>
            <w:tcW w:w="20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95</w:t>
            </w:r>
          </w:p>
        </w:tc>
        <w:tc>
          <w:tcPr>
            <w:tcW w:w="2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163</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Nordstrom Rack sales per square foot</w:t>
            </w:r>
          </w:p>
        </w:tc>
        <w:tc>
          <w:tcPr>
            <w:tcW w:w="1900" w:type="dxa"/>
            <w:vAlign w:val="bottom"/>
          </w:tcPr>
          <w:p>
            <w:pPr>
              <w:jc w:val="right"/>
              <w:ind w:right="819"/>
              <w:spacing w:after="0"/>
              <w:rPr>
                <w:sz w:val="20"/>
                <w:szCs w:val="20"/>
                <w:color w:val="auto"/>
              </w:rPr>
            </w:pPr>
            <w:r>
              <w:rPr>
                <w:rFonts w:ascii="Arial" w:cs="Arial" w:eastAsia="Arial" w:hAnsi="Arial"/>
                <w:sz w:val="16"/>
                <w:szCs w:val="16"/>
                <w:b w:val="1"/>
                <w:bCs w:val="1"/>
                <w:color w:val="auto"/>
              </w:rPr>
              <w:t>123</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126</w:t>
            </w:r>
          </w:p>
        </w:tc>
        <w:tc>
          <w:tcPr>
            <w:tcW w:w="2040" w:type="dxa"/>
            <w:vAlign w:val="bottom"/>
          </w:tcPr>
          <w:p>
            <w:pPr>
              <w:jc w:val="right"/>
              <w:ind w:right="839"/>
              <w:spacing w:after="0"/>
              <w:rPr>
                <w:sz w:val="20"/>
                <w:szCs w:val="20"/>
                <w:color w:val="auto"/>
              </w:rPr>
            </w:pPr>
            <w:r>
              <w:rPr>
                <w:rFonts w:ascii="Arial" w:cs="Arial" w:eastAsia="Arial" w:hAnsi="Arial"/>
                <w:sz w:val="16"/>
                <w:szCs w:val="16"/>
                <w:b w:val="1"/>
                <w:bCs w:val="1"/>
                <w:color w:val="auto"/>
              </w:rPr>
              <w:t>243</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249</w:t>
            </w:r>
          </w:p>
        </w:tc>
      </w:tr>
    </w:tbl>
    <w:p>
      <w:pPr>
        <w:spacing w:after="0" w:line="28" w:lineRule="exact"/>
        <w:rPr>
          <w:sz w:val="20"/>
          <w:szCs w:val="20"/>
          <w:color w:val="auto"/>
        </w:rPr>
      </w:pPr>
    </w:p>
    <w:p>
      <w:pPr>
        <w:ind w:left="80" w:hanging="72"/>
        <w:spacing w:after="0"/>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Total Company net sales increased 3.5% for the quarter and 3.1% for the six months ended July 29, 2017, compared with the same periods in 2016, while comparable sales increased 1.7% for the quarter and 0.6% for the six months ended July 29, 2017. The Anniversary Sale, historically the largest event of the year, performed better than recent trends. To date in fiscal 2017, we closed one full-line store and opened six Nordstrom Rack stores.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Full-price net sales, which consists of U.S. full-line and Nordstrom.com channels, increased 1.7% for the quarter and was flat for the six months ended</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July 29, 2017, compared with the same periods in 2016, while comparable sales increased 1.8% for the quarter and was flat for the six months ended July 29, 2017. Also on a comparable basis for the quarter, full-price experienced increases in the average selling price per item sold and the total number of items sold. For the six months ended July 29, 2017, there was a decrease in the total number of items sold, partially offset by an increase in the average selling price per item sold. The top-performing merchandise categories were Women’s Apparel and Beauty for the quarter and six months ended July 29, 2017. The top-performing U.S. geographic region was the East for the quarter and the West for the six months ended July 29, 2017.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29</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Off-price net sales, which consists of Nordstrom Rack and Nordstromrack.com/HauteLook channels, increased 9.8% for the quarter and 9.3% for the six months ended July 29, 2017, compared with the same periods in 2016, while comparable sales increased 3.1% and 2.7% for the quarter and six months ended July 29, 2017. On a quarter and year-to-date basis, Nordstrom Rack experienced a decrease in the average selling price per item sold, partially offset by an increase in the total number of items sold. Men’s Apparel was the top-performing Nordstrom Rack merchandise category for the quarter and six months ended July 29, 2017. The East was the top-performing geographic region for the quarter and six months ended July 29, 2017.</w:t>
      </w:r>
    </w:p>
    <w:p>
      <w:pPr>
        <w:spacing w:after="0" w:line="1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Other retail net sales increased for the quarter and six months ended July 29, 2017, compared with the same periods in 2016 due to new store openings in Canada, partially offset by decreases in Trunk Club.</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Retail Business gross profit (“Retail GP”):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580" w:type="dxa"/>
            <w:vAlign w:val="bottom"/>
          </w:tcPr>
          <w:p>
            <w:pPr>
              <w:jc w:val="right"/>
              <w:ind w:right="1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580" w:type="dxa"/>
            <w:vAlign w:val="bottom"/>
          </w:tcPr>
          <w:p>
            <w:pPr>
              <w:jc w:val="right"/>
              <w:ind w:right="919"/>
              <w:spacing w:after="0"/>
              <w:rPr>
                <w:sz w:val="20"/>
                <w:szCs w:val="20"/>
                <w:color w:val="auto"/>
              </w:rPr>
            </w:pPr>
            <w:r>
              <w:rPr>
                <w:rFonts w:ascii="Arial" w:cs="Arial" w:eastAsia="Arial" w:hAnsi="Arial"/>
                <w:sz w:val="16"/>
                <w:szCs w:val="16"/>
                <w:b w:val="1"/>
                <w:bCs w:val="1"/>
                <w:color w:val="auto"/>
              </w:rPr>
              <w:t>July 29, 2017</w:t>
            </w: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30, 2016</w:t>
            </w:r>
          </w:p>
        </w:tc>
        <w:tc>
          <w:tcPr>
            <w:tcW w:w="2640" w:type="dxa"/>
            <w:vAlign w:val="bottom"/>
          </w:tcPr>
          <w:p>
            <w:pPr>
              <w:jc w:val="right"/>
              <w:ind w:right="979"/>
              <w:spacing w:after="0"/>
              <w:rPr>
                <w:sz w:val="20"/>
                <w:szCs w:val="20"/>
                <w:color w:val="auto"/>
              </w:rPr>
            </w:pPr>
            <w:r>
              <w:rPr>
                <w:rFonts w:ascii="Arial" w:cs="Arial" w:eastAsia="Arial" w:hAnsi="Arial"/>
                <w:sz w:val="16"/>
                <w:szCs w:val="16"/>
                <w:b w:val="1"/>
                <w:bCs w:val="1"/>
                <w:color w:val="auto"/>
              </w:rPr>
              <w:t>July 29, 2017</w:t>
            </w:r>
          </w:p>
        </w:tc>
        <w:tc>
          <w:tcPr>
            <w:tcW w:w="1240" w:type="dxa"/>
            <w:vAlign w:val="bottom"/>
          </w:tcPr>
          <w:p>
            <w:pPr>
              <w:jc w:val="right"/>
              <w:ind w:right="219"/>
              <w:spacing w:after="0"/>
              <w:rPr>
                <w:sz w:val="20"/>
                <w:szCs w:val="20"/>
                <w:color w:val="auto"/>
              </w:rPr>
            </w:pPr>
            <w:r>
              <w:rPr>
                <w:rFonts w:ascii="Arial" w:cs="Arial" w:eastAsia="Arial" w:hAnsi="Arial"/>
                <w:sz w:val="16"/>
                <w:szCs w:val="16"/>
                <w:b w:val="1"/>
                <w:bCs w:val="1"/>
                <w:color w:val="auto"/>
                <w:w w:val="93"/>
              </w:rPr>
              <w:t>July 30, 2016</w:t>
            </w:r>
          </w:p>
        </w:tc>
      </w:tr>
      <w:tr>
        <w:trPr>
          <w:trHeight w:val="33"/>
        </w:trPr>
        <w:tc>
          <w:tcPr>
            <w:tcW w:w="3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gross profit</w:t>
            </w:r>
          </w:p>
        </w:tc>
        <w:tc>
          <w:tcPr>
            <w:tcW w:w="258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$1,268</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$2,393</w:t>
            </w:r>
          </w:p>
        </w:tc>
        <w:tc>
          <w:tcPr>
            <w:tcW w:w="12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$2,328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Retail gross profit as a % of net sales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34.1%</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0"/>
                <w:szCs w:val="20"/>
                <w:color w:val="auto"/>
              </w:rPr>
            </w:pP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34.2%</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34.3%</w:t>
            </w:r>
          </w:p>
        </w:tc>
      </w:tr>
      <w:tr>
        <w:trPr>
          <w:trHeight w:val="33"/>
        </w:trPr>
        <w:tc>
          <w:tcPr>
            <w:tcW w:w="3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35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jc w:val="right"/>
              <w:ind w:right="979"/>
              <w:spacing w:after="0"/>
              <w:rPr>
                <w:sz w:val="20"/>
                <w:szCs w:val="20"/>
                <w:color w:val="auto"/>
              </w:rPr>
            </w:pPr>
            <w:r>
              <w:rPr>
                <w:rFonts w:ascii="Arial" w:cs="Arial" w:eastAsia="Arial" w:hAnsi="Arial"/>
                <w:sz w:val="16"/>
                <w:szCs w:val="16"/>
                <w:b w:val="1"/>
                <w:bCs w:val="1"/>
                <w:color w:val="auto"/>
              </w:rPr>
              <w:t>July 29, 2017</w:t>
            </w:r>
          </w:p>
        </w:tc>
        <w:tc>
          <w:tcPr>
            <w:tcW w:w="1240" w:type="dxa"/>
            <w:vAlign w:val="bottom"/>
          </w:tcPr>
          <w:p>
            <w:pPr>
              <w:jc w:val="right"/>
              <w:ind w:right="219"/>
              <w:spacing w:after="0"/>
              <w:rPr>
                <w:sz w:val="20"/>
                <w:szCs w:val="20"/>
                <w:color w:val="auto"/>
              </w:rPr>
            </w:pPr>
            <w:r>
              <w:rPr>
                <w:rFonts w:ascii="Arial" w:cs="Arial" w:eastAsia="Arial" w:hAnsi="Arial"/>
                <w:sz w:val="16"/>
                <w:szCs w:val="16"/>
                <w:b w:val="1"/>
                <w:bCs w:val="1"/>
                <w:color w:val="auto"/>
                <w:w w:val="93"/>
              </w:rPr>
              <w:t>July 30, 2016</w:t>
            </w:r>
          </w:p>
        </w:tc>
      </w:tr>
      <w:tr>
        <w:trPr>
          <w:trHeight w:val="33"/>
        </w:trPr>
        <w:tc>
          <w:tcPr>
            <w:tcW w:w="35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inventory per square foot</w:t>
            </w:r>
          </w:p>
        </w:tc>
        <w:tc>
          <w:tcPr>
            <w:tcW w:w="2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$69.69</w:t>
            </w:r>
          </w:p>
        </w:tc>
        <w:tc>
          <w:tcPr>
            <w:tcW w:w="12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$70.51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Inventory turnover rate</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jc w:val="right"/>
              <w:ind w:right="979"/>
              <w:spacing w:after="0"/>
              <w:rPr>
                <w:sz w:val="20"/>
                <w:szCs w:val="20"/>
                <w:color w:val="auto"/>
              </w:rPr>
            </w:pPr>
            <w:r>
              <w:rPr>
                <w:rFonts w:ascii="Arial" w:cs="Arial" w:eastAsia="Arial" w:hAnsi="Arial"/>
                <w:sz w:val="16"/>
                <w:szCs w:val="16"/>
                <w:b w:val="1"/>
                <w:bCs w:val="1"/>
                <w:color w:val="auto"/>
              </w:rPr>
              <w:t>4.53</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4.43</w:t>
            </w:r>
          </w:p>
        </w:tc>
      </w:tr>
      <w:tr>
        <w:trPr>
          <w:trHeight w:val="33"/>
        </w:trPr>
        <w:tc>
          <w:tcPr>
            <w:tcW w:w="3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Retail GP rate decreased 25 basis points for the quarter ended July 29, 2017 and 10 basis points for the six months ended July 29, 2017, compared with the same periods in 2016, primarily due to higher occupancy expenses related to new store growth for Nordstrom Rack and Canada in addition to higher loyalty expenses during the Anniversary Sale. This decrease was partially offset by improved merchandise margins, reflecting the continued strength in regular-price selling. Continued inventory execution led to improvements in both ending inventory per square foot and the inventory turnover rate as of July 29,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selling, general and administrative expenses (“Retail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62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60" w:type="dxa"/>
            <w:vAlign w:val="bottom"/>
          </w:tcPr>
          <w:p>
            <w:pPr>
              <w:spacing w:after="0"/>
              <w:rPr>
                <w:sz w:val="20"/>
                <w:szCs w:val="20"/>
                <w:color w:val="auto"/>
              </w:rPr>
            </w:pPr>
          </w:p>
        </w:tc>
        <w:tc>
          <w:tcPr>
            <w:tcW w:w="2620" w:type="dxa"/>
            <w:vAlign w:val="bottom"/>
          </w:tcPr>
          <w:p>
            <w:pPr>
              <w:jc w:val="right"/>
              <w:ind w:right="939"/>
              <w:spacing w:after="0"/>
              <w:rPr>
                <w:sz w:val="20"/>
                <w:szCs w:val="20"/>
                <w:color w:val="auto"/>
              </w:rPr>
            </w:pPr>
            <w:r>
              <w:rPr>
                <w:rFonts w:ascii="Arial" w:cs="Arial" w:eastAsia="Arial" w:hAnsi="Arial"/>
                <w:sz w:val="16"/>
                <w:szCs w:val="16"/>
                <w:b w:val="1"/>
                <w:bCs w:val="1"/>
                <w:color w:val="auto"/>
              </w:rPr>
              <w:t>July 29, 2017</w:t>
            </w: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30, 2016</w:t>
            </w:r>
          </w:p>
        </w:tc>
        <w:tc>
          <w:tcPr>
            <w:tcW w:w="2680" w:type="dxa"/>
            <w:vAlign w:val="bottom"/>
          </w:tcPr>
          <w:p>
            <w:pPr>
              <w:jc w:val="right"/>
              <w:ind w:right="999"/>
              <w:spacing w:after="0"/>
              <w:rPr>
                <w:sz w:val="20"/>
                <w:szCs w:val="20"/>
                <w:color w:val="auto"/>
              </w:rPr>
            </w:pPr>
            <w:r>
              <w:rPr>
                <w:rFonts w:ascii="Arial" w:cs="Arial" w:eastAsia="Arial" w:hAnsi="Arial"/>
                <w:sz w:val="16"/>
                <w:szCs w:val="16"/>
                <w:b w:val="1"/>
                <w:bCs w:val="1"/>
                <w:color w:val="auto"/>
              </w:rPr>
              <w:t>July 29, 2017</w:t>
            </w: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July 30, 2016</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Retail selling, general and administrative expenses</w:t>
            </w:r>
          </w:p>
        </w:tc>
        <w:tc>
          <w:tcPr>
            <w:tcW w:w="26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$1,091</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$2,101</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w w:val="94"/>
              </w:rPr>
              <w:t>Retail selling, general and administrative expenses</w:t>
            </w:r>
          </w:p>
        </w:tc>
        <w:tc>
          <w:tcPr>
            <w:tcW w:w="2620" w:type="dxa"/>
            <w:vAlign w:val="bottom"/>
            <w:vMerge w:val="restart"/>
          </w:tcPr>
          <w:p>
            <w:pPr>
              <w:jc w:val="right"/>
              <w:ind w:right="779"/>
              <w:spacing w:after="0"/>
              <w:rPr>
                <w:sz w:val="20"/>
                <w:szCs w:val="20"/>
                <w:color w:val="auto"/>
              </w:rPr>
            </w:pPr>
            <w:r>
              <w:rPr>
                <w:rFonts w:ascii="Arial" w:cs="Arial" w:eastAsia="Arial" w:hAnsi="Arial"/>
                <w:sz w:val="16"/>
                <w:szCs w:val="16"/>
                <w:b w:val="1"/>
                <w:bCs w:val="1"/>
                <w:color w:val="auto"/>
              </w:rPr>
              <w:t>29.4%</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vMerge w:val="restart"/>
          </w:tcPr>
          <w:p>
            <w:pPr>
              <w:jc w:val="right"/>
              <w:ind w:right="839"/>
              <w:spacing w:after="0"/>
              <w:rPr>
                <w:sz w:val="20"/>
                <w:szCs w:val="20"/>
                <w:color w:val="auto"/>
              </w:rPr>
            </w:pPr>
            <w:r>
              <w:rPr>
                <w:rFonts w:ascii="Arial" w:cs="Arial" w:eastAsia="Arial" w:hAnsi="Arial"/>
                <w:sz w:val="16"/>
                <w:szCs w:val="16"/>
                <w:b w:val="1"/>
                <w:bCs w:val="1"/>
                <w:color w:val="auto"/>
              </w:rPr>
              <w:t>30.0%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280"/>
              <w:spacing w:after="0"/>
              <w:rPr>
                <w:sz w:val="20"/>
                <w:szCs w:val="20"/>
                <w:color w:val="auto"/>
              </w:rPr>
            </w:pPr>
            <w:r>
              <w:rPr>
                <w:rFonts w:ascii="Arial" w:cs="Arial" w:eastAsia="Arial" w:hAnsi="Arial"/>
                <w:sz w:val="16"/>
                <w:szCs w:val="16"/>
                <w:color w:val="auto"/>
              </w:rPr>
              <w:t>as a % of net sales</w:t>
            </w:r>
          </w:p>
        </w:tc>
        <w:tc>
          <w:tcPr>
            <w:tcW w:w="2620" w:type="dxa"/>
            <w:vAlign w:val="bottom"/>
            <w:vMerge w:val="continue"/>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7"/>
                <w:szCs w:val="17"/>
                <w:color w:val="auto"/>
              </w:rPr>
            </w:pPr>
          </w:p>
        </w:tc>
        <w:tc>
          <w:tcPr>
            <w:tcW w:w="2680" w:type="dxa"/>
            <w:vAlign w:val="bottom"/>
            <w:vMerge w:val="continue"/>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quarter ended July 29, 2017, Retail SG&amp;A increased $61 and our Retail SG&amp;A rate increased 67 basis points primarily due to planned increases in technology and supply chain expenses associated with our growth initiatives. For the six months ended July 29, 2017, Retail SG&amp;A increased $67 primarily due to planned technology and supply chain expenses partially offset by 2016 credit chargeback expenses associated with an industry change in liability rules.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29</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Segment</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Nordstrom credit and debit card products are designed to strengthen customer relationships and grow retail sales by providing loyalty benefits, valuable services and payment products. We believe our credit business allows us to build deeper relationships with our customers by fully integrating the Nordstrom Rewards program with our retail business and provide better service, which in turn fosters greater customer loyalty. Nordstrom cardholders tend to visit our stores more frequently and spend more than non-cardholders. Nordstrom private label credit and debit cards can be used at all of our U.S. retail channels, while Nordstrom Visa credit cards may also be used for purchases outside of Nordstrom (“outside volume”).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detailed view of the operational results of our Credit segment, consistent with Note 8: Segment Reporting in Item 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60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0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600" w:type="dxa"/>
            <w:vAlign w:val="bottom"/>
          </w:tcPr>
          <w:p>
            <w:pPr>
              <w:spacing w:after="0"/>
              <w:rPr>
                <w:sz w:val="20"/>
                <w:szCs w:val="20"/>
                <w:color w:val="auto"/>
              </w:rPr>
            </w:pPr>
          </w:p>
        </w:tc>
        <w:tc>
          <w:tcPr>
            <w:tcW w:w="2600" w:type="dxa"/>
            <w:vAlign w:val="bottom"/>
          </w:tcPr>
          <w:p>
            <w:pPr>
              <w:jc w:val="right"/>
              <w:ind w:right="879"/>
              <w:spacing w:after="0"/>
              <w:rPr>
                <w:sz w:val="20"/>
                <w:szCs w:val="20"/>
                <w:color w:val="auto"/>
              </w:rPr>
            </w:pPr>
            <w:r>
              <w:rPr>
                <w:rFonts w:ascii="Arial" w:cs="Arial" w:eastAsia="Arial" w:hAnsi="Arial"/>
                <w:sz w:val="16"/>
                <w:szCs w:val="16"/>
                <w:b w:val="1"/>
                <w:bCs w:val="1"/>
                <w:color w:val="auto"/>
              </w:rPr>
              <w:t>July 29, 2017</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30, 2016</w:t>
            </w:r>
          </w:p>
        </w:tc>
        <w:tc>
          <w:tcPr>
            <w:tcW w:w="2660" w:type="dxa"/>
            <w:vAlign w:val="bottom"/>
          </w:tcPr>
          <w:p>
            <w:pPr>
              <w:jc w:val="right"/>
              <w:ind w:right="919"/>
              <w:spacing w:after="0"/>
              <w:rPr>
                <w:sz w:val="20"/>
                <w:szCs w:val="20"/>
                <w:color w:val="auto"/>
              </w:rPr>
            </w:pPr>
            <w:r>
              <w:rPr>
                <w:rFonts w:ascii="Arial" w:cs="Arial" w:eastAsia="Arial" w:hAnsi="Arial"/>
                <w:sz w:val="16"/>
                <w:szCs w:val="16"/>
                <w:b w:val="1"/>
                <w:bCs w:val="1"/>
                <w:color w:val="auto"/>
              </w:rPr>
              <w:t>July 29, 2017</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July 30, 2016</w:t>
            </w:r>
          </w:p>
        </w:tc>
      </w:tr>
      <w:tr>
        <w:trPr>
          <w:trHeight w:val="33"/>
        </w:trPr>
        <w:tc>
          <w:tcPr>
            <w:tcW w:w="36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260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$76</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$152</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w:t>
            </w: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Credit expenses</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(36)</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660" w:type="dxa"/>
            <w:vAlign w:val="bottom"/>
          </w:tcPr>
          <w:p>
            <w:pPr>
              <w:jc w:val="right"/>
              <w:ind w:right="859"/>
              <w:spacing w:after="0"/>
              <w:rPr>
                <w:sz w:val="20"/>
                <w:szCs w:val="20"/>
                <w:color w:val="auto"/>
              </w:rPr>
            </w:pPr>
            <w:r>
              <w:rPr>
                <w:rFonts w:ascii="Arial" w:cs="Arial" w:eastAsia="Arial" w:hAnsi="Arial"/>
                <w:sz w:val="16"/>
                <w:szCs w:val="16"/>
                <w:b w:val="1"/>
                <w:bCs w:val="1"/>
                <w:color w:val="auto"/>
              </w:rPr>
              <w:t>(76)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(83)</w:t>
            </w:r>
          </w:p>
        </w:tc>
      </w:tr>
      <w:tr>
        <w:trPr>
          <w:trHeight w:val="33"/>
        </w:trPr>
        <w:tc>
          <w:tcPr>
            <w:tcW w:w="36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60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$40</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76</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w:t>
            </w:r>
          </w:p>
        </w:tc>
      </w:tr>
      <w:tr>
        <w:trPr>
          <w:trHeight w:val="291"/>
        </w:trPr>
        <w:tc>
          <w:tcPr>
            <w:tcW w:w="360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0"/>
        </w:trPr>
        <w:tc>
          <w:tcPr>
            <w:tcW w:w="3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and debit card volume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600" w:type="dxa"/>
            <w:vAlign w:val="bottom"/>
          </w:tcPr>
          <w:p>
            <w:pPr>
              <w:ind w:left="280"/>
              <w:spacing w:after="0"/>
              <w:rPr>
                <w:sz w:val="20"/>
                <w:szCs w:val="20"/>
                <w:color w:val="auto"/>
              </w:rPr>
            </w:pPr>
            <w:r>
              <w:rPr>
                <w:rFonts w:ascii="Arial" w:cs="Arial" w:eastAsia="Arial" w:hAnsi="Arial"/>
                <w:sz w:val="16"/>
                <w:szCs w:val="16"/>
                <w:color w:val="auto"/>
              </w:rPr>
              <w:t>Outside</w:t>
            </w:r>
          </w:p>
        </w:tc>
        <w:tc>
          <w:tcPr>
            <w:tcW w:w="2600" w:type="dxa"/>
            <w:vAlign w:val="bottom"/>
          </w:tcPr>
          <w:p>
            <w:pPr>
              <w:jc w:val="right"/>
              <w:ind w:right="879"/>
              <w:spacing w:after="0"/>
              <w:rPr>
                <w:sz w:val="20"/>
                <w:szCs w:val="20"/>
                <w:color w:val="auto"/>
              </w:rPr>
            </w:pPr>
            <w:r>
              <w:rPr>
                <w:rFonts w:ascii="Arial" w:cs="Arial" w:eastAsia="Arial" w:hAnsi="Arial"/>
                <w:sz w:val="16"/>
                <w:szCs w:val="16"/>
                <w:b w:val="1"/>
                <w:bCs w:val="1"/>
                <w:color w:val="auto"/>
              </w:rPr>
              <w:t>$1,061</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20"/>
                <w:szCs w:val="20"/>
                <w:color w:val="auto"/>
              </w:rPr>
            </w:pPr>
          </w:p>
        </w:tc>
        <w:tc>
          <w:tcPr>
            <w:tcW w:w="2660" w:type="dxa"/>
            <w:vAlign w:val="bottom"/>
          </w:tcPr>
          <w:p>
            <w:pPr>
              <w:jc w:val="right"/>
              <w:ind w:right="919"/>
              <w:spacing w:after="0"/>
              <w:rPr>
                <w:sz w:val="20"/>
                <w:szCs w:val="20"/>
                <w:color w:val="auto"/>
              </w:rPr>
            </w:pPr>
            <w:r>
              <w:rPr>
                <w:rFonts w:ascii="Arial" w:cs="Arial" w:eastAsia="Arial" w:hAnsi="Arial"/>
                <w:sz w:val="16"/>
                <w:szCs w:val="16"/>
                <w:b w:val="1"/>
                <w:bCs w:val="1"/>
                <w:color w:val="auto"/>
              </w:rPr>
              <w:t>$2,062</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$2,084</w:t>
            </w:r>
          </w:p>
        </w:tc>
      </w:tr>
      <w:tr>
        <w:trPr>
          <w:trHeight w:val="33"/>
        </w:trPr>
        <w:tc>
          <w:tcPr>
            <w:tcW w:w="3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Inside</w:t>
            </w:r>
          </w:p>
        </w:tc>
        <w:tc>
          <w:tcPr>
            <w:tcW w:w="260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1,760</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1,708</w:t>
            </w:r>
          </w:p>
        </w:tc>
        <w:tc>
          <w:tcPr>
            <w:tcW w:w="12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2,997</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2,975</w:t>
            </w:r>
          </w:p>
        </w:tc>
      </w:tr>
      <w:tr>
        <w:trPr>
          <w:trHeight w:val="231"/>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volume</w:t>
            </w:r>
          </w:p>
        </w:tc>
        <w:tc>
          <w:tcPr>
            <w:tcW w:w="260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$2,821</w:t>
            </w: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$2,776</w:t>
            </w:r>
          </w:p>
        </w:tc>
        <w:tc>
          <w:tcPr>
            <w:tcW w:w="1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$5,059</w:t>
            </w:r>
          </w:p>
        </w:tc>
        <w:tc>
          <w:tcPr>
            <w:tcW w:w="12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$5,059</w:t>
            </w:r>
          </w:p>
        </w:tc>
      </w:tr>
    </w:tbl>
    <w:p>
      <w:pPr>
        <w:spacing w:after="0" w:line="28"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Credit and debit card volume represents sales on the total portfolio plus applicable sales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credit card revenues, net</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30, 2016</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program revenues, net</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$73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$145</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credit card revenues, net</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$76</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$152</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0"/>
        </w:trPr>
        <w:tc>
          <w:tcPr>
            <w:tcW w:w="378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Pursuant to our program agreement with TD, we receive our portion of the ongoing credit card revenue, net of credit losses, from both sold and newly generated credit card receivables, which is recorded in credit program revenues, net. Asset amortization and deferred revenue recognition associated with the assets and liabilities recorded as part of the transaction are also recognized in credit program revenues, net. Revenue earned under the program agreement is impacted by the credit quality of receivables, both owned and serviced, and factors such as deteriorating economic conditions, declining creditworthiness of cardholders and the execution of account management and collection activities may heighten the risk of credit losses. Other credit card revenues include finance charge revenue, interchange fees and late fees on our accounts receivable retained (including debit, employee and Canadian receivables).</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Credit card revenues, net increased $17 for the quarter and $36 for the six months ended July 29, 2017, compared with the same periods in 2016, reflecting our strategic partnership with TD to responsibly grow our receivables and associated revenues. There was also a reduction in amortization expense related to the sale of the credit card portfolio.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Expenses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Total credit expenses decreased $6 for the quarter and $7 for the six months ended July 29, 2017, compared with the same periods in 2016, primarily due to lower processing costs driven by operational efficiencies.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Company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Interest expense, net was $29 for the quarter ended July 29, 2017, compared with $30 for the same period in 2016, and $76 for the six months ended July 29, 2017, compared with $61 for the same period in 2016. The increase for the six months ended July 29, 2017 was primarily due to a net interest expense charge of $18 related to the $650 debt refinancing completed in the first quarter of 2017 (see Note 2: Debt and Credit Facilities in Item 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64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40" w:type="dxa"/>
            <w:vAlign w:val="bottom"/>
          </w:tcPr>
          <w:p>
            <w:pPr>
              <w:jc w:val="right"/>
              <w:ind w:right="939"/>
              <w:spacing w:after="0"/>
              <w:rPr>
                <w:sz w:val="20"/>
                <w:szCs w:val="20"/>
                <w:color w:val="auto"/>
              </w:rPr>
            </w:pPr>
            <w:r>
              <w:rPr>
                <w:rFonts w:ascii="Arial" w:cs="Arial" w:eastAsia="Arial" w:hAnsi="Arial"/>
                <w:sz w:val="16"/>
                <w:szCs w:val="16"/>
                <w:b w:val="1"/>
                <w:bCs w:val="1"/>
                <w:color w:val="auto"/>
              </w:rPr>
              <w:t>July 29, 2017</w:t>
            </w: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30, 2016</w:t>
            </w:r>
          </w:p>
        </w:tc>
        <w:tc>
          <w:tcPr>
            <w:tcW w:w="2680" w:type="dxa"/>
            <w:vAlign w:val="bottom"/>
          </w:tcPr>
          <w:p>
            <w:pPr>
              <w:jc w:val="right"/>
              <w:ind w:right="999"/>
              <w:spacing w:after="0"/>
              <w:rPr>
                <w:sz w:val="20"/>
                <w:szCs w:val="20"/>
                <w:color w:val="auto"/>
              </w:rPr>
            </w:pPr>
            <w:r>
              <w:rPr>
                <w:rFonts w:ascii="Arial" w:cs="Arial" w:eastAsia="Arial" w:hAnsi="Arial"/>
                <w:sz w:val="16"/>
                <w:szCs w:val="16"/>
                <w:b w:val="1"/>
                <w:bCs w:val="1"/>
                <w:color w:val="auto"/>
              </w:rPr>
              <w:t>July 29, 2017</w:t>
            </w: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July 30, 2016</w:t>
            </w:r>
          </w:p>
        </w:tc>
      </w:tr>
      <w:tr>
        <w:trPr>
          <w:trHeight w:val="33"/>
        </w:trPr>
        <w:tc>
          <w:tcPr>
            <w:tcW w:w="34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$78</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$119</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$103</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41.8%</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2680" w:type="dxa"/>
            <w:vAlign w:val="bottom"/>
          </w:tcPr>
          <w:p>
            <w:pPr>
              <w:jc w:val="right"/>
              <w:ind w:right="839"/>
              <w:spacing w:after="0"/>
              <w:rPr>
                <w:sz w:val="20"/>
                <w:szCs w:val="20"/>
                <w:color w:val="auto"/>
              </w:rPr>
            </w:pPr>
            <w:r>
              <w:rPr>
                <w:rFonts w:ascii="Arial" w:cs="Arial" w:eastAsia="Arial" w:hAnsi="Arial"/>
                <w:sz w:val="16"/>
                <w:szCs w:val="16"/>
                <w:b w:val="1"/>
                <w:bCs w:val="1"/>
                <w:color w:val="auto"/>
              </w:rPr>
              <w:t>40.7%</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38.7%</w:t>
            </w:r>
          </w:p>
        </w:tc>
      </w:tr>
      <w:tr>
        <w:trPr>
          <w:trHeight w:val="33"/>
        </w:trPr>
        <w:tc>
          <w:tcPr>
            <w:tcW w:w="34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The effective tax rate increased for the quarter and six months ended July 29, 2017, compared with the same periods in 2016, as a result of the jurisdictional mix of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July 30, 2016</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$0.66</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$1.04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$0.65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$1.02</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$0.93</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Earnings per diluted share remained relatively consistent for the quarter ended July 29, 2017, compared with the same period in 2016. Earnings per diluted share increased for the six months ended July 29, 2017, reflecting increased sales in addition to a favorable comparison related to higher credit chargeback expenses associated with an industry change in liability rules in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2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updated our annual earnings per diluted share expectations to incorporate our second quarter results. Nordstrom’s expectations for fiscal 2017, which include the impact of the 53rd week,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6"/>
                <w:szCs w:val="16"/>
                <w:b w:val="1"/>
                <w:bCs w:val="1"/>
                <w:color w:val="auto"/>
              </w:rPr>
              <w:t>Current Outlook</w:t>
            </w:r>
          </w:p>
        </w:tc>
      </w:tr>
      <w:tr>
        <w:trPr>
          <w:trHeight w:val="33"/>
        </w:trPr>
        <w:tc>
          <w:tcPr>
            <w:tcW w:w="76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(percent)</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Approximately 4</w:t>
            </w:r>
          </w:p>
        </w:tc>
      </w:tr>
      <w:tr>
        <w:trPr>
          <w:trHeight w:val="224"/>
        </w:trPr>
        <w:tc>
          <w:tcPr>
            <w:tcW w:w="7680" w:type="dxa"/>
            <w:vAlign w:val="bottom"/>
          </w:tcPr>
          <w:p>
            <w:pPr>
              <w:ind w:left="40"/>
              <w:spacing w:after="0"/>
              <w:rPr>
                <w:sz w:val="20"/>
                <w:szCs w:val="20"/>
                <w:color w:val="auto"/>
              </w:rPr>
            </w:pPr>
            <w:r>
              <w:rPr>
                <w:rFonts w:ascii="Arial" w:cs="Arial" w:eastAsia="Arial" w:hAnsi="Arial"/>
                <w:sz w:val="16"/>
                <w:szCs w:val="16"/>
                <w:color w:val="auto"/>
              </w:rPr>
              <w:t>Comparable sales (percent)</w:t>
            </w:r>
          </w:p>
        </w:tc>
        <w:tc>
          <w:tcPr>
            <w:tcW w:w="3740" w:type="dxa"/>
            <w:vAlign w:val="bottom"/>
          </w:tcPr>
          <w:p>
            <w:pPr>
              <w:jc w:val="right"/>
              <w:spacing w:after="0"/>
              <w:rPr>
                <w:sz w:val="20"/>
                <w:szCs w:val="20"/>
                <w:color w:val="auto"/>
              </w:rPr>
            </w:pPr>
            <w:r>
              <w:rPr>
                <w:rFonts w:ascii="Arial" w:cs="Arial" w:eastAsia="Arial" w:hAnsi="Arial"/>
                <w:sz w:val="16"/>
                <w:szCs w:val="16"/>
                <w:color w:val="auto"/>
              </w:rPr>
              <w:t>Approximately flat</w:t>
            </w:r>
          </w:p>
        </w:tc>
      </w:tr>
      <w:tr>
        <w:trPr>
          <w:trHeight w:val="33"/>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EBIT</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 to $840</w:t>
            </w:r>
          </w:p>
        </w:tc>
      </w:tr>
      <w:tr>
        <w:trPr>
          <w:trHeight w:val="224"/>
        </w:trPr>
        <w:tc>
          <w:tcPr>
            <w:tcW w:w="7680" w:type="dxa"/>
            <w:vAlign w:val="bottom"/>
          </w:tcPr>
          <w:p>
            <w:pPr>
              <w:ind w:left="40"/>
              <w:spacing w:after="0"/>
              <w:rPr>
                <w:sz w:val="20"/>
                <w:szCs w:val="20"/>
                <w:color w:val="auto"/>
              </w:rPr>
            </w:pPr>
            <w:r>
              <w:rPr>
                <w:rFonts w:ascii="Arial" w:cs="Arial" w:eastAsia="Arial" w:hAnsi="Arial"/>
                <w:sz w:val="16"/>
                <w:szCs w:val="16"/>
                <w:color w:val="auto"/>
              </w:rPr>
              <w:t>Credit EBIT</w:t>
            </w:r>
          </w:p>
        </w:tc>
        <w:tc>
          <w:tcPr>
            <w:tcW w:w="3740" w:type="dxa"/>
            <w:vAlign w:val="bottom"/>
          </w:tcPr>
          <w:p>
            <w:pPr>
              <w:jc w:val="right"/>
              <w:spacing w:after="0"/>
              <w:rPr>
                <w:sz w:val="20"/>
                <w:szCs w:val="20"/>
                <w:color w:val="auto"/>
              </w:rPr>
            </w:pPr>
            <w:r>
              <w:rPr>
                <w:rFonts w:ascii="Arial" w:cs="Arial" w:eastAsia="Arial" w:hAnsi="Arial"/>
                <w:sz w:val="16"/>
                <w:szCs w:val="16"/>
                <w:color w:val="auto"/>
              </w:rPr>
              <w:t>Approximately $145</w:t>
            </w:r>
          </w:p>
        </w:tc>
      </w:tr>
      <w:tr>
        <w:trPr>
          <w:trHeight w:val="33"/>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diluted share (excluding the impact of any future share repurchases)</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 to $3.00</w:t>
            </w:r>
          </w:p>
        </w:tc>
      </w:tr>
      <w:tr>
        <w:trPr>
          <w:trHeight w:val="20"/>
        </w:trPr>
        <w:tc>
          <w:tcPr>
            <w:tcW w:w="768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income tax rate is estimated at 40% for fiscal 2017. The 53rd week is expected to add approximately $200 to net sales and approximately $0.02 to $0.03 to earnings per diluted share. The 53rd week is not included in comparable sales calculations.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Invested Capital (“ROIC”) (Non-GAAP financial measure)</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believe ROIC is a useful financial measure for investors in evaluating the efficiency and effectiveness of our use of capital and believe ROIC is an important component of shareholders’ return over the long term. In addition, we incorporate ROIC in our executive incentive compensation measures. For the 12 fiscal months ended July 29, 2017, our ROIC decreased to 8.9% compared with 9.1% for the 12 fiscal months ended July 30, 2016. Results for the current period were negatively impacted by approximately 310 basis points due to the Trunk Club non-cash goodwill impairment charge in the third quarter of 2016.</w:t>
      </w:r>
    </w:p>
    <w:p>
      <w:pPr>
        <w:spacing w:after="0" w:line="10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define ROIC as our net operating profit after tax divided by our average invested capital using the trailing 12-month average.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ROIC is return on assets. The following is a reconciliation of the components of ROIC and return on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40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12 Fiscal Months Ended</w:t>
            </w:r>
          </w:p>
        </w:tc>
      </w:tr>
      <w:tr>
        <w:trPr>
          <w:trHeight w:val="33"/>
        </w:trPr>
        <w:tc>
          <w:tcPr>
            <w:tcW w:w="736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340" w:type="dxa"/>
            <w:vAlign w:val="bottom"/>
          </w:tcPr>
          <w:p>
            <w:pPr>
              <w:jc w:val="right"/>
              <w:ind w:right="599"/>
              <w:spacing w:after="0"/>
              <w:rPr>
                <w:sz w:val="20"/>
                <w:szCs w:val="20"/>
                <w:color w:val="auto"/>
              </w:rPr>
            </w:pPr>
            <w:r>
              <w:rPr>
                <w:rFonts w:ascii="Arial" w:cs="Arial" w:eastAsia="Arial" w:hAnsi="Arial"/>
                <w:sz w:val="16"/>
                <w:szCs w:val="16"/>
                <w:b w:val="1"/>
                <w:bCs w:val="1"/>
                <w:color w:val="auto"/>
              </w:rPr>
              <w:t>July 29, 2017</w:t>
            </w: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rPr>
              <w:t>July 30, 2016</w:t>
            </w:r>
          </w:p>
        </w:tc>
      </w:tr>
      <w:tr>
        <w:trPr>
          <w:trHeight w:val="33"/>
        </w:trPr>
        <w:tc>
          <w:tcPr>
            <w:tcW w:w="73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3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$364</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$424</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340" w:type="dxa"/>
            <w:vAlign w:val="bottom"/>
          </w:tcPr>
          <w:p>
            <w:pPr>
              <w:jc w:val="right"/>
              <w:ind w:right="599"/>
              <w:spacing w:after="0"/>
              <w:rPr>
                <w:sz w:val="20"/>
                <w:szCs w:val="20"/>
                <w:color w:val="auto"/>
              </w:rPr>
            </w:pPr>
            <w:r>
              <w:rPr>
                <w:rFonts w:ascii="Arial" w:cs="Arial" w:eastAsia="Arial" w:hAnsi="Arial"/>
                <w:sz w:val="16"/>
                <w:szCs w:val="16"/>
                <w:b w:val="1"/>
                <w:bCs w:val="1"/>
                <w:color w:val="auto"/>
              </w:rPr>
              <w:t>346</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261</w:t>
            </w:r>
          </w:p>
        </w:tc>
      </w:tr>
      <w:tr>
        <w:trPr>
          <w:trHeight w:val="33"/>
        </w:trPr>
        <w:tc>
          <w:tcPr>
            <w:tcW w:w="7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3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139</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121</w:t>
            </w:r>
          </w:p>
        </w:tc>
      </w:tr>
      <w:tr>
        <w:trPr>
          <w:trHeight w:val="231"/>
        </w:trPr>
        <w:tc>
          <w:tcPr>
            <w:tcW w:w="7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 expense</w:t>
            </w:r>
          </w:p>
        </w:tc>
        <w:tc>
          <w:tcPr>
            <w:tcW w:w="234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849</w:t>
            </w:r>
          </w:p>
        </w:tc>
        <w:tc>
          <w:tcPr>
            <w:tcW w:w="17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806</w:t>
            </w:r>
          </w:p>
        </w:tc>
      </w:tr>
      <w:tr>
        <w:trPr>
          <w:trHeight w:val="33"/>
        </w:trPr>
        <w:tc>
          <w:tcPr>
            <w:tcW w:w="7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7"/>
        </w:trPr>
        <w:tc>
          <w:tcPr>
            <w:tcW w:w="73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2340" w:type="dxa"/>
            <w:vAlign w:val="bottom"/>
          </w:tcPr>
          <w:p>
            <w:pPr>
              <w:jc w:val="right"/>
              <w:ind w:right="599"/>
              <w:spacing w:after="0"/>
              <w:rPr>
                <w:sz w:val="20"/>
                <w:szCs w:val="20"/>
                <w:color w:val="auto"/>
              </w:rPr>
            </w:pPr>
            <w:r>
              <w:rPr>
                <w:rFonts w:ascii="Arial" w:cs="Arial" w:eastAsia="Arial" w:hAnsi="Arial"/>
                <w:sz w:val="16"/>
                <w:szCs w:val="16"/>
                <w:b w:val="1"/>
                <w:bCs w:val="1"/>
                <w:color w:val="auto"/>
              </w:rPr>
              <w:t>230</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190</w:t>
            </w:r>
          </w:p>
        </w:tc>
      </w:tr>
      <w:tr>
        <w:trPr>
          <w:trHeight w:val="33"/>
        </w:trPr>
        <w:tc>
          <w:tcPr>
            <w:tcW w:w="7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Less: estimated depreciation on capitalized operating leases</w:t>
            </w:r>
            <w:r>
              <w:rPr>
                <w:rFonts w:ascii="Arial" w:cs="Arial" w:eastAsia="Arial" w:hAnsi="Arial"/>
                <w:sz w:val="21"/>
                <w:szCs w:val="21"/>
                <w:color w:val="auto"/>
                <w:vertAlign w:val="superscript"/>
              </w:rPr>
              <w:t>1</w:t>
            </w:r>
          </w:p>
        </w:tc>
        <w:tc>
          <w:tcPr>
            <w:tcW w:w="23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(123)</w:t>
            </w:r>
          </w:p>
        </w:tc>
        <w:tc>
          <w:tcPr>
            <w:tcW w:w="17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(101)</w:t>
            </w:r>
          </w:p>
        </w:tc>
      </w:tr>
      <w:tr>
        <w:trPr>
          <w:trHeight w:val="231"/>
        </w:trPr>
        <w:tc>
          <w:tcPr>
            <w:tcW w:w="7360" w:type="dxa"/>
            <w:vAlign w:val="bottom"/>
          </w:tcPr>
          <w:p>
            <w:pPr>
              <w:ind w:left="40"/>
              <w:spacing w:after="0"/>
              <w:rPr>
                <w:sz w:val="20"/>
                <w:szCs w:val="20"/>
                <w:color w:val="auto"/>
              </w:rPr>
            </w:pPr>
            <w:r>
              <w:rPr>
                <w:rFonts w:ascii="Arial" w:cs="Arial" w:eastAsia="Arial" w:hAnsi="Arial"/>
                <w:sz w:val="16"/>
                <w:szCs w:val="16"/>
                <w:color w:val="auto"/>
              </w:rPr>
              <w:t>Net operating profit</w:t>
            </w:r>
          </w:p>
        </w:tc>
        <w:tc>
          <w:tcPr>
            <w:tcW w:w="2340" w:type="dxa"/>
            <w:vAlign w:val="bottom"/>
          </w:tcPr>
          <w:p>
            <w:pPr>
              <w:jc w:val="right"/>
              <w:ind w:right="599"/>
              <w:spacing w:after="0"/>
              <w:rPr>
                <w:sz w:val="20"/>
                <w:szCs w:val="20"/>
                <w:color w:val="auto"/>
              </w:rPr>
            </w:pPr>
            <w:r>
              <w:rPr>
                <w:rFonts w:ascii="Arial" w:cs="Arial" w:eastAsia="Arial" w:hAnsi="Arial"/>
                <w:sz w:val="16"/>
                <w:szCs w:val="16"/>
                <w:b w:val="1"/>
                <w:bCs w:val="1"/>
                <w:color w:val="auto"/>
              </w:rPr>
              <w:t>956</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895</w:t>
            </w:r>
          </w:p>
        </w:tc>
      </w:tr>
      <w:tr>
        <w:trPr>
          <w:trHeight w:val="33"/>
        </w:trPr>
        <w:tc>
          <w:tcPr>
            <w:tcW w:w="7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7"/>
        </w:trPr>
        <w:tc>
          <w:tcPr>
            <w:tcW w:w="73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Less: estimated income tax expense</w:t>
            </w:r>
          </w:p>
        </w:tc>
        <w:tc>
          <w:tcPr>
            <w:tcW w:w="2340" w:type="dxa"/>
            <w:vAlign w:val="bottom"/>
          </w:tcPr>
          <w:p>
            <w:pPr>
              <w:jc w:val="right"/>
              <w:ind w:right="539"/>
              <w:spacing w:after="0"/>
              <w:rPr>
                <w:sz w:val="20"/>
                <w:szCs w:val="20"/>
                <w:color w:val="auto"/>
              </w:rPr>
            </w:pPr>
            <w:r>
              <w:rPr>
                <w:rFonts w:ascii="Arial" w:cs="Arial" w:eastAsia="Arial" w:hAnsi="Arial"/>
                <w:sz w:val="16"/>
                <w:szCs w:val="16"/>
                <w:b w:val="1"/>
                <w:bCs w:val="1"/>
                <w:color w:val="auto"/>
              </w:rPr>
              <w:t>(438)</w:t>
            </w:r>
          </w:p>
        </w:tc>
        <w:tc>
          <w:tcPr>
            <w:tcW w:w="1720" w:type="dxa"/>
            <w:vAlign w:val="bottom"/>
          </w:tcPr>
          <w:p>
            <w:pPr>
              <w:jc w:val="right"/>
              <w:ind w:right="159"/>
              <w:spacing w:after="0"/>
              <w:rPr>
                <w:sz w:val="20"/>
                <w:szCs w:val="20"/>
                <w:color w:val="auto"/>
              </w:rPr>
            </w:pPr>
            <w:r>
              <w:rPr>
                <w:rFonts w:ascii="Arial" w:cs="Arial" w:eastAsia="Arial" w:hAnsi="Arial"/>
                <w:sz w:val="16"/>
                <w:szCs w:val="16"/>
                <w:color w:val="auto"/>
              </w:rPr>
              <w:t>(341)</w:t>
            </w:r>
          </w:p>
        </w:tc>
      </w:tr>
      <w:tr>
        <w:trPr>
          <w:trHeight w:val="33"/>
        </w:trPr>
        <w:tc>
          <w:tcPr>
            <w:tcW w:w="73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operating profit after tax</w:t>
            </w:r>
          </w:p>
        </w:tc>
        <w:tc>
          <w:tcPr>
            <w:tcW w:w="23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$518</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$554</w:t>
            </w:r>
          </w:p>
        </w:tc>
      </w:tr>
      <w:tr>
        <w:trPr>
          <w:trHeight w:val="291"/>
        </w:trPr>
        <w:tc>
          <w:tcPr>
            <w:tcW w:w="736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23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$8,018</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$8,332</w:t>
            </w: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Less: average non-interest-bearing current liabilities</w:t>
            </w:r>
            <w:r>
              <w:rPr>
                <w:rFonts w:ascii="Arial" w:cs="Arial" w:eastAsia="Arial" w:hAnsi="Arial"/>
                <w:sz w:val="21"/>
                <w:szCs w:val="21"/>
                <w:color w:val="auto"/>
                <w:vertAlign w:val="superscript"/>
              </w:rPr>
              <w:t>2</w:t>
            </w:r>
          </w:p>
        </w:tc>
        <w:tc>
          <w:tcPr>
            <w:tcW w:w="2340" w:type="dxa"/>
            <w:vAlign w:val="bottom"/>
          </w:tcPr>
          <w:p>
            <w:pPr>
              <w:jc w:val="right"/>
              <w:ind w:right="539"/>
              <w:spacing w:after="0"/>
              <w:rPr>
                <w:sz w:val="20"/>
                <w:szCs w:val="20"/>
                <w:color w:val="auto"/>
              </w:rPr>
            </w:pPr>
            <w:r>
              <w:rPr>
                <w:rFonts w:ascii="Arial" w:cs="Arial" w:eastAsia="Arial" w:hAnsi="Arial"/>
                <w:sz w:val="16"/>
                <w:szCs w:val="16"/>
                <w:b w:val="1"/>
                <w:bCs w:val="1"/>
                <w:color w:val="auto"/>
              </w:rPr>
              <w:t>(3,173)</w:t>
            </w:r>
          </w:p>
        </w:tc>
        <w:tc>
          <w:tcPr>
            <w:tcW w:w="1720" w:type="dxa"/>
            <w:vAlign w:val="bottom"/>
          </w:tcPr>
          <w:p>
            <w:pPr>
              <w:jc w:val="right"/>
              <w:ind w:right="159"/>
              <w:spacing w:after="0"/>
              <w:rPr>
                <w:sz w:val="20"/>
                <w:szCs w:val="20"/>
                <w:color w:val="auto"/>
              </w:rPr>
            </w:pPr>
            <w:r>
              <w:rPr>
                <w:rFonts w:ascii="Arial" w:cs="Arial" w:eastAsia="Arial" w:hAnsi="Arial"/>
                <w:sz w:val="16"/>
                <w:szCs w:val="16"/>
                <w:color w:val="auto"/>
              </w:rPr>
              <w:t>(3,062)</w:t>
            </w:r>
          </w:p>
        </w:tc>
      </w:tr>
      <w:tr>
        <w:trPr>
          <w:trHeight w:val="270"/>
        </w:trPr>
        <w:tc>
          <w:tcPr>
            <w:tcW w:w="7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deferred property incentives and deferred rent liability</w:t>
            </w:r>
            <w:r>
              <w:rPr>
                <w:rFonts w:ascii="Arial" w:cs="Arial" w:eastAsia="Arial" w:hAnsi="Arial"/>
                <w:sz w:val="21"/>
                <w:szCs w:val="21"/>
                <w:color w:val="auto"/>
                <w:vertAlign w:val="superscript"/>
              </w:rPr>
              <w:t>2</w:t>
            </w:r>
          </w:p>
        </w:tc>
        <w:tc>
          <w:tcPr>
            <w:tcW w:w="234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(646)</w:t>
            </w:r>
          </w:p>
        </w:tc>
        <w:tc>
          <w:tcPr>
            <w:tcW w:w="17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(549)</w:t>
            </w:r>
          </w:p>
        </w:tc>
      </w:tr>
      <w:tr>
        <w:trPr>
          <w:trHeight w:val="270"/>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average estimated asset base of capitalized operating leases</w:t>
            </w:r>
            <w:r>
              <w:rPr>
                <w:rFonts w:ascii="Arial" w:cs="Arial" w:eastAsia="Arial" w:hAnsi="Arial"/>
                <w:sz w:val="21"/>
                <w:szCs w:val="21"/>
                <w:color w:val="auto"/>
                <w:vertAlign w:val="superscript"/>
              </w:rPr>
              <w:t>3</w:t>
            </w:r>
          </w:p>
        </w:tc>
        <w:tc>
          <w:tcPr>
            <w:tcW w:w="2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1,636</w:t>
            </w: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1,388</w:t>
            </w: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3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$5,835</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$6,109</w:t>
            </w:r>
          </w:p>
        </w:tc>
      </w:tr>
      <w:tr>
        <w:trPr>
          <w:trHeight w:val="291"/>
        </w:trPr>
        <w:tc>
          <w:tcPr>
            <w:tcW w:w="736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70"/>
        </w:trPr>
        <w:tc>
          <w:tcPr>
            <w:tcW w:w="7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4</w:t>
            </w:r>
          </w:p>
        </w:tc>
        <w:tc>
          <w:tcPr>
            <w:tcW w:w="234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4.5%</w:t>
            </w:r>
          </w:p>
        </w:tc>
        <w:tc>
          <w:tcPr>
            <w:tcW w:w="1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r>
      <w:tr>
        <w:trPr>
          <w:trHeight w:val="277"/>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ROIC</w:t>
            </w:r>
            <w:r>
              <w:rPr>
                <w:rFonts w:ascii="Arial" w:cs="Arial" w:eastAsia="Arial" w:hAnsi="Arial"/>
                <w:sz w:val="21"/>
                <w:szCs w:val="21"/>
                <w:color w:val="auto"/>
                <w:vertAlign w:val="superscript"/>
              </w:rPr>
              <w:t>4</w:t>
            </w:r>
          </w:p>
        </w:tc>
        <w:tc>
          <w:tcPr>
            <w:tcW w:w="2340" w:type="dxa"/>
            <w:vAlign w:val="bottom"/>
          </w:tcPr>
          <w:p>
            <w:pPr>
              <w:jc w:val="right"/>
              <w:ind w:right="419"/>
              <w:spacing w:after="0"/>
              <w:rPr>
                <w:sz w:val="20"/>
                <w:szCs w:val="20"/>
                <w:color w:val="auto"/>
              </w:rPr>
            </w:pPr>
            <w:r>
              <w:rPr>
                <w:rFonts w:ascii="Arial" w:cs="Arial" w:eastAsia="Arial" w:hAnsi="Arial"/>
                <w:sz w:val="16"/>
                <w:szCs w:val="16"/>
                <w:b w:val="1"/>
                <w:bCs w:val="1"/>
                <w:color w:val="auto"/>
              </w:rPr>
              <w:t>8.9%</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right="200" w:hanging="72"/>
        <w:spacing w:after="0" w:line="241" w:lineRule="auto"/>
        <w:tabs>
          <w:tab w:leader="none" w:pos="66" w:val="left"/>
        </w:tabs>
        <w:numPr>
          <w:ilvl w:val="0"/>
          <w:numId w:val="15"/>
        </w:numPr>
        <w:rPr>
          <w:rFonts w:ascii="Arial" w:cs="Arial" w:eastAsia="Arial" w:hAnsi="Arial"/>
          <w:sz w:val="9"/>
          <w:szCs w:val="9"/>
          <w:color w:val="auto"/>
        </w:rPr>
      </w:pPr>
      <w:r>
        <w:rPr>
          <w:rFonts w:ascii="Arial" w:cs="Arial" w:eastAsia="Arial" w:hAnsi="Arial"/>
          <w:sz w:val="14"/>
          <w:szCs w:val="14"/>
          <w:color w:val="auto"/>
        </w:rPr>
        <w:t>Capitalized operating leases is our best estimate of the asset base we would record for our leases that are classified as operating if they had met the criteria for a capital lease or we had purchased the property. Asset base is calculated as described in footnote 3 below.</w:t>
      </w:r>
    </w:p>
    <w:p>
      <w:pPr>
        <w:spacing w:after="0" w:line="1" w:lineRule="exact"/>
        <w:rPr>
          <w:sz w:val="20"/>
          <w:szCs w:val="20"/>
          <w:color w:val="auto"/>
        </w:rPr>
      </w:pP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Balances associated with our deferred rent liability have been classified as long-term liabilities in the current period.</w:t>
      </w:r>
    </w:p>
    <w:p>
      <w:pPr>
        <w:spacing w:after="0" w:line="1" w:lineRule="exact"/>
        <w:rPr>
          <w:sz w:val="20"/>
          <w:szCs w:val="20"/>
          <w:color w:val="auto"/>
        </w:rPr>
      </w:pPr>
    </w:p>
    <w:p>
      <w:pPr>
        <w:ind w:left="80" w:right="80" w:hanging="72"/>
        <w:spacing w:after="0" w:line="241" w:lineRule="auto"/>
        <w:tabs>
          <w:tab w:leader="none" w:pos="66" w:val="left"/>
        </w:tabs>
        <w:numPr>
          <w:ilvl w:val="0"/>
          <w:numId w:val="17"/>
        </w:numPr>
        <w:rPr>
          <w:rFonts w:ascii="Arial" w:cs="Arial" w:eastAsia="Arial" w:hAnsi="Arial"/>
          <w:sz w:val="9"/>
          <w:szCs w:val="9"/>
          <w:color w:val="auto"/>
        </w:rPr>
      </w:pPr>
      <w:r>
        <w:rPr>
          <w:rFonts w:ascii="Arial" w:cs="Arial" w:eastAsia="Arial" w:hAnsi="Arial"/>
          <w:sz w:val="14"/>
          <w:szCs w:val="14"/>
          <w:color w:val="auto"/>
        </w:rPr>
        <w:t>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 described in footnote 1.</w:t>
      </w:r>
    </w:p>
    <w:p>
      <w:pPr>
        <w:spacing w:after="0" w:line="1" w:lineRule="exact"/>
        <w:rPr>
          <w:sz w:val="20"/>
          <w:szCs w:val="20"/>
          <w:color w:val="auto"/>
        </w:rPr>
      </w:pPr>
    </w:p>
    <w:p>
      <w:pPr>
        <w:ind w:left="80" w:right="180" w:hanging="72"/>
        <w:spacing w:after="0" w:line="255" w:lineRule="auto"/>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Results for the 12 fiscal months ended July 29, 2017 include the $197 impact of the Trunk Club non-cash goodwill impairment charge in the third quarter of 2016, which negatively impacted the current period return on assets by 234 basis points and ROIC by 310 basis points.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facilities and potential future borrowings are sufficient to finance our cash requirements for the next 12 months and beyond.</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we manage our cash and capital structure to maximize shareholder return, maintain our financial position, manage refinancing risk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allow flexibility for strategic initiatives. We regularly assess our debt and leverage levels, capital expenditure requirements, debt service payments,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payouts, potential share repurchases and other future investments. We believe that as of July 29, 2017, our existing cash and cash equivalents on-hand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$919, available credit facilities of $800 and potential future operating cash flows and borrowings will be sufficient to fund these scheduled future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potential long-term initiatives.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Net cash provided by operating activities decreased $282 for the six months ended July 29, 2017, compared with the same period in 2016, primarily due to a tax refund received in 2016, as well as the timing of credit card receivables from the higher volume of our Anniversary Event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Net cash used in investing activities decreased $66 for the six months ended July 29, 2017, compared with the same period in 2016, primarily due to a planned reduction in capital expenditures associated with fewer store openings and decreased technology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Net cash used in financing activities increased $169 for the six months ended July 29, 2017, compared with the same period in 2016, primarily due to increased share repurchase activity.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Short-term and Long-term Borrowing Activity</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first quarter of 2017, we issued $350 aggregate principal amount of 4.00% senior unsecured notes due March 2027 and $300 aggregate principal amount of 5.00% senior unsecured notes due January 2044. We recorded debt issuance costs incurred as a result of the issuance in other financing activities, net in the Condensed Consolidated Statements of Cash Flows in Item 1. With the proceeds of these new notes, we retired our $650 senior unsecured notes that were due January 2018. See Note 2: Debt and Credit Facilities in Item 1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provides investors with a meaningful analysis of our ability to generate cash from our business. For the six months ended July 29, 2017, we had Free Cash Flow of $115 compared with $303 for the six months ended July 30, 2016.</w:t>
      </w:r>
    </w:p>
    <w:p>
      <w:pPr>
        <w:spacing w:after="0" w:line="13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640" w:type="dxa"/>
            <w:vAlign w:val="bottom"/>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640" w:type="dxa"/>
            <w:vAlign w:val="bottom"/>
          </w:tcPr>
          <w:p>
            <w:pPr>
              <w:jc w:val="right"/>
              <w:ind w:right="839"/>
              <w:spacing w:after="0"/>
              <w:rPr>
                <w:sz w:val="20"/>
                <w:szCs w:val="20"/>
                <w:color w:val="auto"/>
              </w:rPr>
            </w:pPr>
            <w:r>
              <w:rPr>
                <w:rFonts w:ascii="Arial" w:cs="Arial" w:eastAsia="Arial" w:hAnsi="Arial"/>
                <w:sz w:val="16"/>
                <w:szCs w:val="16"/>
                <w:b w:val="1"/>
                <w:bCs w:val="1"/>
                <w:color w:val="auto"/>
              </w:rPr>
              <w:t>July 29, 2017</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July 30, 2016</w:t>
            </w:r>
          </w:p>
        </w:tc>
      </w:tr>
      <w:tr>
        <w:trPr>
          <w:trHeight w:val="33"/>
        </w:trPr>
        <w:tc>
          <w:tcPr>
            <w:tcW w:w="76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6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$574</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(341)</w:t>
            </w:r>
          </w:p>
        </w:tc>
        <w:tc>
          <w:tcPr>
            <w:tcW w:w="112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33"/>
        </w:trPr>
        <w:tc>
          <w:tcPr>
            <w:tcW w:w="7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dividends paid</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(less): change in cash book overdrafts</w:t>
            </w:r>
          </w:p>
        </w:tc>
        <w:tc>
          <w:tcPr>
            <w:tcW w:w="2640" w:type="dxa"/>
            <w:vAlign w:val="bottom"/>
          </w:tcPr>
          <w:p>
            <w:pPr>
              <w:jc w:val="right"/>
              <w:ind w:right="839"/>
              <w:spacing w:after="0"/>
              <w:rPr>
                <w:sz w:val="20"/>
                <w:szCs w:val="20"/>
                <w:color w:val="auto"/>
              </w:rPr>
            </w:pPr>
            <w:r>
              <w:rPr>
                <w:rFonts w:ascii="Arial" w:cs="Arial" w:eastAsia="Arial" w:hAnsi="Arial"/>
                <w:sz w:val="16"/>
                <w:szCs w:val="16"/>
                <w:b w:val="1"/>
                <w:bCs w:val="1"/>
                <w:color w:val="auto"/>
              </w:rPr>
              <w:t>6</w:t>
            </w: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76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Free Cash Flow</w:t>
            </w:r>
          </w:p>
        </w:tc>
        <w:tc>
          <w:tcPr>
            <w:tcW w:w="26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$115</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r>
      <w:tr>
        <w:trPr>
          <w:trHeight w:val="20"/>
        </w:trPr>
        <w:tc>
          <w:tcPr>
            <w:tcW w:w="764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 of 29</w:t>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July 29, 2017,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From time to time we utilize our commercial paper program to fund working capital needs, which has the effect of reducing our available liquidity under the revolver until repaid.</w:t>
      </w:r>
    </w:p>
    <w:p>
      <w:pPr>
        <w:spacing w:after="0" w:line="137" w:lineRule="exact"/>
        <w:rPr>
          <w:sz w:val="20"/>
          <w:szCs w:val="20"/>
          <w:color w:val="auto"/>
        </w:rPr>
      </w:pPr>
    </w:p>
    <w:p>
      <w:pPr>
        <w:ind w:right="1120"/>
        <w:spacing w:after="0" w:line="352" w:lineRule="auto"/>
        <w:rPr>
          <w:sz w:val="20"/>
          <w:szCs w:val="20"/>
          <w:color w:val="auto"/>
        </w:rPr>
      </w:pPr>
      <w:r>
        <w:rPr>
          <w:rFonts w:ascii="Arial" w:cs="Arial" w:eastAsia="Arial" w:hAnsi="Arial"/>
          <w:sz w:val="18"/>
          <w:szCs w:val="18"/>
          <w:color w:val="auto"/>
        </w:rPr>
        <w:t xml:space="preserve">As of July 29, 2017, we had no issuances outstanding under our commercial paper program and no borrowings outstanding under our revolver. </w:t>
      </w:r>
      <w:r>
        <w:rPr>
          <w:rFonts w:ascii="Arial" w:cs="Arial" w:eastAsia="Arial" w:hAnsi="Arial"/>
          <w:sz w:val="18"/>
          <w:szCs w:val="18"/>
          <w:b w:val="1"/>
          <w:bCs w:val="1"/>
          <w:color w:val="auto"/>
        </w:rPr>
        <w:t>Impact of Credit Ratings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Credit</w:t>
            </w:r>
          </w:p>
        </w:tc>
        <w:tc>
          <w:tcPr>
            <w:tcW w:w="1440" w:type="dxa"/>
            <w:vAlign w:val="bottom"/>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Ratings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Baa1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20" w:type="dxa"/>
            <w:vAlign w:val="bottom"/>
          </w:tcPr>
          <w:p>
            <w:pPr>
              <w:jc w:val="right"/>
              <w:ind w:right="439"/>
              <w:spacing w:after="0"/>
              <w:rPr>
                <w:sz w:val="20"/>
                <w:szCs w:val="20"/>
                <w:color w:val="auto"/>
              </w:rPr>
            </w:pPr>
            <w:r>
              <w:rPr>
                <w:rFonts w:ascii="Arial" w:cs="Arial" w:eastAsia="Arial" w:hAnsi="Arial"/>
                <w:sz w:val="16"/>
                <w:szCs w:val="16"/>
                <w:color w:val="auto"/>
              </w:rPr>
              <w:t>BBB+</w:t>
            </w:r>
          </w:p>
        </w:tc>
        <w:tc>
          <w:tcPr>
            <w:tcW w:w="1440" w:type="dxa"/>
            <w:vAlign w:val="bottom"/>
          </w:tcPr>
          <w:p>
            <w:pPr>
              <w:jc w:val="right"/>
              <w:spacing w:after="0"/>
              <w:rPr>
                <w:sz w:val="20"/>
                <w:szCs w:val="20"/>
                <w:color w:val="auto"/>
              </w:rPr>
            </w:pPr>
            <w:r>
              <w:rPr>
                <w:rFonts w:ascii="Arial" w:cs="Arial" w:eastAsia="Arial" w:hAnsi="Arial"/>
                <w:sz w:val="16"/>
                <w:szCs w:val="16"/>
                <w:color w:val="auto"/>
              </w:rPr>
              <w:t>Negative</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6"/>
        </w:trPr>
        <w:tc>
          <w:tcPr>
            <w:tcW w:w="5360" w:type="dxa"/>
            <w:vAlign w:val="bottom"/>
          </w:tcPr>
          <w:p>
            <w:pPr>
              <w:spacing w:after="0"/>
              <w:rPr>
                <w:sz w:val="24"/>
                <w:szCs w:val="24"/>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Base Interest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LIBOR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20" w:type="dxa"/>
            <w:vAlign w:val="bottom"/>
          </w:tcPr>
          <w:p>
            <w:pPr>
              <w:jc w:val="right"/>
              <w:ind w:right="479"/>
              <w:spacing w:after="0"/>
              <w:rPr>
                <w:sz w:val="20"/>
                <w:szCs w:val="20"/>
                <w:color w:val="auto"/>
              </w:rPr>
            </w:pPr>
            <w:r>
              <w:rPr>
                <w:rFonts w:ascii="Arial" w:cs="Arial" w:eastAsia="Arial" w:hAnsi="Arial"/>
                <w:sz w:val="16"/>
                <w:szCs w:val="16"/>
                <w:color w:val="auto"/>
              </w:rPr>
              <w:t>CDOR</w:t>
            </w: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(see the following additional discussion of Adjusted Debt to EBITDAR). As of July 29, 2017, we were in compliance with this covenant.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 of 29</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no more than four times. As of July 29, 2017, our Adjusted Debt to EBITDAR was 2.4, compared with 2.6 as of July 30, 2016.</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color w:val="auto"/>
                <w:vertAlign w:val="superscript"/>
              </w:rPr>
              <w:t>1</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color w:val="auto"/>
                <w:vertAlign w:val="superscript"/>
              </w:rPr>
              <w:t>1</w:t>
            </w: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$2,740</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$2,782</w:t>
            </w:r>
          </w:p>
        </w:tc>
      </w:tr>
      <w:tr>
        <w:trPr>
          <w:trHeight w:val="270"/>
        </w:trPr>
        <w:tc>
          <w:tcPr>
            <w:tcW w:w="6440" w:type="dxa"/>
            <w:vAlign w:val="bottom"/>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660" w:type="dxa"/>
            <w:vAlign w:val="bottom"/>
          </w:tcPr>
          <w:p>
            <w:pPr>
              <w:jc w:val="right"/>
              <w:ind w:right="659"/>
              <w:spacing w:after="0"/>
              <w:rPr>
                <w:sz w:val="20"/>
                <w:szCs w:val="20"/>
                <w:color w:val="auto"/>
              </w:rPr>
            </w:pPr>
            <w:r>
              <w:rPr>
                <w:rFonts w:ascii="Arial" w:cs="Arial" w:eastAsia="Arial" w:hAnsi="Arial"/>
                <w:sz w:val="16"/>
                <w:szCs w:val="16"/>
                <w:b w:val="1"/>
                <w:bCs w:val="1"/>
                <w:color w:val="auto"/>
              </w:rPr>
              <w:t>1,841</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1,518</w:t>
            </w: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fair value hedge adjustment included in long-term debt</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1"/>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Debt</w:t>
            </w:r>
          </w:p>
        </w:tc>
        <w:tc>
          <w:tcPr>
            <w:tcW w:w="36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$4,581</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$4,282</w:t>
            </w:r>
          </w:p>
        </w:tc>
      </w:tr>
      <w:tr>
        <w:trPr>
          <w:trHeight w:val="33"/>
        </w:trPr>
        <w:tc>
          <w:tcPr>
            <w:tcW w:w="64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Net earnings</w:t>
            </w:r>
          </w:p>
        </w:tc>
        <w:tc>
          <w:tcPr>
            <w:tcW w:w="3660" w:type="dxa"/>
            <w:vAlign w:val="bottom"/>
          </w:tcPr>
          <w:p>
            <w:pPr>
              <w:jc w:val="right"/>
              <w:ind w:right="659"/>
              <w:spacing w:after="0"/>
              <w:rPr>
                <w:sz w:val="20"/>
                <w:szCs w:val="20"/>
                <w:color w:val="auto"/>
              </w:rPr>
            </w:pPr>
            <w:r>
              <w:rPr>
                <w:rFonts w:ascii="Arial" w:cs="Arial" w:eastAsia="Arial" w:hAnsi="Arial"/>
                <w:sz w:val="16"/>
                <w:szCs w:val="16"/>
                <w:b w:val="1"/>
                <w:bCs w:val="1"/>
                <w:color w:val="auto"/>
              </w:rPr>
              <w:t>$364</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$424</w:t>
            </w:r>
          </w:p>
        </w:tc>
      </w:tr>
      <w:tr>
        <w:trPr>
          <w:trHeight w:val="33"/>
        </w:trPr>
        <w:tc>
          <w:tcPr>
            <w:tcW w:w="6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346</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660" w:type="dxa"/>
            <w:vAlign w:val="bottom"/>
          </w:tcPr>
          <w:p>
            <w:pPr>
              <w:jc w:val="right"/>
              <w:ind w:right="659"/>
              <w:spacing w:after="0"/>
              <w:rPr>
                <w:sz w:val="20"/>
                <w:szCs w:val="20"/>
                <w:color w:val="auto"/>
              </w:rPr>
            </w:pPr>
            <w:r>
              <w:rPr>
                <w:rFonts w:ascii="Arial" w:cs="Arial" w:eastAsia="Arial" w:hAnsi="Arial"/>
                <w:sz w:val="16"/>
                <w:szCs w:val="16"/>
                <w:b w:val="1"/>
                <w:bCs w:val="1"/>
                <w:color w:val="auto"/>
              </w:rPr>
              <w:t>136</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121</w:t>
            </w:r>
          </w:p>
        </w:tc>
      </w:tr>
      <w:tr>
        <w:trPr>
          <w:trHeight w:val="33"/>
        </w:trPr>
        <w:tc>
          <w:tcPr>
            <w:tcW w:w="64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846</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806</w:t>
            </w:r>
          </w:p>
        </w:tc>
      </w:tr>
      <w:tr>
        <w:trPr>
          <w:trHeight w:val="297"/>
        </w:trPr>
        <w:tc>
          <w:tcPr>
            <w:tcW w:w="6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646</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3660" w:type="dxa"/>
            <w:vAlign w:val="bottom"/>
          </w:tcPr>
          <w:p>
            <w:pPr>
              <w:jc w:val="right"/>
              <w:ind w:right="659"/>
              <w:spacing w:after="0"/>
              <w:rPr>
                <w:sz w:val="20"/>
                <w:szCs w:val="20"/>
                <w:color w:val="auto"/>
              </w:rPr>
            </w:pPr>
            <w:r>
              <w:rPr>
                <w:rFonts w:ascii="Arial" w:cs="Arial" w:eastAsia="Arial" w:hAnsi="Arial"/>
                <w:sz w:val="16"/>
                <w:szCs w:val="16"/>
                <w:b w:val="1"/>
                <w:bCs w:val="1"/>
                <w:color w:val="auto"/>
              </w:rPr>
              <w:t>230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190</w:t>
            </w:r>
          </w:p>
        </w:tc>
      </w:tr>
      <w:tr>
        <w:trPr>
          <w:trHeight w:val="33"/>
        </w:trPr>
        <w:tc>
          <w:tcPr>
            <w:tcW w:w="6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non-cash acquisition-related charges</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204</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r>
      <w:tr>
        <w:trPr>
          <w:trHeight w:val="231"/>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EBITDAR</w:t>
            </w:r>
          </w:p>
        </w:tc>
        <w:tc>
          <w:tcPr>
            <w:tcW w:w="36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$1,926</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$1,620</w:t>
            </w:r>
          </w:p>
        </w:tc>
      </w:tr>
      <w:tr>
        <w:trPr>
          <w:trHeight w:val="33"/>
        </w:trPr>
        <w:tc>
          <w:tcPr>
            <w:tcW w:w="64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Debt to Net Earnings</w:t>
            </w:r>
          </w:p>
        </w:tc>
        <w:tc>
          <w:tcPr>
            <w:tcW w:w="3660" w:type="dxa"/>
            <w:vAlign w:val="bottom"/>
          </w:tcPr>
          <w:p>
            <w:pPr>
              <w:jc w:val="right"/>
              <w:ind w:right="659"/>
              <w:spacing w:after="0"/>
              <w:rPr>
                <w:sz w:val="20"/>
                <w:szCs w:val="20"/>
                <w:color w:val="auto"/>
              </w:rPr>
            </w:pPr>
            <w:r>
              <w:rPr>
                <w:rFonts w:ascii="Arial" w:cs="Arial" w:eastAsia="Arial" w:hAnsi="Arial"/>
                <w:sz w:val="16"/>
                <w:szCs w:val="16"/>
                <w:b w:val="1"/>
                <w:bCs w:val="1"/>
                <w:color w:val="auto"/>
              </w:rPr>
              <w:t>7.5</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6.6</w:t>
            </w:r>
          </w:p>
        </w:tc>
      </w:tr>
      <w:tr>
        <w:trPr>
          <w:trHeight w:val="33"/>
        </w:trPr>
        <w:tc>
          <w:tcPr>
            <w:tcW w:w="6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66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2.4</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r>
      <w:tr>
        <w:trPr>
          <w:trHeight w:val="33"/>
        </w:trPr>
        <w:tc>
          <w:tcPr>
            <w:tcW w:w="644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hanging="72"/>
        <w:spacing w:after="0"/>
        <w:tabs>
          <w:tab w:leader="none" w:pos="80" w:val="left"/>
        </w:tabs>
        <w:numPr>
          <w:ilvl w:val="0"/>
          <w:numId w:val="19"/>
        </w:numPr>
        <w:rPr>
          <w:rFonts w:ascii="Arial" w:cs="Arial" w:eastAsia="Arial" w:hAnsi="Arial"/>
          <w:sz w:val="9"/>
          <w:szCs w:val="9"/>
          <w:color w:val="auto"/>
        </w:rPr>
      </w:pPr>
      <w:r>
        <w:rPr>
          <w:rFonts w:ascii="Arial" w:cs="Arial" w:eastAsia="Arial" w:hAnsi="Arial"/>
          <w:sz w:val="14"/>
          <w:szCs w:val="14"/>
          <w:color w:val="auto"/>
        </w:rPr>
        <w:t>The components of Adjusted Debt are as of July 29, 2017 and July 30, 2016, while the components of EBITDAR are for the 12 months ended July 29, 2017 and July 30, 2016.</w:t>
      </w:r>
    </w:p>
    <w:p>
      <w:pPr>
        <w:spacing w:after="0" w:line="8" w:lineRule="exact"/>
        <w:rPr>
          <w:sz w:val="20"/>
          <w:szCs w:val="20"/>
          <w:color w:val="auto"/>
        </w:rPr>
      </w:pPr>
    </w:p>
    <w:p>
      <w:pPr>
        <w:ind w:left="80" w:right="60" w:hanging="72"/>
        <w:spacing w:after="0" w:line="293" w:lineRule="auto"/>
        <w:tabs>
          <w:tab w:leader="none" w:pos="66" w:val="left"/>
        </w:tabs>
        <w:numPr>
          <w:ilvl w:val="0"/>
          <w:numId w:val="20"/>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 used method of estimating the debt we would record for our leases that are classified as operating if they had met the criteria for a capital lease or we had purchased the property.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 of 29</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discussed our interest rate risk and our foreign currency exchange risk in Part II, “Item 7A. Quantitative and Qualitative Disclosures About Market Risk” in our 2016 Annual Report on Form 10-K filed with the SEC on March 20, 2017. There have been no material changes to these risks since that time.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May 4, 2017, the Company filed an 8-K announcing the retirement of Michael G. Koppel as an officer, employee and the Company’s principal financial officer for the purposes of the Securities Exchange Act of 1934, as amended (the “Exchange Act”). Blake W. Nordstrom served as the Company’s interim principal financial officer until June 2, 2017, at which point Anne L. Bramman assumed the position of Chief Financial Officer and the Company’s principal financial officer.</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the end of the period covered by this Quarterly Report on Form 10-Q,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 of 29</w:t>
      </w:r>
    </w:p>
    <w:p>
      <w:pPr>
        <w:sectPr>
          <w:pgSz w:w="11900" w:h="16838" w:orient="portrait"/>
          <w:cols w:equalWidth="0" w:num="1">
            <w:col w:w="11360"/>
          </w:cols>
          <w:pgMar w:left="240" w:top="118" w:right="2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discussed our risk factors in Part I, “Item 1A. Risk Factors” in our 2016 Annual Report on Form 10-K filed with the SEC on March 20, 2017. The following is an update to our risk factors as previously disclosed:</w:t>
      </w:r>
    </w:p>
    <w:p>
      <w:pPr>
        <w:spacing w:after="0" w:line="11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The exploration of a possible “going private transaction” by the Nordstrom family could impact our relationships with our customers, employees, suppliers and partners, operating results and business.</w:t>
      </w:r>
    </w:p>
    <w:p>
      <w:pPr>
        <w:ind w:right="80"/>
        <w:spacing w:after="0" w:line="252" w:lineRule="auto"/>
        <w:rPr>
          <w:sz w:val="20"/>
          <w:szCs w:val="20"/>
          <w:color w:val="auto"/>
        </w:rPr>
      </w:pPr>
      <w:r>
        <w:rPr>
          <w:rFonts w:ascii="Arial" w:cs="Arial" w:eastAsia="Arial" w:hAnsi="Arial"/>
          <w:sz w:val="18"/>
          <w:szCs w:val="18"/>
          <w:color w:val="auto"/>
        </w:rPr>
        <w:t>In June 2017, members of the Nordstrom family formed a group (the “Group”) to explore the possibility of pursuing a “going private transaction” involving the acquisition by the Group of 100% of our outstanding shares of common stock (a “Going Private Transaction”). The Group has not made a proposal to us regarding any such Going Private Transaction and may never make such a proposal. Our Board of Directors has formed a special committee (the “Special Committee”) comprised of independent directors to act on our behalf in connection with such exploration by the Group and any possible transaction, which may or may not be accepted by the Special Committee. We do not plan to disclose developments or provide updates on the progress or status of any potential Going Private Transaction until the Special Committee deems further disclosure is appropriate or required. Accordingly, speculation regarding any developments related to the review of a Going Private Transaction and perceived uncertainties related to our future could cause our stock price to fluctuate significantly.</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exploration of a potential Going Private Transaction or alternative may expose us and our operations to a number of risks and uncertainties, including the potential failure to retain, attract or strengthen our relationships with key personnel, current and potential customers, suppliers, and partners which may cause them to terminate, or not to renew or enter into, arrangements with us; the potential incurrence of expenses associated with the retention of legal, financial and other advisors regardless of whether any transaction is consummated; distractions and disruptions in our business; and exposure to potential litigation in connection with this process and effecting any transaction, any of which could adversely affect our business, financial condition and results of operations as well as the market price of our common stock.</w:t>
      </w:r>
    </w:p>
    <w:p>
      <w:pPr>
        <w:spacing w:after="0" w:line="1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If we do not effectively design and implement our strategic and business planning processes to attract, retain, train and develop talent and future leaders, our business may suffer.</w:t>
      </w:r>
    </w:p>
    <w:p>
      <w:pPr>
        <w:ind w:right="80"/>
        <w:spacing w:after="0" w:line="253" w:lineRule="auto"/>
        <w:rPr>
          <w:sz w:val="20"/>
          <w:szCs w:val="20"/>
          <w:color w:val="auto"/>
        </w:rPr>
      </w:pPr>
      <w:r>
        <w:rPr>
          <w:rFonts w:ascii="Arial" w:cs="Arial" w:eastAsia="Arial" w:hAnsi="Arial"/>
          <w:sz w:val="18"/>
          <w:szCs w:val="18"/>
          <w:color w:val="auto"/>
        </w:rPr>
        <w:t>We rely on the experience of our senior management, who have specific knowledge relating to us and our industry that is difficult to replace, and the talents of our workforce to execute our business strategies and objectives. If unexpected turnover occurs without adequate succession plans, the loss of the services of any of these individuals, or any resulting negative perceptions of our business, could damage our reputation and our business. Additionally, our ability to maintain relationships with and motivate our employees and to effectively attract, develop and retain our future leaders, could be impacted by the uncertainty about the possibility of a Going Private Transaction.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 of 29</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February 2017, our Board of Directors authorized a program to repurchase up to $500 of our outstanding common stock through August 31, 2018. During the second quarter of 2017, we did not repurchase any shares of our common stock and do not plan to do so while the Group explores the possibility of a “going private transaction.” We had $414 remaining in share repurchase capacity as of July 29, 2017. The actual timing, price, manner and amounts of future share repurchases, if any, will be subject to market and economic conditions and applicable SEC rules.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29 hereof.</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 of 29</w:t>
      </w:r>
    </w:p>
    <w:p>
      <w:pPr>
        <w:sectPr>
          <w:pgSz w:w="11900" w:h="16838" w:orient="portrait"/>
          <w:cols w:equalWidth="0" w:num="1">
            <w:col w:w="11320"/>
          </w:cols>
          <w:pgMar w:left="24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29, 2017</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 of 29</w:t>
      </w:r>
    </w:p>
    <w:p>
      <w:pPr>
        <w:sectPr>
          <w:pgSz w:w="11900" w:h="16838" w:orient="portrait"/>
          <w:cols w:equalWidth="0" w:num="1">
            <w:col w:w="11220"/>
          </w:cols>
          <w:pgMar w:left="240" w:top="118" w:right="4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80" w:type="dxa"/>
            <w:vAlign w:val="bottom"/>
            <w:gridSpan w:val="9"/>
          </w:tcPr>
          <w:p>
            <w:pPr>
              <w:ind w:left="38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ind w:left="20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96"/>
        </w:trPr>
        <w:tc>
          <w:tcPr>
            <w:tcW w:w="340" w:type="dxa"/>
            <w:vAlign w:val="bottom"/>
            <w:gridSpan w:val="3"/>
          </w:tcPr>
          <w:p>
            <w:pPr>
              <w:ind w:left="40"/>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740" w:type="dxa"/>
            <w:vAlign w:val="bottom"/>
          </w:tcPr>
          <w:p>
            <w:pPr>
              <w:spacing w:after="0"/>
              <w:rPr>
                <w:sz w:val="17"/>
                <w:szCs w:val="17"/>
                <w:color w:val="auto"/>
              </w:rPr>
            </w:pPr>
          </w:p>
        </w:tc>
        <w:tc>
          <w:tcPr>
            <w:tcW w:w="5120" w:type="dxa"/>
            <w:vAlign w:val="bottom"/>
            <w:gridSpan w:val="10"/>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Bylaws, as amended and restated as of June 7, 2017</w:t>
              </w:r>
            </w:hyperlink>
          </w:p>
        </w:tc>
        <w:tc>
          <w:tcPr>
            <w:tcW w:w="5220" w:type="dxa"/>
            <w:vAlign w:val="bottom"/>
          </w:tcPr>
          <w:p>
            <w:pPr>
              <w:ind w:left="120"/>
              <w:spacing w:after="0" w:line="196" w:lineRule="exact"/>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June 8, 2017, Exhibit 3.1</w:t>
            </w:r>
          </w:p>
        </w:tc>
      </w:tr>
      <w:tr>
        <w:trPr>
          <w:trHeight w:val="351"/>
        </w:trPr>
        <w:tc>
          <w:tcPr>
            <w:tcW w:w="1080" w:type="dxa"/>
            <w:vAlign w:val="bottom"/>
            <w:gridSpan w:val="4"/>
          </w:tcPr>
          <w:p>
            <w:pPr>
              <w:ind w:left="40"/>
              <w:spacing w:after="0"/>
              <w:rPr>
                <w:rFonts w:ascii="Arial" w:cs="Arial" w:eastAsia="Arial" w:hAnsi="Arial"/>
                <w:sz w:val="18"/>
                <w:szCs w:val="18"/>
                <w:color w:val="0000FF"/>
              </w:rPr>
            </w:pPr>
            <w:hyperlink r:id="rId1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120" w:type="dxa"/>
            <w:vAlign w:val="bottom"/>
            <w:gridSpan w:val="10"/>
          </w:tcPr>
          <w:p>
            <w:pPr>
              <w:spacing w:after="0"/>
              <w:rPr>
                <w:rFonts w:ascii="Arial" w:cs="Arial" w:eastAsia="Arial" w:hAnsi="Arial"/>
                <w:sz w:val="18"/>
                <w:szCs w:val="18"/>
                <w:color w:val="0000FF"/>
              </w:rPr>
            </w:pPr>
            <w:hyperlink r:id="rId19">
              <w:r>
                <w:rPr>
                  <w:rFonts w:ascii="Arial" w:cs="Arial" w:eastAsia="Arial" w:hAnsi="Arial"/>
                  <w:sz w:val="18"/>
                  <w:szCs w:val="18"/>
                  <w:color w:val="0000FF"/>
                </w:rPr>
                <w:t>Letter Agreement, dated as of June 7, 2017</w:t>
              </w:r>
            </w:hyperlink>
          </w:p>
        </w:tc>
        <w:tc>
          <w:tcPr>
            <w:tcW w:w="5220" w:type="dxa"/>
            <w:vAlign w:val="bottom"/>
          </w:tcPr>
          <w:p>
            <w:pPr>
              <w:ind w:left="120"/>
              <w:spacing w:after="0"/>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Borders>
              <w:top w:val="single" w:sz="8" w:color="0000FF"/>
            </w:tcBorders>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w w:val="91"/>
              </w:rPr>
              <w:t>June 8, 2017, Exhibit 99.2, and the Registrant’s SC 13D filed on June</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8, 2017, Exhibit 3</w:t>
            </w:r>
          </w:p>
        </w:tc>
      </w:tr>
      <w:tr>
        <w:trPr>
          <w:trHeight w:val="351"/>
        </w:trPr>
        <w:tc>
          <w:tcPr>
            <w:tcW w:w="1080" w:type="dxa"/>
            <w:vAlign w:val="bottom"/>
            <w:gridSpan w:val="4"/>
          </w:tcPr>
          <w:p>
            <w:pPr>
              <w:ind w:left="40"/>
              <w:spacing w:after="0"/>
              <w:rPr>
                <w:rFonts w:ascii="Arial" w:cs="Arial" w:eastAsia="Arial" w:hAnsi="Arial"/>
                <w:sz w:val="18"/>
                <w:szCs w:val="18"/>
                <w:color w:val="0000FF"/>
              </w:rPr>
            </w:pPr>
            <w:hyperlink w:anchor="page30">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120" w:type="dxa"/>
            <w:vAlign w:val="bottom"/>
            <w:gridSpan w:val="1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Co-President required by Section 302(a) of the</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Sarbanes-Oxley Act of 2002</w:t>
              </w:r>
            </w:hyperlink>
          </w:p>
        </w:tc>
        <w:tc>
          <w:tcPr>
            <w:tcW w:w="600" w:type="dxa"/>
            <w:vAlign w:val="bottom"/>
            <w:gridSpan w:val="4"/>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80" w:type="dxa"/>
            <w:vAlign w:val="bottom"/>
            <w:gridSpan w:val="4"/>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372"/>
        </w:trPr>
        <w:tc>
          <w:tcPr>
            <w:tcW w:w="1080" w:type="dxa"/>
            <w:vAlign w:val="bottom"/>
            <w:gridSpan w:val="4"/>
          </w:tcPr>
          <w:p>
            <w:pPr>
              <w:ind w:left="40"/>
              <w:spacing w:after="0"/>
              <w:rPr>
                <w:rFonts w:ascii="Arial" w:cs="Arial" w:eastAsia="Arial" w:hAnsi="Arial"/>
                <w:sz w:val="18"/>
                <w:szCs w:val="18"/>
                <w:color w:val="0000FF"/>
              </w:rPr>
            </w:pPr>
            <w:hyperlink w:anchor="page31">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120" w:type="dxa"/>
            <w:vAlign w:val="bottom"/>
            <w:gridSpan w:val="10"/>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Certification of Chief Financial Officer required by Section 302(a) of</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the Sarbanes-Oxley Act of 2002</w:t>
              </w:r>
            </w:hyperlink>
          </w:p>
        </w:tc>
        <w:tc>
          <w:tcPr>
            <w:tcW w:w="2660" w:type="dxa"/>
            <w:vAlign w:val="bottom"/>
            <w:tcBorders>
              <w:top w:val="single" w:sz="8" w:color="0000FF"/>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72"/>
        </w:trPr>
        <w:tc>
          <w:tcPr>
            <w:tcW w:w="1080" w:type="dxa"/>
            <w:vAlign w:val="bottom"/>
            <w:gridSpan w:val="4"/>
          </w:tcPr>
          <w:p>
            <w:pPr>
              <w:ind w:left="40"/>
              <w:spacing w:after="0"/>
              <w:rPr>
                <w:rFonts w:ascii="Arial" w:cs="Arial" w:eastAsia="Arial" w:hAnsi="Arial"/>
                <w:sz w:val="18"/>
                <w:szCs w:val="18"/>
                <w:color w:val="0000FF"/>
              </w:rPr>
            </w:pPr>
            <w:hyperlink w:anchor="page32">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120" w:type="dxa"/>
            <w:vAlign w:val="bottom"/>
            <w:gridSpan w:val="10"/>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Certification of Co-President and Chief Financial Officer pursuant to</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960" w:type="dxa"/>
            <w:vAlign w:val="bottom"/>
            <w:tcBorders>
              <w:top w:val="single" w:sz="8" w:color="0000FF"/>
            </w:tcBorders>
            <w:gridSpan w:val="8"/>
          </w:tcPr>
          <w:p>
            <w:pPr>
              <w:spacing w:after="0" w:line="196" w:lineRule="exact"/>
              <w:rPr>
                <w:rFonts w:ascii="Arial" w:cs="Arial" w:eastAsia="Arial" w:hAnsi="Arial"/>
                <w:sz w:val="18"/>
                <w:szCs w:val="18"/>
                <w:color w:val="0000FF"/>
                <w:w w:val="88"/>
              </w:rPr>
            </w:pPr>
            <w:hyperlink w:anchor="page32">
              <w:r>
                <w:rPr>
                  <w:rFonts w:ascii="Arial" w:cs="Arial" w:eastAsia="Arial" w:hAnsi="Arial"/>
                  <w:sz w:val="18"/>
                  <w:szCs w:val="18"/>
                  <w:color w:val="0000FF"/>
                  <w:w w:val="88"/>
                </w:rPr>
                <w:t>18 U.S.C. 1350, as adopted pursuant to Section 906 of the Sarbanes-</w:t>
              </w:r>
            </w:hyperlink>
          </w:p>
        </w:tc>
        <w:tc>
          <w:tcPr>
            <w:tcW w:w="16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32">
              <w:r>
                <w:rPr>
                  <w:rFonts w:ascii="Arial" w:cs="Arial" w:eastAsia="Arial" w:hAnsi="Arial"/>
                  <w:sz w:val="18"/>
                  <w:szCs w:val="18"/>
                  <w:color w:val="0000FF"/>
                  <w:w w:val="92"/>
                </w:rPr>
                <w:t>Oxley Act of 2002</w:t>
              </w:r>
            </w:hyperlink>
          </w:p>
        </w:tc>
        <w:tc>
          <w:tcPr>
            <w:tcW w:w="3580" w:type="dxa"/>
            <w:vAlign w:val="bottom"/>
            <w:tcBorders>
              <w:top w:val="single" w:sz="8" w:color="0000FF"/>
            </w:tcBorders>
            <w:gridSpan w:val="6"/>
          </w:tcPr>
          <w:p>
            <w:pPr>
              <w:spacing w:after="0"/>
              <w:rPr>
                <w:sz w:val="17"/>
                <w:szCs w:val="17"/>
                <w:color w:val="auto"/>
              </w:rPr>
            </w:pPr>
          </w:p>
        </w:tc>
        <w:tc>
          <w:tcPr>
            <w:tcW w:w="20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412"/>
        </w:trPr>
        <w:tc>
          <w:tcPr>
            <w:tcW w:w="108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4"/>
          </w:tcPr>
          <w:p>
            <w:pPr>
              <w:ind w:left="40"/>
              <w:spacing w:after="0"/>
              <w:rPr>
                <w:sz w:val="20"/>
                <w:szCs w:val="20"/>
                <w:color w:val="auto"/>
              </w:rPr>
            </w:pPr>
            <w:r>
              <w:rPr>
                <w:rFonts w:ascii="Arial" w:cs="Arial" w:eastAsia="Arial" w:hAnsi="Arial"/>
                <w:sz w:val="18"/>
                <w:szCs w:val="18"/>
                <w:color w:val="auto"/>
              </w:rPr>
              <w:t>101.SCH</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4"/>
          </w:tcPr>
          <w:p>
            <w:pPr>
              <w:ind w:left="40"/>
              <w:spacing w:after="0"/>
              <w:rPr>
                <w:sz w:val="20"/>
                <w:szCs w:val="20"/>
                <w:color w:val="auto"/>
              </w:rPr>
            </w:pPr>
            <w:r>
              <w:rPr>
                <w:rFonts w:ascii="Arial" w:cs="Arial" w:eastAsia="Arial" w:hAnsi="Arial"/>
                <w:sz w:val="18"/>
                <w:szCs w:val="18"/>
                <w:color w:val="auto"/>
              </w:rPr>
              <w:t>101.DEF</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49"/>
        </w:trPr>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453"/>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5"/>
          </w:tcPr>
          <w:p>
            <w:pPr>
              <w:ind w:left="620"/>
              <w:spacing w:after="0"/>
              <w:rPr>
                <w:sz w:val="20"/>
                <w:szCs w:val="20"/>
                <w:color w:val="auto"/>
              </w:rPr>
            </w:pPr>
            <w:r>
              <w:rPr>
                <w:rFonts w:ascii="Arial" w:cs="Arial" w:eastAsia="Arial" w:hAnsi="Arial"/>
                <w:sz w:val="18"/>
                <w:szCs w:val="18"/>
                <w:color w:val="auto"/>
              </w:rPr>
              <w:t>29 of 29</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29,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7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August 29,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July 29, 2017, as filed with the Securities and Exchange Commission on the date hereof (the “Report”), we, Blake W. Nordstrom, Co-President (Principal Executive Officer), and Anne L. Bramman, Chief Financial Officer (Principal Financial Officer), of the Company, certify, pursuant to 18 U.S.C. Section 1350, as adopted pursuant to Section 906 of the Sarbanes-Oxley Act of 2002, that:</w:t>
      </w:r>
    </w:p>
    <w:p>
      <w:pPr>
        <w:spacing w:after="0" w:line="13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18"/>
          <w:szCs w:val="18"/>
          <w:color w:val="auto"/>
        </w:rPr>
        <w:t>Date:</w:t>
        <w:tab/>
        <w:t>August 29,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Co-President of Nordstrom,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 of Nordstrom, Inc.</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lvl w:ilvl="1">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1"/>
      <w:numFmt w:val="bullet"/>
      <w:start w:val="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2"/>
      <w:numFmt w:val="bullet"/>
      <w:start w:val="1"/>
    </w:lvl>
  </w:abstractNum>
  <w:abstractNum w:abstractNumId="16">
    <w:nsid w:val="62BBD95A"/>
    <w:multiLevelType w:val="hybridMultilevel"/>
    <w:lvl w:ilvl="0">
      <w:lvlJc w:val="left"/>
      <w:lvlText w:val="3"/>
      <w:numFmt w:val="bullet"/>
      <w:start w:val="1"/>
    </w:lvl>
  </w:abstractNum>
  <w:abstractNum w:abstractNumId="17">
    <w:nsid w:val="436C6125"/>
    <w:multiLevelType w:val="hybridMultilevel"/>
    <w:lvl w:ilvl="0">
      <w:lvlJc w:val="left"/>
      <w:lvlText w:val="4"/>
      <w:numFmt w:val="bullet"/>
      <w:start w:val="1"/>
    </w:lvl>
  </w:abstractNum>
  <w:abstractNum w:abstractNumId="18">
    <w:nsid w:val="628C895D"/>
    <w:multiLevelType w:val="hybridMultilevel"/>
    <w:lvl w:ilvl="0">
      <w:lvlJc w:val="left"/>
      <w:lvlText w:val="1"/>
      <w:numFmt w:val="bullet"/>
      <w:start w:val="1"/>
    </w:lvl>
  </w:abstractNum>
  <w:abstractNum w:abstractNumId="19">
    <w:nsid w:val="333AB105"/>
    <w:multiLevelType w:val="hybridMultilevel"/>
    <w:lvl w:ilvl="0">
      <w:lvlJc w:val="left"/>
      <w:lvlText w:val="2"/>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hyperlink" Target="http://www.sec.gov/Archives/edgar/data/72333/000007233317000124/jwn-06082017xex31.htm" TargetMode="External"/><Relationship Id="rId19" Type="http://schemas.openxmlformats.org/officeDocument/2006/relationships/hyperlink" Target="http://www.sec.gov/Archives/edgar/data/72333/000119312517197746/d411855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2019-12-29T05:05:58Z</dcterms:created>
  <dcterms:modified xsi:type="dcterms:W3CDTF">2019-12-29T05:05:58Z</dcterms:modified>
</cp:coreProperties>
</file>