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56"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r>
        <w:rPr>
          <w:color w:val="000000"/>
        </w:rPr>
        <w:t>            </w:t>
      </w:r>
    </w:p>
    <w:p>
      <w:pPr>
        <w:pStyle w:val="TextBody"/>
        <w:bidi w:val="0"/>
        <w:spacing w:lineRule="auto" w:line="288" w:before="90" w:after="283"/>
        <w:jc w:val="center"/>
        <w:rPr>
          <w:rFonts w:ascii="Arial Narrow;sans-serif" w:hAnsi="Arial Narrow;sans-serif"/>
          <w:b/>
          <w:color w:val="000000"/>
          <w:sz w:val="20"/>
        </w:rPr>
      </w:pPr>
      <w:r>
        <w:rPr>
          <w:rFonts w:ascii="Arial Narrow;sans-serif" w:hAnsi="Arial Narrow;sans-serif"/>
          <w:b/>
          <w:color w:val="000000"/>
          <w:sz w:val="20"/>
        </w:rPr>
        <w:t>UNITED STATES</w:t>
      </w:r>
    </w:p>
    <w:p>
      <w:pPr>
        <w:pStyle w:val="TextBody"/>
        <w:bidi w:val="0"/>
        <w:spacing w:lineRule="auto" w:line="288" w:before="90" w:after="283"/>
        <w:jc w:val="center"/>
        <w:rPr>
          <w:rFonts w:ascii="Arial Narrow;sans-serif" w:hAnsi="Arial Narrow;sans-serif"/>
          <w:b/>
          <w:color w:val="000000"/>
          <w:sz w:val="20"/>
        </w:rPr>
      </w:pPr>
      <w:r>
        <w:rPr>
          <w:rFonts w:ascii="Arial Narrow;sans-serif" w:hAnsi="Arial Narrow;sans-serif"/>
          <w:b/>
          <w:color w:val="000000"/>
          <w:sz w:val="20"/>
        </w:rPr>
        <w:t>SECURITIES AND EXCHANGE COMMISSION</w:t>
      </w:r>
    </w:p>
    <w:p>
      <w:pPr>
        <w:pStyle w:val="TextBody"/>
        <w:bidi w:val="0"/>
        <w:spacing w:lineRule="auto" w:line="288" w:before="90" w:after="283"/>
        <w:jc w:val="center"/>
        <w:rPr>
          <w:rFonts w:ascii="Arial Narrow;sans-serif" w:hAnsi="Arial Narrow;sans-serif"/>
          <w:b/>
          <w:color w:val="000000"/>
          <w:sz w:val="20"/>
        </w:rPr>
      </w:pPr>
      <w:r>
        <w:rPr>
          <w:rFonts w:ascii="Arial Narrow;sans-serif" w:hAnsi="Arial Narrow;sans-serif"/>
          <w:b/>
          <w:color w:val="000000"/>
          <w:sz w:val="20"/>
        </w:rPr>
        <w:t>Washington, D.C. 20549</w:t>
      </w:r>
    </w:p>
    <w:p>
      <w:pPr>
        <w:pStyle w:val="TextBody"/>
        <w:bidi w:val="0"/>
        <w:spacing w:lineRule="auto" w:line="288" w:before="90" w:after="283"/>
        <w:jc w:val="center"/>
        <w:rPr>
          <w:rFonts w:ascii="Arial Narrow;sans-serif" w:hAnsi="Arial Narrow;sans-serif"/>
          <w:b/>
          <w:color w:val="000000"/>
          <w:sz w:val="20"/>
        </w:rPr>
      </w:pPr>
      <w:r>
        <w:rPr>
          <w:rFonts w:ascii="Arial Narrow;sans-serif" w:hAnsi="Arial Narrow;sans-serif"/>
          <w:b/>
          <w:color w:val="000000"/>
          <w:sz w:val="20"/>
        </w:rPr>
        <w:t>FORM 10-K</w:t>
      </w:r>
    </w:p>
    <w:p>
      <w:pPr>
        <w:pStyle w:val="TextBody"/>
        <w:bidi w:val="0"/>
        <w:spacing w:lineRule="auto" w:line="288" w:before="90" w:after="283"/>
        <w:jc w:val="left"/>
        <w:rPr>
          <w:rFonts w:ascii="Arial Narrow;sans-serif" w:hAnsi="Arial Narrow;sans-serif"/>
          <w:b/>
          <w:color w:val="000000"/>
          <w:sz w:val="20"/>
        </w:rPr>
      </w:pPr>
      <w:r>
        <w:rPr>
          <w:rFonts w:ascii="Arial Narrow;sans-serif" w:hAnsi="Arial Narrow;sans-serif"/>
          <w:b/>
          <w:color w:val="000000"/>
          <w:sz w:val="20"/>
        </w:rPr>
        <w:t>(Mark One)</w:t>
      </w:r>
    </w:p>
    <w:tbl>
      <w:tblPr>
        <w:tblW w:w="8562" w:type="dxa"/>
        <w:jc w:val="left"/>
        <w:tblInd w:w="0" w:type="dxa"/>
        <w:tblLayout w:type="fixed"/>
        <w:tblCellMar>
          <w:top w:w="28" w:type="dxa"/>
          <w:left w:w="28" w:type="dxa"/>
          <w:bottom w:w="28" w:type="dxa"/>
          <w:right w:w="28" w:type="dxa"/>
        </w:tblCellMar>
      </w:tblPr>
      <w:tblGrid>
        <w:gridCol w:w="124"/>
        <w:gridCol w:w="109"/>
        <w:gridCol w:w="109"/>
        <w:gridCol w:w="2402"/>
        <w:gridCol w:w="2402"/>
        <w:gridCol w:w="34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34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ANNUAL REPORT PURSUANT TO SECTION 13 OR 15(d) OF THE SECURITIES EXCHANGE ACT OF 1934</w:t>
            </w:r>
          </w:p>
        </w:tc>
      </w:tr>
    </w:tbl>
    <w:p>
      <w:pPr>
        <w:pStyle w:val="TextBody"/>
        <w:bidi w:val="0"/>
        <w:spacing w:lineRule="auto" w:line="288" w:before="90" w:after="283"/>
        <w:jc w:val="center"/>
        <w:rPr>
          <w:rFonts w:ascii="Arial Narrow;sans-serif" w:hAnsi="Arial Narrow;sans-serif"/>
          <w:b/>
          <w:color w:val="000000"/>
          <w:sz w:val="20"/>
        </w:rPr>
      </w:pPr>
      <w:r>
        <w:rPr>
          <w:rFonts w:ascii="Arial Narrow;sans-serif" w:hAnsi="Arial Narrow;sans-serif"/>
          <w:b/>
          <w:color w:val="000000"/>
          <w:sz w:val="20"/>
        </w:rPr>
        <w:t xml:space="preserve">For the fiscal year ended February 3, 2024 </w:t>
      </w:r>
    </w:p>
    <w:p>
      <w:pPr>
        <w:pStyle w:val="TextBody"/>
        <w:bidi w:val="0"/>
        <w:spacing w:lineRule="auto" w:line="288" w:before="90" w:after="283"/>
        <w:jc w:val="center"/>
        <w:rPr>
          <w:rFonts w:ascii="Arial Narrow;sans-serif" w:hAnsi="Arial Narrow;sans-serif"/>
          <w:b/>
          <w:color w:val="000000"/>
          <w:sz w:val="20"/>
        </w:rPr>
      </w:pPr>
      <w:r>
        <w:rPr>
          <w:rFonts w:ascii="Arial Narrow;sans-serif" w:hAnsi="Arial Narrow;sans-serif"/>
          <w:b/>
          <w:color w:val="000000"/>
          <w:sz w:val="20"/>
        </w:rPr>
        <w:t>or</w:t>
      </w:r>
    </w:p>
    <w:tbl>
      <w:tblPr>
        <w:tblW w:w="8862" w:type="dxa"/>
        <w:jc w:val="center"/>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TRANSITION REPORT PURSUANT TO SECTION 13 OR 15(d) OF THE SECURITIES EXCHANGE ACT OF 1934</w:t>
            </w:r>
          </w:p>
        </w:tc>
      </w:tr>
    </w:tbl>
    <w:p>
      <w:pPr>
        <w:pStyle w:val="TextBody"/>
        <w:bidi w:val="0"/>
        <w:spacing w:lineRule="auto" w:line="288" w:before="90" w:after="283"/>
        <w:jc w:val="center"/>
        <w:rPr>
          <w:rFonts w:ascii="Arial Narrow;sans-serif" w:hAnsi="Arial Narrow;sans-serif"/>
          <w:b/>
          <w:color w:val="000000"/>
          <w:sz w:val="20"/>
        </w:rPr>
      </w:pPr>
      <w:r>
        <w:rPr>
          <w:rFonts w:ascii="Arial Narrow;sans-serif" w:hAnsi="Arial Narrow;sans-serif"/>
          <w:b/>
          <w:color w:val="000000"/>
          <w:sz w:val="20"/>
        </w:rPr>
        <w:t>For the transition period from ___________ to___________</w:t>
      </w:r>
    </w:p>
    <w:p>
      <w:pPr>
        <w:pStyle w:val="TextBody"/>
        <w:bidi w:val="0"/>
        <w:spacing w:lineRule="auto" w:line="288" w:before="90" w:after="283"/>
        <w:jc w:val="center"/>
        <w:rPr>
          <w:rFonts w:ascii="Arial Narrow;sans-serif" w:hAnsi="Arial Narrow;sans-serif"/>
          <w:b/>
          <w:color w:val="000000"/>
          <w:sz w:val="20"/>
        </w:rPr>
      </w:pPr>
      <w:r>
        <w:rPr>
          <w:rFonts w:ascii="Arial Narrow;sans-serif" w:hAnsi="Arial Narrow;sans-serif"/>
          <w:b/>
          <w:color w:val="000000"/>
          <w:sz w:val="20"/>
        </w:rPr>
        <w:t xml:space="preserve">Commission file number 001-15059 </w:t>
      </w:r>
    </w:p>
    <w:p>
      <w:pPr>
        <w:pStyle w:val="TextBody"/>
        <w:bidi w:val="0"/>
        <w:spacing w:before="120" w:after="283"/>
        <w:jc w:val="center"/>
        <w:rPr/>
      </w:pPr>
      <w:r>
        <w:rPr/>
        <w:drawing>
          <wp:inline distT="0" distB="0" distL="0" distR="0">
            <wp:extent cx="4029075"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29075" cy="504825"/>
                    </a:xfrm>
                    <a:prstGeom prst="rect">
                      <a:avLst/>
                    </a:prstGeom>
                  </pic:spPr>
                </pic:pic>
              </a:graphicData>
            </a:graphic>
          </wp:inline>
        </w:drawing>
      </w:r>
    </w:p>
    <w:p>
      <w:pPr>
        <w:pStyle w:val="TextBody"/>
        <w:bidi w:val="0"/>
        <w:spacing w:lineRule="auto" w:line="288" w:before="90" w:after="283"/>
        <w:jc w:val="center"/>
        <w:rPr>
          <w:rFonts w:ascii="Arial Narrow;sans-serif" w:hAnsi="Arial Narrow;sans-serif"/>
          <w:b/>
          <w:color w:val="000000"/>
          <w:sz w:val="16"/>
        </w:rPr>
      </w:pPr>
      <w:r>
        <w:rPr>
          <w:rFonts w:ascii="Arial Narrow;sans-serif" w:hAnsi="Arial Narrow;sans-serif"/>
          <w:b/>
          <w:color w:val="000000"/>
          <w:sz w:val="16"/>
        </w:rPr>
        <w:t>Nordstrom, Inc.</w:t>
      </w:r>
    </w:p>
    <w:p>
      <w:pPr>
        <w:pStyle w:val="TextBody"/>
        <w:bidi w:val="0"/>
        <w:spacing w:lineRule="auto" w:line="288" w:before="90" w:after="283"/>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bl>
      <w:tblPr>
        <w:tblW w:w="7107" w:type="dxa"/>
        <w:jc w:val="left"/>
        <w:tblInd w:w="0" w:type="dxa"/>
        <w:tblLayout w:type="fixed"/>
        <w:tblCellMar>
          <w:top w:w="28" w:type="dxa"/>
          <w:left w:w="28" w:type="dxa"/>
          <w:bottom w:w="28" w:type="dxa"/>
          <w:right w:w="28" w:type="dxa"/>
        </w:tblCellMar>
      </w:tblPr>
      <w:tblGrid>
        <w:gridCol w:w="1503"/>
        <w:gridCol w:w="1322"/>
        <w:gridCol w:w="1330"/>
        <w:gridCol w:w="109"/>
        <w:gridCol w:w="109"/>
        <w:gridCol w:w="109"/>
        <w:gridCol w:w="765"/>
        <w:gridCol w:w="765"/>
        <w:gridCol w:w="1095"/>
      </w:tblGrid>
      <w:tr>
        <w:trPr/>
        <w:tc>
          <w:tcPr>
            <w:tcW w:w="15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Washington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91-0515058</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(I.R.S. Employer Identification No.)</w:t>
            </w:r>
          </w:p>
        </w:tc>
      </w:tr>
    </w:tbl>
    <w:p>
      <w:pPr>
        <w:pStyle w:val="TextBody"/>
        <w:bidi w:val="0"/>
        <w:spacing w:lineRule="auto" w:line="288" w:before="90" w:after="283"/>
        <w:jc w:val="center"/>
        <w:rPr>
          <w:rFonts w:ascii="Arial Narrow;sans-serif" w:hAnsi="Arial Narrow;sans-serif"/>
          <w:b/>
          <w:color w:val="000000"/>
          <w:sz w:val="20"/>
        </w:rPr>
      </w:pPr>
      <w:r>
        <w:rPr>
          <w:rFonts w:ascii="Arial Narrow;sans-serif" w:hAnsi="Arial Narrow;sans-serif"/>
          <w:b/>
          <w:color w:val="000000"/>
          <w:sz w:val="20"/>
        </w:rPr>
        <w:t xml:space="preserve">1617 Sixth Avenue, Seattle, Washington 98101 </w:t>
      </w:r>
    </w:p>
    <w:p>
      <w:pPr>
        <w:pStyle w:val="TextBody"/>
        <w:bidi w:val="0"/>
        <w:spacing w:lineRule="auto" w:line="288" w:before="90" w:after="283"/>
        <w:jc w:val="center"/>
        <w:rPr>
          <w:rFonts w:ascii="Arial Narrow;sans-serif" w:hAnsi="Arial Narrow;sans-serif"/>
          <w:b w:val="false"/>
          <w:color w:val="000000"/>
          <w:sz w:val="20"/>
        </w:rPr>
      </w:pPr>
      <w:r>
        <w:rPr>
          <w:rFonts w:ascii="Arial Narrow;sans-serif" w:hAnsi="Arial Narrow;sans-serif"/>
          <w:b w:val="false"/>
          <w:color w:val="000000"/>
          <w:sz w:val="20"/>
        </w:rPr>
        <w:t>(Address of principal executive offices)</w:t>
      </w:r>
    </w:p>
    <w:p>
      <w:pPr>
        <w:pStyle w:val="TextBody"/>
        <w:bidi w:val="0"/>
        <w:spacing w:lineRule="auto" w:line="288" w:before="90" w:after="283"/>
        <w:jc w:val="center"/>
        <w:rPr/>
      </w:pPr>
      <w:r>
        <w:rPr>
          <w:rFonts w:ascii="Arial Narrow;sans-serif" w:hAnsi="Arial Narrow;sans-serif"/>
          <w:b w:val="false"/>
          <w:color w:val="000000"/>
          <w:sz w:val="20"/>
        </w:rPr>
        <w:t>Registrant’s telephone number, including area code (</w:t>
      </w:r>
      <w:r>
        <w:rPr>
          <w:rFonts w:ascii="Arial Narrow;sans-serif" w:hAnsi="Arial Narrow;sans-serif"/>
          <w:b/>
          <w:color w:val="000000"/>
          <w:sz w:val="20"/>
        </w:rPr>
        <w:t xml:space="preserve">206) 628-2111 </w:t>
      </w:r>
    </w:p>
    <w:p>
      <w:pPr>
        <w:pStyle w:val="TextBody"/>
        <w:bidi w:val="0"/>
        <w:spacing w:lineRule="auto" w:line="288" w:before="9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Securities registered pursuant to Section 12(b) of the Act: </w:t>
      </w:r>
    </w:p>
    <w:tbl>
      <w:tblPr>
        <w:tblW w:w="6657" w:type="dxa"/>
        <w:jc w:val="left"/>
        <w:tblInd w:w="0" w:type="dxa"/>
        <w:tblLayout w:type="fixed"/>
        <w:tblCellMar>
          <w:top w:w="28" w:type="dxa"/>
          <w:left w:w="28" w:type="dxa"/>
          <w:bottom w:w="28" w:type="dxa"/>
          <w:right w:w="28" w:type="dxa"/>
        </w:tblCellMar>
      </w:tblPr>
      <w:tblGrid>
        <w:gridCol w:w="806"/>
        <w:gridCol w:w="710"/>
        <w:gridCol w:w="718"/>
        <w:gridCol w:w="409"/>
        <w:gridCol w:w="409"/>
        <w:gridCol w:w="411"/>
        <w:gridCol w:w="934"/>
        <w:gridCol w:w="934"/>
        <w:gridCol w:w="1326"/>
      </w:tblGrid>
      <w:tr>
        <w:trPr/>
        <w:tc>
          <w:tcPr>
            <w:tcW w:w="8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Title of each class</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Trading Symbol</w:t>
            </w:r>
          </w:p>
        </w:tc>
        <w:tc>
          <w:tcPr>
            <w:tcW w:w="31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Name of each exchange on which registered</w:t>
            </w:r>
          </w:p>
        </w:tc>
      </w:tr>
      <w:tr>
        <w:trPr/>
        <w:tc>
          <w:tcPr>
            <w:tcW w:w="22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Common stock, without par value</w:t>
            </w:r>
          </w:p>
        </w:tc>
        <w:tc>
          <w:tcPr>
            <w:tcW w:w="12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JWN</w:t>
            </w:r>
          </w:p>
        </w:tc>
        <w:tc>
          <w:tcPr>
            <w:tcW w:w="31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Arial Narrow;sans-serif" w:hAnsi="Arial Narrow;sans-serif"/>
                <w:b w:val="false"/>
                <w:color w:val="000000"/>
                <w:sz w:val="18"/>
              </w:rPr>
            </w:pPr>
            <w:r>
              <w:rPr>
                <w:rFonts w:ascii="Arial Narrow;sans-serif" w:hAnsi="Arial Narrow;sans-serif"/>
                <w:b w:val="false"/>
                <w:color w:val="000000"/>
                <w:sz w:val="18"/>
              </w:rPr>
              <w:t>New York Stock Exchange</w:t>
            </w:r>
          </w:p>
        </w:tc>
      </w:tr>
      <w:tr>
        <w:trPr/>
        <w:tc>
          <w:tcPr>
            <w:tcW w:w="22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Common stock purchase rights</w:t>
            </w:r>
          </w:p>
        </w:tc>
        <w:tc>
          <w:tcPr>
            <w:tcW w:w="122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New York Stock Exchange</w:t>
            </w:r>
          </w:p>
        </w:tc>
      </w:tr>
    </w:tbl>
    <w:p>
      <w:pPr>
        <w:pStyle w:val="TextBody"/>
        <w:bidi w:val="0"/>
        <w:spacing w:lineRule="auto" w:line="288" w:before="90" w:after="283"/>
        <w:jc w:val="center"/>
        <w:rPr/>
      </w:pPr>
      <w:r>
        <w:rPr>
          <w:rFonts w:ascii="Arial Narrow;sans-serif" w:hAnsi="Arial Narrow;sans-serif"/>
          <w:b w:val="false"/>
          <w:color w:val="000000"/>
          <w:sz w:val="20"/>
        </w:rPr>
        <w:t xml:space="preserve">Securities registered pursuant to section 12(g) of the Act: </w:t>
      </w:r>
      <w:r>
        <w:rPr>
          <w:rFonts w:ascii="Arial Narrow;sans-serif" w:hAnsi="Arial Narrow;sans-serif"/>
          <w:b/>
          <w:color w:val="000000"/>
          <w:sz w:val="20"/>
        </w:rPr>
        <w:t>None</w:t>
      </w:r>
      <w:r>
        <w:rPr>
          <w:color w:val="000000"/>
        </w:rPr>
        <w:t xml:space="preserve"> </w:t>
      </w:r>
    </w:p>
    <w:p>
      <w:pPr>
        <w:pStyle w:val="TextBody"/>
        <w:bidi w:val="0"/>
        <w:spacing w:lineRule="auto" w:line="288" w:before="90" w:after="283"/>
        <w:jc w:val="left"/>
        <w:rPr/>
      </w:pPr>
      <w:r>
        <w:rPr>
          <w:rFonts w:ascii="Arial Narrow;sans-serif" w:hAnsi="Arial Narrow;sans-serif"/>
          <w:b w:val="false"/>
          <w:color w:val="000000"/>
          <w:sz w:val="20"/>
        </w:rPr>
        <w:t>Indicate by check mark if the registrant is a well-known seasoned issuer, as defined in Rule 405 of the Securities Act. Yes </w:t>
      </w:r>
      <w:r>
        <w:rPr>
          <w:color w:val="000000"/>
        </w:rPr>
        <w:t xml:space="preserve">☑ </w:t>
      </w:r>
      <w:r>
        <w:rPr>
          <w:rFonts w:ascii="Arial Narrow;sans-serif" w:hAnsi="Arial Narrow;sans-serif"/>
          <w:b w:val="false"/>
          <w:color w:val="000000"/>
          <w:sz w:val="20"/>
        </w:rPr>
        <w:t>No </w:t>
      </w:r>
      <w:r>
        <w:rPr>
          <w:color w:val="000000"/>
        </w:rPr>
        <w:t>☐</w:t>
      </w:r>
    </w:p>
    <w:p>
      <w:pPr>
        <w:pStyle w:val="TextBody"/>
        <w:bidi w:val="0"/>
        <w:spacing w:lineRule="auto" w:line="288" w:before="90" w:after="283"/>
        <w:jc w:val="left"/>
        <w:rPr/>
      </w:pPr>
      <w:r>
        <w:rPr>
          <w:rFonts w:ascii="Arial Narrow;sans-serif" w:hAnsi="Arial Narrow;sans-serif"/>
          <w:b w:val="false"/>
          <w:color w:val="000000"/>
          <w:sz w:val="20"/>
        </w:rPr>
        <w:t>Indicate by check mark if the registrant is not required to file reports pursuant to Section 13 or Section 15(d) of the Act. Yes </w:t>
      </w:r>
      <w:r>
        <w:rPr>
          <w:color w:val="000000"/>
        </w:rPr>
        <w:t>☐ </w:t>
      </w:r>
      <w:r>
        <w:rPr>
          <w:rFonts w:ascii="Arial Narrow;sans-serif" w:hAnsi="Arial Narrow;sans-serif"/>
          <w:b w:val="false"/>
          <w:color w:val="000000"/>
          <w:sz w:val="20"/>
        </w:rPr>
        <w:t>No </w:t>
      </w:r>
      <w:r>
        <w:rPr>
          <w:color w:val="000000"/>
        </w:rPr>
        <w:t>☑</w:t>
      </w:r>
    </w:p>
    <w:p>
      <w:pPr>
        <w:pStyle w:val="TextBody"/>
        <w:bidi w:val="0"/>
        <w:spacing w:lineRule="auto" w:line="288" w:before="90" w:after="283"/>
        <w:jc w:val="left"/>
        <w:rPr/>
      </w:pPr>
      <w:r>
        <w:rPr>
          <w:rFonts w:ascii="Arial Narrow;sans-serif" w:hAnsi="Arial Narrow;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Arial Narrow;sans-serif" w:hAnsi="Arial Narrow;sans-serif"/>
          <w:b w:val="false"/>
          <w:color w:val="000000"/>
          <w:sz w:val="20"/>
        </w:rPr>
        <w:t>No </w:t>
      </w:r>
      <w:r>
        <w:rPr>
          <w:color w:val="000000"/>
        </w:rPr>
        <w:t>☐</w:t>
      </w:r>
    </w:p>
    <w:p>
      <w:pPr>
        <w:pStyle w:val="TextBody"/>
        <w:bidi w:val="0"/>
        <w:spacing w:lineRule="auto" w:line="288" w:before="90" w:after="283"/>
        <w:jc w:val="left"/>
        <w:rPr/>
      </w:pPr>
      <w:r>
        <w:rPr>
          <w:rFonts w:ascii="Arial Narrow;sans-serif" w:hAnsi="Arial Narrow;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Arial Narrow;sans-serif" w:hAnsi="Arial Narrow;sans-serif"/>
          <w:b w:val="false"/>
          <w:color w:val="000000"/>
          <w:sz w:val="20"/>
        </w:rPr>
        <w:t>No </w:t>
      </w:r>
      <w:r>
        <w:rPr>
          <w:color w:val="000000"/>
        </w:rPr>
        <w:t>☐</w:t>
      </w:r>
    </w:p>
    <w:p>
      <w:pPr>
        <w:pStyle w:val="TextBody"/>
        <w:bidi w:val="0"/>
        <w:spacing w:lineRule="auto" w:line="288" w:before="90" w:after="283"/>
        <w:jc w:val="left"/>
        <w:rPr>
          <w:rFonts w:ascii="Arial Narrow;sans-serif" w:hAnsi="Arial Narrow;sans-serif"/>
          <w:b w:val="false"/>
          <w:color w:val="000000"/>
          <w:sz w:val="20"/>
        </w:rPr>
      </w:pPr>
      <w:r>
        <w:rPr>
          <w:rFonts w:ascii="Arial Narrow;sans-serif" w:hAnsi="Arial Narrow;sans-serif"/>
          <w:b w:val="false"/>
          <w:color w:val="000000"/>
          <w:sz w:val="20"/>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4509" w:type="dxa"/>
        <w:jc w:val="left"/>
        <w:tblInd w:w="0" w:type="dxa"/>
        <w:tblLayout w:type="fixed"/>
        <w:tblCellMar>
          <w:top w:w="28" w:type="dxa"/>
          <w:left w:w="28" w:type="dxa"/>
          <w:bottom w:w="28" w:type="dxa"/>
          <w:right w:w="28" w:type="dxa"/>
        </w:tblCellMar>
      </w:tblPr>
      <w:tblGrid>
        <w:gridCol w:w="124"/>
        <w:gridCol w:w="109"/>
        <w:gridCol w:w="109"/>
        <w:gridCol w:w="589"/>
        <w:gridCol w:w="589"/>
        <w:gridCol w:w="591"/>
        <w:gridCol w:w="109"/>
        <w:gridCol w:w="109"/>
        <w:gridCol w:w="109"/>
        <w:gridCol w:w="606"/>
        <w:gridCol w:w="606"/>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Emerging growth company</w:t>
            </w:r>
          </w:p>
        </w:tc>
      </w:tr>
    </w:tbl>
    <w:p>
      <w:pPr>
        <w:pStyle w:val="TextBody"/>
        <w:bidi w:val="0"/>
        <w:spacing w:lineRule="auto" w:line="288" w:before="90" w:after="283"/>
        <w:jc w:val="left"/>
        <w:rPr/>
      </w:pPr>
      <w:r>
        <w:rPr>
          <w:rFonts w:ascii="Arial Narrow;sans-serif" w:hAnsi="Arial Narrow;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90" w:after="283"/>
        <w:jc w:val="left"/>
        <w:rPr/>
      </w:pPr>
      <w:r>
        <w:rPr>
          <w:rFonts w:ascii="Arial Narrow;sans-serif" w:hAnsi="Arial Narrow;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2"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90" w:after="283"/>
        <w:jc w:val="left"/>
        <w:rPr/>
      </w:pPr>
      <w:r>
        <w:rPr>
          <w:rFonts w:ascii="Arial Narrow;sans-serif" w:hAnsi="Arial Narrow;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90" w:after="283"/>
        <w:jc w:val="left"/>
        <w:rPr/>
      </w:pPr>
      <w:r>
        <w:rPr>
          <w:rFonts w:ascii="Arial Narrow;sans-serif" w:hAnsi="Arial Narrow;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90" w:after="283"/>
        <w:jc w:val="left"/>
        <w:rPr/>
      </w:pPr>
      <w:r>
        <w:rPr>
          <w:rFonts w:ascii="Arial Narrow;sans-serif" w:hAnsi="Arial Narrow;sans-serif"/>
          <w:b w:val="false"/>
          <w:color w:val="000000"/>
          <w:sz w:val="20"/>
        </w:rPr>
        <w:t>Indicate by check mark whether the registrant is a shell company (as defined in Rule 12b-2 of the Act). Yes </w:t>
      </w:r>
      <w:r>
        <w:rPr>
          <w:color w:val="000000"/>
        </w:rPr>
        <w:t>☐ </w:t>
      </w:r>
      <w:r>
        <w:rPr>
          <w:rFonts w:ascii="Arial Narrow;sans-serif" w:hAnsi="Arial Narrow;sans-serif"/>
          <w:b w:val="false"/>
          <w:color w:val="000000"/>
          <w:sz w:val="20"/>
        </w:rPr>
        <w:t>No </w:t>
      </w:r>
      <w:r>
        <w:rPr>
          <w:color w:val="000000"/>
        </w:rPr>
        <w:t>☑</w:t>
      </w:r>
    </w:p>
    <w:p>
      <w:pPr>
        <w:pStyle w:val="TextBody"/>
        <w:bidi w:val="0"/>
        <w:spacing w:lineRule="auto" w:line="288" w:before="90" w:after="283"/>
        <w:jc w:val="left"/>
        <w:rPr>
          <w:rFonts w:ascii="Arial Narrow;sans-serif" w:hAnsi="Arial Narrow;sans-serif"/>
          <w:b w:val="false"/>
          <w:color w:val="000000"/>
          <w:sz w:val="20"/>
        </w:rPr>
      </w:pPr>
      <w:r>
        <w:rPr>
          <w:rFonts w:ascii="Arial Narrow;sans-serif" w:hAnsi="Arial Narrow;sans-serif"/>
          <w:b w:val="false"/>
          <w:color w:val="000000"/>
          <w:sz w:val="20"/>
        </w:rPr>
        <w:t>As of July 28, 2023, the aggregate market value of the Registrant’s voting and non-voting stock held by non-affiliates of the Registrant was approximately $3.0 billion using the closing sales price on that day of $22.95. On March 11, 2024, 163,258,218 shares of common stock were outstanding.</w:t>
      </w:r>
    </w:p>
    <w:p>
      <w:pPr>
        <w:pStyle w:val="TextBody"/>
        <w:bidi w:val="0"/>
        <w:spacing w:lineRule="auto" w:line="288" w:before="90" w:after="283"/>
        <w:jc w:val="center"/>
        <w:rPr>
          <w:rFonts w:ascii="Arial Narrow;sans-serif" w:hAnsi="Arial Narrow;sans-serif"/>
          <w:b/>
          <w:color w:val="000000"/>
          <w:sz w:val="20"/>
        </w:rPr>
      </w:pPr>
      <w:r>
        <w:rPr>
          <w:rFonts w:ascii="Arial Narrow;sans-serif" w:hAnsi="Arial Narrow;sans-serif"/>
          <w:b/>
          <w:color w:val="000000"/>
          <w:sz w:val="20"/>
        </w:rPr>
        <w:t>DOCUMENTS INCORPORATED BY REFERENCE</w:t>
      </w:r>
    </w:p>
    <w:p>
      <w:pPr>
        <w:pStyle w:val="TextBody"/>
        <w:bidi w:val="0"/>
        <w:spacing w:lineRule="auto" w:line="288" w:before="90" w:after="283"/>
        <w:jc w:val="left"/>
        <w:rPr>
          <w:rFonts w:ascii="Arial Narrow;sans-serif" w:hAnsi="Arial Narrow;sans-serif"/>
          <w:b w:val="false"/>
          <w:color w:val="000000"/>
          <w:sz w:val="20"/>
        </w:rPr>
      </w:pPr>
      <w:r>
        <w:rPr>
          <w:rFonts w:ascii="Arial Narrow;sans-serif" w:hAnsi="Arial Narrow;sans-serif"/>
          <w:b w:val="false"/>
          <w:color w:val="000000"/>
          <w:sz w:val="20"/>
        </w:rPr>
        <w:t>Portions of the Proxy Statement for the 2024 Annual Meeting of Shareholders, scheduled to be held on May 22, 2024, are incorporated into 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6705"/>
                <wp:effectExtent l="0" t="0" r="0" b="0"/>
                <wp:wrapNone/>
                <wp:docPr id="3" name="Frame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tbl>
      <w:tblPr>
        <w:tblW w:w="10055" w:type="dxa"/>
        <w:jc w:val="left"/>
        <w:tblInd w:w="0" w:type="dxa"/>
        <w:tblLayout w:type="fixed"/>
        <w:tblCellMar>
          <w:top w:w="28" w:type="dxa"/>
          <w:left w:w="28" w:type="dxa"/>
          <w:bottom w:w="28" w:type="dxa"/>
          <w:right w:w="28" w:type="dxa"/>
        </w:tblCellMar>
      </w:tblPr>
      <w:tblGrid>
        <w:gridCol w:w="512"/>
        <w:gridCol w:w="451"/>
        <w:gridCol w:w="451"/>
        <w:gridCol w:w="2690"/>
        <w:gridCol w:w="2690"/>
        <w:gridCol w:w="2720"/>
        <w:gridCol w:w="158"/>
        <w:gridCol w:w="158"/>
        <w:gridCol w:w="225"/>
      </w:tblGrid>
      <w:tr>
        <w:trPr/>
        <w:tc>
          <w:tcPr>
            <w:tcW w:w="5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5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4"/>
              </w:rPr>
            </w:pPr>
            <w:r>
              <w:rPr>
                <w:rFonts w:ascii="Arial Narrow;sans-serif" w:hAnsi="Arial Narrow;sans-serif"/>
                <w:b/>
                <w:color w:val="000000"/>
                <w:sz w:val="24"/>
              </w:rPr>
              <w:t>TABLE OF CONTENTS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20"/>
              </w:rPr>
            </w:pPr>
            <w:r>
              <w:rPr>
                <w:rFonts w:ascii="Arial Narrow;sans-serif" w:hAnsi="Arial Narrow;sans-serif"/>
                <w:b/>
                <w:color w:val="000000"/>
                <w:sz w:val="20"/>
              </w:rPr>
              <w:t>Page</w:t>
            </w:r>
          </w:p>
        </w:tc>
      </w:tr>
      <w:tr>
        <w:trPr/>
        <w:tc>
          <w:tcPr>
            <w:tcW w:w="95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19">
              <w:r>
                <w:rPr>
                  <w:rStyle w:val="InternetLink"/>
                  <w:rFonts w:ascii="Arial Narrow;sans-serif" w:hAnsi="Arial Narrow;sans-serif"/>
                  <w:b w:val="false"/>
                  <w:color w:val="0000FF"/>
                  <w:sz w:val="20"/>
                  <w:u w:val="single"/>
                </w:rPr>
                <w:t>Forward-Looking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9">
              <w:r>
                <w:rPr>
                  <w:rStyle w:val="InternetLink"/>
                  <w:rFonts w:ascii="Arial Narrow;sans-serif" w:hAnsi="Arial Narrow;sans-serif"/>
                  <w:b w:val="false"/>
                  <w:color w:val="0000FF"/>
                  <w:sz w:val="20"/>
                  <w:u w:val="single"/>
                </w:rPr>
                <w:t>4</w:t>
              </w:r>
            </w:hyperlink>
          </w:p>
        </w:tc>
      </w:tr>
      <w:tr>
        <w:trPr/>
        <w:tc>
          <w:tcPr>
            <w:tcW w:w="95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2">
              <w:r>
                <w:rPr>
                  <w:rStyle w:val="InternetLink"/>
                  <w:rFonts w:ascii="Arial Narrow;sans-serif" w:hAnsi="Arial Narrow;sans-serif"/>
                  <w:b w:val="false"/>
                  <w:color w:val="0000FF"/>
                  <w:sz w:val="20"/>
                  <w:u w:val="single"/>
                </w:rPr>
                <w:t>Definitions of Commonly Used Terms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2">
              <w:r>
                <w:rPr>
                  <w:rStyle w:val="InternetLink"/>
                  <w:rFonts w:ascii="Arial Narrow;sans-serif" w:hAnsi="Arial Narrow;sans-serif"/>
                  <w:b w:val="false"/>
                  <w:color w:val="0000FF"/>
                  <w:sz w:val="20"/>
                  <w:u w:val="single"/>
                </w:rPr>
                <w:t>7</w:t>
              </w:r>
            </w:hyperlink>
          </w:p>
        </w:tc>
      </w:tr>
      <w:tr>
        <w:trPr/>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8">
              <w:r>
                <w:rPr>
                  <w:rStyle w:val="InternetLink"/>
                  <w:rFonts w:ascii="Arial Narrow;sans-serif" w:hAnsi="Arial Narrow;sans-serif"/>
                  <w:b/>
                  <w:color w:val="0000FF"/>
                  <w:sz w:val="20"/>
                  <w:u w:val="single"/>
                </w:rPr>
                <w:t>PART I</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31">
              <w:r>
                <w:rPr>
                  <w:rStyle w:val="InternetLink"/>
                  <w:rFonts w:ascii="Arial Narrow;sans-serif" w:hAnsi="Arial Narrow;sans-serif"/>
                  <w:b w:val="false"/>
                  <w:color w:val="0000FF"/>
                  <w:sz w:val="20"/>
                  <w:u w:val="single"/>
                </w:rPr>
                <w:t>Business.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31">
              <w:r>
                <w:rPr>
                  <w:rStyle w:val="InternetLink"/>
                  <w:rFonts w:ascii="Arial Narrow;sans-serif" w:hAnsi="Arial Narrow;sans-serif"/>
                  <w:b w:val="false"/>
                  <w:color w:val="0000FF"/>
                  <w:sz w:val="20"/>
                  <w:u w:val="single"/>
                </w:rPr>
                <w:t>8</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1A.</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34">
              <w:r>
                <w:rPr>
                  <w:rStyle w:val="InternetLink"/>
                  <w:rFonts w:ascii="Arial Narrow;sans-serif" w:hAnsi="Arial Narrow;sans-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34">
              <w:r>
                <w:rPr>
                  <w:rStyle w:val="InternetLink"/>
                  <w:rFonts w:ascii="Arial Narrow;sans-serif" w:hAnsi="Arial Narrow;sans-serif"/>
                  <w:b w:val="false"/>
                  <w:color w:val="0000FF"/>
                  <w:sz w:val="20"/>
                  <w:u w:val="single"/>
                </w:rPr>
                <w:t>12</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1B.</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37">
              <w:r>
                <w:rPr>
                  <w:rStyle w:val="InternetLink"/>
                  <w:rFonts w:ascii="Arial Narrow;sans-serif" w:hAnsi="Arial Narrow;sans-serif"/>
                  <w:b w:val="false"/>
                  <w:color w:val="0000FF"/>
                  <w:sz w:val="20"/>
                  <w:u w:val="single"/>
                </w:rPr>
                <w:t>Unresolved Staff Comments.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37">
              <w:r>
                <w:rPr>
                  <w:rStyle w:val="InternetLink"/>
                  <w:rFonts w:ascii="Arial Narrow;sans-serif" w:hAnsi="Arial Narrow;sans-serif"/>
                  <w:b w:val="false"/>
                  <w:color w:val="0000FF"/>
                  <w:sz w:val="20"/>
                  <w:u w:val="single"/>
                </w:rPr>
                <w:t>20</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1C.</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1984">
              <w:r>
                <w:rPr>
                  <w:rStyle w:val="InternetLink"/>
                  <w:rFonts w:ascii="Arial Narrow;sans-serif" w:hAnsi="Arial Narrow;sans-serif"/>
                  <w:b w:val="false"/>
                  <w:color w:val="0000FF"/>
                  <w:sz w:val="20"/>
                  <w:u w:val="single"/>
                </w:rPr>
                <w:t>Cybersecurity.</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984">
              <w:r>
                <w:rPr>
                  <w:rStyle w:val="InternetLink"/>
                  <w:rFonts w:ascii="Arial Narrow;sans-serif" w:hAnsi="Arial Narrow;sans-serif"/>
                  <w:b w:val="false"/>
                  <w:color w:val="0000FF"/>
                  <w:sz w:val="20"/>
                  <w:u w:val="single"/>
                </w:rPr>
                <w:t>21</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40">
              <w:r>
                <w:rPr>
                  <w:rStyle w:val="InternetLink"/>
                  <w:rFonts w:ascii="Arial Narrow;sans-serif" w:hAnsi="Arial Narrow;sans-serif"/>
                  <w:b w:val="false"/>
                  <w:color w:val="0000FF"/>
                  <w:sz w:val="20"/>
                  <w:u w:val="single"/>
                </w:rPr>
                <w:t>Properties.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40">
              <w:r>
                <w:rPr>
                  <w:rStyle w:val="InternetLink"/>
                  <w:rFonts w:ascii="Arial Narrow;sans-serif" w:hAnsi="Arial Narrow;sans-serif"/>
                  <w:b w:val="false"/>
                  <w:color w:val="0000FF"/>
                  <w:sz w:val="20"/>
                  <w:u w:val="single"/>
                </w:rPr>
                <w:t>22</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43">
              <w:r>
                <w:rPr>
                  <w:rStyle w:val="InternetLink"/>
                  <w:rFonts w:ascii="Arial Narrow;sans-serif" w:hAnsi="Arial Narrow;sans-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43">
              <w:r>
                <w:rPr>
                  <w:rStyle w:val="InternetLink"/>
                  <w:rFonts w:ascii="Arial Narrow;sans-serif" w:hAnsi="Arial Narrow;sans-serif"/>
                  <w:b w:val="false"/>
                  <w:color w:val="0000FF"/>
                  <w:sz w:val="20"/>
                  <w:u w:val="single"/>
                </w:rPr>
                <w:t>24</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46">
              <w:r>
                <w:rPr>
                  <w:rStyle w:val="InternetLink"/>
                  <w:rFonts w:ascii="Arial Narrow;sans-serif" w:hAnsi="Arial Narrow;sans-serif"/>
                  <w:b w:val="false"/>
                  <w:color w:val="0000FF"/>
                  <w:sz w:val="20"/>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46">
              <w:r>
                <w:rPr>
                  <w:rStyle w:val="InternetLink"/>
                  <w:rFonts w:ascii="Arial Narrow;sans-serif" w:hAnsi="Arial Narrow;sans-serif"/>
                  <w:b w:val="false"/>
                  <w:color w:val="0000FF"/>
                  <w:sz w:val="20"/>
                  <w:u w:val="single"/>
                </w:rPr>
                <w:t>24</w:t>
              </w:r>
            </w:hyperlink>
          </w:p>
        </w:tc>
      </w:tr>
      <w:tr>
        <w:trPr/>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49">
              <w:r>
                <w:rPr>
                  <w:rStyle w:val="InternetLink"/>
                  <w:rFonts w:ascii="Arial Narrow;sans-serif" w:hAnsi="Arial Narrow;sans-serif"/>
                  <w:b/>
                  <w:color w:val="0000FF"/>
                  <w:sz w:val="20"/>
                  <w:u w:val="single"/>
                </w:rPr>
                <w:t>PART II</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5.</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52">
              <w:r>
                <w:rPr>
                  <w:rStyle w:val="InternetLink"/>
                  <w:rFonts w:ascii="Arial Narrow;sans-serif" w:hAnsi="Arial Narrow;sans-serif"/>
                  <w:b w:val="false"/>
                  <w:color w:val="0000FF"/>
                  <w:sz w:val="20"/>
                  <w:u w:val="single"/>
                </w:rPr>
                <w:t>Market for Registrant’s Common Equity, Related Shareholder Matters and Issuer Purchases of Equity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52">
              <w:r>
                <w:rPr>
                  <w:rStyle w:val="InternetLink"/>
                  <w:rFonts w:ascii="Arial Narrow;sans-serif" w:hAnsi="Arial Narrow;sans-serif"/>
                  <w:b w:val="false"/>
                  <w:color w:val="0000FF"/>
                  <w:sz w:val="20"/>
                  <w:u w:val="single"/>
                </w:rPr>
                <w:t>25</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6.</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61">
              <w:r>
                <w:rPr>
                  <w:rStyle w:val="InternetLink"/>
                  <w:rFonts w:ascii="Arial Narrow;sans-serif" w:hAnsi="Arial Narrow;sans-serif"/>
                  <w:b w:val="false"/>
                  <w:color w:val="0000FF"/>
                  <w:sz w:val="20"/>
                  <w:u w:val="single"/>
                </w:rPr>
                <w:t>[Reserved]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61">
              <w:r>
                <w:rPr>
                  <w:rStyle w:val="InternetLink"/>
                  <w:rFonts w:ascii="Arial Narrow;sans-serif" w:hAnsi="Arial Narrow;sans-serif"/>
                  <w:b w:val="false"/>
                  <w:color w:val="0000FF"/>
                  <w:sz w:val="20"/>
                  <w:u w:val="single"/>
                </w:rPr>
                <w:t>27</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7.</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64">
              <w:r>
                <w:rPr>
                  <w:rStyle w:val="InternetLink"/>
                  <w:rFonts w:ascii="Arial Narrow;sans-serif" w:hAnsi="Arial Narrow;sans-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64">
              <w:r>
                <w:rPr>
                  <w:rStyle w:val="InternetLink"/>
                  <w:rFonts w:ascii="Arial Narrow;sans-serif" w:hAnsi="Arial Narrow;sans-serif"/>
                  <w:b w:val="false"/>
                  <w:color w:val="0000FF"/>
                  <w:sz w:val="20"/>
                  <w:u w:val="single"/>
                </w:rPr>
                <w:t>27</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7A.</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124">
              <w:r>
                <w:rPr>
                  <w:rStyle w:val="InternetLink"/>
                  <w:rFonts w:ascii="Arial Narrow;sans-serif" w:hAnsi="Arial Narrow;sans-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24">
              <w:r>
                <w:rPr>
                  <w:rStyle w:val="InternetLink"/>
                  <w:rFonts w:ascii="Arial Narrow;sans-serif" w:hAnsi="Arial Narrow;sans-serif"/>
                  <w:b w:val="false"/>
                  <w:color w:val="0000FF"/>
                  <w:sz w:val="20"/>
                  <w:u w:val="single"/>
                </w:rPr>
                <w:t>42</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8.</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127">
              <w:r>
                <w:rPr>
                  <w:rStyle w:val="InternetLink"/>
                  <w:rFonts w:ascii="Arial Narrow;sans-serif" w:hAnsi="Arial Narrow;sans-serif"/>
                  <w:b w:val="false"/>
                  <w:color w:val="0000FF"/>
                  <w:sz w:val="20"/>
                  <w:u w:val="single"/>
                </w:rPr>
                <w:t>Financial Statements and Supplementary Data.</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27">
              <w:r>
                <w:rPr>
                  <w:rStyle w:val="InternetLink"/>
                  <w:rFonts w:ascii="Arial Narrow;sans-serif" w:hAnsi="Arial Narrow;sans-serif"/>
                  <w:b w:val="false"/>
                  <w:color w:val="0000FF"/>
                  <w:sz w:val="20"/>
                  <w:u w:val="single"/>
                </w:rPr>
                <w:t>43</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193">
              <w:r>
                <w:rPr>
                  <w:rStyle w:val="InternetLink"/>
                  <w:rFonts w:ascii="Arial Narrow;sans-serif" w:hAnsi="Arial Narrow;sans-serif"/>
                  <w:b w:val="false"/>
                  <w:color w:val="0000FF"/>
                  <w:sz w:val="20"/>
                  <w:u w:val="single"/>
                </w:rPr>
                <w:t>Changes in and Disagreements With Accountants on Accounting and Financial Disclosure.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93">
              <w:r>
                <w:rPr>
                  <w:rStyle w:val="InternetLink"/>
                  <w:rFonts w:ascii="Arial Narrow;sans-serif" w:hAnsi="Arial Narrow;sans-serif"/>
                  <w:b w:val="false"/>
                  <w:color w:val="0000FF"/>
                  <w:sz w:val="20"/>
                  <w:u w:val="single"/>
                </w:rPr>
                <w:t>73</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9A.</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196">
              <w:r>
                <w:rPr>
                  <w:rStyle w:val="InternetLink"/>
                  <w:rFonts w:ascii="Arial Narrow;sans-serif" w:hAnsi="Arial Narrow;sans-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93">
              <w:r>
                <w:rPr>
                  <w:rStyle w:val="InternetLink"/>
                  <w:rFonts w:ascii="Arial Narrow;sans-serif" w:hAnsi="Arial Narrow;sans-serif"/>
                  <w:b w:val="false"/>
                  <w:color w:val="0000FF"/>
                  <w:sz w:val="20"/>
                  <w:u w:val="single"/>
                </w:rPr>
                <w:t>73</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9B.</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02">
              <w:r>
                <w:rPr>
                  <w:rStyle w:val="InternetLink"/>
                  <w:rFonts w:ascii="Arial Narrow;sans-serif" w:hAnsi="Arial Narrow;sans-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02">
              <w:r>
                <w:rPr>
                  <w:rStyle w:val="InternetLink"/>
                  <w:rFonts w:ascii="Arial Narrow;sans-serif" w:hAnsi="Arial Narrow;sans-serif"/>
                  <w:b w:val="false"/>
                  <w:color w:val="0000FF"/>
                  <w:sz w:val="20"/>
                  <w:u w:val="single"/>
                </w:rPr>
                <w:t>75</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9C.</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05">
              <w:r>
                <w:rPr>
                  <w:rStyle w:val="InternetLink"/>
                  <w:rFonts w:ascii="Arial Narrow;sans-serif" w:hAnsi="Arial Narrow;sans-serif"/>
                  <w:b w:val="false"/>
                  <w:color w:val="0000FF"/>
                  <w:sz w:val="20"/>
                  <w:u w:val="single"/>
                </w:rPr>
                <w:t>Disclosure Regarding Foreign Jurisdictions that Prevent Inspections.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05">
              <w:r>
                <w:rPr>
                  <w:rStyle w:val="InternetLink"/>
                  <w:rFonts w:ascii="Arial Narrow;sans-serif" w:hAnsi="Arial Narrow;sans-serif"/>
                  <w:b w:val="false"/>
                  <w:color w:val="0000FF"/>
                  <w:sz w:val="20"/>
                  <w:u w:val="single"/>
                </w:rPr>
                <w:t>75</w:t>
              </w:r>
            </w:hyperlink>
          </w:p>
        </w:tc>
      </w:tr>
      <w:tr>
        <w:trPr/>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08">
              <w:r>
                <w:rPr>
                  <w:rStyle w:val="InternetLink"/>
                  <w:rFonts w:ascii="Arial Narrow;sans-serif" w:hAnsi="Arial Narrow;sans-serif"/>
                  <w:b/>
                  <w:color w:val="0000FF"/>
                  <w:sz w:val="20"/>
                  <w:u w:val="single"/>
                </w:rPr>
                <w:t>PART III</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10.</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11">
              <w:r>
                <w:rPr>
                  <w:rStyle w:val="InternetLink"/>
                  <w:rFonts w:ascii="Arial Narrow;sans-serif" w:hAnsi="Arial Narrow;sans-serif"/>
                  <w:b w:val="false"/>
                  <w:color w:val="0000FF"/>
                  <w:sz w:val="20"/>
                  <w:u w:val="single"/>
                </w:rPr>
                <w:t>Directors, Executive Officers and Corporate Governance.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11">
              <w:r>
                <w:rPr>
                  <w:rStyle w:val="InternetLink"/>
                  <w:rFonts w:ascii="Arial Narrow;sans-serif" w:hAnsi="Arial Narrow;sans-serif"/>
                  <w:b w:val="false"/>
                  <w:color w:val="0000FF"/>
                  <w:sz w:val="20"/>
                  <w:u w:val="single"/>
                </w:rPr>
                <w:t>75</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11.</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14">
              <w:r>
                <w:rPr>
                  <w:rStyle w:val="InternetLink"/>
                  <w:rFonts w:ascii="Arial Narrow;sans-serif" w:hAnsi="Arial Narrow;sans-serif"/>
                  <w:b w:val="false"/>
                  <w:color w:val="0000FF"/>
                  <w:sz w:val="20"/>
                  <w:u w:val="single"/>
                </w:rPr>
                <w:t>Executive Compensation.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14">
              <w:r>
                <w:rPr>
                  <w:rStyle w:val="InternetLink"/>
                  <w:rFonts w:ascii="Arial Narrow;sans-serif" w:hAnsi="Arial Narrow;sans-serif"/>
                  <w:b w:val="false"/>
                  <w:color w:val="0000FF"/>
                  <w:sz w:val="20"/>
                  <w:u w:val="single"/>
                </w:rPr>
                <w:t>75</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12.</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17">
              <w:r>
                <w:rPr>
                  <w:rStyle w:val="InternetLink"/>
                  <w:rFonts w:ascii="Arial Narrow;sans-serif" w:hAnsi="Arial Narrow;sans-serif"/>
                  <w:b w:val="false"/>
                  <w:color w:val="0000FF"/>
                  <w:sz w:val="20"/>
                  <w:u w:val="single"/>
                </w:rPr>
                <w:t>Security Ownership of Certain Beneficial Owners and Management and Related Shareholder Matters.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17">
              <w:r>
                <w:rPr>
                  <w:rStyle w:val="InternetLink"/>
                  <w:rFonts w:ascii="Arial Narrow;sans-serif" w:hAnsi="Arial Narrow;sans-serif"/>
                  <w:b w:val="false"/>
                  <w:color w:val="0000FF"/>
                  <w:sz w:val="20"/>
                  <w:u w:val="single"/>
                </w:rPr>
                <w:t>75</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13.</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20">
              <w:r>
                <w:rPr>
                  <w:rStyle w:val="InternetLink"/>
                  <w:rFonts w:ascii="Arial Narrow;sans-serif" w:hAnsi="Arial Narrow;sans-serif"/>
                  <w:b w:val="false"/>
                  <w:color w:val="0000FF"/>
                  <w:sz w:val="20"/>
                  <w:u w:val="single"/>
                </w:rPr>
                <w:t>Certain Relationships and Related Transactions, and Director Independence.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20">
              <w:r>
                <w:rPr>
                  <w:rStyle w:val="InternetLink"/>
                  <w:rFonts w:ascii="Arial Narrow;sans-serif" w:hAnsi="Arial Narrow;sans-serif"/>
                  <w:b w:val="false"/>
                  <w:color w:val="0000FF"/>
                  <w:sz w:val="20"/>
                  <w:u w:val="single"/>
                </w:rPr>
                <w:t>75</w:t>
              </w:r>
            </w:hyperlink>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14.</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23">
              <w:r>
                <w:rPr>
                  <w:rStyle w:val="InternetLink"/>
                  <w:rFonts w:ascii="Arial Narrow;sans-serif" w:hAnsi="Arial Narrow;sans-serif"/>
                  <w:b w:val="false"/>
                  <w:color w:val="0000FF"/>
                  <w:sz w:val="20"/>
                  <w:u w:val="single"/>
                </w:rPr>
                <w:t>Principal Accountant Fees and Services.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23">
              <w:r>
                <w:rPr>
                  <w:rStyle w:val="InternetLink"/>
                  <w:rFonts w:ascii="Arial Narrow;sans-serif" w:hAnsi="Arial Narrow;sans-serif"/>
                  <w:b w:val="false"/>
                  <w:color w:val="0000FF"/>
                  <w:sz w:val="20"/>
                  <w:u w:val="single"/>
                </w:rPr>
                <w:t>75</w:t>
              </w:r>
            </w:hyperlink>
          </w:p>
        </w:tc>
      </w:tr>
      <w:tr>
        <w:trPr/>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26">
              <w:r>
                <w:rPr>
                  <w:rStyle w:val="InternetLink"/>
                  <w:rFonts w:ascii="Arial Narrow;sans-serif" w:hAnsi="Arial Narrow;sans-serif"/>
                  <w:b/>
                  <w:color w:val="0000FF"/>
                  <w:sz w:val="20"/>
                  <w:u w:val="single"/>
                </w:rPr>
                <w:t>PART IV</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15.</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29">
              <w:r>
                <w:rPr>
                  <w:rStyle w:val="InternetLink"/>
                  <w:rFonts w:ascii="Arial Narrow;sans-serif" w:hAnsi="Arial Narrow;sans-serif"/>
                  <w:b w:val="false"/>
                  <w:color w:val="0000FF"/>
                  <w:sz w:val="20"/>
                  <w:u w:val="single"/>
                </w:rPr>
                <w:t>Exhibit and Financial Statement Schedules.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29">
              <w:r>
                <w:rPr>
                  <w:rStyle w:val="InternetLink"/>
                  <w:rFonts w:ascii="Arial Narrow;sans-serif" w:hAnsi="Arial Narrow;sans-serif"/>
                  <w:b w:val="false"/>
                  <w:color w:val="0000FF"/>
                  <w:sz w:val="20"/>
                  <w:u w:val="single"/>
                </w:rPr>
                <w:t>76</w:t>
              </w:r>
            </w:hyperlink>
          </w:p>
        </w:tc>
      </w:tr>
      <w:tr>
        <w:trPr/>
        <w:tc>
          <w:tcPr>
            <w:tcW w:w="95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32">
              <w:r>
                <w:rPr>
                  <w:rStyle w:val="InternetLink"/>
                  <w:rFonts w:ascii="Arial Narrow;sans-serif" w:hAnsi="Arial Narrow;sans-serif"/>
                  <w:b/>
                  <w:color w:val="0000FF"/>
                  <w:sz w:val="20"/>
                  <w:u w:val="single"/>
                </w:rPr>
                <w:t>Exhibit Index</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32">
              <w:r>
                <w:rPr>
                  <w:rStyle w:val="InternetLink"/>
                  <w:rFonts w:ascii="Arial Narrow;sans-serif" w:hAnsi="Arial Narrow;sans-serif"/>
                  <w:b w:val="false"/>
                  <w:color w:val="0000FF"/>
                  <w:sz w:val="20"/>
                  <w:u w:val="single"/>
                </w:rPr>
                <w:t>77</w:t>
              </w:r>
            </w:hyperlink>
          </w:p>
        </w:tc>
      </w:tr>
      <w:tr>
        <w:trPr/>
        <w:tc>
          <w:tcPr>
            <w:tcW w:w="95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35">
              <w:r>
                <w:rPr>
                  <w:rStyle w:val="InternetLink"/>
                  <w:rFonts w:ascii="Arial Narrow;sans-serif" w:hAnsi="Arial Narrow;sans-serif"/>
                  <w:b/>
                  <w:color w:val="0000FF"/>
                  <w:sz w:val="20"/>
                  <w:u w:val="single"/>
                </w:rPr>
                <w:t>Signatures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35">
              <w:r>
                <w:rPr>
                  <w:rStyle w:val="InternetLink"/>
                  <w:rFonts w:ascii="Arial Narrow;sans-serif" w:hAnsi="Arial Narrow;sans-serif"/>
                  <w:b w:val="false"/>
                  <w:color w:val="0000FF"/>
                  <w:sz w:val="20"/>
                  <w:u w:val="single"/>
                </w:rPr>
                <w:t>80</w:t>
              </w:r>
            </w:hyperlink>
          </w:p>
        </w:tc>
      </w:tr>
      <w:tr>
        <w:trPr/>
        <w:tc>
          <w:tcPr>
            <w:tcW w:w="951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38">
              <w:r>
                <w:rPr>
                  <w:rStyle w:val="InternetLink"/>
                  <w:rFonts w:ascii="Arial Narrow;sans-serif" w:hAnsi="Arial Narrow;sans-serif"/>
                  <w:b/>
                  <w:color w:val="0000FF"/>
                  <w:sz w:val="20"/>
                  <w:u w:val="single"/>
                </w:rPr>
                <w:t>Consent of Independent Registered Public Accounting Firm</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38">
              <w:r>
                <w:rPr>
                  <w:rStyle w:val="InternetLink"/>
                  <w:rFonts w:ascii="Arial Narrow;sans-serif" w:hAnsi="Arial Narrow;sans-serif"/>
                  <w:b w:val="false"/>
                  <w:color w:val="0000FF"/>
                  <w:sz w:val="20"/>
                  <w:u w:val="singl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FORWARD-LOOKING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This Annual Report on Form 10-K contains forward-looking statements within the meaning of the Private Securities Litigation Reform Act of 1995. Forward-looking statements are statements regarding matters that are not historical facts, and are based on our management’s beliefs and assumptions and on information currently available to our management. A forward-looking statement is neither a prediction nor a guarantee of future events or circumstances, and those future events or circumstances may not occur. In some cases, forward-looking statements can be identified by terms such as “may,” “will,” “should,” “could,” “goal,” “would,” “expect,” “plan,” “anticipate,” “believe,” “estimate,” “project,” “predict,” “potential,” “pursue,” “going forward”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These risks, uncertainties and other factors include, but are not limited to, our anticipated financial outlook for the fiscal year ending February 1, 2025, trends in our operations and the following:</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Strategic and Operational</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successful execution of our customer strategy to provide customers superior service, products and experiences, online, through our fulfillment capabilities and in stores,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timely and effective implementation and execution of our evolving business model, including:</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 xml:space="preserve">winning at our market strategy by providing a differentiated and seamless experience, which consists of the integration of our digital and physical assets, development of new supply chain capabilities and timely delivery of products, </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broadening the reach of Nordstrom Rack, including delivering great brands at great prices and leveraging our digital and physical assets,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 xml:space="preserve">enhancing our platforms and processes to deliver core capabilities to drive customer, employee and partner experiences both digitally and in stores, </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 xml:space="preserve">our ability to effectively manage our merchandise strategy, including our ability to offer compelling assortments and optimize our inventory to ensure we have the right product mix and quantity in each of our channels and locations, allowing us to get closer to our customers, </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our ability to effectively allocate and scale our marketing strategies and resources, as well as realize the expected benefits of Nordstrom Media Network, The Nordy Club, advertising and promotional campaigns,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 xml:space="preserve">our ability to respond to the evolving retail environment, including new fashion trends, environmental considerations and our customers’ changing expectations of service and experience in stores and online, and our development and outcome of new market strategies and customer offerings, </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our ability to mitigate the effects of disruptions in the global supply chain, including factory closures, transportation challenges or stoppages of certain imports, and rising prices of raw materials and freight expenses,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our ability to control costs through effective inventory management and supply chain processes and systems,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our ability to acquire, develop and retain qualified and diverse talent by providing appropriate training, compelling work environments and competitive compensation and benefits, especially in areas with increased market compensation, all in the context of any labor shortage and competition for talent,</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our ability to realize expected benefits, anticipate and respond to potential risks and appropriately manage costs associated with our credit card revenue sharing program,</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potential goodwill impairment charges, future impairment charges and fluctuations in the fair values of reporting units or of assets in the event projected financial results are not achieved within expected time frames or if our strategic direction changes,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Data, Cybersecurity and Information Technology</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successful execution of our information technology strategy, including engagement with third-party service providers,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the impact of any system or network failures, cybersecurity and/or security breaches, including any security breach of our systems or those of a third-party provider that results in the theft, transfer or unauthorized disclosure of customer, employee or Company information, or that results in the interruption of business processes or causes financial loss, and our compliance with information security and privacy laws and regulations, as well as third-party contractual obligations in the event of such an incident,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6705"/>
                <wp:effectExtent l="0" t="0" r="0" b="0"/>
                <wp:wrapNone/>
                <wp:docPr id="5" name="Frame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Reputation and Relationships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our ability to maintain our reputation and relationships with our customers, employees, vendors and third-party partners and landlords,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our ability to act responsibly and with transparency with respect to our environmental, social and governance practices and initiatives, meet any communicated targets, goals or milestones and adapt to evolving reporting requirements,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our ability to market our brand and distribute our products through a variety of third-party publisher or platform channels, as well as access mobile operating system and website identifiers for personalized delivery of targeted advertising,</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the impact of a concentration of stock ownership on our shareholders’ ability to influence corporate matters,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Investment and Capital</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efficient and proper allocation of our capital resources,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our ability to properly balance our investments in technology, Supply Chain Network facilities and existing and new store locations, including the expansion of our market strategy,</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our ability to maintain or expand our presence, including timely completion of construction associated with Supply Chain Network facilities and new, relocated and remodeled stores, as well as any potential store closures, all of which may be impacted by third parties, consumer demand and other natural or man-made disruptions, and government responses to any such disruptions,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market fluctuations, increases in operating costs, exit costs and overall liabilities and losses associated with owning and leasing real estate,</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 xml:space="preserve">compliance with debt and operating covenants, availability and cost of credit, changes in our credit rating and changes in interest rates, </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the actual timing, price, manner and amounts of future share repurchases, dividend payments or share issuances, if any, subject to the discretion of our Board of Directors, contractual commitments, market and economic conditions and applicable SEC rules,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Economic and External</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 xml:space="preserve">the length and severity of epidemics or pandemics, or other catastrophic events, and the related impact on customer behavior, store and online operations and supply chain functions, as well as our future consolidated financial position, results of operations and cash flows, </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the impact of the seasonal nature of our business and cyclical customer spending,</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the impact of economic and market conditions, including inflation and measures to control inflation, and resulting changes to customer purchasing behavior, unemployment and bankruptcy rates and the resulting impact on consumer spending and credit patterns,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the impact of economic, environmental or political conditions,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the impact of changing traffic patterns at shopping centers and malls,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financial insecurity or potential insolvency experienced by our vendors, suppliers, developers, landlords, competitors or customers,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weather conditions, natural disasters, climate change, national security concerns, global conflicts, civil unrest, other market and supply chain disruptions, the effects of tariffs, or the prospects of such events, and the resulting impact any of these events may have on consumer spending patterns or information technology systems and communications,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Legal and Regulatory</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our, and the third parties we do business with, compliance with applicable domestic and international laws, regulations and ethical standards, minimum wage, employment and tax, information security and privacy, consumer credit and environmental regulations and the outcome of any claims, litigation and regulatory investigations and resolution of such matters,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the impact of changes in laws relating to consumer credit, the current regulatory environment, the financial system and tax reforms,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the impact of changes in accounting rules and regulations, changes in our interpretation of the rules or regulations, or changes in underlying assumptions, estimates or judgments,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the outcome of events or occurrences related to the wind-down of business operations in Canada.</w:t>
      </w:r>
    </w:p>
    <w:p>
      <w:pPr>
        <w:pStyle w:val="TextBody"/>
        <w:bidi w:val="0"/>
        <w:spacing w:lineRule="auto" w:line="288" w:before="180" w:after="283"/>
        <w:jc w:val="left"/>
        <w:rPr/>
      </w:pPr>
      <w:r>
        <w:rPr>
          <w:rFonts w:ascii="Arial Narrow;sans-serif" w:hAnsi="Arial Narrow;sans-serif"/>
          <w:b w:val="false"/>
          <w:color w:val="000000"/>
          <w:sz w:val="20"/>
        </w:rPr>
        <w:t xml:space="preserve">These and other factors, including those factors we discuss in Part I, </w:t>
      </w:r>
      <w:hyperlink w:anchor="i32edfa625ac64f068feac7cf09039254_34">
        <w:r>
          <w:rPr>
            <w:rStyle w:val="InternetLink"/>
            <w:rFonts w:ascii="Arial Narrow;sans-serif" w:hAnsi="Arial Narrow;sans-serif"/>
            <w:b w:val="false"/>
            <w:color w:val="0000FF"/>
            <w:sz w:val="20"/>
            <w:u w:val="single"/>
          </w:rPr>
          <w:t>Item 1A. Risk Factors</w:t>
        </w:r>
      </w:hyperlink>
      <w:r>
        <w:rPr>
          <w:rFonts w:ascii="Arial Narrow;sans-serif" w:hAnsi="Arial Narrow;sans-serif"/>
          <w:b w:val="false"/>
          <w:color w:val="000000"/>
          <w:sz w:val="20"/>
        </w:rPr>
        <w:t>, could affect our financial results and cause our actual results to differ materially from any forward-looking information we may provide. Given these risks, uncertainties and other factors, undue reliance should not be placed on these forward-looking statements. Also, these forward-looking statements represent our estimates and assumptions only as of the date of this filing, and these estimates and assumptions may prove to be incorrect. This Annual Report on Form 10-K should be read completely and with the understanding that our actual future results may be materially different from what we expect. We hereby qualify our forward-looking statements by these cautionary statements.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All references to “we,” “us,” “our,” or the “Company” mean Nordstrom, Inc. and its subsidiaries. On March 2, 2023, Nordstrom Canada commenced a wind-down of its business operations (see Note 2: Canada Wind-down in Item 8) and as of this date, Nordstrom Canada was deconsolidated from Nordstrom, Inc.’s financial statements. Nordstrom Canada results prior to March 2, 2023 are included in the Company’s Consolidated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statements that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In addition, forward-looking statements may be impacted by the actual outcome of events or occurrences related to the wind-down of business operations in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6705"/>
                <wp:effectExtent l="0" t="0" r="0" b="0"/>
                <wp:wrapNone/>
                <wp:docPr id="7" name="Frame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DEFINITIONS OF COMMONLY USED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93"/>
        <w:gridCol w:w="234"/>
        <w:gridCol w:w="237"/>
        <w:gridCol w:w="2807"/>
        <w:gridCol w:w="2653"/>
        <w:gridCol w:w="3781"/>
      </w:tblGrid>
      <w:tr>
        <w:trPr/>
        <w:tc>
          <w:tcPr>
            <w:tcW w:w="49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653"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Term</w:t>
            </w:r>
          </w:p>
        </w:tc>
        <w:tc>
          <w:tcPr>
            <w:tcW w:w="92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Definition</w:t>
            </w:r>
          </w:p>
        </w:tc>
      </w:tr>
      <w:tr>
        <w:trPr/>
        <w:tc>
          <w:tcPr>
            <w:tcW w:w="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2019 Plan</w:t>
            </w:r>
          </w:p>
        </w:tc>
        <w:tc>
          <w:tcPr>
            <w:tcW w:w="9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2019 Equity Incentive Plan</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2023 Annual Report</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Annual Report on Form 10-K filed on March 19, 2024</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EPS</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earnings (loss) per diluted share (a non-GAAP financial measure)</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ROIC</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return on invested capital (a non-GAAP financial measure)</w:t>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9241"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ASU</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Accounting Standards Update</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CARES Act</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Coronavirus Aid, Relief and Economic Security Act</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CCAA</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Companies’ Creditors Arrangement Act</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CISO</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Chief Information Security Officer</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CTIO</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Chief Technology and Information Officer</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Digital sales</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Sales conducted through a digital platform such as our websites or mobile apps. Digital sales may be self-guided by the customer, as in a traditional online order, or facilitated by a salesperson using a virtual styling or selling tool. Digital sales may be delivered to the customer or picked up in our Nordstrom stores, Nordstrom Rack stores or Nordstrom Local service hubs. Digital sales also includes a reserve for estimated returns.</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(loss) before interest and income taxes</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EBIT margin</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(loss) before interest and income taxes as a percent of net sales</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(loss) before interest, income taxes, depreciation and amortization</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EBITDAR</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(loss) before interest, income taxes, depreciation, amortization and rent, as defined by our Revolver covenant</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EPS</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(loss) per share</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ESPP</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Employee Stock Purchase Plan</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Exchange Act</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Securities Exchange Act of 1934, as amended</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FASB</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Financial Accounting Standards Board</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year 2024</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52 fiscal weeks ending February 1, 2025</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year 2023</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53 fiscal weeks ending February 3, 2024</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year 2022</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52 fiscal weeks ending January 28, 2023</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Fiscal year 2021</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52 fiscal weeks ending January 29, 2022</w:t>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9241"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9241"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GAAP</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generally accepted accounting principles</w:t>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9241"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GMV</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merchandise value</w:t>
            </w:r>
          </w:p>
        </w:tc>
      </w:tr>
      <w:tr>
        <w:trPr/>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9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sales less cost of sales and related buying and occupancy costs</w:t>
            </w:r>
          </w:p>
        </w:tc>
      </w:tr>
      <w:tr>
        <w:trPr/>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Leverage Ratio</w:t>
            </w:r>
          </w:p>
        </w:tc>
        <w:tc>
          <w:tcPr>
            <w:tcW w:w="9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 sum of our funded debt and operating lease liabilities divided by the preceding twelve months of Adjusted EBITDAR as defined by our Revolver covenant</w:t>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9241" w:type="dxa"/>
            <w:gridSpan w:val="3"/>
            <w:tcBorders/>
            <w:vAlign w:val="center"/>
          </w:tcPr>
          <w:p>
            <w:pPr>
              <w:pStyle w:val="TableContents"/>
              <w:bidi w:val="0"/>
              <w:spacing w:before="0" w:after="283"/>
              <w:jc w:val="left"/>
              <w:rPr>
                <w:sz w:val="4"/>
                <w:szCs w:val="4"/>
              </w:rPr>
            </w:pPr>
            <w:r>
              <w:rPr>
                <w:sz w:val="4"/>
                <w:szCs w:val="4"/>
              </w:rPr>
            </w:r>
          </w:p>
        </w:tc>
      </w:tr>
      <w:tr>
        <w:trPr/>
        <w:tc>
          <w:tcPr>
            <w:tcW w:w="964" w:type="dxa"/>
            <w:gridSpan w:val="3"/>
            <w:tcBorders/>
            <w:vAlign w:val="center"/>
          </w:tcPr>
          <w:p>
            <w:pPr>
              <w:pStyle w:val="TableContents"/>
              <w:bidi w:val="0"/>
              <w:spacing w:before="0" w:after="283"/>
              <w:jc w:val="left"/>
              <w:rPr>
                <w:sz w:val="4"/>
                <w:szCs w:val="4"/>
              </w:rPr>
            </w:pPr>
            <w:r>
              <w:rPr>
                <w:sz w:val="4"/>
                <w:szCs w:val="4"/>
              </w:rPr>
            </w:r>
          </w:p>
        </w:tc>
        <w:tc>
          <w:tcPr>
            <w:tcW w:w="9241"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93"/>
        <w:gridCol w:w="344"/>
        <w:gridCol w:w="351"/>
        <w:gridCol w:w="2915"/>
        <w:gridCol w:w="2553"/>
        <w:gridCol w:w="3649"/>
      </w:tblGrid>
      <w:tr>
        <w:trPr/>
        <w:tc>
          <w:tcPr>
            <w:tcW w:w="39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c>
          <w:tcPr>
            <w:tcW w:w="3649" w:type="dxa"/>
            <w:tcBorders/>
            <w:vAlign w:val="center"/>
          </w:tcPr>
          <w:p>
            <w:pPr>
              <w:pStyle w:val="TableContents"/>
              <w:bidi w:val="0"/>
              <w:spacing w:before="0" w:after="283"/>
              <w:jc w:val="left"/>
              <w:rPr>
                <w:sz w:val="4"/>
                <w:szCs w:val="4"/>
              </w:rPr>
            </w:pPr>
            <w:r>
              <w:rPr>
                <w:sz w:val="4"/>
                <w:szCs w:val="4"/>
              </w:rPr>
            </w:r>
          </w:p>
        </w:tc>
      </w:tr>
      <w:tr>
        <w:trPr/>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Term</w:t>
            </w:r>
          </w:p>
        </w:tc>
        <w:tc>
          <w:tcPr>
            <w:tcW w:w="9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Definition</w:t>
            </w:r>
          </w:p>
        </w:tc>
      </w:tr>
      <w:tr>
        <w:trPr/>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MD&amp;A</w:t>
            </w:r>
          </w:p>
        </w:tc>
        <w:tc>
          <w:tcPr>
            <w:tcW w:w="91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Management’s Discussion and Analysis of Financial Condition and Results of Operations</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NAV</w:t>
            </w:r>
          </w:p>
        </w:tc>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asset value</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NMN</w:t>
            </w:r>
          </w:p>
        </w:tc>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Nordstrom Media Network, where we use our first-party data and marketing infrastructure to drive cooperative marketing with vendors across both offsite and onsite marketing platforms</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w:t>
            </w:r>
          </w:p>
        </w:tc>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Nordstrom.com, Nordstrom U.S. stores and Nordstrom Local. Nordstrom also included Canada operations prior to March 2, 2023, inclusive of Nordstrom.ca, Nordstrom Canadian stores and Nordstrom Rack Canadian stores, ASOS | Nordstrom prior to December 2023 and TrunkClub.com prior to October 2022.</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Canada</w:t>
            </w:r>
          </w:p>
        </w:tc>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Canada Retail, Inc., Nordstrom Canada Holdings, LLC and Nordstrom Canada Holdings II, LLC</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Local</w:t>
            </w:r>
          </w:p>
        </w:tc>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Local service hubs, which offer order pickups, returns, alterations and other services</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Rack</w:t>
            </w:r>
          </w:p>
        </w:tc>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NordstromRack.com, Nordstrom Rack U.S. stores and Last Chance clearance stores</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 Nordy Club</w:t>
            </w:r>
          </w:p>
        </w:tc>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Our customer loyalty program</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NYSE</w:t>
            </w:r>
          </w:p>
        </w:tc>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York Stock Exchange</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w:t>
            </w:r>
          </w:p>
        </w:tc>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Fixed rent expense, including fixed common area maintenance expense, net of developer reimbursement amortization</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PCAOB</w:t>
            </w:r>
          </w:p>
        </w:tc>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Public Company Accounting Oversight Board (United States)</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incentives</w:t>
            </w:r>
          </w:p>
        </w:tc>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Developer and vendor reimbursements</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PSU</w:t>
            </w:r>
          </w:p>
        </w:tc>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Performance share unit</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Revolver</w:t>
            </w:r>
          </w:p>
        </w:tc>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Senior revolving credit facility</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Rights Plan</w:t>
            </w:r>
          </w:p>
        </w:tc>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Our limited-duration Shareholder Rights Agreement adopted by the Board of Directors</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ROU asset</w:t>
            </w:r>
          </w:p>
        </w:tc>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RSU</w:t>
            </w:r>
          </w:p>
        </w:tc>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 unit</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SEC</w:t>
            </w:r>
          </w:p>
        </w:tc>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Securities and Exchange Commission</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SERP</w:t>
            </w:r>
          </w:p>
        </w:tc>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Unfunded defined benefit Supplemental Executive Retirement Plan</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Secured Notes</w:t>
            </w:r>
          </w:p>
        </w:tc>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8.750% senior secured notes that were originally due May 2025</w:t>
            </w:r>
          </w:p>
        </w:tc>
      </w:tr>
      <w:tr>
        <w:trPr/>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SG&amp;A</w:t>
            </w:r>
          </w:p>
        </w:tc>
        <w:tc>
          <w:tcPr>
            <w:tcW w:w="9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Selling, general and administrative</w:t>
            </w:r>
          </w:p>
        </w:tc>
      </w:tr>
      <w:tr>
        <w:trPr/>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Supply Chain Network</w:t>
            </w:r>
          </w:p>
        </w:tc>
        <w:tc>
          <w:tcPr>
            <w:tcW w:w="9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Fulfillment centers that primarily process and ship orders to our customers, distribution centers that primarily process and ship merchandise to our stores and other facilities and omni-channel centers that both fulfill customer orders and ship merchandise to our stores</w:t>
            </w:r>
          </w:p>
        </w:tc>
      </w:tr>
      <w:tr>
        <w:trPr/>
        <w:tc>
          <w:tcPr>
            <w:tcW w:w="108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TD</w:t>
            </w:r>
          </w:p>
        </w:tc>
        <w:tc>
          <w:tcPr>
            <w:tcW w:w="911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Toronto-Dominion Bank, N.A.</w:t>
            </w:r>
          </w:p>
        </w:tc>
      </w:tr>
      <w:tr>
        <w:trPr/>
        <w:tc>
          <w:tcPr>
            <w:tcW w:w="1088" w:type="dxa"/>
            <w:gridSpan w:val="3"/>
            <w:tcBorders/>
            <w:vAlign w:val="center"/>
          </w:tcPr>
          <w:p>
            <w:pPr>
              <w:pStyle w:val="TableContents"/>
              <w:bidi w:val="0"/>
              <w:spacing w:before="0" w:after="283"/>
              <w:jc w:val="left"/>
              <w:rPr>
                <w:sz w:val="4"/>
                <w:szCs w:val="4"/>
              </w:rPr>
            </w:pPr>
            <w:r>
              <w:rPr>
                <w:sz w:val="4"/>
                <w:szCs w:val="4"/>
              </w:rPr>
            </w:r>
          </w:p>
        </w:tc>
        <w:tc>
          <w:tcPr>
            <w:tcW w:w="9117" w:type="dxa"/>
            <w:gridSpan w:val="3"/>
            <w:tcBorders/>
            <w:vAlign w:val="center"/>
          </w:tcPr>
          <w:p>
            <w:pPr>
              <w:pStyle w:val="TableContents"/>
              <w:bidi w:val="0"/>
              <w:spacing w:before="0" w:after="283"/>
              <w:jc w:val="left"/>
              <w:rPr>
                <w:sz w:val="4"/>
                <w:szCs w:val="4"/>
              </w:rPr>
            </w:pPr>
            <w:r>
              <w:rPr>
                <w:sz w:val="4"/>
                <w:szCs w:val="4"/>
              </w:rPr>
            </w:r>
          </w:p>
        </w:tc>
      </w:tr>
      <w:tr>
        <w:trPr/>
        <w:tc>
          <w:tcPr>
            <w:tcW w:w="1088" w:type="dxa"/>
            <w:gridSpan w:val="3"/>
            <w:tcBorders/>
            <w:vAlign w:val="center"/>
          </w:tcPr>
          <w:p>
            <w:pPr>
              <w:pStyle w:val="TableContents"/>
              <w:bidi w:val="0"/>
              <w:spacing w:before="0" w:after="283"/>
              <w:jc w:val="left"/>
              <w:rPr>
                <w:sz w:val="4"/>
                <w:szCs w:val="4"/>
              </w:rPr>
            </w:pPr>
            <w:r>
              <w:rPr>
                <w:sz w:val="4"/>
                <w:szCs w:val="4"/>
              </w:rPr>
            </w:r>
          </w:p>
        </w:tc>
        <w:tc>
          <w:tcPr>
            <w:tcW w:w="911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 Narrow;sans-serif" w:hAnsi="Arial Narrow;sans-serif"/>
          <w:b/>
          <w:color w:val="000000"/>
          <w:sz w:val="24"/>
        </w:rPr>
      </w:pPr>
      <w:r>
        <w:rPr>
          <w:rFonts w:ascii="Arial Narrow;sans-serif" w:hAnsi="Arial Narrow;sans-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1. Business.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DESCRIPTION OF BUSINESS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Company was founded in 1901 as a retail shoe business in Seattle, Washington, under the guiding principle that success would come by offering customers the very best service, selection, quality and value. We aspire to be the best fashion retailer in a digitally connected world by leveraging the strength of the Nordstrom and Nordstrom Rack banners, our digital and physical properties, and our interconnected business model. We offer an extensive selection of high-quality brand-name and private-label merchandise for women, men, young adults and children, with a focus on apparel, shoes, beauty, accessories and home goods. No matter how customers choose to shop, we are committed to delivering superior service, products and experiences — including alterations, order pickup, dining and styling — to make shopping fun, personalized and convenient. We have one reportable segment, which aggregates our two operating segments, Nordstrom and Nordstrom Rack.</w:t>
      </w:r>
    </w:p>
    <w:p>
      <w:pPr>
        <w:pStyle w:val="TextBody"/>
        <w:bidi w:val="0"/>
        <w:spacing w:lineRule="auto" w:line="288" w:before="180" w:after="283"/>
        <w:jc w:val="left"/>
        <w:rPr/>
      </w:pPr>
      <w:r>
        <w:rPr>
          <w:rFonts w:ascii="Arial Narrow;sans-serif" w:hAnsi="Arial Narrow;sans-serif"/>
          <w:b/>
          <w:color w:val="000000"/>
          <w:sz w:val="20"/>
        </w:rPr>
        <w:t>Nordstrom</w:t>
      </w:r>
      <w:r>
        <w:rPr>
          <w:color w:val="000000"/>
        </w:rPr>
        <w:t xml:space="preserve"> </w:t>
      </w:r>
      <w:r>
        <w:rPr>
          <w:rFonts w:ascii="Arial Narrow;sans-serif" w:hAnsi="Arial Narrow;sans-serif"/>
          <w:b w:val="false"/>
          <w:color w:val="000000"/>
          <w:sz w:val="20"/>
        </w:rPr>
        <w:t>is a leading destination for a breadth of products across brands, styles and prices complemented by unmatched services and experiences. As of February 3, 2024, Nordstrom includes the following physical and digital properties: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93 Nordstrom stores in the U.S.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Nordstrom.com website and mobile application</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six Nordstrom Locals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2, 2023, Nordstrom Canada commenced a wind-down of its business operations. See Note 2: Canada Wind-down in Item 8 for more information.</w:t>
      </w:r>
    </w:p>
    <w:p>
      <w:pPr>
        <w:pStyle w:val="TextBody"/>
        <w:bidi w:val="0"/>
        <w:spacing w:lineRule="auto" w:line="288" w:before="180" w:after="283"/>
        <w:jc w:val="left"/>
        <w:rPr/>
      </w:pPr>
      <w:r>
        <w:rPr>
          <w:rFonts w:ascii="Arial Narrow;sans-serif" w:hAnsi="Arial Narrow;sans-serif"/>
          <w:b/>
          <w:color w:val="000000"/>
          <w:sz w:val="20"/>
        </w:rPr>
        <w:t>Nordstrom Rack</w:t>
      </w:r>
      <w:r>
        <w:rPr>
          <w:color w:val="000000"/>
        </w:rPr>
        <w:t xml:space="preserve"> </w:t>
      </w:r>
      <w:r>
        <w:rPr>
          <w:rFonts w:ascii="Arial Narrow;sans-serif" w:hAnsi="Arial Narrow;sans-serif"/>
          <w:b w:val="false"/>
          <w:color w:val="000000"/>
          <w:sz w:val="20"/>
        </w:rPr>
        <w:t>is a premier off-price destination with an industry-leading off-price digital presence, offering great brands at great prices. As of February 3, 2024, Nordstrom Rack includes the following physical and digital properties: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258 Nordstrom Rack stores in the U.S.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NordstromRack.com website and mobile application</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two Last Chance clearance stores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Nordstrom Rack purchases merchandise from many of the same vendors carried at Nordstrom and also serves as an outlet for clearance merchandise from the Nordstrom banner. We continue to expand our offerings of the most coveted brands we carry to ensure we have an assortment that customers want. Our goal is for customers to shop and discover amazing deals through both a selection of merchandise and limited-time flash sale events. We continue to expand Nordstrom Rack’s physical footprint — we opened 19 new Nordstrom Rack stores across the U.S. in 2023 and intend on opening 22 more new stores in 2024. Nordstrom Rack stores serve as our primary source of new customers.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a business, one of our key advantages lies in our ability to leverage an integrated network of physical and digital assets across both Nordstrom and Nordstrom Rack banners. This creates flexibility and convenience for our customers, no matter how they choose to shop — online or in stores. We are well positioned to support our customers with a scalable platform that has been built to support continued growth.</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omni-channel platform positions us closer to the customer and allows us to drive customer engagement through better service and greater access to product. In addition, our fleet of stores helps us engage with customers by offering unique events and services such as personal styling, order pickup, returns and alterations at convenient locations. Our interconnected model is proving that it works — the average customer who shops across both banners, in both stores and online, spends over twelve times more than a customer shopping a single channel or banner.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Products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order to offer merchandise that our customers want, we purchase from a wide variety of high-quality domestic and foreign suppliers. Additionally, we utilize unowned inventory models beyond traditional wholesale arrangements that provide a broader assortment in new and existing categories. We also have arrangements with agents and contract manufacturers to produce our private-brand merchandise.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Nordstrom Rack invests in pack and hold inventory, which involves the strategic purchase of merchandise from some of our top brands in advance of the upcoming selling seasons or to minimize inventory gaps from supply chain disruptions, allowing us to buy larger quantities of relevant items when available, then hold a portion to deploy in periods with high demand, tight supply, facilitate new store openings or system constraints. This inventory is typically held for six months on average.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6705"/>
                <wp:effectExtent l="0" t="0" r="0" b="0"/>
                <wp:wrapNone/>
                <wp:docPr id="9" name="Frame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Return Policy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a fair and reasonable approach to returns, handling them on a case-by-case basis with the ultimate objective of customer satisfaction. Almost all merchandise can be returned by mail or at any store location. Our goal is to take care of our customers, which includes making returns and exchanges easy, whether in stores or online. At our Nordstrom banner, where we offer free shipping on purchases and returns, we have no formal policy on how long we accept returns for purchases made. We generally accept returns of apparel, footwear, accessories and home products with the original price tag and sales receipt up to 30 days from the date of purchase at Nordstrom Rack stores and up to 40 days from the date of order at NordstromRack.com.</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Loyalty Program</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Nordy Club is our customer loyalty program that incorporates a traditional point and benefit system, while providing customers exclusive access to products and events, enhanced services, personalized experiences and more convenient ways to shop. Customers accumulate points based on their level of spending and type of participation. Upon reaching certain point thresholds, customers receive Nordstrom Notes, which can be redeemed for goods or services across Nordstrom and Nordstrom Rack. The Nordy Club benefits vary based on the level of customer spend, and include bonus points days and shopping and fashion events.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offer customers access to a variety of payment products and services, including a selection of Nordstrom-branded Visa® credit cards, as well as a Nordstrom-branded private-label credit card for Nordstrom purchases. When customers use a Nordstrom-branded credit or debit card, they also participate in The Nordy Club and receive additional benefits, which can vary depending on the level of spend, including early access to the Anniversary Sale, enhanced alterations and stylist benefits and incremental accumulation of points toward Nordstrom Notes.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Although the primary purpose of offering our credit cards is to foster greater customer loyalty and drive more sales, we also receive credit card revenue through our program agreement with TD. Under that agreement, which was amended in the fourth quarter of 2022 and runs through September 2026, TD is the exclusive issuer of Nordstrom-branded consumer credit cards and we perform account servicing functions for those cards. Credit card revenues, net include our portion of the ongoing credit card revenue, net of credit losses, pursuant to our program agreement with TD.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Supply Chain Network</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continually expanding and enhancing our Supply Chain Network facilities and inventory management systems to support our omni-channel capabilities and provide greater access to merchandise selection and faster delivery. As of February 3, 2024, our Supply Chain Network consists of: </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three fulfillment centers that primarily process and ship orders to our customers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six distribution centers that primarily process and ship merchandise to our stores and other facilities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one omni-channel center that both fulfills customer orders and ships merchandise to our stores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our existing fleet of Nordstrom and Nordstrom Rack stores enables pickup and returns of online orders and facilitates a broader assortment to our digital customers. We select locations and customize inventory allocations to enable merchandise to flow more efficiently and quickly to our customers. Nordstrom online purchases are primarily shipped to our customers from our fulfillment centers but may also be shipped from our Nordstrom stores, distribution centers or omni-channel center. Nordstrom in-store purchases are primarily fulfilled from that store’s inventory, but when inventory is unavailable at that store, it may also be shipped to our customers from our fulfillment centers, distribution centers, omni-channel center or from other Nordstrom stores. Nordstrom Rack online purchases are shipped to our customers from our fulfillment centers and distribution centers. Both Nordstrom and Nordstrom Rack selectively use vendor dropship to supplement online offerings, which are then shipped directly from the vendor to the end customer.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first large-scale omni-channel center in Riverside, California, which supports our Nordstrom customers in the West Coast region, opened in 2020. We plan to add Nordstrom Rack inventory and fulfillment to this facility in the future. Our smaller Local omni-channel hub in Torrance, California ceased operations in the third quarter of 2022 as we scaled our Riverside location to support demand in that region. Subsequent to year end, on March 5, 2024, we announced the decision to relocate our San Bernardino fulfillment center operations to our West Coast omni-channel center.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EMPLOYEES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believe that creating a best-in-class customer experience begins with creating an environment that celebrates and supports all our employees. As we strive to attract and retain the best talent in the industry, we are committed to cultivating a workplace culture where our employees feel included, supported and confident bringing their full selves to work.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As of February 3, 2024, we employed approximately 54,000 employees. Approximately 75% of employees support our stores and approximately 10% support our Supply Chain Network. Due to the seasonal nature of our business, the number of temporary employees may vary and peak during our Anniversary Sale and holiday seasons. In connection with these peak shopping seasons, our employee count may increase by approximately 7% to meet the needs of the business. Currently, our employees have not chosen to be represented by a union.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Diversity, Equity, Inclusion and Belonging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Our commitment to fostering a diverse, equitable and inclusive environment is key to our mission of helping our customers feel good and look their best. We believe in cultivating equity throughout the retail industry and aim to use our resources, influence and platform to foster greater representation of diversity from all our communities. Over the past several years, we have amplified our efforts in this area and set workplace and marketplace ambitions to achieve by the end of 2025. To lead and drive this work, we have operationalized diversity, equity, inclusion and belonging through consistent reviews with Erik B. Nordstrom, our Chief Executive Officer, and Lisa Price, our Chief Human Resources Officer. In addition, our diversity, equity, inclusion and belonging team serves as a center of excellence within the human resources organization and collaborates with leaders across the business to develop and embed equitable and inclusive strategies. Progress toward our diversity, equity, inclusion and belonging ambitions is tracked and reviewed regularly by our executive team and the Board of Directors.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part of these ongoing efforts, we have several internal initiatives to facilitate a sense of belonging and connection among our teams. One way we do this is through our employee-led, company-sponsored Employee Resource Groups, which represent a variety of seen and unseen identities. In 2023, eight groups served and were led by our employees, providing company-wide programming to advance understanding and celebrate voices from across our organization.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continue to partner with organizations that invest in equitable pathways for fashion, design and retail talent. In 2023, we supported a product management coursework and mentorship program at Morehouse College, National Retail Federation’s Student Program and Harlem’s Fashion Row and their nonprofit ICON360 with their inaugural Historically Black Colleges and Universities professor summit.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Employee Safety and Well-being </w:t>
      </w:r>
    </w:p>
    <w:p>
      <w:pPr>
        <w:pStyle w:val="TextBody"/>
        <w:bidi w:val="0"/>
        <w:spacing w:lineRule="auto" w:line="288" w:before="0" w:after="0"/>
        <w:jc w:val="left"/>
        <w:rPr/>
      </w:pPr>
      <w:r>
        <w:rPr>
          <w:rFonts w:ascii="Arial Narrow;sans-serif" w:hAnsi="Arial Narrow;sans-serif"/>
          <w:b w:val="false"/>
          <w:color w:val="000000"/>
          <w:sz w:val="20"/>
        </w:rPr>
        <w:t xml:space="preserve">The health and safety of our customers, employees and communities is a responsibility we take very seriously. </w:t>
      </w:r>
      <w:r>
        <w:rPr>
          <w:rFonts w:ascii="Arial Narrow;sans-serif" w:hAnsi="Arial Narrow;sans-serif"/>
          <w:b w:val="false"/>
          <w:color w:val="222222"/>
          <w:sz w:val="20"/>
        </w:rPr>
        <w:t xml:space="preserve">We continue to offer a variety of mental, emotional and physical wellness resources to support our employees, including digital mental health support and free counseling services through our Employee Assistance Programs.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seek to listen to and learn from employees across our organization through our open-door policy, conducting regular listening sessions and utilizing our annual Voice of the Employee survey. We regularly review survey results against industry benchmarks to hold ourselves accountable as we continue to improve and evolve our workplace environment.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remain committed to creating a culture where employees feel they can bring their whole selves to work and achieve their career goals through ongoing growth and development opportunities and fair and transparent performance management and promotion processes.</w:t>
      </w:r>
    </w:p>
    <w:p>
      <w:pPr>
        <w:pStyle w:val="TextBody"/>
        <w:bidi w:val="0"/>
        <w:spacing w:lineRule="auto" w:line="288" w:before="180" w:after="283"/>
        <w:jc w:val="left"/>
        <w:rPr/>
      </w:pPr>
      <w:r>
        <w:rPr>
          <w:rFonts w:ascii="Arial Narrow;sans-serif" w:hAnsi="Arial Narrow;sans-serif"/>
          <w:b/>
          <w:color w:val="000000"/>
          <w:sz w:val="20"/>
        </w:rPr>
        <w:t>Total Rewards</w:t>
      </w:r>
      <w:r>
        <w:rPr>
          <w:color w:val="000000"/>
        </w:rPr>
        <w:t xml:space="preserve">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To support our goals to retain and attract talented employees, we review our benefits and compensation approach annually.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Benefits: </w:t>
      </w:r>
      <w:r>
        <w:rPr>
          <w:rFonts w:ascii="Arial Narrow;sans-serif" w:hAnsi="Arial Narrow;sans-serif"/>
          <w:b w:val="false"/>
          <w:color w:val="000000"/>
          <w:sz w:val="20"/>
        </w:rPr>
        <w:t>We offer a range of benefits to all employees upon meeting eligibility requirements, including health care, wellness programs, financial and retirement plans and time away. In addition, we increased our focus on well-being through a multi-year strategy to bring our people new resources and tools to support total well-being, including mental health support.</w:t>
      </w:r>
    </w:p>
    <w:p>
      <w:pPr>
        <w:pStyle w:val="TextBody"/>
        <w:bidi w:val="0"/>
        <w:spacing w:lineRule="auto" w:line="288" w:before="60" w:after="283"/>
        <w:ind w:left="0" w:right="0" w:hanging="360"/>
        <w:jc w:val="left"/>
        <w:rPr/>
      </w:pPr>
      <w:r>
        <w:rPr>
          <w:color w:val="000000"/>
        </w:rPr>
        <w:t>•</w:t>
      </w:r>
      <w:r>
        <w:rPr>
          <w:rFonts w:ascii="Arial Narrow;sans-serif" w:hAnsi="Arial Narrow;sans-serif"/>
          <w:b/>
          <w:color w:val="000000"/>
          <w:sz w:val="20"/>
        </w:rPr>
        <w:t>Compensation:</w:t>
      </w:r>
      <w:r>
        <w:rPr>
          <w:color w:val="000000"/>
        </w:rPr>
        <w:t xml:space="preserve"> </w:t>
      </w:r>
      <w:r>
        <w:rPr>
          <w:rFonts w:ascii="Arial Narrow;sans-serif" w:hAnsi="Arial Narrow;sans-serif"/>
          <w:b w:val="false"/>
          <w:color w:val="000000"/>
          <w:sz w:val="20"/>
        </w:rPr>
        <w:t>We are committed to providing our employees with a great place to grow meaningful careers. We regularly review our pay in the markets in which we operate to ensure we are competitive, and we make updates accordingly throughout the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ensure we offer a rewards package that aligns with the wants and needs of our employees, we routinely ask employees for their feedback in surveys throughout the year. We use the feedback to improve the overall experience of our employees.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CORPORATE SOCIAL RESPONSIBILITY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believe we have a responsibility to support the communities where we operate and to support the health, safety and human rights of everyone in our value chain.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6705"/>
                <wp:effectExtent l="0" t="0" r="0" b="0"/>
                <wp:wrapNone/>
                <wp:docPr id="11" name="Frame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Corporate Social Responsibility strategy focuses on environmental sustainability, human rights and corporate philanthropy. In 2023, we made meaningful progress in these areas. Specific highlights include: </w:t>
      </w:r>
    </w:p>
    <w:p>
      <w:pPr>
        <w:pStyle w:val="TextBody"/>
        <w:bidi w:val="0"/>
        <w:spacing w:lineRule="auto" w:line="288" w:before="60" w:after="283"/>
        <w:ind w:left="0" w:right="0" w:hanging="360"/>
        <w:jc w:val="left"/>
        <w:rPr/>
      </w:pPr>
      <w:r>
        <w:rPr>
          <w:color w:val="000000"/>
        </w:rPr>
        <w:t>•</w:t>
      </w:r>
      <w:r>
        <w:rPr>
          <w:rFonts w:ascii="Arial Narrow;sans-serif" w:hAnsi="Arial Narrow;sans-serif"/>
          <w:b/>
          <w:color w:val="000000"/>
          <w:sz w:val="20"/>
        </w:rPr>
        <w:t>Environmental Sustainability:</w:t>
      </w:r>
      <w:r>
        <w:rPr>
          <w:color w:val="000000"/>
        </w:rPr>
        <w:t xml:space="preserve"> </w:t>
      </w:r>
      <w:r>
        <w:rPr>
          <w:rFonts w:ascii="Arial Narrow;sans-serif" w:hAnsi="Arial Narrow;sans-serif"/>
          <w:b w:val="false"/>
          <w:color w:val="000000"/>
          <w:sz w:val="20"/>
        </w:rPr>
        <w:t xml:space="preserve">Through our beauty packaging take back and recycling program BEAUTYCYCLE, we hit an important milestone of taking back more than 50 tons of beauty packaging waste, bringing us more than halfway to our goal of taking back 100 tons by 2025. We also established science-based targets to reduce our greenhouse gas emissions for scope 1 (direct emissions from sources we own or control), scope 2 (indirect emissions from purchased electricity, heat and cooling) and scope 3 (indirect emissions associated with products we sell). </w:t>
      </w:r>
    </w:p>
    <w:p>
      <w:pPr>
        <w:pStyle w:val="TextBody"/>
        <w:bidi w:val="0"/>
        <w:spacing w:lineRule="auto" w:line="288" w:before="60" w:after="283"/>
        <w:ind w:left="0" w:right="0" w:hanging="360"/>
        <w:jc w:val="left"/>
        <w:rPr/>
      </w:pPr>
      <w:r>
        <w:rPr>
          <w:color w:val="000000"/>
        </w:rPr>
        <w:t>•</w:t>
      </w:r>
      <w:r>
        <w:rPr>
          <w:rFonts w:ascii="Arial Narrow;sans-serif" w:hAnsi="Arial Narrow;sans-serif"/>
          <w:b/>
          <w:color w:val="000000"/>
          <w:sz w:val="20"/>
        </w:rPr>
        <w:t xml:space="preserve">Human Rights: </w:t>
      </w:r>
      <w:r>
        <w:rPr>
          <w:rFonts w:ascii="Arial Narrow;sans-serif" w:hAnsi="Arial Narrow;sans-serif"/>
          <w:b w:val="false"/>
          <w:color w:val="000000"/>
          <w:sz w:val="20"/>
        </w:rPr>
        <w:t>We are committed to creating safe and fair workplaces for the people who make our products and we conduct due diligence to help support human rights and responsible sourcing. Our Human Rights and Responsible Sourcing program is based on international standards, upholding our Partner Code of Conduct and using third-party assessments to engage our suppliers on relevant policies and programs. We strengthened our policies and programs during the year and assess them cyclically.</w:t>
      </w:r>
    </w:p>
    <w:p>
      <w:pPr>
        <w:pStyle w:val="TextBody"/>
        <w:bidi w:val="0"/>
        <w:spacing w:lineRule="auto" w:line="288" w:before="60" w:after="283"/>
        <w:ind w:left="0" w:right="0" w:hanging="360"/>
        <w:jc w:val="left"/>
        <w:rPr/>
      </w:pPr>
      <w:r>
        <w:rPr>
          <w:color w:val="000000"/>
        </w:rPr>
        <w:t>•</w:t>
      </w:r>
      <w:r>
        <w:rPr>
          <w:rFonts w:ascii="Arial Narrow;sans-serif" w:hAnsi="Arial Narrow;sans-serif"/>
          <w:b/>
          <w:color w:val="000000"/>
          <w:sz w:val="20"/>
        </w:rPr>
        <w:t>Gender Equity:</w:t>
      </w:r>
      <w:r>
        <w:rPr>
          <w:color w:val="000000"/>
        </w:rPr>
        <w:t xml:space="preserve"> </w:t>
      </w:r>
      <w:r>
        <w:rPr>
          <w:rFonts w:ascii="Arial Narrow;sans-serif" w:hAnsi="Arial Narrow;sans-serif"/>
          <w:b w:val="false"/>
          <w:color w:val="000000"/>
          <w:sz w:val="20"/>
        </w:rPr>
        <w:t xml:space="preserve">Promoting gender equity is part of our commitment to human rights. We aim to drive positive change by producing more of our products in factories where women have resources to learn, grow and lead. By the end of 2025, we expect 90% or more of our Nordstrom Made product volume to be produced in facilities that invest in gender equity programs, and we are actively expanding production in factories that made this commitment. We are more than halfway to that goal. </w:t>
      </w:r>
    </w:p>
    <w:p>
      <w:pPr>
        <w:pStyle w:val="TextBody"/>
        <w:bidi w:val="0"/>
        <w:spacing w:lineRule="auto" w:line="288" w:before="60" w:after="283"/>
        <w:ind w:left="0" w:right="0" w:hanging="360"/>
        <w:jc w:val="left"/>
        <w:rPr/>
      </w:pPr>
      <w:r>
        <w:rPr>
          <w:color w:val="000000"/>
        </w:rPr>
        <w:t>•</w:t>
      </w:r>
      <w:r>
        <w:rPr>
          <w:rFonts w:ascii="Arial Narrow;sans-serif" w:hAnsi="Arial Narrow;sans-serif"/>
          <w:b/>
          <w:color w:val="000000"/>
          <w:sz w:val="20"/>
        </w:rPr>
        <w:t>Charitable Giving:</w:t>
      </w:r>
      <w:r>
        <w:rPr>
          <w:color w:val="000000"/>
        </w:rPr>
        <w:t xml:space="preserve"> </w:t>
      </w:r>
      <w:r>
        <w:rPr>
          <w:rFonts w:ascii="Arial Narrow;sans-serif" w:hAnsi="Arial Narrow;sans-serif"/>
          <w:b w:val="false"/>
          <w:color w:val="000000"/>
          <w:sz w:val="20"/>
        </w:rPr>
        <w:t>In our 13th year partnering with Shoes That Fit, we raised more than $1.2 million and donated more than 50,000 pairs of shoes to kids in our local communities. We continued our partnerships with Operation Warm and Big Brothers Big Sisters, and together with our customers, we raised enough funds to provide over 25,000 new coats to kids in need this holiday season. On Giving Tuesday alone, our employees allocated over $1 million to the causes they care about and volunteered over 2,500 hours.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Read more about our corporate social responsibility efforts at NordstromCares.com. The information contained or referred to on our website is not deemed to be incorporated by reference into this Annual Report unless otherwise expressly noted.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TRADEMARKS</w:t>
      </w:r>
    </w:p>
    <w:p>
      <w:pPr>
        <w:pStyle w:val="TextBody"/>
        <w:bidi w:val="0"/>
        <w:spacing w:lineRule="auto" w:line="288" w:before="0" w:after="0"/>
        <w:jc w:val="left"/>
        <w:rPr/>
      </w:pPr>
      <w:r>
        <w:rPr>
          <w:rFonts w:ascii="Arial Narrow;sans-serif" w:hAnsi="Arial Narrow;sans-serif"/>
          <w:b w:val="false"/>
          <w:color w:val="000000"/>
          <w:sz w:val="20"/>
        </w:rPr>
        <w:t>Our most notable trademarks incl</w:t>
      </w:r>
      <w:r>
        <w:rPr>
          <w:rFonts w:ascii="Arial Narrow;sans-serif" w:hAnsi="Arial Narrow;sans-serif"/>
          <w:b w:val="false"/>
          <w:color w:val="000000"/>
          <w:sz w:val="20"/>
          <w:shd w:fill="FFFFFF" w:val="clear"/>
        </w:rPr>
        <w:t>ud</w:t>
      </w:r>
      <w:r>
        <w:rPr>
          <w:rFonts w:ascii="Arial Narrow;sans-serif" w:hAnsi="Arial Narrow;sans-serif"/>
          <w:b w:val="false"/>
          <w:color w:val="000000"/>
          <w:sz w:val="20"/>
        </w:rPr>
        <w:t>e Nordstrom, Nordstrom Rack, Zella, Z by Zella, BP., Open Edit, Chelsea28, Caslon, Halogen, Tucker + Tate, Treasure &amp; Bond, 14th &amp; Union, Leith, Abound, Harper Canyon and Melrose &amp; Market. Each of our trademarks is renewable indefinitely, provided it is still used in commerce at the time of the renewal.</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SEASONALITY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Our business, like that of other retailers, is subject to seasonal fluctuations and cyclical trends in consumer spending. Our sales are typically higher in our second quarter, which usually includes most of our Anniversary Sale, and in the fourth quarter due to the holidays. One week of our Anniversary Sale shifted from the second quarter in 2022 to the third quarter in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Results for any one quarter are not indicative of the results that may be achieved for a full fiscal year. We plan our merchandise purchases and receipts to coincide with expected sales trends. For instance, our merchandise purchases and receipts increase prior to the Anniversary Sale and in the fall as we prepare for the holiday shopping season (typically from November through December). Consistent with our seasonal fluctuations, our working capital requirements have historically increased during the months leading up to the Anniversary Sale and the holidays as we purchase inventory in anticipation of increased sales.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COMPETITIVE CONDITIONS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operate in a highly competitive business environment. We regularly compete with other international, national, regional and local retailers, including internet-based businesses, omni-channel department stores, online marketplaces, brands selling direct to consumers online and in-stores, specialty stores, off-price stores and boutiques, which may carry similar lines of merchandise. Our specific competitors vary from market to market. We believe the keys to competing in our industry are what will always matter most to our customers: providing compelling product and outstanding service, both digitally and in stores, backed by people who care. This includes serving customers on their terms by providing a seamless digital and physical experience, offering compelling, curated and quality products across a range of price points, and strategically partnering with relevant and limited distribution brands, all in top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AVAILABLE INFORMATION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file annual, quarterly and current reports, proxy statements and other documents with the SEC. The SEC maintains a website at SEC.gov that contains reports, proxy and information statements, and other information regarding issuers that file with the SEC.</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website addresses are Nordstrom.com and NordstromRack.com. Our annual and quarterly reports on Form 10-K and Form 10-Q, current reports on Form 8-K, proxy statements, our executives’ statements of changes in beneficial ownership of securities on Form 4 and amendments to those reports filed or furnished pursuant to Section 13(a) or 15(d) of the Exchange Act are available for free on or through our website as soon as reasonably practicable after we electronically file the report with or furnish it to the SEC. Interested parties may also access a webcast of quarterly earnings conference calls and other financial events through our website at investor.nordstrom.com.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 long-standing commitment to upholding a high level of ethical standards. In addition, we have adopted Codes of Business Conduct and Ethics for our employees, officers and directors and Corporate Governance Guidelines, which comply with the listing standards of the NYSE and SEC requirements. Our Codes of Business Conduct and Ethics, Corporate Governance Guidelines and Committee Charters for the following Board of Director Committees are available through our website: </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Audit and Finance</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Compensation, People and Culture</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 xml:space="preserve">Corporate Governance and Nominating </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 xml:space="preserve">Technology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Any amendments to these documents, or waivers of the requirements they contain, will also be available on our website.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printed versions of these items or any other inquiries, please contact:</w:t>
      </w:r>
    </w:p>
    <w:tbl>
      <w:tblPr>
        <w:tblW w:w="2311" w:type="dxa"/>
        <w:jc w:val="left"/>
        <w:tblInd w:w="0" w:type="dxa"/>
        <w:tblLayout w:type="fixed"/>
        <w:tblCellMar>
          <w:top w:w="28" w:type="dxa"/>
          <w:left w:w="28" w:type="dxa"/>
          <w:bottom w:w="28" w:type="dxa"/>
          <w:right w:w="28" w:type="dxa"/>
        </w:tblCellMar>
      </w:tblPr>
      <w:tblGrid>
        <w:gridCol w:w="739"/>
        <w:gridCol w:w="650"/>
        <w:gridCol w:w="922"/>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Nordstrom Investor Relations</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1617 Sixth Avenue</w:t>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Seattle, Washington 98101</w:t>
            </w:r>
          </w:p>
        </w:tc>
      </w:tr>
      <w:tr>
        <w:trPr/>
        <w:tc>
          <w:tcPr>
            <w:tcW w:w="2311" w:type="dxa"/>
            <w:gridSpan w:val="3"/>
            <w:tcBorders/>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InvRelations@Nordstrom.com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1A. Risk Factors.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business faces many risks. We believe the risks described below outline the items of most concern to us. In evaluating our Company, you should carefully consider the following factors, in addition to the other information in this 2023 Annual Report. Before you buy our common stock or invest in our debt, you should know that making such an investment involves risks including, but not limited to, the risks described below. Any one of the following risks could harm our business, financial condition, results of operations or reputation, each of which could cause our stock price to decline or a default on our debt payments, and you may lose all or a part of your investment. Additional risks, trends and uncertainties not presently known to us or that we currently believe are immaterial may also harm our business, financial condition, results of operations or reputation.</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STRATEGIC AND OPERATIONAL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If we are unable to successfully execute our customer strategy, grow our customer base or evolve our business model, it could negatively impact our business and future profitability and growth.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believe our omni-channel market strategy is a powerful enabler for the business which allows us to better serve customers and provide greater access to product by leveraging all of our assets of people, product and place at the market level. As our business evolves, we must continue to scale our market strategy and focus on better serving our customers through winning in our most important markets, broadening the reach of Nordstrom Rack and increasing our digital velocity. Our market strategy focuses on our customers by seeking to provide a differentiated and seamless experience in a digital world by bringing all of our assets together in each market to serve customers when, where and how they want to shop. We aim to balance our assortment, increase the breadth of selection and continue to leverage our digital and physical assets to increase selection and improve profitability in our Nordstrom Rack banner. We are working to expand our inventory flexibility through unowned inventory models, including dropship, concession, marketplace and other strategies. Additionally, we are working to scale our NMN, which allows our brand partners to directly connect with our customers through on- and off-site media campaigns to drive traffic, sales and engagement.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6705"/>
                <wp:effectExtent l="0" t="0" r="0" b="0"/>
                <wp:wrapNone/>
                <wp:docPr id="13" name="Frame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customer focus requires us to build new supply chain capabilities and enhance existing ones, develop applications for electronic devices, improve customer-facing technology, deliver purchased products timely, enhance inventory management systems and allow greater and more fluid inventory availability between digital and retail locations through our market strategy. In addition, these strategies will require further expansion of and reliance on data science and analytics. This business model has a highly variable cost structure and will continue to require investments in cross-channel operations and supporting technologies. There are also inherent risks associated with the investment in new technologies, such as generative artificial intelligence, and such operational and supporting technologies can be subject to failure, disruption or unavailability and increased vulnerability to cyberattacks and other cyber incidents.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we do not successfully implement our customer strategy, including thoroughly understanding and delivering on our customers’ needs and wants, effectively integrating our digital operations and stores and scaling our market strategy, strengthening our brand awareness, expanding our supply chain initiatives and efficiently getting product to our customers, we may fall short of our customers’ expectations, which would impact our brand, reputation, profitability and growth. Also, if customers shift between shopping at our store and digital channels, or between our Nordstrom and Nordstrom Rack banners, at a different pace than we anticipate, we may need to quickly modify initiatives and investments. If we do not have or devote the resources necessary to execute upon these strategies, our business could be negatively impacted.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Our business could suffer if we do not appropriately assess and react to competitive market forces and changes in customer behavior.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retail environment is rapidly evolving. Customer shopping preferences continue to shift, including increasing expectations for faster delivery of product. In addition, the retail environment is under significant pressure from non-traditional retailers, including online marketplaces and rental and recommerce companies. We regularly compete with other international, national, regional and local retailers, including internet-based businesses, omni-channel department stores, online marketplaces, brands selling direct to consumers online and in-stores, specialty stores, off-price stores and boutiques, which may carry similar lines of merchandise. Digital channels continue to facilitate comparison shopping, intensifying competition in the retail market, and marketing digitally is controlled by a few key platforms. If we fail to adequately anticipate or respond to customer behavior and expectations, or changing market dynamics, we may lose market share or our ability to remain competitive, causing our sales and profitability to suffer, and may potentially impact the valuation of our goodwill and result in a non-cash impairment charge. If the efficiency and allocation of loyalty marketing, advertising and promotional campaigns that attract customers through various programs and media, including digital media and print, is unsuccessful in influencing consumer behavior in our digital channels and stores, or if our competitors are more effective with their programs than we are, our growth and profitability could suffer. We also may not gather accurate and relevant data or effectively utilize that data, which may impact our strategic planning, marketing and loyalty programs and our overall decision making.</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customer relationships and sales may be negatively impacted if we do not anticipate and respond to consumer preferences and fashion trends or manage inventory levels appropriately.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Our ability to predict or respond to constantly changing fashion trends, demographics, consumer preferences and spending patterns significantly impacts our sales and operating results. We must effectively manage our merchandise mix to curate an assortment that offers newness and greater selection at various price points. Some merchandise may take several months from the time we place a purchase order to the time it is received, and our ability to accelerate or modify that timeline or purchase order contents may be limited. If we do not identify and respond to emerging trends in consumer spending and preferences quickly enough, identify the right partners that align with our customer strategy, broaden or expand our category offering fast enough or in the right areas or develop, evolve and retain our team’s talent, mindset and technical skills to support changing operating models, we may harm our ability to retain our existing customers or attract new customers. We also store a certain level of pack-and-hold inventory to deploy in periods with high demand, tight supply or system constraints. As a result, we are vulnerable to shifts in consumer demand and misjudgments in the assortment and timing of merchandise purchases which may impact our ability to sell through this inventory in future periods. Ensuring we optimize our inventory and improve the planning and management of inventory through use of data and analytics is critical to serving the customer, driving growth and maximizing profitability. If we purchase too much inventory, we may be forced to sell our merchandise at lower average margins by taking significant markdowns, which could harm our business. Conversely, if we fail to purchase enough merchandise, or inventory does not arrive fast enough or as expected, we may lose opportunities for additional sales and potentially harm relationships with our customers.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Any inability to mitigate global labor and merchandise pricing pressures or disruptions may negatively impact our profitability.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profitability depends in part on our ability to anticipate and react to operating volatility, including the cost and availability of labor and merchandise. Increases in product and/or delivery costs, including changes in the price of raw materials to us and our vendors that are directly or indirectly related to the production and distribution of our products or increases in energy, labor or fuel and transportation costs, may translate to higher sales prices, which may then impact customer demand. In the near term, we are focused on improving our internal network and processes by diversifying our carrier capacity, gaining better end-to-end visibility of inventory and increasing velocity and throughput in our Supply Chain Network. If we are unable to respond effectively to ongoing pricing pressures or labor shortages, or offset such costs, there could be a material adverse impact on our business and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employees are key to supporting our business and operations effectively, and increased labor costs put pressure on our operating expenses. When wage rates or benefit levels increase in particular markets, increasing our wages or benefits has negatively impacted and may continue to negatively impact our earnings. Conversely, failing to offer competitive wages or benefits could adversely affect our ability to attract or retain sufficient or quality employees, causing increased turnover and our customer service to suffer. Excessive turnover may result in higher costs associated with finding, hiring and training new employees.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Any impediment to our inventory optimization may impact our ability to drive growth and meet customer demand, affecting future results and profitability. Shortages in certain materials and increasing pricing pressures in the highly competitive retail environment have contributed, and may in the future continue to contribute, to fluctuations in the quality, availability and price of our merchandise. The availability of raw materials or inventory to the U.S. may hinder our ability to meet customer demand. Our vendors and other suppliers may experience similar fluctuations or restrictions, which may subject us to the effects of their price increases. Additionally, if we do not gather complete, accurate and timely competitive pricing data, or adequately utilize this data to implement an effective pricing strategy, our ability to successfully compete could be negatively impacted, causing our sales, profitability and results of operations to suffer.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Improvements to our processes and systems for Supply Chain Network, inventory, buying, vendor payment and accounting could adversely affect our business if not successfully executed.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business depends on accuracy throughout our product flow process. We are making investments to streamline and standardize our Supply Chain Network, inventory, buying, vendor payments and accounting capabilities through changes in technology, such as the utilization of generative artificial intelligence-enabled methodologies and processes. If we encounter challenges associated with change management, inventory integrity and implementation of associated information technology or adoption of new processes, features or capabilities, our ability to continue to successfully execute or evolve our strategy with changes in the retail environment could be adversely affected. Or, if we are unable to maintain accurate, reliable and effective inventory tracking systems, such as our use of RFID technology, which are critical to our integrated omni-channel business strategy, it may adversely impact our sales and profitability and may result in canceled orders and increased costs relative to our current expectations.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If we do not effectively attract, retain, train and develop talent and future leaders, our business may suffer.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rely on the experience of our senior management, who have specific knowledge relating to us and our industry that is difficult to replace, to execute our business strategies and objectives. We have succession plans in place and our Board of Directors reviews these succession plans. If our succession plans do not adequately cover significant and unanticipated turnover, the loss of the services of any of these individuals, or any resulting negative perceptions or reactions, could damage our reputation and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Additionally, our success depends on the talents and abilities of our workforce in all areas of our business, especially personnel that can adapt to complexities and grow their skillset across the changing environment. Our ability to successfully execute our customer strategy depends on attracting, developing and retaining qualified talent with diverse sets of skills, especially functional and technology specialists that directly support our strategies. We have a large workforce, and our ability to meet our labor needs is subject to various external factors such as regional minimum wage and benefits requirements, market pressures, prevailing wage rates, benefit mix, unemployment levels, changing demographics, economic conditions and a dynamic regulatory environment.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experienced, and may continue to experience, increased employee attrition due to an intense competition for talent, a competitive wage environment and labor shortages. In the Seattle metropolitan area, where our corporate headquarters are located, we regularly compete for talent with many larger technology-focused companies, which may increase market compensation, especially for certain employee groups. If we are unable to sustain employee satisfaction or offer competitive compensation and benefits, appropriate training and development or a compelling work environment, our culture may be adversely affected, our reputation may be damaged and we may incur costs related to turnover.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6705"/>
                <wp:effectExtent l="0" t="0" r="0" b="0"/>
                <wp:wrapNone/>
                <wp:docPr id="15" name="Frame1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program agreement with TD, or changes to that agreement, could adversely impact our business.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program agreement with TD was consummated on terms that allow us to maintain customer-facing activities, while TD facilitates issuance of Nordstrom-branded payment methods and provides payment processing services. If we fail to meet certain service levels, TD has the right to assume certain individual servicing functions including managing accounts and collection activities. If we do not successfully respond to potential risks and appropriately manage potential costs associated with the program agreement with TD or if these transactions negatively impact the customer service associated with our cards, resulting in harm to our business reputation and competitive position, our operations, cash flows and earnings could be adversely affected. If, upon expiration of our current program agreement in 2026, a new contract has less favorable terms, our results could be negatively impacted. If TD became unwilling or unable to provide these services or if there are changes to the risk management policies implemented under our program agreement with TD, our results may be negatively impacted. If we are unable to ensure the successful management of servicing related to Nordstrom-branded credit cards, it may heighten the risk of credit losses.</w:t>
      </w:r>
    </w:p>
    <w:p>
      <w:pPr>
        <w:pStyle w:val="TextBody"/>
        <w:bidi w:val="0"/>
        <w:spacing w:lineRule="auto" w:line="288" w:before="180" w:after="283"/>
        <w:jc w:val="left"/>
        <w:rPr/>
      </w:pPr>
      <w:r>
        <w:rPr>
          <w:rFonts w:ascii="Arial Narrow;sans-serif" w:hAnsi="Arial Narrow;sans-serif"/>
          <w:b/>
          <w:color w:val="000000"/>
          <w:sz w:val="20"/>
          <w:u w:val="single"/>
        </w:rPr>
        <w:t>DATA, CYBERSECURITY AND INFORMATION TECHNOLOGY RISKS</w:t>
      </w:r>
      <w:r>
        <w:rPr>
          <w:color w:val="000000"/>
        </w:rPr>
        <w:t xml:space="preserv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Even if we take appropriate measures to safeguard our information, network and environment from security breaches or unauthorized disclosures, our customers, employees and business could still be exposed to risk.</w:t>
      </w:r>
    </w:p>
    <w:p>
      <w:pPr>
        <w:pStyle w:val="TextBody"/>
        <w:bidi w:val="0"/>
        <w:spacing w:lineRule="auto" w:line="288" w:before="0" w:after="160"/>
        <w:jc w:val="left"/>
        <w:rPr>
          <w:rFonts w:ascii="Arial Narrow;sans-serif" w:hAnsi="Arial Narrow;sans-serif"/>
          <w:b w:val="false"/>
          <w:color w:val="000000"/>
          <w:sz w:val="20"/>
        </w:rPr>
      </w:pPr>
      <w:r>
        <w:rPr>
          <w:rFonts w:ascii="Arial Narrow;sans-serif" w:hAnsi="Arial Narrow;sans-serif"/>
          <w:b w:val="false"/>
          <w:color w:val="000000"/>
          <w:sz w:val="20"/>
        </w:rPr>
        <w:t>We and our third-party providers access, collect, store and transmit sensitive and confidential Company, customer and employee data and information, including consumer preferences and credit card information, all of which are subject to demanding and continuously evolving privacy and security laws and regulations. A number of jurisdictions where we do business have enacted or are considering new privacy and data protection laws which impact our responsibilities with respect to this data, including California, Colorado, Connecticut, Utah and Virginia. In addition, advances in artificial intelligence technologies, which attackers may use, increase vulnerability to cyberattacks, cyber incidents or privacy incidents.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taken measures to help prevent a breach of our networks and environments and comply with cybersecurity and privacy requirements by implementing safeguards and procedures designed to protect the security, confidentiality and integrity of such information. In addition, we have strengthened our contracts to require, where possible, our third-party providers to implement administrative, physical and technical safeguards and procedures aligned to industry best practices.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Despite the fact that we have implemented measures to prevent intentional or inadvertent information security breaches and requested our third-party providers to do the same, these measures cannot completely eliminate cybersecurity risk. Like many companies, we, as well as several of our vendors, have suffered breaches of our cybersecurity in the past and are at risk for such breaches in the future. Security breaches and cyber incidents, whether at our Company, our third-party suppliers and service providers or other retailers, could expose us to loss, unauthorized release or disclosure of customer, employee or Company confidential information, litigation, investigation, regulatory enforcement action, penalties and fines, orders to stop any alleged noncompliant activity, information technology system failures or network disruptions, increased cyber-protection and remediation costs, financial losses, potential liability, or loss of customers’, employees’ or third-party providers’ trust and business, any of which could adversely impact our reputation, competitiveness and financial performance. Concerns about our data management practices, including the collection, use, retention, security or disclosure of personal information or other privacy-related matters, even if unfounded, could subject the Company to regulatory inquiries and damage our reputation, adversely affecting our 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business may be impacted by information technology system failures or network disruptions.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ability to transact with customers and operate our business depends on the efficient operation of various internal and third-party information technology systems, including cloud computing, data centers, hardware, software and applications, to manage certain aspects of our Company, including online and store transactions, logistics and communication, inventory and reporting systems. We seek to build resilient and secure systems, select reputable system vendors and implement procedures intended to enable us to protect our systems when we modify them. We test our systems to address vulnerabilities and train our employees regarding practices to protect the safety of our technology systems.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are risks associated with developing, modifying or replacing information technology systems, including accurately capturing and maintaining data, realizing the expected benefit of the change and managing the potential disruption of the operation of the systems as the changes are implemented. Potential issues associated with implementing technology initiatives and the time and resources required to optimize the benefits of new elements of our systems and infrastructure could reduce the efficiency of our operations in the short term.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we encounter an interruption or deterioration in critical systems or processes or experience the loss of critical data, which may result from security or cybersecurity threats or attacks, natural disasters, accidents, power disruptions, telecommunications failures, acts of terrorism or war, computer viruses, physical or electronic break-ins or third-party or other disruptions, our business could be harmed both in the short-term and over a longer period. Depending on the severity of the failure, our disaster recovery plans may be inadequate or ineffective. These events could also damage our reputation, result in increased costs or loss of sales and require significant time and expense to remedy.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REPUTATION AND RELATIONSHIP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customer, employee, vendor, third-party partner, landlord and other stakeholder relationships could be negatively affected if we fail to maintain our corporate culture and reputation.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a well-recognized culture and reputation that consumers may associate with a high level of integrity, customer service and quality merchandise, and it is one of the reasons customers shop with us and employees choose us as a place of employment. Any significant damage to our reputation, including damages arising from noncompliant business, data privacy, information security, diversity, environmental or social responsibility practices, news about our Company or factors outside our control or on social media, could diminish customer trust, weaken our vendor relationships, reduce employee morale and productivity and lead to difficulties in recruiting and retaining qualified employees. Additionally, management may not accurately assess the impact of significant legislative changes, including those that relate to data privacy and security, employment matters, labor issues, environmental compliance and health care, impacting our relationship with our customers or our workforce and adversely affecting our sales and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is also increased focus from both internal and external stakeholders on corporate social responsibility and sustainability matters. If we do not, or are perceived not to, act responsibly with respect to our practices and initiatives, meet any communicated targets, goals or milestones or lack transparency with our initiatives, our reputation could be damaged. We may also incur additional costs as we invest in new ways to operate to better support our communities and our customers or to report our outcomes and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the long-term reputational impact from winding down business operations in Canada, including the impact to our customers, employees, vendors and third-party partners and landlords, is unknown, and we may need to take actions that could increase our expenses and adversely affect the results of our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Our business depends on third parties for the production, supply and delivery of goods and/or services, and a disruption could result in lost sales or increased costs.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Supply Chain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Timely receipt of quality merchandise from third parties is critical to our business, as the majority of the goods we sell are produced by vendors in factories overseas. Our process to identify qualified vendors and access quality products in an efficient manner on acceptable terms and cost can be complex. Vendors and factors may also be subject to credit capacity limits that restrict shipments. In addition, we rely on a limited number of carriers to deliver our product to customers. Ongoing disruptions in the global supply chain, including factory closures, transportation challenges, rising freight expenses, violations of law or global standards with respect to human rights, quality and safety by any of our importers, manufacturers or distributors, or parties upstream within their respective supply chains, could result in delays in shipments and receipt of goods. These third parties may experience supply chain or port disruptions, stoppages of certain imports or other difficulties due to economic, business, political, environmental or epidemic conditions, or may shift their business models away from prior practice. Additionally, the countries in which merchandise is manufactured could become subject to new trade restrictions, including increased taxation on imported goods, customs restrictions, tariffs or quotas.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Any disruption, delay or change in our or our vendors’ supply chain, including increased transit times or costs, could negatively impact our inventory levels, delivery timelines and our ability to meet customer demand, which in turn may have a material adverse effect on our reputation, results of operations and liquidity. Our corporate social responsibility and sustainability goals, such as our goal to decrease greenhouse gas emissions in our operations and supply chain, may also be adversely impacted by these disruptions.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Other</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are party to contracts, transactions and business relationships with various third parties, including vendors, suppliers, service providers, landlords and lenders, who may have performance, payment and other obligations to us. If any of the third parties with whom we do business change the terms and conditions that govern their relationships with us due to changes in their business strategy, or become subject to bankruptcy, receivership or similar insolvency proceedings, our rights and benefits in relation to our contracts, transactions and business relationships with such third parties could be terminated, modified in a manner adverse to us or otherwise impaired, and we may be unable to arrange for alternate or replacement contracts, transactions or business relationships on terms as favorable as our existing contracts, transactions or business relationships, if at all. In such circumstance, our cash flows, financial condition and results of operations may be negatively impacted.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decision to wind down business operations in Canada may negatively impact our relationships with vendors that also supply our U.S. operations in a way that might cause less favorable terms and increased costs, result in less timely and efficient deliveries or impact their ability to sell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6705"/>
                <wp:effectExtent l="0" t="0" r="0" b="0"/>
                <wp:wrapNone/>
                <wp:docPr id="17" name="Frame1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ability to effectively market our brands, sell product through third-party platforms and make our own apps available for customers relies heavily on a variety of third-party publishers, platforms and distribution channels. If the regulatory environment or these third parties limit or change the terms of marketing, distribution or use of data, it could adversely affect our results of operations.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market our brands, sell product through third-party platforms, and make our own apps available to customers through a variety of third-party publisher and platform channels and our ability to market on any given platform or channel is subject to the policies of that party and regulatory requirements. Our dependency on the interoperability of our products with popular mobile operating systems, such as Android or iOS, websites, networks, technologies, products and standards that we do not control, coupled with their unilateral control of the terms of service and ongoing regulatory scrutiny associated with targeted advertising, could reduce or eliminate our ability to update our apps or sell product on these platforms. Any changes, bugs or technical issues in such systems or websites may limit our ability to effectively deliver our products, or to target or measure the effectiveness of our ads. If we do not pick the platforms relevant to our customers, if the platforms give preferential treatment to competitors, limit our ability to deliver, target or measure the effectiveness of ads, or if there is a sudden shift in platform preference, our ability to market our brand effectively could be negatively impacted. Furthermore, to the extent platform users do not “opt-in” to certain data collection and sharing practices, our ability to deliver, target or measure the effectiveness of ads or drive usage on our apps is impacted.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concentration of stock ownership in a small number of our shareholders may limit a shareholder’s ability to influence corporate matters and impact the price of our shares.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regularly reported in our annual proxy statements the holdings of members of the Nordstrom family, including Bruce A. Nordstrom, our former Co-President and Chairman of the Board, his sister Anne E. Gittinger and certain members of the Nordstrom family within our Executive Team. As of March 19, 2024, these individuals beneficially owned an aggregate of approximately 30% of our common stock. As a result, either individually or acting together, they may be able to exercise considerable influence over matters requiring shareholder approval, including the election of directors or other matters impacting our management or corporate governance. In addition, as reported in our periodic filings, our Board of Directors has from time to time authorized share repurchases. While these repurchases may be partially offset by share issuances under our equity incentive plans and as consideration for acquisitions, the repurchases may nevertheless have the effect of increasing the overall percentage interest held by these shareholders.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Board of Directors adopted a limited-duration shareholder rights agreement. The Rights Plan would cause substantial dilution to the ownership of any person or group that acquires 10% or more of the outstanding shares of our common stock, subject to certain exceptions in the plan (including that the ownership of Bruce A. Nordstrom, Anne E. Gittinger and certain other members of the Nordstrom family as of the date of the Rights Plan’s adoption is grandfathered under the plan). By effectively preventing a shareholder or group of shareholders other than the Nordstrom family from acquiring 10% or more of our common stock, the Rights Plan may ensure that the Nordstrom family retains its concentration of ownership relative to other shareholders.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corporate law of the State of Washington, where we are incorporated, provides that approval of a merger or similar significant corporate transaction requires the affirmative vote of two-thirds of a company’s outstanding shares. The interests of the Nordstrom family shareholders may differ from the interest of our shareholders as a whole. The beneficial ownership of the Nordstrom family shareholders may have the effect of discouraging offers to acquire us, delaying or otherwise preventing a significant corporate transaction because the consummation of any such transaction would likely require their approval. As a result of these factors, the market price of our common stock may be affected.</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INVESTMENT AND CAPITAL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If we fail to appropriately manage our capital, we may negatively impact our operations and shareholder return.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utilize working capital to finance our operations, pay for capital expenditures, acquisitions and investments, manage our debt levels and return value to our shareholders through dividends and share repurchases. Sufficient cash and liquidity are necessary to fund our business. Changes in the credit and capital markets, including market disruptions, limited liquidity and interest rate fluctuations, may increase the cost of financing or restrict access to a potential source of liquidity. A deterioration in our capital structure or the quality and stability of our earnings could result in noncompliance with our debt covenants or a downgrade of our credit rating, constraining the financing available to us or limiting our ability to issue dividends or repurchase shares. In 2023, two of the three major ratings agencies revised the Company’s credit rating outlook from stable to negative. These outlook changes, and any future reductions in our credit ratings, could result in restricted access to financing and increased borrowing costs and could adversely impact our operations and financial condition. In addition, if we do not properly allocate our capital to maximize returns or we do not maintain financial flexibility, our operations, cash flows and returns to shareholders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18"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Owning and leasing real estate exposes us to possible liabilities and losses.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own or lease the land, buildings and equipment for all of our Supply Chain Network facilities, stores and corporate locations and are therefore subject to all of the risks associated with owning and leasing real estate. In particular, the value of the assets could decrease, their operating costs could increase or facilities or stores may not be opened as planned due to changes in the real estate market, demographic trends, site competition, dependence on third-party performance or overall economic environment. We are also potentially subject to liability for environmental conditions, exit costs associated with disposal of a store and commitments to pay base rent for the entire lease term or to operate a store for the duration of an operating covenant. In addition, the invalidity of, or default or termination under, any of our leases may accelerate required cash payments or interfere with our ability to use and operate all or a portion of certain of our facilities, which may have an adverse impact on our operations and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investment in existing and new locations may not achieve our expected returns, such as our investment in the Canada business, which ultimately did not achieve our expectations.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locations of our Supply Chain Network facilities and existing stores, planned store openings and relocations are assessed based upon desirability, demographics and retail environment. In particular, we have expanded our omni-channel market strategy, where we leverage and connect our digital and physical assets within discrete geographic markets to seamlessly serve our customers within those markets and create synergies between our digital assets, Supply Chain Network and stores. Our expansion of this market strategy has allowed us to execute against one of our top priorities of improving Nordstrom Rack performance through the opening of new Nordstrom Rack stores. We must equip our locations with the proper processes, technology and tools for timely and accurate fulfillment and inventory replenishment. This involves certain risks, including properly balancing our capital investments between fulfillment capabilities, technology, digital channels, new stores, relocations and remodels, assessing the suitability of locations in new domestic and international markets and constructing, furnishing and supplying a facility or store in a timely and cost-effective manner, which may be affected by the actions of third parties, including, but not limited to, private entities and local, state or federal regulatory agencies.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Customers’ expectations regarding speed of delivery are evolving. If we do not effectively integrate our digital and physical assets as part of our market strategy, or select locations to optimize our market strategy, we could incur significantly higher costs and shipping times that do not meet customer expectations, which in turn could have a material adverse effect on our business. Sales through our digital channels or at our stores may not meet projections as we balance trends between digital and brick-and-mortar shopping channels, which could adversely affect our return on investment. If we do not properly allocate capital expenditures between locations, ensure timely completion of construction projects associated with Supply Chain Network facilities and new, relocated and remodeled stores or properly maintain any of our properties, customer expectations may not be met, we may lose sales and may incur additional expenses.</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ECONOMIC AND EXTERNAL MARKET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revenues and operating results are affected by the seasonal nature of our business and cyclical trends in consumer spending.</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business, like that of other retailers, is subject to seasonal fluctuations and cyclical trends in consumer spending. Our sales are typically higher in our second quarter, which usually includes most of our Anniversary Sale, and in the fourth quarter due to the holidays. One week of our Anniversary Sale shifted from the second quarter in 2022 to the third quarter in 2023. To provide shareholders a better understanding of management’s expectations surrounding results, we provide our financial outlook on our expected operating and financial results for future periods comprised of forward-looking statements subject to certain risks and uncertainties. Any factor that negatively impacts these selling seasons could have an adverse and disproportionate effect on our results of operations for the entire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Additionally, factors such as results differing from our outlook, changes in sales and operating income, changes in our market valuations, performance results for the general retail industry, news or announcements by us or our industry competitors or changes in analysts’ recommendations may cause volatility in the price of our common stock and our shareholder returns.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A downturn in economic conditions, currency fluctuations, inflation, unemployment and bankruptcy rates, changes in fiscal stimulus or interest rates and other external market factors have had and could have a significant adverse effect on our business and stock price.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economic downturns or inflationary periods, fewer customers may shop, as these purchases may be seen as discretionary, and those who do shop may limit the amount of their purchases. Any reduced demand or changes in customer purchasing behavior may lead to lower sales, higher markdowns and an overly promotional environment or increased marketing and promotional spending.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6705"/>
                <wp:effectExtent l="0" t="0" r="0" b="0"/>
                <wp:wrapNone/>
                <wp:docPr id="19" name="Frame1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stores located in shopping centers and malls have been and may be affected by consumer traffic at shopping centers and malls.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majority of our stores are located within shopping centers and malls and may benefit from the abilities that we and other anchor tenants have to generate consumer traffic. A decline in shopping center traffic in favor of e-commerce, the development of new shopping centers and malls, the lack of availability of favorable locations within existing or new shopping centers and malls, the success of individual shopping centers and malls and the success or failure of other anchor tenants have impacted and may impact our ability in the future to maintain or grow our business, as well as our ability to open new stores, which could have an adverse effect on our financial condition or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Like other retailers, our stores have been impacted by changing levels of theft or vandalism, which may affect consumer traffic in our stores and cause inventory shrinkage. If we experience higher rates of inventory shrinkage at stores located in shopping centers and malls, or if we are unable to effectively reduce the impact of loss or theft of assets, our operating results could be adversely affected. The severity or quantity of incidents, including perceptions and reactions, may result in reputational damage or loss of customer trust.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The results from our credit card operations could be adversely affected by changes in market conditions or laws.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Revenues earned under our program agreement with TD are indirectly subject to economic and market conditions that are beyond our control, including, but not limited to, interest rates, consumer credit availability, demand for credit, consumer debt levels, payment patterns, delinquency rates, frequency of fee waivers, frequency or volume of governmental stimulus, personal bankruptcy rates, employment trends, laws and other factors. Additionally, changes in net sales partially translate to program agreement revenues. Changes in economic, market or regulatory conditions, customer behavior or our mix of sales and program agreement revenues could impact our revenues and profitability.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Our business and operations could be materially and adversely affected by severe weather patterns, climate change, natural disasters, widespread pandemics, epidemics, civil unrest and other natural or man-made economic, political or environmental disruptions.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Disruptions, and government responses, could cause, among other things, decreases in consumer spending that could negatively impact our sales, declines in traffic in urban centers, staffing shortages in our Supply Chain Network facilities, stores or corporate offices, interruptions in the flow of merchandise to our stores, disruptions in the operations of our merchandise vendors or property developers, increased costs and a negative impact on our reputation and long-term growth plans, which could vary based on the length and severity of the disruption. Health pandemics and epidemics, have in the past and may in the future, impact consumer and government responses, which may have an adverse impact on global economic conditions and our business, results of operations and financial condition. We also have a significant amount of our total sales, stores and square footage on the West Coast of the United States, particularly in California, where we have experienced earthquakes, wildfires, flooding and power outages and shortages that increase our exposure to any market-disrupting conditions in this region.</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LEGAL AND REGULATORY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We are subject to certain laws, litigation, regulatory matters and ethical standards, and compliance or failure to comply with or adequately address developments as they arise could adversely affect our reputation and operations.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Our policies, procedures and practices and the technology we implement are intended to address applicable federal, state, local and foreign laws, tariffs, rules and regulations, as well as responsible business, social and environmental practices, all of which may change from time to time. If we, or the third parties we do business with, fail to comply with these requirements and/or changes to them, our business could be adversely impacted. In addition, noncompliance with applicable laws and regulations or failure to implement responsible business, social, environmental and supply chain practices could result in reputational damage, class action lawsuits, regulatory investigations, legal costs and penalties, charges and payments, civil and criminal liability, increased cost of regulatory compliance, loss of our ability to offer or accept credit and debit card payments from our customers, restatements of our financial statements, disruption of our business, loss of customers and loss of customer trust. Changes to existing and new privacy and data protection laws may increase compliance expenses and limit business opportunities and strategic initiatives, including customer engagement. Any required changes to our employment practices could result in the loss of employees, reduced sales, increased employment costs, low employee morale and harm to our business and results of operations. In addition, political and economic factors could lead to unfavorable changes in federal, state and foreign tax laws, which may affect our tax assets or liabilities and adversely affect our results of operations. We are also regularly involved in various litigation matters that arise in the ordinary course of business. Litigation or regulatory developments could adversely affect our business and financial condition.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Compliance with Section 404 of the Sarbanes-Oxley Act of 2002 requires management assessments of the effectiveness of our internal controls over financial reporting through documenting, testing, monitoring and enhancement of internal control over financial reporting. If we fail to implement or maintain adequate internal controls, we may not produce reliable financial reports or fail to prevent or detect financial fraud, which may adversely affect our financial position, investor confidence or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0520"/>
                <wp:effectExtent l="0" t="0" r="0" b="0"/>
                <wp:wrapNone/>
                <wp:docPr id="20"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to accounting rules and regulations could affect our financial results or financial condition.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Accounting principles and related pronouncements, implementation guidelines and interpretations with regard to a wide variety of accounting matters that are relevant to our business, including, but not limited to, revenue recognition, inventory valuation, long-lived asset recoverability, income taxes and contingent liabilities, including assumptions related to our Canada wind-down, are highly complex and involve subjective assumptions, estimates and judgments. Changes in these rules and regulations, changes in our interpretation or our misapplication of the rules or regulations, changes in accounting policies or changes in underlying assumptions, estimates or judgments could adversely affect our financial performance or financial position.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If Nordstrom Canada is unable to make a fair and orderly wind-down of its business operations, or if our existing reserves are not adequate to cover our ultimate liability, our financial condition and results of operations could be adversely affected.</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On March 2, 2023, we announced the decision to discontinue support for Nordstrom Canada’s operations. Accordingly, Nordstrom Canada commenced a wind-down of its business operations, obtaining an Initial Order from the Ontario Superior Court of Justice under the CCAA on March 2, 2023 to facilitate the wind-down in an orderly fashion. Nordstrom Canada wound down its Nordstrom and Nordstrom Rack stores across Canada, with the help of a third-party liquidator, and its Canadian e-commerce platform. The e-commerce platform ceased operations on March 2, 2023 and the in-store wind-down was completed in June 2023. As described in Note 2: Canada Wind-down in Item 8, we have incurred $284 in pre-tax charges associated with the wind-down of operations in Canada for the year ended February 3, 2024. Our reserves relating to these matters may not be adequate to cover our ultimate liability or we may suffer other losses for which we have not established reserves, although we believe that possibility is not probable. If Nordstrom Canada is unable to effectively and efficiently finalize the wind-down of business operations, or we incur additional costs, there could be a material adverse effect on the conclusion of the CCAA filing or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1B. Unresolved Staff Comments.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6705"/>
                <wp:effectExtent l="0" t="0" r="0" b="0"/>
                <wp:wrapNone/>
                <wp:docPr id="21" name="Frame2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1C. Cybersecurity.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Nordstrom understands that establishing, executing and sustaining effective cybersecurity measures to secure our information systems and preserve the confidentiality, integrity and availability of our data is critical to the success of the business.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Management of Material Risks and Integrated Overall Risk Management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comprehensive risk management framework is intended to strategically incorporate cybersecurity risk management across the company, with the objective of ensuring that cybersecurity considerations underpin the decision-making processes at all organizational levels. Our risk management team collaborates closely across various Enterprise-wide business units to continually assess and address identified cybersecurity risks in alignment with business objectives. The CISO regularly updates the CTIO, Chief Financial Officer and Chief Executive Officer on material cybersecurity risks and events.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Engagement with Third Parties on Management of Cybersecurity Risk</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Recognizing the dynamic nature of cybersecurity threats, Nordstrom collaborates with external experts, including assessors, consultants and examiners, to evaluate and test our cybersecurity risk preparedness. Regular exams, threat assessments and consultation on security enhancements with these third parties ensure that our cybersecurity strategies align with industry best practices.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Oversight of Third-party Risk</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the course of our business, we regularly exchange data and information with certain third parties in various ways, exposing us to risk related to the cybersecurity posture of and information management practices of those third parties. To try to mitigate this risk, we have implemented processes that may, depending upon the nature of the relationship with the third party, require security assessments and data integration design reviews prior to allowing our systems to connect with theirs. In addition, we seek to require these third parties to adhere to pre-established cybersecurity standards. Where applicable, we try to obtain contractual commitments with those third parties to ensure these security requirements are met.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Risks from Cybersecurity Threats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Nordstrom has not experienced any cybersecurity incident that has materially impacted, or that is reasonably likely to materially impact, our operations, financial condition and cash flows.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Cybersecurity Risk Management Personnel</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Primary responsibility for assessing, monitoring, mitigating and managing our cybersecurity risks rests with our information security organization, led by our CISO and supported by our CTIO. The CISO, who has over 20 years of cybersecurity and technology expertise, supports a skilled information security organization that brings expertise in vulnerability management, incident response, penetration testing, regulatory compliance and other critical information security domains. Our information security team maintains certifications from recognized external security authorities such as ISC2, CompTIA, ISACA, GIAC, SANS, PCI and OffSec. The security program is assessed annually by a reputable third party to provide guidance for continuous improvement.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Monitoring and Responding to Cybersecurity Incidents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security organization stays informed about the latest developments in cybersecurity, implements processes for regular monitoring of information systems and deploys relevant security measures. In the event of a cybersecurity incident, a formal incident response plan is in place for immediate actions and long-term strategies.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Board of Directors Oversight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Board of Directors has oversight responsibilities regarding cybersecurity risk. At regularly scheduled meetings (at least quarterly), in addition to such additional interactions as may be necessary in specific circumstances, our Chief Executive Officer, CTIO and CISO update the Board on emerging cybersecurity risks and developments impacting Nordstrom.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0520"/>
                <wp:effectExtent l="0" t="0" r="0" b="0"/>
                <wp:wrapNone/>
                <wp:docPr id="22" name="Frame2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2. Properties.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(Square footage amounts in thousands)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the Supply Chain Network and retail locations we own or lease and the total square footage by category as of February 3, 2024:</w:t>
      </w:r>
    </w:p>
    <w:tbl>
      <w:tblPr>
        <w:tblW w:w="7452" w:type="dxa"/>
        <w:jc w:val="left"/>
        <w:tblInd w:w="0" w:type="dxa"/>
        <w:tblLayout w:type="fixed"/>
        <w:tblCellMar>
          <w:top w:w="28" w:type="dxa"/>
          <w:left w:w="28" w:type="dxa"/>
          <w:bottom w:w="28" w:type="dxa"/>
          <w:right w:w="28" w:type="dxa"/>
        </w:tblCellMar>
      </w:tblPr>
      <w:tblGrid>
        <w:gridCol w:w="759"/>
        <w:gridCol w:w="667"/>
        <w:gridCol w:w="673"/>
        <w:gridCol w:w="554"/>
        <w:gridCol w:w="554"/>
        <w:gridCol w:w="556"/>
        <w:gridCol w:w="285"/>
        <w:gridCol w:w="285"/>
        <w:gridCol w:w="286"/>
        <w:gridCol w:w="409"/>
        <w:gridCol w:w="409"/>
        <w:gridCol w:w="411"/>
        <w:gridCol w:w="468"/>
        <w:gridCol w:w="468"/>
        <w:gridCol w:w="668"/>
      </w:tblGrid>
      <w:tr>
        <w:trPr/>
        <w:tc>
          <w:tcPr>
            <w:tcW w:w="75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Number of locations</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Supply Chain Network</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Nordstrom</w:t>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Nordstrom Rack</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 xml:space="preserve">Total square footage </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Leased buildings on leased land</w:t>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13,525</w:t>
            </w:r>
            <w:r>
              <w:rPr>
                <w:color w:val="000000"/>
              </w:rPr>
              <w:t> </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Owned buildings on leased land</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10,062</w:t>
            </w:r>
            <w:r>
              <w:rPr>
                <w:color w:val="000000"/>
              </w:rPr>
              <w:t> </w:t>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Owned buildings on owned land</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5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8,250</w:t>
            </w:r>
            <w:r>
              <w:rPr>
                <w:color w:val="000000"/>
              </w:rPr>
              <w:t> </w:t>
            </w:r>
          </w:p>
        </w:tc>
        <w:tc>
          <w:tcPr>
            <w:tcW w:w="6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Partly owned and partly leased</w:t>
            </w:r>
          </w:p>
        </w:tc>
        <w:tc>
          <w:tcPr>
            <w:tcW w:w="11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8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544</w:t>
            </w:r>
            <w:r>
              <w:rPr>
                <w:color w:val="000000"/>
              </w:rPr>
              <w:t> </w:t>
            </w:r>
          </w:p>
        </w:tc>
        <w:tc>
          <w:tcPr>
            <w:tcW w:w="6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11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260 </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32,381</w:t>
            </w:r>
            <w:r>
              <w:rPr>
                <w:color w:val="000000"/>
              </w:rPr>
              <w:t> </w:t>
            </w:r>
          </w:p>
        </w:tc>
        <w:tc>
          <w:tcPr>
            <w:tcW w:w="6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our Supply Chain Network and retail store count and square footage activity:</w:t>
      </w:r>
    </w:p>
    <w:tbl>
      <w:tblPr>
        <w:tblW w:w="5586" w:type="dxa"/>
        <w:jc w:val="left"/>
        <w:tblInd w:w="0" w:type="dxa"/>
        <w:tblLayout w:type="fixed"/>
        <w:tblCellMar>
          <w:top w:w="28" w:type="dxa"/>
          <w:left w:w="28" w:type="dxa"/>
          <w:bottom w:w="28" w:type="dxa"/>
          <w:right w:w="28" w:type="dxa"/>
        </w:tblCellMar>
      </w:tblPr>
      <w:tblGrid>
        <w:gridCol w:w="813"/>
        <w:gridCol w:w="713"/>
        <w:gridCol w:w="723"/>
        <w:gridCol w:w="202"/>
        <w:gridCol w:w="204"/>
        <w:gridCol w:w="136"/>
        <w:gridCol w:w="203"/>
        <w:gridCol w:w="203"/>
        <w:gridCol w:w="136"/>
        <w:gridCol w:w="109"/>
        <w:gridCol w:w="200"/>
        <w:gridCol w:w="200"/>
        <w:gridCol w:w="200"/>
        <w:gridCol w:w="370"/>
        <w:gridCol w:w="216"/>
        <w:gridCol w:w="200"/>
        <w:gridCol w:w="285"/>
        <w:gridCol w:w="286"/>
        <w:gridCol w:w="187"/>
      </w:tblGrid>
      <w:tr>
        <w:trPr/>
        <w:tc>
          <w:tcPr>
            <w:tcW w:w="8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Count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Square footage </w:t>
            </w:r>
          </w:p>
        </w:tc>
        <w:tc>
          <w:tcPr>
            <w:tcW w:w="758" w:type="dxa"/>
            <w:gridSpan w:val="3"/>
            <w:tcBorders/>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7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beginning of year</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368</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33,693</w:t>
            </w: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33,982 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Openings:</w:t>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Rack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531</w:t>
            </w: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Relocations, remodels or changes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(8)</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Closures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(1,835)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end of year</w:t>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369</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368 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32,381</w:t>
            </w:r>
            <w:r>
              <w:rPr>
                <w:color w:val="000000"/>
              </w:rPr>
              <w:t> </w:t>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33,693 </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6705"/>
                <wp:effectExtent l="0" t="0" r="0" b="0"/>
                <wp:wrapNone/>
                <wp:docPr id="23" name="Frame2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table lists our Supply Chain Network and retail store count and square footage by state as of February 3, 2024: </w:t>
      </w:r>
    </w:p>
    <w:tbl>
      <w:tblPr>
        <w:tblW w:w="9613" w:type="dxa"/>
        <w:jc w:val="left"/>
        <w:tblInd w:w="0" w:type="dxa"/>
        <w:tblLayout w:type="fixed"/>
        <w:tblCellMar>
          <w:top w:w="28" w:type="dxa"/>
          <w:left w:w="28" w:type="dxa"/>
          <w:bottom w:w="28" w:type="dxa"/>
          <w:right w:w="28" w:type="dxa"/>
        </w:tblCellMar>
      </w:tblPr>
      <w:tblGrid>
        <w:gridCol w:w="432"/>
        <w:gridCol w:w="379"/>
        <w:gridCol w:w="388"/>
        <w:gridCol w:w="276"/>
        <w:gridCol w:w="276"/>
        <w:gridCol w:w="276"/>
        <w:gridCol w:w="396"/>
        <w:gridCol w:w="396"/>
        <w:gridCol w:w="408"/>
        <w:gridCol w:w="109"/>
        <w:gridCol w:w="109"/>
        <w:gridCol w:w="109"/>
        <w:gridCol w:w="203"/>
        <w:gridCol w:w="203"/>
        <w:gridCol w:w="176"/>
        <w:gridCol w:w="396"/>
        <w:gridCol w:w="396"/>
        <w:gridCol w:w="408"/>
        <w:gridCol w:w="109"/>
        <w:gridCol w:w="109"/>
        <w:gridCol w:w="109"/>
        <w:gridCol w:w="204"/>
        <w:gridCol w:w="204"/>
        <w:gridCol w:w="204"/>
        <w:gridCol w:w="396"/>
        <w:gridCol w:w="396"/>
        <w:gridCol w:w="408"/>
        <w:gridCol w:w="109"/>
        <w:gridCol w:w="109"/>
        <w:gridCol w:w="109"/>
        <w:gridCol w:w="195"/>
        <w:gridCol w:w="196"/>
        <w:gridCol w:w="176"/>
        <w:gridCol w:w="363"/>
        <w:gridCol w:w="363"/>
        <w:gridCol w:w="518"/>
      </w:tblGrid>
      <w:tr>
        <w:trPr/>
        <w:tc>
          <w:tcPr>
            <w:tcW w:w="43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Supply Chain Network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Nordstrom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Nordstrom Rack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Count</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Count</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Count</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Count</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Square Footage</w:t>
            </w:r>
          </w:p>
        </w:tc>
      </w:tr>
      <w:tr>
        <w:trPr/>
        <w:tc>
          <w:tcPr>
            <w:tcW w:w="1199"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Alabama</w:t>
            </w:r>
          </w:p>
        </w:tc>
        <w:tc>
          <w:tcPr>
            <w:tcW w:w="5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27</w:t>
            </w:r>
            <w:r>
              <w:rPr>
                <w:color w:val="000000"/>
              </w:rPr>
              <w:t>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Alaska</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35</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Arizona</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235 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572</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California</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3,669 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91</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8,398</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Colorado</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655</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Connecticut</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377</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Delaware</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159</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Florida</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1,812</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Georgia</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537</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Hawaii</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273</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Idaho</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37</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Illinois</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947 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1,541</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Indiana</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194</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Iowa</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1,529 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1,564</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Kansas</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309</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Kentucky</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33</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Louisiana</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90</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Maine</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30</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Maryland</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603 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1,273</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Massachusetts</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861</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Michigan</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430 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608</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Minnesota</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514</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Missouri</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411</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Nevada</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339</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Jersey</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817 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1,101</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Mexico</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34</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York</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1,192</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North Carolina</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374</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Ohio</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549 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773</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Oklahoma</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67</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Oregon</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980</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Pennsylvania</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976 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1,597</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Rhode Island</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38</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South Carolina</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101</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Tennessee</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238</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Texas</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1,413 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29</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2,115</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Utah</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407</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Virginia</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452 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720</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Washington</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1,270 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1,712</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Washington D.C.</w:t>
            </w:r>
          </w:p>
        </w:tc>
        <w:tc>
          <w:tcPr>
            <w:tcW w:w="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w:t>
            </w: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66</w:t>
            </w: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Wisconsin</w:t>
            </w:r>
          </w:p>
        </w:tc>
        <w:tc>
          <w:tcPr>
            <w:tcW w:w="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w:t>
            </w: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217</w:t>
            </w: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55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w:t>
            </w:r>
            <w:r>
              <w:rPr>
                <w:color w:val="000000"/>
              </w:rPr>
              <w:t> </w:t>
            </w:r>
          </w:p>
        </w:tc>
        <w:tc>
          <w:tcPr>
            <w:tcW w:w="2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6,122</w:t>
            </w:r>
            <w:r>
              <w:rPr>
                <w:color w:val="000000"/>
              </w:rPr>
              <w:t> </w:t>
            </w:r>
          </w:p>
        </w:tc>
        <w:tc>
          <w:tcPr>
            <w:tcW w:w="4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99</w:t>
            </w:r>
            <w:r>
              <w:rPr>
                <w:color w:val="000000"/>
              </w:rPr>
              <w:t>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17,180</w:t>
            </w:r>
            <w:r>
              <w:rPr>
                <w:color w:val="000000"/>
              </w:rPr>
              <w:t> </w:t>
            </w:r>
          </w:p>
        </w:tc>
        <w:tc>
          <w:tcPr>
            <w:tcW w:w="4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260</w:t>
            </w:r>
            <w:r>
              <w:rPr>
                <w:color w:val="000000"/>
              </w:rPr>
              <w:t>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9,079</w:t>
            </w:r>
            <w:r>
              <w:rPr>
                <w:color w:val="000000"/>
              </w:rPr>
              <w:t> </w:t>
            </w:r>
          </w:p>
        </w:tc>
        <w:tc>
          <w:tcPr>
            <w:tcW w:w="4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369</w:t>
            </w:r>
            <w:r>
              <w:rPr>
                <w:color w:val="000000"/>
              </w:rPr>
              <w:t>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32,381</w:t>
            </w:r>
            <w:r>
              <w:rPr>
                <w:color w:val="000000"/>
              </w:rPr>
              <w:t> </w:t>
            </w:r>
          </w:p>
        </w:tc>
        <w:tc>
          <w:tcPr>
            <w:tcW w:w="5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headquarters are located in Seattle, Washington, where our offices consist of both leased and owned space. On March 2, 2023, Nordstrom Canada commenced a wind-down of its business operations (see Note 2: Canada Wind-down in Item 8 for more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March 19, 2024, we have announced 22 Nordstrom Rack store openings in 2024, four Nordstrom Rack store openings in 2025 and one fulfillment center closure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0520"/>
                <wp:effectExtent l="0" t="0" r="0" b="0"/>
                <wp:wrapNone/>
                <wp:docPr id="24" name="Frame2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3. Legal Proceedings.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subject from time to time to various claims and lawsuits arising in the ordinary course of business, including lawsuits alleging violations of state and/or federal wage and hour and other employment laws, privacy and other consumer-based claims. Some of these lawsuits may include certified classes of litigants, or purport or may be determined to be class or collective actions and seek substantial damages or injunctive relief, or both, and some may remain unresolved for several years. We believe the recorded accruals in our Consolidated Financial Statements are adequate in light of the probable and estimable liabilities.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March 2, 2023, Nordstrom Canada commenced a wind-down of its business operations pursuant to a CCAA proceeding overseen by the Ontario Superior Court of Justice. See Note 2: Canada Wind-down in Item 8 for more information.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the date of this report, we do not believe any other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4. Mine Safety Disclosures.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6705"/>
                <wp:effectExtent l="0" t="0" r="0" b="0"/>
                <wp:wrapNone/>
                <wp:docPr id="25" name="Frame2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 Narrow;sans-serif" w:hAnsi="Arial Narrow;sans-serif"/>
          <w:b/>
          <w:color w:val="000000"/>
          <w:sz w:val="24"/>
        </w:rPr>
      </w:pPr>
      <w:r>
        <w:rPr>
          <w:rFonts w:ascii="Arial Narrow;sans-serif" w:hAnsi="Arial Narrow;sans-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5. Market for Registrant’s Common Equity, Related Shareholder Matters and Issuer Purchases of Equity Securities.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amounts and where otherwise noted)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MARKET AND SHAREHOLDER INFORMATION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common stock, without par value, is traded on the NYSE under the symbol “JWN.” The approximate number of record holders of common stock as of March 11, 2024 was 4,435. On this date, we had 163,258,218 shares of common stock outstanding.</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DIVIDENDS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our historical dividends declared and paid per share:</w:t>
      </w:r>
    </w:p>
    <w:tbl>
      <w:tblPr>
        <w:tblW w:w="2200" w:type="dxa"/>
        <w:jc w:val="left"/>
        <w:tblInd w:w="0" w:type="dxa"/>
        <w:tblLayout w:type="fixed"/>
        <w:tblCellMar>
          <w:top w:w="28" w:type="dxa"/>
          <w:left w:w="28" w:type="dxa"/>
          <w:bottom w:w="28" w:type="dxa"/>
          <w:right w:w="28" w:type="dxa"/>
        </w:tblCellMar>
      </w:tblPr>
      <w:tblGrid>
        <w:gridCol w:w="314"/>
        <w:gridCol w:w="276"/>
        <w:gridCol w:w="280"/>
        <w:gridCol w:w="255"/>
        <w:gridCol w:w="256"/>
        <w:gridCol w:w="136"/>
        <w:gridCol w:w="248"/>
        <w:gridCol w:w="248"/>
        <w:gridCol w:w="187"/>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r>
      <w:tr>
        <w:trPr/>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1st Quarter</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$0.19</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2nd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0.19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3rd Quarter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0.19</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4th Quarter</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0.19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Full Year</w:t>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$0.76</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$0.76 </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Any future determination to pay cash dividends and the amount of dividends will be at the discretion of the Board of Directors and will be dependent upon our financial condition, operating results, capital requirements, contractual commitments and such other factors as the Board of Directors deems relevant (see Note 11: Shareholders’ Equity in Item 8).</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SHARE REPURCHASES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repurchased no shares of common stock during the fourth quarter of 2023 and we had $438 remaining in share repurchase capacity as of February 3,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Note 11: Shareholders’ Equity in Item 8 for more information about our August 2018 and May 2022 share repurchase programs. The actual timing, price, manner and amounts of future share repurchases, if any, will be subject to the discretion of the Board of Directors, contractual commitments, market and economic conditions and applicable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0520"/>
                <wp:effectExtent l="0" t="0" r="0" b="0"/>
                <wp:wrapNone/>
                <wp:docPr id="26" name="Frame2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STOCK PRICE PERFORMANCE</w:t>
      </w:r>
    </w:p>
    <w:p>
      <w:pPr>
        <w:pStyle w:val="TextBody"/>
        <w:bidi w:val="0"/>
        <w:spacing w:lineRule="auto" w:line="288" w:before="0" w:after="0"/>
        <w:jc w:val="left"/>
        <w:rPr/>
      </w:pPr>
      <w:r>
        <w:rPr>
          <w:rFonts w:ascii="Arial Narrow;sans-serif" w:hAnsi="Arial Narrow;sans-serif"/>
          <w:b w:val="false"/>
          <w:color w:val="000000"/>
          <w:sz w:val="20"/>
        </w:rPr>
        <w:t xml:space="preserve">The following graph compares the cumulative total return of Nordstrom common stock, Standard &amp; Poor’s Retail Index (“S&amp;P Retail”), Standard &amp; Poor’s 500 Index (“S&amp;P 500”) and Nordstrom’s peer group for each of the last five fiscal years ended February 3, 2024. S&amp;P Retail is composed of 17 retail companies representing an industry group of the S&amp;P 500. Our peer group is consistent with the retail peer group that we include in the </w:t>
      </w:r>
      <w:r>
        <w:rPr>
          <w:rFonts w:ascii="Arial Narrow;sans-serif" w:hAnsi="Arial Narrow;sans-serif"/>
          <w:b w:val="false"/>
          <w:i/>
          <w:color w:val="000000"/>
          <w:sz w:val="20"/>
        </w:rPr>
        <w:t>Compensation Discussion and Analysis</w:t>
      </w:r>
      <w:r>
        <w:rPr>
          <w:color w:val="000000"/>
        </w:rPr>
        <w:t xml:space="preserve"> </w:t>
      </w:r>
      <w:r>
        <w:rPr>
          <w:rFonts w:ascii="Arial Narrow;sans-serif" w:hAnsi="Arial Narrow;sans-serif"/>
          <w:b w:val="false"/>
          <w:color w:val="000000"/>
          <w:sz w:val="20"/>
        </w:rPr>
        <w:t>section of our Proxy Statement for our 2024 Annual Meeting of Shareholders and is weighted by the market capitalization of each component. The following graph assumes an initial investment of $100 each in Nordstrom common stock, S&amp;P Retail, S&amp;P 500 and Nordstrom’s peer group on February 2, 2019 and assumes reinvestment of dividends.</w:t>
      </w:r>
    </w:p>
    <w:p>
      <w:pPr>
        <w:pStyle w:val="TextBody"/>
        <w:bidi w:val="0"/>
        <w:spacing w:before="0" w:after="0"/>
        <w:jc w:val="center"/>
        <w:rPr/>
      </w:pPr>
      <w:r>
        <w:rPr/>
        <w:drawing>
          <wp:inline distT="0" distB="0" distL="0" distR="0">
            <wp:extent cx="6496050" cy="538162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6496050" cy="5381625"/>
                    </a:xfrm>
                    <a:prstGeom prst="rect">
                      <a:avLst/>
                    </a:prstGeom>
                  </pic:spPr>
                </pic:pic>
              </a:graphicData>
            </a:graphic>
          </wp:inline>
        </w:drawing>
      </w:r>
    </w:p>
    <w:tbl>
      <w:tblPr>
        <w:tblW w:w="5870" w:type="dxa"/>
        <w:jc w:val="center"/>
        <w:tblInd w:w="0" w:type="dxa"/>
        <w:tblLayout w:type="fixed"/>
        <w:tblCellMar>
          <w:top w:w="28" w:type="dxa"/>
          <w:left w:w="28" w:type="dxa"/>
          <w:bottom w:w="28" w:type="dxa"/>
          <w:right w:w="28" w:type="dxa"/>
        </w:tblCellMar>
      </w:tblPr>
      <w:tblGrid>
        <w:gridCol w:w="634"/>
        <w:gridCol w:w="558"/>
        <w:gridCol w:w="562"/>
        <w:gridCol w:w="135"/>
        <w:gridCol w:w="135"/>
        <w:gridCol w:w="136"/>
        <w:gridCol w:w="109"/>
        <w:gridCol w:w="109"/>
        <w:gridCol w:w="109"/>
        <w:gridCol w:w="135"/>
        <w:gridCol w:w="135"/>
        <w:gridCol w:w="136"/>
        <w:gridCol w:w="109"/>
        <w:gridCol w:w="109"/>
        <w:gridCol w:w="109"/>
        <w:gridCol w:w="135"/>
        <w:gridCol w:w="135"/>
        <w:gridCol w:w="136"/>
        <w:gridCol w:w="109"/>
        <w:gridCol w:w="109"/>
        <w:gridCol w:w="109"/>
        <w:gridCol w:w="135"/>
        <w:gridCol w:w="135"/>
        <w:gridCol w:w="136"/>
        <w:gridCol w:w="109"/>
        <w:gridCol w:w="109"/>
        <w:gridCol w:w="109"/>
        <w:gridCol w:w="135"/>
        <w:gridCol w:w="135"/>
        <w:gridCol w:w="136"/>
        <w:gridCol w:w="109"/>
        <w:gridCol w:w="109"/>
        <w:gridCol w:w="109"/>
        <w:gridCol w:w="132"/>
        <w:gridCol w:w="132"/>
        <w:gridCol w:w="187"/>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18"/>
              </w:rPr>
              <w:t>End of fiscal year</w:t>
            </w:r>
            <w:r>
              <w:rPr>
                <w:rFonts w:ascii="Arial Narrow;sans-serif" w:hAnsi="Arial Narrow;sans-serif"/>
                <w:b w:val="false"/>
                <w:color w:val="000000"/>
                <w:sz w:val="12"/>
              </w:rPr>
              <w:t>1</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common stock</w:t>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$46</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S&amp;P Retail</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$210</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S&amp;P 500</w:t>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$199</w:t>
            </w:r>
          </w:p>
        </w:tc>
      </w:tr>
      <w:tr>
        <w:trPr/>
        <w:tc>
          <w:tcPr>
            <w:tcW w:w="17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Nordstrom’s peer group</w:t>
            </w:r>
          </w:p>
        </w:tc>
        <w:tc>
          <w:tcPr>
            <w:tcW w:w="4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$151</w:t>
            </w:r>
          </w:p>
        </w:tc>
      </w:tr>
    </w:tbl>
    <w:p>
      <w:pPr>
        <w:pStyle w:val="TextBody"/>
        <w:bidi w:val="0"/>
        <w:spacing w:lineRule="auto" w:line="288" w:before="0" w:after="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Dollar amounts are in ones.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6705"/>
                <wp:effectExtent l="0" t="0" r="0" b="0"/>
                <wp:wrapNone/>
                <wp:docPr id="28" name="Frame2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Item 7. Management’s Discussion and Analysis of Financial Condition and Results of Operations.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amounts and where otherwise noted)</w:t>
      </w:r>
    </w:p>
    <w:p>
      <w:pPr>
        <w:pStyle w:val="TextBody"/>
        <w:bidi w:val="0"/>
        <w:spacing w:lineRule="auto" w:line="288" w:before="180" w:after="283"/>
        <w:jc w:val="left"/>
        <w:rPr/>
      </w:pPr>
      <w:r>
        <w:rPr>
          <w:rFonts w:ascii="Arial Narrow;sans-serif" w:hAnsi="Arial Narrow;sans-serif"/>
          <w:b w:val="false"/>
          <w:color w:val="000000"/>
          <w:sz w:val="20"/>
        </w:rPr>
        <w:t xml:space="preserve">The following MD&amp;A provides a narrative of our financial performance and is intended to promote understanding of our results of operations and financial condition. MD&amp;A is provided as a supplement to, and should be read in conjunction with, </w:t>
      </w:r>
      <w:hyperlink w:anchor="i32edfa625ac64f068feac7cf09039254_127">
        <w:r>
          <w:rPr>
            <w:rStyle w:val="InternetLink"/>
            <w:rFonts w:ascii="Arial Narrow;sans-serif" w:hAnsi="Arial Narrow;sans-serif"/>
            <w:b w:val="false"/>
            <w:color w:val="0000FF"/>
            <w:sz w:val="20"/>
            <w:u w:val="single"/>
          </w:rPr>
          <w:t>Item 8: Financial Statements and Supplementary Data</w:t>
        </w:r>
      </w:hyperlink>
      <w:r>
        <w:rPr>
          <w:color w:val="000000"/>
        </w:rPr>
        <w:t xml:space="preserve"> </w:t>
      </w:r>
      <w:r>
        <w:rPr>
          <w:rFonts w:ascii="Arial Narrow;sans-serif" w:hAnsi="Arial Narrow;sans-serif"/>
          <w:b w:val="false"/>
          <w:color w:val="000000"/>
          <w:sz w:val="20"/>
        </w:rPr>
        <w:t>and generally discusses the results of operations for fiscal year 2023 compared with 2022.</w:t>
      </w:r>
      <w:r>
        <w:rPr>
          <w:color w:val="000000"/>
        </w:rPr>
        <w:t xml:space="preserve"> </w:t>
      </w:r>
      <w:r>
        <w:rPr>
          <w:rFonts w:ascii="Arial Narrow;sans-serif" w:hAnsi="Arial Narrow;sans-serif"/>
          <w:b w:val="false"/>
          <w:color w:val="000000"/>
          <w:sz w:val="20"/>
        </w:rPr>
        <w:t xml:space="preserve">For our comparison and discussion of 2022 and 2021, see Item 7: Management’s Discussion and Analysis of Financial Condition and Results of Operations in Part II of our 2022 </w:t>
      </w:r>
      <w:hyperlink r:id="rId4">
        <w:r>
          <w:rPr>
            <w:rStyle w:val="InternetLink"/>
            <w:rFonts w:ascii="Arial Narrow;sans-serif" w:hAnsi="Arial Narrow;sans-serif"/>
            <w:b w:val="false"/>
            <w:color w:val="0000FF"/>
            <w:sz w:val="20"/>
            <w:u w:val="single"/>
          </w:rPr>
          <w:t>Annual Report</w:t>
        </w:r>
      </w:hyperlink>
      <w:r>
        <w:rPr>
          <w:rFonts w:ascii="Arial Narrow;sans-serif" w:hAnsi="Arial Narrow;sans-serif"/>
          <w:b w:val="false"/>
          <w:color w:val="000000"/>
          <w:sz w:val="20"/>
        </w:rPr>
        <w:t xml:space="preserve">. For our discussion of market risk information for 2022, see Item 7A: Quantitative and Qualitative Disclosures About Market Risk in Part II of our 2022 </w:t>
      </w:r>
      <w:hyperlink r:id="rId5">
        <w:r>
          <w:rPr>
            <w:rStyle w:val="InternetLink"/>
            <w:rFonts w:ascii="Arial Narrow;sans-serif" w:hAnsi="Arial Narrow;sans-serif"/>
            <w:b w:val="false"/>
            <w:color w:val="0000FF"/>
            <w:sz w:val="20"/>
            <w:u w:val="single"/>
          </w:rPr>
          <w:t>Annual Report</w:t>
        </w:r>
      </w:hyperlink>
      <w:r>
        <w:rPr>
          <w:rFonts w:ascii="Arial Narrow;sans-serif" w:hAnsi="Arial Narrow;sans-serif"/>
          <w:b w:val="false"/>
          <w:color w:val="000000"/>
          <w:sz w:val="20"/>
        </w:rPr>
        <w:t xml:space="preserve">. The following discussion and analysis contains forward-looking statements and should also be read in conjunction with </w:t>
      </w:r>
      <w:hyperlink w:anchor="i32edfa625ac64f068feac7cf09039254_34">
        <w:r>
          <w:rPr>
            <w:rStyle w:val="InternetLink"/>
            <w:rFonts w:ascii="Arial Narrow;sans-serif" w:hAnsi="Arial Narrow;sans-serif"/>
            <w:b w:val="false"/>
            <w:color w:val="0000FF"/>
            <w:sz w:val="20"/>
            <w:u w:val="single"/>
          </w:rPr>
          <w:t>Item 1A: Risk Factors</w:t>
        </w:r>
      </w:hyperlink>
      <w:r>
        <w:rPr>
          <w:color w:val="000000"/>
        </w:rPr>
        <w:t xml:space="preserve"> </w:t>
      </w:r>
      <w:r>
        <w:rPr>
          <w:rFonts w:ascii="Arial Narrow;sans-serif" w:hAnsi="Arial Narrow;sans-serif"/>
          <w:b w:val="false"/>
          <w:color w:val="000000"/>
          <w:sz w:val="20"/>
        </w:rPr>
        <w:t>in Part I, as well as other cautionary statements and risks described elsewhere in this 2023 Annual Report, before deciding to purchase, hold or sell shares of our common stock.</w:t>
      </w:r>
    </w:p>
    <w:tbl>
      <w:tblPr>
        <w:tblW w:w="3086" w:type="dxa"/>
        <w:jc w:val="left"/>
        <w:tblInd w:w="0" w:type="dxa"/>
        <w:tblLayout w:type="fixed"/>
        <w:tblCellMar>
          <w:top w:w="28" w:type="dxa"/>
          <w:left w:w="28" w:type="dxa"/>
          <w:bottom w:w="28" w:type="dxa"/>
          <w:right w:w="28" w:type="dxa"/>
        </w:tblCellMar>
      </w:tblPr>
      <w:tblGrid>
        <w:gridCol w:w="982"/>
        <w:gridCol w:w="862"/>
        <w:gridCol w:w="870"/>
        <w:gridCol w:w="109"/>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Overview</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67">
              <w:r>
                <w:rPr>
                  <w:rStyle w:val="InternetLink"/>
                  <w:rFonts w:ascii="Arial Narrow;sans-serif" w:hAnsi="Arial Narrow;sans-serif"/>
                  <w:b w:val="false"/>
                  <w:color w:val="0000FF"/>
                  <w:sz w:val="20"/>
                  <w:u w:val="single"/>
                </w:rPr>
                <w:t>28</w:t>
              </w:r>
            </w:hyperlink>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Results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70">
              <w:r>
                <w:rPr>
                  <w:rStyle w:val="InternetLink"/>
                  <w:rFonts w:ascii="Arial Narrow;sans-serif" w:hAnsi="Arial Narrow;sans-serif"/>
                  <w:b w:val="false"/>
                  <w:color w:val="0000FF"/>
                  <w:sz w:val="20"/>
                  <w:u w:val="single"/>
                </w:rPr>
                <w:t>29</w:t>
              </w:r>
            </w:hyperlink>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Liquidity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97">
              <w:r>
                <w:rPr>
                  <w:rStyle w:val="InternetLink"/>
                  <w:rFonts w:ascii="Arial Narrow;sans-serif" w:hAnsi="Arial Narrow;sans-serif"/>
                  <w:b w:val="false"/>
                  <w:color w:val="0000FF"/>
                  <w:sz w:val="20"/>
                  <w:u w:val="single"/>
                </w:rPr>
                <w:t>35</w:t>
              </w:r>
            </w:hyperlink>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Capital Resources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12">
              <w:r>
                <w:rPr>
                  <w:rStyle w:val="InternetLink"/>
                  <w:rFonts w:ascii="Arial Narrow;sans-serif" w:hAnsi="Arial Narrow;sans-serif"/>
                  <w:b w:val="false"/>
                  <w:color w:val="0000FF"/>
                  <w:sz w:val="20"/>
                  <w:u w:val="single"/>
                </w:rPr>
                <w:t>38</w:t>
              </w:r>
            </w:hyperlink>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Critical Accounting Estimates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18">
              <w:r>
                <w:rPr>
                  <w:rStyle w:val="InternetLink"/>
                  <w:rFonts w:ascii="Arial Narrow;sans-serif" w:hAnsi="Arial Narrow;sans-serif"/>
                  <w:b w:val="false"/>
                  <w:color w:val="0000FF"/>
                  <w:sz w:val="20"/>
                  <w:u w:val="single"/>
                </w:rPr>
                <w:t>40</w:t>
              </w:r>
            </w:hyperlink>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Recent Accounting Pronouncements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21">
              <w:r>
                <w:rPr>
                  <w:rStyle w:val="InternetLink"/>
                  <w:rFonts w:ascii="Arial Narrow;sans-serif" w:hAnsi="Arial Narrow;sans-serif"/>
                  <w:b w:val="false"/>
                  <w:color w:val="0000FF"/>
                  <w:sz w:val="20"/>
                  <w:u w:val="single"/>
                </w:rPr>
                <w:t>41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0520"/>
                <wp:effectExtent l="0" t="0" r="0" b="0"/>
                <wp:wrapNone/>
                <wp:docPr id="29" name="Frame2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0" w:after="0"/>
        <w:jc w:val="left"/>
        <w:rPr/>
      </w:pPr>
      <w:r>
        <w:rPr>
          <w:rFonts w:ascii="Arial Narrow;sans-serif" w:hAnsi="Arial Narrow;sans-serif"/>
          <w:b w:val="false"/>
          <w:color w:val="000000"/>
          <w:sz w:val="20"/>
        </w:rPr>
        <w:t>In 2023, we reported net earnings of $134, or 0.9% of net sales, $0.82 per diluted share and EBIT of $251, or 1.8% of net sales. Adjusted EBIT</w:t>
      </w:r>
      <w:r>
        <w:rPr>
          <w:rFonts w:ascii="Arial Narrow;sans-serif" w:hAnsi="Arial Narrow;sans-serif"/>
          <w:b w:val="false"/>
          <w:color w:val="000000"/>
          <w:sz w:val="13"/>
        </w:rPr>
        <w:t>1</w:t>
      </w:r>
      <w:r>
        <w:rPr>
          <w:color w:val="000000"/>
        </w:rPr>
        <w:t xml:space="preserve"> </w:t>
      </w:r>
      <w:r>
        <w:rPr>
          <w:rFonts w:ascii="Arial Narrow;sans-serif" w:hAnsi="Arial Narrow;sans-serif"/>
          <w:b w:val="false"/>
          <w:color w:val="000000"/>
          <w:sz w:val="20"/>
        </w:rPr>
        <w:t>was $567, or 4.0% of net sales, and Adjusted EPS</w:t>
      </w:r>
      <w:r>
        <w:rPr>
          <w:rFonts w:ascii="Arial Narrow;sans-serif" w:hAnsi="Arial Narrow;sans-serif"/>
          <w:b w:val="false"/>
          <w:color w:val="000000"/>
          <w:sz w:val="13"/>
        </w:rPr>
        <w:t>1</w:t>
      </w:r>
      <w:r>
        <w:rPr>
          <w:color w:val="000000"/>
        </w:rPr>
        <w:t xml:space="preserve"> </w:t>
      </w:r>
      <w:r>
        <w:rPr>
          <w:rFonts w:ascii="Arial Narrow;sans-serif" w:hAnsi="Arial Narrow;sans-serif"/>
          <w:b w:val="false"/>
          <w:color w:val="000000"/>
          <w:sz w:val="20"/>
        </w:rPr>
        <w:t>was $2.12, which exclude the impacts of charges related to the wind-down of Canadian operations and a supply chain asset impairment and related charge.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company net sales decreased 5.8%, compared with 2022. This included a negative 245 basis point impact from the wind-down of Canadian operations and a positive impact of approximately $190, or 130 basis points, from the 53rd week. We saw sequential improvement in topline trends across both banners throughout the year.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continued to manage with leaner inventories and exited 2023 with overall ending inventory levels 3% lower than the fourth quarter of 2022 and a positive sales-to-inventory spread. This lower level of inventory required fewer markdowns and helped drive 95 basis points of expansion in our gross profit as a rate of sales, compared with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remain committed to delivering profitable growth while improving the customer experience. Our results reflect our focus throughout 2023 on our three priorities: improve Nordstrom Rack performance, increase inventory productivity and optimize our supply chain. We will continue to build on the progress we made in 2023 as we focus our efforts on three refreshed key priorities in 2024: driving Nordstrom banner growth, optimizing operationally and building on momentum at the Rack.</w:t>
      </w:r>
    </w:p>
    <w:p>
      <w:pPr>
        <w:pStyle w:val="TextBody"/>
        <w:bidi w:val="0"/>
        <w:spacing w:lineRule="auto" w:line="288" w:before="180" w:after="283"/>
        <w:jc w:val="left"/>
        <w:rPr/>
      </w:pPr>
      <w:r>
        <w:rPr>
          <w:rFonts w:ascii="Arial Narrow;sans-serif" w:hAnsi="Arial Narrow;sans-serif"/>
          <w:b/>
          <w:color w:val="000000"/>
          <w:sz w:val="20"/>
        </w:rPr>
        <w:t>Driving Nordstrom banner growth</w:t>
      </w:r>
      <w:r>
        <w:rPr>
          <w:color w:val="000000"/>
        </w:rPr>
        <w:t xml:space="preserve"> – </w:t>
      </w:r>
      <w:r>
        <w:rPr>
          <w:rFonts w:ascii="Arial Narrow;sans-serif" w:hAnsi="Arial Narrow;sans-serif"/>
          <w:b w:val="false"/>
          <w:color w:val="000000"/>
          <w:sz w:val="20"/>
        </w:rPr>
        <w:t>Our first priority is to drive growth at our Nordstrom banner, with a focus on digital-led growth supported by our stores. In 2024, we plan to launch our digital marketplace on Nordstrom.com, which will allow us to grow our curated online assortment to serve more customers on even more occasions through increasing our use of unowned inventory. Marketplace will allow our customers to shop more products and sizes from their favorite brands, while providing them more access to new and emerging brands. Expanding our assortment through unowned inventory has the potential to drive GMV growth in addition to providing compelling economics.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will also focus on driving growth at our Nordstrom banner through increasing customer engagement and improving retention. We will do this through amplifying the brands that matter most to our customers and ensuring we have consistent depth in these brands across our stores and online, with our Beauty division playing a prominent role.</w:t>
      </w:r>
    </w:p>
    <w:p>
      <w:pPr>
        <w:pStyle w:val="TextBody"/>
        <w:bidi w:val="0"/>
        <w:spacing w:lineRule="auto" w:line="288" w:before="180" w:after="283"/>
        <w:jc w:val="left"/>
        <w:rPr/>
      </w:pPr>
      <w:r>
        <w:rPr>
          <w:rFonts w:ascii="Arial Narrow;sans-serif" w:hAnsi="Arial Narrow;sans-serif"/>
          <w:b/>
          <w:color w:val="000000"/>
          <w:sz w:val="20"/>
        </w:rPr>
        <w:t>Optimizing operationally</w:t>
      </w:r>
      <w:r>
        <w:rPr>
          <w:color w:val="000000"/>
        </w:rPr>
        <w:t xml:space="preserve"> – </w:t>
      </w:r>
      <w:r>
        <w:rPr>
          <w:rFonts w:ascii="Arial Narrow;sans-serif" w:hAnsi="Arial Narrow;sans-serif"/>
          <w:b w:val="false"/>
          <w:color w:val="000000"/>
          <w:sz w:val="20"/>
        </w:rPr>
        <w:t xml:space="preserve">We made significant progress on our supply chain initiatives in 2023, which drove improvements in customer experience and profitability. We delivered a better experience to our customers through faster delivery, lower cancellation rates and increased accuracy of inventory, while also driving cost savings. In the fourth quarter of 2023, our team delivered the sixth consecutive quarter of 50-plus basis points of improvement in variable supply chain expense savings, while at the same time improving our click-to-delivery speed.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plan to build upon these successes in 2024, with the end goal of enhancing the customer experience through faster delivery, and improving our cost position by maximizing our inventory value throughout its lifecycle. We are making investments in systems and technology enablers to standardize and streamline our inventory processes, expanding the scale of our RFID utilization and improving the inventory movement within our business. </w:t>
      </w:r>
    </w:p>
    <w:p>
      <w:pPr>
        <w:pStyle w:val="TextBody"/>
        <w:bidi w:val="0"/>
        <w:spacing w:lineRule="auto" w:line="288" w:before="180" w:after="283"/>
        <w:jc w:val="left"/>
        <w:rPr/>
      </w:pPr>
      <w:r>
        <w:rPr>
          <w:rFonts w:ascii="Arial Narrow;sans-serif" w:hAnsi="Arial Narrow;sans-serif"/>
          <w:b/>
          <w:color w:val="000000"/>
          <w:sz w:val="20"/>
        </w:rPr>
        <w:t>Building on momentum at Nordstrom Rack</w:t>
      </w:r>
      <w:r>
        <w:rPr>
          <w:color w:val="000000"/>
        </w:rPr>
        <w:t xml:space="preserve"> – </w:t>
      </w:r>
      <w:r>
        <w:rPr>
          <w:rFonts w:ascii="Arial Narrow;sans-serif" w:hAnsi="Arial Narrow;sans-serif"/>
          <w:b w:val="false"/>
          <w:color w:val="000000"/>
          <w:sz w:val="20"/>
        </w:rPr>
        <w:t xml:space="preserve">In 2023, we opened 19 new stores and our intent is to open 22 new stores in 2024. We believe new Rack stores are a great investment, with returns that exceed our cost of capital and have a short payback period. Expanding our network of stores also brings our omni-channel services closer to the customer, giving them more reasons and opportunities to engage with us.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priority for 2024 is to continue building on our momentum from 2023 and deliver topline Rack growth, led by stores and supported by enhanced digital capabilities. We aim to deliver great brands at great prices for our customers at Nordstrom Rack, and we continue to improve by growing the most desirable brands offered, driving greater engagement and profitability at NordstromRack.com and expanding our reach and convenience with new Rack stores in key markets.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proud of the efforts that we undertook in 2023, as well as the outcomes that enhanced the customer experience and drove improved financial results. We are committed to delivering profitable growth while improving the customer experience, and we expect 2024 to be a year of continued momentum toward the long-term strength and durability of our business.</w:t>
      </w:r>
    </w:p>
    <w:p>
      <w:pPr>
        <w:pStyle w:val="TextBody"/>
        <w:bidi w:val="0"/>
        <w:spacing w:lineRule="auto" w:line="288" w:before="0" w:after="0"/>
        <w:jc w:val="left"/>
        <w:rPr/>
      </w:pPr>
      <w:r>
        <w:rPr>
          <w:rFonts w:ascii="Arial Narrow;sans-serif" w:hAnsi="Arial Narrow;sans-serif"/>
          <w:b w:val="false"/>
          <w:color w:val="000000"/>
          <w:sz w:val="13"/>
        </w:rPr>
        <w:t>1</w:t>
      </w:r>
      <w:r>
        <w:rPr>
          <w:color w:val="000000"/>
        </w:rPr>
        <w:t xml:space="preserve"> </w:t>
      </w:r>
      <w:r>
        <w:rPr>
          <w:rFonts w:ascii="Arial Narrow;sans-serif" w:hAnsi="Arial Narrow;sans-serif"/>
          <w:b w:val="false"/>
          <w:color w:val="000000"/>
          <w:sz w:val="20"/>
        </w:rPr>
        <w:t>Adjusted EBIT and Adjusted EPS are non-GAAP financial measures. For a reconciliation between GAAP and non-GAAP financial measures, see Adjusted EBIT, Adjusted EBITDA, Adjusted EBIT margin and Adjusted EPS (Non-GAAP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6705"/>
                <wp:effectExtent l="0" t="0" r="0" b="0"/>
                <wp:wrapNone/>
                <wp:docPr id="30" name="Frame2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RESULTS OF OPERATIONS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 our ongoing effort to enhance the customer experience, we are focused on providing a seamless retail experience across our Company. We invested early in integrating our operations, merchandising and technology across our stores and online in both our Nordstrom and Nordstrom Rack banners. By connecting our digital and physical assets across Nordstrom and Nordstrom Rack, we are able to better serve customers when, where and how they want to shop. We have one Retail reportable segment and analyze our results on a total Company basis, using customer, market share, operational and net sales metrics.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operate on a 52/53-week fiscal year ending on the Saturday closest to January 31st. References to 2023 relate to the 53-week fiscal year ending February 3, 2024. References to any other years included within this document are based on a 52-week fiscal year.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monitor a number of key operating metrics to evaluate our performance. In addition to net sales, net earnings and other results under GAAP, two other key operating metrics we use are GMV and inventory turnover rate. Beginning in the first quarter of 2023, we made changes to how we calculate these metrics to more closely align with how our business is operated. Changes in the methodologies are discussed below and prior periods have been adjusted to reflect a comparable presentation.</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i/>
          <w:color w:val="000000"/>
          <w:sz w:val="20"/>
        </w:rPr>
        <w:t>GMV:</w:t>
      </w:r>
      <w:r>
        <w:rPr>
          <w:color w:val="000000"/>
        </w:rPr>
        <w:t xml:space="preserve"> </w:t>
      </w:r>
      <w:r>
        <w:rPr>
          <w:rFonts w:ascii="Arial Narrow;sans-serif" w:hAnsi="Arial Narrow;sans-serif"/>
          <w:b w:val="false"/>
          <w:color w:val="000000"/>
          <w:sz w:val="20"/>
        </w:rPr>
        <w:t>calculated as the total dollar value of merchandise sold through our digital platforms and stores. GMV includes net merchandise sales from inventory we own, as well as the retail value of merchandise sold under our unowned inventory models with our vendors. We use GMV as an indicator of the scale and growth of our operations and the impact of our unowned inventory models. Prior to the first quarter of 2023, we also included non-merchandise sales in our GMV calculation.</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i/>
          <w:color w:val="000000"/>
          <w:sz w:val="20"/>
        </w:rPr>
        <w:t>Inventory Turnover Rate:</w:t>
      </w:r>
      <w:r>
        <w:rPr>
          <w:color w:val="000000"/>
        </w:rPr>
        <w:t xml:space="preserve"> </w:t>
      </w:r>
      <w:r>
        <w:rPr>
          <w:rFonts w:ascii="Arial Narrow;sans-serif" w:hAnsi="Arial Narrow;sans-serif"/>
          <w:b w:val="false"/>
          <w:color w:val="000000"/>
          <w:sz w:val="20"/>
        </w:rPr>
        <w:t>calculated as the trailing 4-quarter merchandise cost of sales divided by the trailing 13-month average inventory. Inventory turnover rate is an indicator of our success in optimizing inventory volumes in accordance with customer demand. Prior to the first quarter of 2023, we calculated inventory turnover rate as the trailing 4-quarter cost of sales and related buying and occupancy costs divided by the trailing 4-quarter average inventory.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Sales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table summarizes net sales: </w:t>
      </w:r>
    </w:p>
    <w:tbl>
      <w:tblPr>
        <w:tblW w:w="4399" w:type="dxa"/>
        <w:jc w:val="left"/>
        <w:tblInd w:w="0" w:type="dxa"/>
        <w:tblLayout w:type="fixed"/>
        <w:tblCellMar>
          <w:top w:w="28" w:type="dxa"/>
          <w:left w:w="28" w:type="dxa"/>
          <w:bottom w:w="28" w:type="dxa"/>
          <w:right w:w="28" w:type="dxa"/>
        </w:tblCellMar>
      </w:tblPr>
      <w:tblGrid>
        <w:gridCol w:w="895"/>
        <w:gridCol w:w="784"/>
        <w:gridCol w:w="796"/>
        <w:gridCol w:w="330"/>
        <w:gridCol w:w="331"/>
        <w:gridCol w:w="286"/>
        <w:gridCol w:w="323"/>
        <w:gridCol w:w="323"/>
        <w:gridCol w:w="331"/>
      </w:tblGrid>
      <w:tr>
        <w:trPr/>
        <w:tc>
          <w:tcPr>
            <w:tcW w:w="89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2022</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sales:</w:t>
            </w:r>
          </w:p>
        </w:tc>
        <w:tc>
          <w:tcPr>
            <w:tcW w:w="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$9,436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$10,279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Rack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4,783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net sales</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$14,219</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$15,092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sales (decrease) increase:</w:t>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Rack</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Company</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Digital sales:</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Digital sales as a % of total net sales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Digital sales decrease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GMV (decrease) increase:</w:t>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Nordstrom </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47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Total Company </w:t>
            </w:r>
          </w:p>
        </w:tc>
        <w:tc>
          <w:tcPr>
            <w:tcW w:w="6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(6.1</w:t>
            </w:r>
            <w:r>
              <w:rPr>
                <w:color w:val="000000"/>
              </w:rPr>
              <w:t>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4.6 </w:t>
            </w:r>
          </w:p>
        </w:tc>
        <w:tc>
          <w:tcPr>
            <w:tcW w:w="3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Company net sales and GMV decreased for the full fiscal year compared with 2022. The wind-down of our Canadian operations as of March 2, 2023 had a negative impact on net sales of 245 basis points compared with 2022 (see Note 2: Canada Wind-down in Item 8). This was partially offset by an approximately 130 basis point positive impact and approximately $190 in additional net sales related to the 53rd week. For the full fiscal year, active and beauty were the strongest categories compared with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0520"/>
                <wp:effectExtent l="0" t="0" r="0" b="0"/>
                <wp:wrapNone/>
                <wp:docPr id="31" name="Frame2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Nordstrom net sales and GMV decreased compared with 2022, which reflected a decrease in the number of items sold, partially offset by an increase in the average selling price per item sold. The wind-down of Canadian operations had a negative impact on Nordstrom banner net sales of 360 basis points, partially offset by a 120 basis point positive impact from the 53rd week, compared with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Nordstrom Rack net sales decreased compared with 2022, which reflected a decrease in the number of items sold, partially offset by an increase in the average selling price per item sold. Eliminating store fulfillment for Nordstrom Rack digital orders during the third quarter of 2022 negatively impacted Nordstrom Rack sales by approximately 300 basis points for the full fiscal year compared with 2022. This was partially offset by an approximately 150 basis point positive impact related to the 53rd week.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Digital sales decreased compared with 2022. Eliminating store fulfillment for Nordstrom Rack digital orders during the third quarter of 2022 and sunsetting Trunk Club in the second quarter of 2022 negatively impacted digital sales by approximately 350 basis points for the full fiscal year compared with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year, we opened 19 Nordstrom Rack stores and relocated one Nordstrom Rack store. We closed one Nordstrom store, one Nordstrom Local service hub, one ASOS | Nordstrom store and two Nordstrom Rack stores. In addition, we deconsolidated six Nordstrom and seven Nordstrom Rack stores in Canada as of March 2, 2023 (see Note 2: Canada Wind-down in Item 8).</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3: Revenue in Item 8 for information about disaggregated revenues.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Credit Card Revenues, Net</w:t>
      </w:r>
    </w:p>
    <w:p>
      <w:pPr>
        <w:pStyle w:val="TextBody"/>
        <w:bidi w:val="0"/>
        <w:spacing w:lineRule="auto" w:line="256" w:before="0" w:after="0"/>
        <w:jc w:val="left"/>
        <w:rPr>
          <w:rFonts w:ascii="Arial Narrow;sans-serif" w:hAnsi="Arial Narrow;sans-serif"/>
          <w:b w:val="false"/>
          <w:color w:val="000000"/>
          <w:sz w:val="20"/>
        </w:rPr>
      </w:pPr>
      <w:r>
        <w:rPr>
          <w:rFonts w:ascii="Arial Narrow;sans-serif" w:hAnsi="Arial Narrow;sans-serif"/>
          <w:b w:val="false"/>
          <w:color w:val="000000"/>
          <w:sz w:val="20"/>
        </w:rPr>
        <w:t>Credit card revenues, net increased $36 compared with 2022, due to increased finance charges from higher rates and outstanding balances, and revenue recognized in connection with our 2022 TD program agreement amendment. The increase was partially offset by increased credit losses.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2024 Total Revenue Outlook</w:t>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In fiscal 2024, we expect a total revenue range, including retail sales and credit card revenues, of 2% decline to 1% growth compared with the 53-week fiscal 2023, which includes an approximately 135 basis point unfavorable impact from the 53rd week.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Gross Profit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gross profit:</w:t>
      </w:r>
    </w:p>
    <w:tbl>
      <w:tblPr>
        <w:tblW w:w="3937" w:type="dxa"/>
        <w:jc w:val="left"/>
        <w:tblInd w:w="0" w:type="dxa"/>
        <w:tblLayout w:type="fixed"/>
        <w:tblCellMar>
          <w:top w:w="28" w:type="dxa"/>
          <w:left w:w="28" w:type="dxa"/>
          <w:bottom w:w="28" w:type="dxa"/>
          <w:right w:w="28" w:type="dxa"/>
        </w:tblCellMar>
      </w:tblPr>
      <w:tblGrid>
        <w:gridCol w:w="774"/>
        <w:gridCol w:w="680"/>
        <w:gridCol w:w="690"/>
        <w:gridCol w:w="293"/>
        <w:gridCol w:w="293"/>
        <w:gridCol w:w="241"/>
        <w:gridCol w:w="285"/>
        <w:gridCol w:w="286"/>
        <w:gridCol w:w="241"/>
        <w:gridCol w:w="154"/>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2023</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2022</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$4,916</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 as a % of net sales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34.6</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turnover rate</w:t>
            </w:r>
          </w:p>
        </w:tc>
        <w:tc>
          <w:tcPr>
            <w:tcW w:w="5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3.58</w:t>
            </w:r>
            <w:r>
              <w:rPr>
                <w:color w:val="000000"/>
              </w:rPr>
              <w:t>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Gross profit decreased $157, compared with 2022, primarily due to lower sales, partially offset by lower markdowns and lower buying and occupancy costs. Gross profit increased 95 basis points as a rate of net sales, compared with 2022, due to lower markdowns and lower buying and occupancy costs, partially offset by deleverage on lower sales.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Ending inventory as of February 3, 2024 decreased 3%, compared with January 28, 2023, versus a 2% increase in sales in the fourth quarter of 2023, compared with 2022. The decrease in inventory levels compared with 2022 is a result of continued strong inventory discipline.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6705"/>
                <wp:effectExtent l="0" t="0" r="0" b="0"/>
                <wp:wrapNone/>
                <wp:docPr id="32" name="Frame3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Selling, General and Administrative Expenses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SG&amp;A is summarized in the following table:</w:t>
      </w:r>
    </w:p>
    <w:tbl>
      <w:tblPr>
        <w:tblW w:w="4268" w:type="dxa"/>
        <w:jc w:val="left"/>
        <w:tblInd w:w="0" w:type="dxa"/>
        <w:tblLayout w:type="fixed"/>
        <w:tblCellMar>
          <w:top w:w="28" w:type="dxa"/>
          <w:left w:w="28" w:type="dxa"/>
          <w:bottom w:w="28" w:type="dxa"/>
          <w:right w:w="28" w:type="dxa"/>
        </w:tblCellMar>
      </w:tblPr>
      <w:tblGrid>
        <w:gridCol w:w="895"/>
        <w:gridCol w:w="784"/>
        <w:gridCol w:w="796"/>
        <w:gridCol w:w="293"/>
        <w:gridCol w:w="293"/>
        <w:gridCol w:w="241"/>
        <w:gridCol w:w="285"/>
        <w:gridCol w:w="286"/>
        <w:gridCol w:w="241"/>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2023</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2022</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SG&amp;A expenses</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$4,855</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SG&amp;A expenses as a % of net sales</w:t>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34.2</w:t>
            </w:r>
            <w:r>
              <w:rPr>
                <w:color w:val="000000"/>
              </w:rPr>
              <w:t>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33.4 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SG&amp;A decreased $191 in 2023, compared with 2022, primarily due to lower variable costs, driven by lower sales and supply chain efficiency initiatives, partially offset by higher labor costs and a $32 supply chain asset impairment and related charge. In 2022, SG&amp;A included a supply chain technology and related asset impairment charge of $70 and a $51 gain on sale of our interest in a corporate office building. SG&amp;A increased 70 basis points as a rate of net sales compared with 2022, primarily due to deleverage on lower sales and higher labor costs, partially offset by supply chain efficiencies.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Canada Wind-down Costs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recognized charges associated with the wind-down of Nordstrom Canada of $284 in the year ended February 3, 2024 (see Note 2: Canada Wind-down in Item 8).</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Earnings Before Interest and Income Taxes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EBIT is summarized in the following table:</w:t>
      </w:r>
    </w:p>
    <w:tbl>
      <w:tblPr>
        <w:tblW w:w="3307" w:type="dxa"/>
        <w:jc w:val="left"/>
        <w:tblInd w:w="0" w:type="dxa"/>
        <w:tblLayout w:type="fixed"/>
        <w:tblCellMar>
          <w:top w:w="28" w:type="dxa"/>
          <w:left w:w="28" w:type="dxa"/>
          <w:bottom w:w="28" w:type="dxa"/>
          <w:right w:w="28" w:type="dxa"/>
        </w:tblCellMar>
      </w:tblPr>
      <w:tblGrid>
        <w:gridCol w:w="629"/>
        <w:gridCol w:w="551"/>
        <w:gridCol w:w="559"/>
        <w:gridCol w:w="233"/>
        <w:gridCol w:w="233"/>
        <w:gridCol w:w="241"/>
        <w:gridCol w:w="233"/>
        <w:gridCol w:w="233"/>
        <w:gridCol w:w="241"/>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2023</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2022</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$251</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EBIT as a % of net sales</w:t>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w:t>
            </w:r>
            <w:r>
              <w:rPr>
                <w:color w:val="000000"/>
              </w:rPr>
              <w:t>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EBIT decreased $214 and 130 basis points as a rate of net sales in 2023, compared with 2022, primarily due to $284 of expenses associated with the wind-down of Canadian operations, a $32 supply chain asset impairment and related charge and lower sales, partially offset by an improved gross profit rate and supply chain efficiency initiatives. In 2022, EBIT included a supply chain technology and related asset impairment charge of $70, a $51 gain on sale of our interest in a corporate office building, and an $18 impairment charge related to costs associated with the wind-down of Trunk Club.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Expense, Net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Interest expense, net is summarized in the following table:</w:t>
      </w:r>
    </w:p>
    <w:tbl>
      <w:tblPr>
        <w:tblW w:w="4860" w:type="dxa"/>
        <w:jc w:val="left"/>
        <w:tblInd w:w="0" w:type="dxa"/>
        <w:tblLayout w:type="fixed"/>
        <w:tblCellMar>
          <w:top w:w="28" w:type="dxa"/>
          <w:left w:w="28" w:type="dxa"/>
          <w:bottom w:w="28" w:type="dxa"/>
          <w:right w:w="28" w:type="dxa"/>
        </w:tblCellMar>
      </w:tblPr>
      <w:tblGrid>
        <w:gridCol w:w="1236"/>
        <w:gridCol w:w="1084"/>
        <w:gridCol w:w="1100"/>
        <w:gridCol w:w="233"/>
        <w:gridCol w:w="233"/>
        <w:gridCol w:w="136"/>
        <w:gridCol w:w="233"/>
        <w:gridCol w:w="233"/>
        <w:gridCol w:w="109"/>
        <w:gridCol w:w="109"/>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long-term debt and short-term borrowings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$150</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Capitalized interest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Interest expense, net</w:t>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$104</w:t>
            </w:r>
            <w:r>
              <w:rPr>
                <w:color w:val="000000"/>
              </w:rPr>
              <w:t>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 Narrow;sans-serif" w:hAnsi="Arial Narrow;sans-serif"/>
          <w:b w:val="false"/>
          <w:color w:val="000000"/>
          <w:sz w:val="20"/>
        </w:rPr>
        <w:t xml:space="preserve">Interest expense, net decreased $24 in </w:t>
      </w:r>
      <w:r>
        <w:rPr>
          <w:rFonts w:ascii="Arial Narrow;sans-serif" w:hAnsi="Arial Narrow;sans-serif"/>
          <w:b w:val="false"/>
          <w:color w:val="000000"/>
          <w:sz w:val="20"/>
          <w:shd w:fill="FFFFFF" w:val="clear"/>
        </w:rPr>
        <w:t xml:space="preserve">2023 compared with 2022, </w:t>
      </w:r>
      <w:r>
        <w:rPr>
          <w:rFonts w:ascii="Arial Narrow;sans-serif" w:hAnsi="Arial Narrow;sans-serif"/>
          <w:b w:val="false"/>
          <w:color w:val="000000"/>
          <w:sz w:val="20"/>
        </w:rPr>
        <w:t>primarily due to an increase in interest income from higher prevailing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3" name="Frame3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Income tax expense is summarized in the following table:</w:t>
      </w:r>
    </w:p>
    <w:tbl>
      <w:tblPr>
        <w:tblW w:w="2952" w:type="dxa"/>
        <w:jc w:val="left"/>
        <w:tblInd w:w="0" w:type="dxa"/>
        <w:tblLayout w:type="fixed"/>
        <w:tblCellMar>
          <w:top w:w="28" w:type="dxa"/>
          <w:left w:w="28" w:type="dxa"/>
          <w:bottom w:w="28" w:type="dxa"/>
          <w:right w:w="28" w:type="dxa"/>
        </w:tblCellMar>
      </w:tblPr>
      <w:tblGrid>
        <w:gridCol w:w="504"/>
        <w:gridCol w:w="442"/>
        <w:gridCol w:w="449"/>
        <w:gridCol w:w="195"/>
        <w:gridCol w:w="196"/>
        <w:gridCol w:w="241"/>
        <w:gridCol w:w="210"/>
        <w:gridCol w:w="211"/>
        <w:gridCol w:w="241"/>
        <w:gridCol w:w="109"/>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Effective tax rate</w:t>
            </w:r>
          </w:p>
        </w:tc>
        <w:tc>
          <w:tcPr>
            <w:tcW w:w="3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8.6</w:t>
            </w:r>
            <w:r>
              <w:rPr>
                <w:color w:val="000000"/>
              </w:rPr>
              <w:t>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illustrates the components of our effective tax rate:</w:t>
      </w:r>
    </w:p>
    <w:tbl>
      <w:tblPr>
        <w:tblW w:w="5268" w:type="dxa"/>
        <w:jc w:val="left"/>
        <w:tblInd w:w="0" w:type="dxa"/>
        <w:tblLayout w:type="fixed"/>
        <w:tblCellMar>
          <w:top w:w="28" w:type="dxa"/>
          <w:left w:w="28" w:type="dxa"/>
          <w:bottom w:w="28" w:type="dxa"/>
          <w:right w:w="28" w:type="dxa"/>
        </w:tblCellMar>
      </w:tblPr>
      <w:tblGrid>
        <w:gridCol w:w="1356"/>
        <w:gridCol w:w="1189"/>
        <w:gridCol w:w="1204"/>
        <w:gridCol w:w="240"/>
        <w:gridCol w:w="241"/>
        <w:gridCol w:w="286"/>
        <w:gridCol w:w="210"/>
        <w:gridCol w:w="211"/>
        <w:gridCol w:w="331"/>
      </w:tblGrid>
      <w:tr>
        <w:trPr/>
        <w:tc>
          <w:tcPr>
            <w:tcW w:w="135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7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r>
      <w:tr>
        <w:trPr/>
        <w:tc>
          <w:tcPr>
            <w:tcW w:w="3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Statutory rate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local income taxes, net of federal income taxes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Federal credits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Non-deductible expenses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Stock-based compensation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Valuation allowance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on foreign operations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Excess tax over book loss on Canada wind-down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Resolution of prior period tax matters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net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Effective tax rate</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8.6</w:t>
            </w:r>
            <w:r>
              <w:rPr>
                <w:color w:val="000000"/>
              </w:rPr>
              <w:t>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27.2 </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decrease in the effective tax rate for 2023, compared with 2022, was primarily due to additional tax benefits related to the wind-down of Canadian operations and the favorable resolution of certain tax matters, partially offset by increases from additional tax expense for stock-based compensation and valuation allowance increases for Canadian deferred tax assets prior to deconsolidation.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Earnings Per Share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EPS is as follows:</w:t>
      </w:r>
    </w:p>
    <w:tbl>
      <w:tblPr>
        <w:tblW w:w="2343" w:type="dxa"/>
        <w:jc w:val="left"/>
        <w:tblInd w:w="0" w:type="dxa"/>
        <w:tblLayout w:type="fixed"/>
        <w:tblCellMar>
          <w:top w:w="28" w:type="dxa"/>
          <w:left w:w="28" w:type="dxa"/>
          <w:bottom w:w="28" w:type="dxa"/>
          <w:right w:w="28" w:type="dxa"/>
        </w:tblCellMar>
      </w:tblPr>
      <w:tblGrid>
        <w:gridCol w:w="309"/>
        <w:gridCol w:w="271"/>
        <w:gridCol w:w="275"/>
        <w:gridCol w:w="255"/>
        <w:gridCol w:w="256"/>
        <w:gridCol w:w="109"/>
        <w:gridCol w:w="248"/>
        <w:gridCol w:w="248"/>
        <w:gridCol w:w="109"/>
        <w:gridCol w:w="109"/>
        <w:gridCol w:w="154"/>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$0.82</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Diluted EPS decreased $0.69 in 2023 compared with 2022, primarily due to a net unfavorable impact of $1.30 per diluted share related to the wind-down of Canadian operations and a supply chain asset impairment and related charge in 2023 and lower sales, partially offset by an improved gross profit rate and supply chain efficiency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6705"/>
                <wp:effectExtent l="0" t="0" r="0" b="0"/>
                <wp:wrapNone/>
                <wp:docPr id="34" name="Frame3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Adjusted EBIT, Adjusted EBITDA, Adjusted EBIT Margin and Adjusted EPS (Non-GAAP financial measures)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are key financial metrics and, when used in conjunction with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Adjusted EBIT, Adjusted EBITDA, Adjusted EBIT margin and Adjusted EPS exclude certain items that we do not consider representative of our core operating performance. The financial measure calculated under GAAP which is most directly comparable to Adjusted EBIT and Adjusted EBITDA is net earnings. The financial measure calculated under GAAP which is most directly comparable to Adjusted EBIT margin is net earnings as a percent of net sales. The financial measure calculated under GAAP which is most directly comparable to Adjusted EPS is diluted EPS.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Adjusted EBIT, Adjusted EBITDA, Adjusted EBIT margin and Adjusted EPS are not measures of financial performance under GAAP and should be considered in addition to, and not as a substitute for, net earnings, net earnings as a percent of net sales, operating cash flows, earnings per share, earnings per diluted share or other financial measures performed in accordance with GAAP. Our method of determining non-GAAP financial measures may differ from other companies’ financial measures and therefore may not be comparable to methods used by other companies.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is a reconciliation of net earnings to Adjusted EBIT and Adjusted EBITDA and net earnings as a percent of net sales to Adjusted EBIT margin:</w:t>
      </w:r>
    </w:p>
    <w:tbl>
      <w:tblPr>
        <w:tblW w:w="5074" w:type="dxa"/>
        <w:jc w:val="left"/>
        <w:tblInd w:w="0" w:type="dxa"/>
        <w:tblLayout w:type="fixed"/>
        <w:tblCellMar>
          <w:top w:w="28" w:type="dxa"/>
          <w:left w:w="28" w:type="dxa"/>
          <w:bottom w:w="28" w:type="dxa"/>
          <w:right w:w="28" w:type="dxa"/>
        </w:tblCellMar>
      </w:tblPr>
      <w:tblGrid>
        <w:gridCol w:w="1227"/>
        <w:gridCol w:w="1075"/>
        <w:gridCol w:w="1088"/>
        <w:gridCol w:w="293"/>
        <w:gridCol w:w="293"/>
        <w:gridCol w:w="241"/>
        <w:gridCol w:w="284"/>
        <w:gridCol w:w="287"/>
        <w:gridCol w:w="286"/>
      </w:tblGrid>
      <w:tr>
        <w:trPr/>
        <w:tc>
          <w:tcPr>
            <w:tcW w:w="122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earnings</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 net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104</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before interest and income taxes</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251</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Supply chain asset impairment and related charges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32</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Canada wind-down costs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284</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Trunk Club wind-down costs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of interest in a corporate office building</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Adjusted EBIT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567</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 expenses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586</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developer reimbursements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(69)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Adjusted EBITDA</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$1,084</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sales</w:t>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$14,219</w:t>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$15,092</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Net earnings as a % of net sales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0.9</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EBIT margin %</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3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Adjusted EBIT margin %</w:t>
            </w:r>
          </w:p>
        </w:tc>
        <w:tc>
          <w:tcPr>
            <w:tcW w:w="5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4.0</w:t>
            </w:r>
            <w:r>
              <w:rPr>
                <w:color w:val="000000"/>
              </w:rPr>
              <w:t>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is a reconciliation of diluted EPS to Adjusted EPS:</w:t>
      </w:r>
    </w:p>
    <w:tbl>
      <w:tblPr>
        <w:tblW w:w="4719" w:type="dxa"/>
        <w:jc w:val="left"/>
        <w:tblInd w:w="0" w:type="dxa"/>
        <w:tblLayout w:type="fixed"/>
        <w:tblCellMar>
          <w:top w:w="28" w:type="dxa"/>
          <w:left w:w="28" w:type="dxa"/>
          <w:bottom w:w="28" w:type="dxa"/>
          <w:right w:w="28" w:type="dxa"/>
        </w:tblCellMar>
      </w:tblPr>
      <w:tblGrid>
        <w:gridCol w:w="1225"/>
        <w:gridCol w:w="1075"/>
        <w:gridCol w:w="1089"/>
        <w:gridCol w:w="255"/>
        <w:gridCol w:w="256"/>
        <w:gridCol w:w="136"/>
        <w:gridCol w:w="248"/>
        <w:gridCol w:w="248"/>
        <w:gridCol w:w="187"/>
      </w:tblGrid>
      <w:tr>
        <w:trPr/>
        <w:tc>
          <w:tcPr>
            <w:tcW w:w="122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r>
      <w:tr>
        <w:trPr/>
        <w:tc>
          <w:tcPr>
            <w:tcW w:w="3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Diluted EPS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$0.82</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Supply chain asset impairment and related charges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0.19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Canada wind-down costs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1.74</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Trunk Club wind-down costs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on sale of interest in a corporate office building</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Income tax impact on adjustments</w:t>
            </w:r>
            <w:r>
              <w:rPr>
                <w:rFonts w:ascii="Arial Narrow;sans-serif" w:hAnsi="Arial Narrow;sans-serif"/>
                <w:b w:val="false"/>
                <w:color w:val="000000"/>
                <w:sz w:val="12"/>
              </w:rPr>
              <w:t>1</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(0.63)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Adjusted EPS</w:t>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$2.12</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 </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6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Arial Narrow;sans-serif" w:hAnsi="Arial Narrow;sans-serif"/>
          <w:b w:val="false"/>
          <w:color w:val="000000"/>
          <w:sz w:val="10"/>
          <w:shd w:fill="FFFFFF" w:val="clear"/>
        </w:rPr>
        <w:t xml:space="preserve">1 </w:t>
      </w:r>
      <w:r>
        <w:rPr>
          <w:rFonts w:ascii="Arial Narrow;sans-serif" w:hAnsi="Arial Narrow;sans-serif"/>
          <w:b w:val="false"/>
          <w:color w:val="000000"/>
          <w:sz w:val="16"/>
          <w:shd w:fill="FFFFFF" w:val="clear"/>
        </w:rPr>
        <w:t>The income tax impact of non-GAAP adjustments is calculated using the estimated tax rate for the respective non-GAAP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35" name="Frame3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ROIC (Non-GAAP financial measure)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believe that Adjusted ROIC is a useful financial measure for investors in evaluating the efficiency and effectiveness of the capital we have invested in our business to generate returns over time. In addition, we have incorporated it in our executive incentive measures and we believe it is an important indicator of shareholders’ return over the long term.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Beginning in the second quarter of 2023, the Adjusted ROIC calculation was updated to exclude certain items that we do not consider representative of our core operating performance. Refer to non-operating related adjustments included within adjusted net operating profit after tax and adjusted average invested capital. Prior periods have been modified to conform with current period presentation.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Adjusted ROIC is not a measure of financial performance under GAAP and should be considered in addition to, and not as a substitute for, return on assets, net earnings, total assets or other GAAP financial measures. Our method of calculating a non-GAAP financial measure may differ from other companies’ methods and therefore may not be comparable to those used by other companies. The financial measure calculated under GAAP which is most directly comparable to Adjusted ROIC is return on assets. The following shows the components to reconcile the return on assets calculation to Adjusted ROIC:</w:t>
      </w:r>
    </w:p>
    <w:tbl>
      <w:tblPr>
        <w:tblW w:w="6528" w:type="dxa"/>
        <w:jc w:val="left"/>
        <w:tblInd w:w="0" w:type="dxa"/>
        <w:tblLayout w:type="fixed"/>
        <w:tblCellMar>
          <w:top w:w="28" w:type="dxa"/>
          <w:left w:w="28" w:type="dxa"/>
          <w:bottom w:w="28" w:type="dxa"/>
          <w:right w:w="28" w:type="dxa"/>
        </w:tblCellMar>
      </w:tblPr>
      <w:tblGrid>
        <w:gridCol w:w="1751"/>
        <w:gridCol w:w="1536"/>
        <w:gridCol w:w="1557"/>
        <w:gridCol w:w="293"/>
        <w:gridCol w:w="293"/>
        <w:gridCol w:w="241"/>
        <w:gridCol w:w="284"/>
        <w:gridCol w:w="287"/>
        <w:gridCol w:w="286"/>
      </w:tblGrid>
      <w:tr>
        <w:trPr/>
        <w:tc>
          <w:tcPr>
            <w:tcW w:w="1751"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Arial Narrow;sans-serif" w:hAnsi="Arial Narrow;sans-serif"/>
                <w:b/>
                <w:color w:val="000000"/>
                <w:sz w:val="18"/>
              </w:rPr>
            </w:pPr>
            <w:r>
              <w:rPr>
                <w:rFonts w:ascii="Arial Narrow;sans-serif" w:hAnsi="Arial Narrow;sans-serif"/>
                <w:b/>
                <w:color w:val="000000"/>
                <w:sz w:val="18"/>
              </w:rPr>
              <w:t>2022</w:t>
            </w:r>
          </w:p>
        </w:tc>
      </w:tr>
      <w:tr>
        <w:trPr/>
        <w:tc>
          <w:tcPr>
            <w:tcW w:w="4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earnings</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137</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before interest and income tax expense</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284</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Operating lease interest</w:t>
            </w:r>
            <w:r>
              <w:rPr>
                <w:rFonts w:ascii="Arial Narrow;sans-serif" w:hAnsi="Arial Narrow;sans-serif"/>
                <w:b w:val="false"/>
                <w:color w:val="000000"/>
                <w:sz w:val="12"/>
              </w:rPr>
              <w:t>1</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86</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Non-operating related adjustments</w:t>
            </w:r>
            <w:r>
              <w:rPr>
                <w:rFonts w:ascii="Arial Narrow;sans-serif" w:hAnsi="Arial Narrow;sans-serif"/>
                <w:b w:val="false"/>
                <w:color w:val="000000"/>
                <w:sz w:val="12"/>
              </w:rPr>
              <w:t>2</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316</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Adjusted net operating profit</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686</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Adjusted estimated income tax expense</w:t>
            </w:r>
            <w:r>
              <w:rPr>
                <w:rFonts w:ascii="Arial Narrow;sans-serif" w:hAnsi="Arial Narrow;sans-serif"/>
                <w:b w:val="false"/>
                <w:color w:val="000000"/>
                <w:sz w:val="12"/>
              </w:rPr>
              <w:t>3</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(172)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Adjusted net operating profit after tax</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$514</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Average total assets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$8,766</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Average noncurrent deferred property incentives in excess of ROU assets</w:t>
            </w:r>
            <w:r>
              <w:rPr>
                <w:rFonts w:ascii="Arial Narrow;sans-serif" w:hAnsi="Arial Narrow;sans-serif"/>
                <w:b w:val="false"/>
                <w:color w:val="000000"/>
                <w:sz w:val="12"/>
              </w:rPr>
              <w:t>4</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(157)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Average non-interest bearing current liabilities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(2,954)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Non-operating related adjustments</w:t>
            </w:r>
            <w:r>
              <w:rPr>
                <w:rFonts w:ascii="Arial Narrow;sans-serif" w:hAnsi="Arial Narrow;sans-serif"/>
                <w:b w:val="false"/>
                <w:color w:val="000000"/>
                <w:sz w:val="12"/>
              </w:rPr>
              <w:t>5</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394</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Adjusted average invested capital</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$6,049</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$5,687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Return on assets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48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Adjusted ROIC</w:t>
            </w:r>
          </w:p>
        </w:tc>
        <w:tc>
          <w:tcPr>
            <w:tcW w:w="5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8.5</w:t>
            </w:r>
            <w:r>
              <w:rPr>
                <w:color w:val="000000"/>
              </w:rPr>
              <w:t>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56" w:before="0" w:after="0"/>
        <w:ind w:left="0" w:right="0" w:hanging="9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Operating lease interest is a component of operating lease cost recorded in occupancy costs. We add back operating lease interest for purposes of calculating adjusted net operating profit for consistency with the treatment of interest expense on our debt.</w:t>
      </w:r>
    </w:p>
    <w:p>
      <w:pPr>
        <w:pStyle w:val="TextBody"/>
        <w:bidi w:val="0"/>
        <w:spacing w:lineRule="auto" w:line="288" w:before="0" w:after="0"/>
        <w:ind w:left="0" w:right="0" w:hanging="90"/>
        <w:jc w:val="left"/>
        <w:rPr/>
      </w:pPr>
      <w:r>
        <w:rPr>
          <w:rFonts w:ascii="Arial Narrow;sans-serif" w:hAnsi="Arial Narrow;sans-serif"/>
          <w:b w:val="false"/>
          <w:color w:val="000000"/>
          <w:sz w:val="10"/>
        </w:rPr>
        <w:t xml:space="preserve">2 </w:t>
      </w:r>
      <w:r>
        <w:rPr>
          <w:rFonts w:ascii="Arial Narrow;sans-serif" w:hAnsi="Arial Narrow;sans-serif"/>
          <w:b w:val="false"/>
          <w:color w:val="000000"/>
          <w:sz w:val="16"/>
        </w:rPr>
        <w:t>See the Adjusted EBIT and Adjusted EBITDA section, as well as our 2022 Annual Report, for detailed information on certain non-operating related adjustments.</w:t>
      </w:r>
    </w:p>
    <w:p>
      <w:pPr>
        <w:pStyle w:val="TextBody"/>
        <w:bidi w:val="0"/>
        <w:spacing w:lineRule="auto" w:line="288" w:before="0" w:after="0"/>
        <w:ind w:left="0" w:right="0" w:hanging="90"/>
        <w:jc w:val="left"/>
        <w:rPr/>
      </w:pPr>
      <w:r>
        <w:rPr>
          <w:rFonts w:ascii="Arial Narrow;sans-serif" w:hAnsi="Arial Narrow;sans-serif"/>
          <w:b w:val="false"/>
          <w:color w:val="000000"/>
          <w:sz w:val="10"/>
        </w:rPr>
        <w:t xml:space="preserve">3 </w:t>
      </w:r>
      <w:r>
        <w:rPr>
          <w:rFonts w:ascii="Arial Narrow;sans-serif" w:hAnsi="Arial Narrow;sans-serif"/>
          <w:b w:val="false"/>
          <w:color w:val="000000"/>
          <w:sz w:val="16"/>
        </w:rPr>
        <w:t>Adjusted estimated income tax expense is calculated by multiplying the adjusted net operating profit by the adjusted effective tax rate (which removes the impact of non-operating related adjustments) for the trailing twelve-month periods ended February 3, 2024 and January 28, 2023. The adjusted effective tax rate is calculated by dividing adjusted income tax expense by adjusted earnings before income taxes for the same trailing twelve-month periods.</w:t>
      </w:r>
    </w:p>
    <w:p>
      <w:pPr>
        <w:pStyle w:val="TextBody"/>
        <w:bidi w:val="0"/>
        <w:spacing w:lineRule="auto" w:line="288" w:before="0" w:after="0"/>
        <w:ind w:left="0" w:right="0" w:hanging="90"/>
        <w:jc w:val="left"/>
        <w:rPr/>
      </w:pPr>
      <w:r>
        <w:rPr>
          <w:rFonts w:ascii="Arial Narrow;sans-serif" w:hAnsi="Arial Narrow;sans-serif"/>
          <w:b w:val="false"/>
          <w:color w:val="000000"/>
          <w:sz w:val="10"/>
        </w:rPr>
        <w:t xml:space="preserve">4 </w:t>
      </w:r>
      <w:r>
        <w:rPr>
          <w:rFonts w:ascii="Arial Narrow;sans-serif" w:hAnsi="Arial Narrow;sans-serif"/>
          <w:b w:val="false"/>
          <w:color w:val="000000"/>
          <w:sz w:val="16"/>
        </w:rPr>
        <w:t>For leases with property incentives that exceed the ROU assets, we reclassify the amount from assets to other current liabilities and other liabilities on the Consolidated Balance Sheets. The current and noncurrent amounts are used to reduce average total assets above, as this better reflects how we manage our business.</w:t>
      </w:r>
      <w:r>
        <w:rPr>
          <w:color w:val="000000"/>
        </w:rPr>
        <w:t xml:space="preserve"> </w:t>
      </w:r>
    </w:p>
    <w:p>
      <w:pPr>
        <w:pStyle w:val="TextBody"/>
        <w:bidi w:val="0"/>
        <w:spacing w:lineRule="auto" w:line="256" w:before="0" w:after="0"/>
        <w:ind w:left="0" w:right="0" w:hanging="90"/>
        <w:jc w:val="left"/>
        <w:rPr/>
      </w:pPr>
      <w:r>
        <w:rPr>
          <w:rFonts w:ascii="Arial Narrow;sans-serif" w:hAnsi="Arial Narrow;sans-serif"/>
          <w:b w:val="false"/>
          <w:color w:val="000000"/>
          <w:sz w:val="10"/>
        </w:rPr>
        <w:t xml:space="preserve">5 </w:t>
      </w:r>
      <w:r>
        <w:rPr>
          <w:rFonts w:ascii="Arial Narrow;sans-serif" w:hAnsi="Arial Narrow;sans-serif"/>
          <w:b w:val="false"/>
          <w:color w:val="000000"/>
          <w:sz w:val="16"/>
        </w:rPr>
        <w:t>Non-operating related adjustments primarily relate to the wind-down of our Canadian operations for the trailing twelve-month period ended February 3,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6705"/>
                <wp:effectExtent l="0" t="0" r="0" b="0"/>
                <wp:wrapNone/>
                <wp:docPr id="36" name="Frame3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LIQUIDITY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strive to maintain a level of liquidity sufficient to allow us to cover our seasonal cash needs and to maintain appropriate levels of short-term borrowings. In the short term, our ongoing working capital and capital expenditure requirements, and any dividend payments or share repurchases, are generally funded through cash flows generated from operations. In addition, we have access to the commercial paper market and can draw on our Revolver for working capital, capital expenditures and general corporate purposes. 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share repurchases and other future investments.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ended fiscal year 2023 with $628 in cash and cash equivalents and $770 of additional liquidity available on our Revolver. Cash and cash equivalents as of February 3, 2024 decreased from $687 in 2022, driven by payments for capital expenditures, Canadian guarantee settlements (see Note 2: Canada Wind-down in Item 8) and dividends, partially offset by cash flows from earnings.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February 3, 2024, we had $250 in current maturities of long-term debt due April 2024 (see Note 6: Debt and Credit Facilities in Item 8). We intend to retire this outstanding debt during the first quarter of 2024 using cash on hand. We believe that our cash flows from operations are sufficient to meet our cash requirements for the next 12 months and beyond. Our cash requirements are subject to change as business conditions warrant and opportunities arise and we may elect to raise additional funds in the future through the issuance of either debt or equity.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is a summary of our cash flows by activity:</w:t>
      </w:r>
    </w:p>
    <w:tbl>
      <w:tblPr>
        <w:tblW w:w="4122" w:type="dxa"/>
        <w:jc w:val="left"/>
        <w:tblInd w:w="0" w:type="dxa"/>
        <w:tblLayout w:type="fixed"/>
        <w:tblCellMar>
          <w:top w:w="28" w:type="dxa"/>
          <w:left w:w="28" w:type="dxa"/>
          <w:bottom w:w="28" w:type="dxa"/>
          <w:right w:w="28" w:type="dxa"/>
        </w:tblCellMar>
      </w:tblPr>
      <w:tblGrid>
        <w:gridCol w:w="965"/>
        <w:gridCol w:w="846"/>
        <w:gridCol w:w="859"/>
        <w:gridCol w:w="233"/>
        <w:gridCol w:w="233"/>
        <w:gridCol w:w="136"/>
        <w:gridCol w:w="225"/>
        <w:gridCol w:w="226"/>
        <w:gridCol w:w="136"/>
        <w:gridCol w:w="109"/>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$621</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(571)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financing activities</w:t>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(109)</w:t>
            </w:r>
          </w:p>
        </w:tc>
        <w:tc>
          <w:tcPr>
            <w:tcW w:w="1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w:t>
            </w:r>
          </w:p>
        </w:tc>
        <w:tc>
          <w:tcPr>
            <w:tcW w:w="1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Activities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majority of our operating cash inflows are derived from sales. We also receive cash payments for property incentives from developers and vendors. Our operating cash outflows generally consist of payments to our merchandise vendors (net of vendor allowances) and shipping carriers, payments to our employees for wages, salaries and other employee benefits and payments to our landlords for rent. Operating cash outflows also include payments for income taxes and interest payments on our short-term and long-term borrowings. </w:t>
      </w:r>
    </w:p>
    <w:p>
      <w:pPr>
        <w:pStyle w:val="TextBody"/>
        <w:bidi w:val="0"/>
        <w:spacing w:lineRule="auto" w:line="288" w:before="180" w:after="283"/>
        <w:jc w:val="left"/>
        <w:rPr/>
      </w:pPr>
      <w:r>
        <w:rPr>
          <w:rFonts w:ascii="Arial Narrow;sans-serif" w:hAnsi="Arial Narrow;sans-serif"/>
          <w:b w:val="false"/>
          <w:color w:val="000000"/>
          <w:sz w:val="20"/>
        </w:rPr>
        <w:t>Net cash provided by operating activities</w:t>
      </w:r>
      <w:r>
        <w:rPr>
          <w:color w:val="000000"/>
          <w:shd w:fill="FFFFFF" w:val="clear"/>
        </w:rPr>
        <w:t xml:space="preserve"> </w:t>
      </w:r>
      <w:r>
        <w:rPr>
          <w:rFonts w:ascii="Arial Narrow;sans-serif" w:hAnsi="Arial Narrow;sans-serif"/>
          <w:b w:val="false"/>
          <w:color w:val="000000"/>
          <w:sz w:val="20"/>
          <w:shd w:fill="FFFFFF" w:val="clear"/>
        </w:rPr>
        <w:t>decreased $325 b</w:t>
      </w:r>
      <w:r>
        <w:rPr>
          <w:rFonts w:ascii="Arial Narrow;sans-serif" w:hAnsi="Arial Narrow;sans-serif"/>
          <w:b w:val="false"/>
          <w:color w:val="000000"/>
          <w:sz w:val="20"/>
        </w:rPr>
        <w:t>etween 2023 and 2022 primari</w:t>
      </w:r>
      <w:r>
        <w:rPr>
          <w:rFonts w:ascii="Arial Narrow;sans-serif" w:hAnsi="Arial Narrow;sans-serif"/>
          <w:b w:val="false"/>
          <w:color w:val="000000"/>
          <w:sz w:val="20"/>
          <w:shd w:fill="FFFFFF" w:val="clear"/>
        </w:rPr>
        <w:t xml:space="preserve">ly due to changes in working capital driven by the amended TD program agreement in 2022, timing of purchases and payments for inventory and Canadian guarantee settlements (see Note 2: Canada Wind-down in Item 8).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Investing Activities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investing cash outflows include payments for capital expenditures, including technology, stores and supply chain improvements. Our investing cash inflows are generally from proceeds from sales of property and equipment. Activity also includes the purchase and sale of financial interests of certain private companies and venture capital funds.</w:t>
      </w:r>
    </w:p>
    <w:p>
      <w:pPr>
        <w:pStyle w:val="TextBody"/>
        <w:bidi w:val="0"/>
        <w:spacing w:lineRule="auto" w:line="288" w:before="180" w:after="283"/>
        <w:jc w:val="left"/>
        <w:rPr/>
      </w:pPr>
      <w:r>
        <w:rPr>
          <w:rFonts w:ascii="Arial Narrow;sans-serif" w:hAnsi="Arial Narrow;sans-serif"/>
          <w:b w:val="false"/>
          <w:color w:val="000000"/>
          <w:sz w:val="20"/>
        </w:rPr>
        <w:t>Net cash used in investing activities</w:t>
      </w:r>
      <w:r>
        <w:rPr>
          <w:color w:val="000000"/>
          <w:shd w:fill="FFFFFF" w:val="clear"/>
        </w:rPr>
        <w:t xml:space="preserve"> </w:t>
      </w:r>
      <w:r>
        <w:rPr>
          <w:rFonts w:ascii="Arial Narrow;sans-serif" w:hAnsi="Arial Narrow;sans-serif"/>
          <w:b w:val="false"/>
          <w:color w:val="000000"/>
          <w:sz w:val="20"/>
          <w:shd w:fill="FFFFFF" w:val="clear"/>
        </w:rPr>
        <w:t>increased $178 bet</w:t>
      </w:r>
      <w:r>
        <w:rPr>
          <w:rFonts w:ascii="Arial Narrow;sans-serif" w:hAnsi="Arial Narrow;sans-serif"/>
          <w:b w:val="false"/>
          <w:color w:val="000000"/>
          <w:sz w:val="20"/>
        </w:rPr>
        <w:t>ween 2023 and 2022, pr</w:t>
      </w:r>
      <w:r>
        <w:rPr>
          <w:rFonts w:ascii="Arial Narrow;sans-serif" w:hAnsi="Arial Narrow;sans-serif"/>
          <w:b w:val="false"/>
          <w:color w:val="000000"/>
          <w:sz w:val="20"/>
          <w:shd w:fill="FFFFFF" w:val="clear"/>
        </w:rPr>
        <w:t>imarily due to increased capital expenditures for Nordstrom Rack new store openings, the sale of our interest in a corporate office building in 2022 and the decrease in cash and cash equivalents resulting from the deconsolidation of Canada in 2023 (see Note 1: Nature of Operations and Summary of Significant Accounting Policies and Note 2: Canada Wind-down in Item 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0520"/>
                <wp:effectExtent l="0" t="0" r="0" b="0"/>
                <wp:wrapNone/>
                <wp:docPr id="37"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Capital Expenditures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capital expenditures, net are summarized as follows:</w:t>
      </w:r>
    </w:p>
    <w:tbl>
      <w:tblPr>
        <w:tblW w:w="4383" w:type="dxa"/>
        <w:jc w:val="left"/>
        <w:tblInd w:w="0" w:type="dxa"/>
        <w:tblLayout w:type="fixed"/>
        <w:tblCellMar>
          <w:top w:w="28" w:type="dxa"/>
          <w:left w:w="28" w:type="dxa"/>
          <w:bottom w:w="28" w:type="dxa"/>
          <w:right w:w="28" w:type="dxa"/>
        </w:tblCellMar>
      </w:tblPr>
      <w:tblGrid>
        <w:gridCol w:w="1058"/>
        <w:gridCol w:w="930"/>
        <w:gridCol w:w="951"/>
        <w:gridCol w:w="233"/>
        <w:gridCol w:w="233"/>
        <w:gridCol w:w="241"/>
        <w:gridCol w:w="225"/>
        <w:gridCol w:w="226"/>
        <w:gridCol w:w="286"/>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$569</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Deferred property incentives</w:t>
            </w:r>
            <w:r>
              <w:rPr>
                <w:rFonts w:ascii="Arial Narrow;sans-serif" w:hAnsi="Arial Narrow;sans-serif"/>
                <w:b w:val="false"/>
                <w:color w:val="000000"/>
                <w:sz w:val="12"/>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Capital expenditures, net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$534</w:t>
            </w: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net category allocation:</w:t>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Technology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stores, relocations, remodels and other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31</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Supply chain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100</w:t>
            </w:r>
            <w:r>
              <w:rPr>
                <w:color w:val="000000"/>
              </w:rPr>
              <w:t>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Deferred property incentives are included in our cash provided by operations in our Consolidated Statements of Cash Flows in Item 8. We operationally view the property incentives we receive from our developers and vendors as an offset to our capital expenditures.</w:t>
      </w:r>
    </w:p>
    <w:tbl>
      <w:tblPr>
        <w:tblW w:w="6819" w:type="dxa"/>
        <w:jc w:val="left"/>
        <w:tblInd w:w="0" w:type="dxa"/>
        <w:tblLayout w:type="fixed"/>
        <w:tblCellMar>
          <w:top w:w="28" w:type="dxa"/>
          <w:left w:w="28" w:type="dxa"/>
          <w:bottom w:w="28" w:type="dxa"/>
          <w:right w:w="28" w:type="dxa"/>
        </w:tblCellMar>
      </w:tblPr>
      <w:tblGrid>
        <w:gridCol w:w="962"/>
        <w:gridCol w:w="845"/>
        <w:gridCol w:w="863"/>
        <w:gridCol w:w="189"/>
        <w:gridCol w:w="189"/>
        <w:gridCol w:w="191"/>
        <w:gridCol w:w="233"/>
        <w:gridCol w:w="233"/>
        <w:gridCol w:w="241"/>
        <w:gridCol w:w="233"/>
        <w:gridCol w:w="233"/>
        <w:gridCol w:w="241"/>
        <w:gridCol w:w="233"/>
        <w:gridCol w:w="233"/>
        <w:gridCol w:w="241"/>
        <w:gridCol w:w="233"/>
        <w:gridCol w:w="233"/>
        <w:gridCol w:w="241"/>
        <w:gridCol w:w="233"/>
        <w:gridCol w:w="233"/>
        <w:gridCol w:w="286"/>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color w:val="000000"/>
                <w:sz w:val="18"/>
              </w:rPr>
              <w:t>2024</w:t>
            </w:r>
            <w:r>
              <w:rPr>
                <w:rFonts w:ascii="Arial Narrow;sans-serif" w:hAnsi="Arial Narrow;sans-serif"/>
                <w:b w:val="false"/>
                <w:color w:val="000000"/>
                <w:sz w:val="12"/>
              </w:rPr>
              <w:t>1</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2023</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2022</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2021</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2020</w:t>
            </w: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2019</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 as a % of net sales</w:t>
            </w:r>
          </w:p>
        </w:tc>
        <w:tc>
          <w:tcPr>
            <w:tcW w:w="5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4.0</w:t>
            </w:r>
            <w:r>
              <w:rPr>
                <w:color w:val="000000"/>
              </w:rPr>
              <w:t>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0" w:after="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Rate represents amounts forecasted in 2024.</w:t>
      </w:r>
    </w:p>
    <w:p>
      <w:pPr>
        <w:pStyle w:val="TextBody"/>
        <w:bidi w:val="0"/>
        <w:spacing w:lineRule="auto" w:line="288" w:before="180" w:after="283"/>
        <w:jc w:val="left"/>
        <w:rPr/>
      </w:pPr>
      <w:r>
        <w:rPr>
          <w:rFonts w:ascii="Arial Narrow;sans-serif" w:hAnsi="Arial Narrow;sans-serif"/>
          <w:b w:val="false"/>
          <w:color w:val="000000"/>
          <w:sz w:val="20"/>
        </w:rPr>
        <w:t>Capital expenditures as a percentage of net sales in 2023</w:t>
      </w:r>
      <w:r>
        <w:rPr>
          <w:color w:val="000000"/>
          <w:shd w:fill="FFFFFF" w:val="clear"/>
        </w:rPr>
        <w:t xml:space="preserve"> </w:t>
      </w:r>
      <w:r>
        <w:rPr>
          <w:rFonts w:ascii="Arial Narrow;sans-serif" w:hAnsi="Arial Narrow;sans-serif"/>
          <w:b w:val="false"/>
          <w:color w:val="000000"/>
          <w:sz w:val="20"/>
          <w:shd w:fill="FFFFFF" w:val="clear"/>
        </w:rPr>
        <w:t>was on the higher end of our outlook,</w:t>
      </w:r>
      <w:r>
        <w:rPr>
          <w:color w:val="000000"/>
        </w:rPr>
        <w:t xml:space="preserve"> </w:t>
      </w:r>
      <w:r>
        <w:rPr>
          <w:rFonts w:ascii="Arial Narrow;sans-serif" w:hAnsi="Arial Narrow;sans-serif"/>
          <w:b w:val="false"/>
          <w:color w:val="000000"/>
          <w:sz w:val="20"/>
        </w:rPr>
        <w:t xml:space="preserve">and increased compared with 2022, primarily </w:t>
      </w:r>
      <w:r>
        <w:rPr>
          <w:rFonts w:ascii="Arial Narrow;sans-serif" w:hAnsi="Arial Narrow;sans-serif"/>
          <w:b w:val="false"/>
          <w:color w:val="000000"/>
          <w:sz w:val="20"/>
          <w:shd w:fill="FFFFFF" w:val="clear"/>
        </w:rPr>
        <w:t xml:space="preserve">due to Nordstrom Rack new store openings in </w:t>
      </w:r>
      <w:r>
        <w:rPr>
          <w:rFonts w:ascii="Arial Narrow;sans-serif" w:hAnsi="Arial Narrow;sans-serif"/>
          <w:b w:val="false"/>
          <w:color w:val="000000"/>
          <w:sz w:val="20"/>
        </w:rPr>
        <w:t>2023</w:t>
      </w:r>
      <w:r>
        <w:rPr>
          <w:color w:val="000000"/>
          <w:shd w:fill="FFFFFF" w:val="clear"/>
        </w:rPr>
        <w:t xml:space="preserve"> </w:t>
      </w:r>
      <w:r>
        <w:rPr>
          <w:rFonts w:ascii="Arial Narrow;sans-serif" w:hAnsi="Arial Narrow;sans-serif"/>
          <w:b w:val="false"/>
          <w:color w:val="000000"/>
          <w:sz w:val="20"/>
          <w:shd w:fill="FFFFFF" w:val="clear"/>
        </w:rPr>
        <w:t xml:space="preserve">and investments in our stores to support continued growth. Going forward, we expect capital expenditure requirements on average to range from 3% to 4% of net sales, and primarily support investments in technology and stores. </w:t>
      </w:r>
      <w:r>
        <w:rPr>
          <w:rFonts w:ascii="Arial Narrow;sans-serif" w:hAnsi="Arial Narrow;sans-serif"/>
          <w:b w:val="false"/>
          <w:color w:val="000000"/>
          <w:sz w:val="20"/>
        </w:rPr>
        <w:t>Approximately $32 of our purchase obligation commitments relate to capital expenditures, all of which we expect to impact our liquidity in the next year (see Note 13: Commitments and Contingencies in Item 8).</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Activities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majority of our financing activities include long-term debt or Revolver proceeds and/or payments, dividend payments and repurchases of common stock.</w:t>
      </w:r>
    </w:p>
    <w:p>
      <w:pPr>
        <w:pStyle w:val="TextBody"/>
        <w:bidi w:val="0"/>
        <w:spacing w:lineRule="auto" w:line="288" w:before="180" w:after="283"/>
        <w:jc w:val="left"/>
        <w:rPr/>
      </w:pPr>
      <w:r>
        <w:rPr>
          <w:rFonts w:ascii="Arial Narrow;sans-serif" w:hAnsi="Arial Narrow;sans-serif"/>
          <w:b w:val="false"/>
          <w:color w:val="000000"/>
          <w:sz w:val="20"/>
        </w:rPr>
        <w:t>Net cash used in financing activities</w:t>
      </w:r>
      <w:r>
        <w:rPr>
          <w:color w:val="000000"/>
          <w:shd w:fill="FFFFFF" w:val="clear"/>
        </w:rPr>
        <w:t xml:space="preserve"> </w:t>
      </w:r>
      <w:r>
        <w:rPr>
          <w:rFonts w:ascii="Arial Narrow;sans-serif" w:hAnsi="Arial Narrow;sans-serif"/>
          <w:b w:val="false"/>
          <w:color w:val="000000"/>
          <w:sz w:val="20"/>
          <w:shd w:fill="FFFFFF" w:val="clear"/>
        </w:rPr>
        <w:t>decreased $77 be</w:t>
      </w:r>
      <w:r>
        <w:rPr>
          <w:rFonts w:ascii="Arial Narrow;sans-serif" w:hAnsi="Arial Narrow;sans-serif"/>
          <w:b w:val="false"/>
          <w:color w:val="000000"/>
          <w:sz w:val="20"/>
        </w:rPr>
        <w:t>tween 2023 and 2022 primarily</w:t>
      </w:r>
      <w:r>
        <w:rPr>
          <w:color w:val="000000"/>
          <w:shd w:fill="FFFFFF" w:val="clear"/>
        </w:rPr>
        <w:t xml:space="preserve"> </w:t>
      </w:r>
      <w:r>
        <w:rPr>
          <w:rFonts w:ascii="Arial Narrow;sans-serif" w:hAnsi="Arial Narrow;sans-serif"/>
          <w:b w:val="false"/>
          <w:color w:val="000000"/>
          <w:sz w:val="20"/>
          <w:shd w:fill="FFFFFF" w:val="clear"/>
        </w:rPr>
        <w:t xml:space="preserve">due to decreased share repurchases in 2023 compared with 2022. </w:t>
      </w:r>
    </w:p>
    <w:p>
      <w:pPr>
        <w:pStyle w:val="TextBody"/>
        <w:bidi w:val="0"/>
        <w:spacing w:lineRule="auto" w:line="288" w:before="180" w:after="283"/>
        <w:jc w:val="left"/>
        <w:rPr>
          <w:rFonts w:ascii="Arial Narrow;sans-serif" w:hAnsi="Arial Narrow;sans-serif"/>
          <w:b/>
          <w:color w:val="000000"/>
          <w:sz w:val="20"/>
          <w:shd w:fill="FFFFFF" w:val="clear"/>
        </w:rPr>
      </w:pPr>
      <w:r>
        <w:rPr>
          <w:rFonts w:ascii="Arial Narrow;sans-serif" w:hAnsi="Arial Narrow;sans-serif"/>
          <w:b/>
          <w:color w:val="000000"/>
          <w:sz w:val="20"/>
          <w:shd w:fill="FFFFFF" w:val="clear"/>
        </w:rPr>
        <w:t>Share Repurchases</w:t>
      </w:r>
    </w:p>
    <w:p>
      <w:pPr>
        <w:pStyle w:val="TextBody"/>
        <w:bidi w:val="0"/>
        <w:spacing w:lineRule="auto" w:line="288" w:before="0" w:after="0"/>
        <w:jc w:val="left"/>
        <w:rPr/>
      </w:pPr>
      <w:r>
        <w:rPr>
          <w:rFonts w:ascii="Arial Narrow;sans-serif" w:hAnsi="Arial Narrow;sans-serif"/>
          <w:b w:val="false"/>
          <w:color w:val="000000"/>
          <w:sz w:val="20"/>
        </w:rPr>
        <w:t>In determining the size and timing of share repurchases, we analyze a number of different factors, including our liquidity position, current market and economic conditions and alternative uses of capital, including those used to offset anticipated dilution from equity incentive plans. Share repurchases are made as conditions warrant in the open market and are then retired. We rep</w:t>
      </w:r>
      <w:r>
        <w:rPr>
          <w:rFonts w:ascii="Arial Narrow;sans-serif" w:hAnsi="Arial Narrow;sans-serif"/>
          <w:b w:val="false"/>
          <w:color w:val="000000"/>
          <w:sz w:val="20"/>
          <w:shd w:fill="FFFFFF" w:val="clear"/>
        </w:rPr>
        <w:t>urchased 0.03 shares of our common stock for $1 in 2023, compared with 2.8 shares repurchased for $62 in 2022, and had $438 remai</w:t>
      </w:r>
      <w:r>
        <w:rPr>
          <w:rFonts w:ascii="Arial Narrow;sans-serif" w:hAnsi="Arial Narrow;sans-serif"/>
          <w:b w:val="false"/>
          <w:color w:val="000000"/>
          <w:sz w:val="20"/>
        </w:rPr>
        <w:t xml:space="preserve">ning in share repurchase capacity as of February 3, 2024. The actual timing, price, manner and amounts of future share repurchases, if any, will be subject to the discretion of the Board of Directors, contractual commitments, market and economic conditions and applicable SEC rules (see Note 11: Shareholders’ Equity in Item 8).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Dividends</w:t>
      </w:r>
    </w:p>
    <w:p>
      <w:pPr>
        <w:pStyle w:val="TextBody"/>
        <w:bidi w:val="0"/>
        <w:spacing w:lineRule="auto" w:line="288" w:before="0" w:after="0"/>
        <w:jc w:val="left"/>
        <w:rPr/>
      </w:pPr>
      <w:r>
        <w:rPr>
          <w:rFonts w:ascii="Arial Narrow;sans-serif" w:hAnsi="Arial Narrow;sans-serif"/>
          <w:b w:val="false"/>
          <w:color w:val="000000"/>
          <w:sz w:val="20"/>
        </w:rPr>
        <w:t>In determining the dividends to pay, we analyze our dividend payout ratio and dividend yield, while taking into consideration our current and projected operating performance and liquidity, subject to our Revolver covenants (see Note 6: Debt and Credit Facilities in Item 8). In 2023, we paid dividen</w:t>
      </w:r>
      <w:r>
        <w:rPr>
          <w:rFonts w:ascii="Arial Narrow;sans-serif" w:hAnsi="Arial Narrow;sans-serif"/>
          <w:b w:val="false"/>
          <w:color w:val="000000"/>
          <w:sz w:val="20"/>
          <w:shd w:fill="FFFFFF" w:val="clear"/>
        </w:rPr>
        <w:t>ds of $123, or $0.76 per</w:t>
      </w:r>
      <w:r>
        <w:rPr>
          <w:color w:val="000000"/>
        </w:rPr>
        <w:t xml:space="preserve"> </w:t>
      </w:r>
      <w:r>
        <w:rPr>
          <w:rFonts w:ascii="Arial Narrow;sans-serif" w:hAnsi="Arial Narrow;sans-serif"/>
          <w:b w:val="false"/>
          <w:color w:val="000000"/>
          <w:sz w:val="20"/>
        </w:rPr>
        <w:t>share, compared with $119, or $0.76 per share, in 2022 (see Note 11: Shareholders’ Equity in Item 8). We expect a continuation of our 2023 dividend payment levels throughout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February 2024, subsequent to year end, we declared a quarterly dividend of $0.19 per share, which will be paid on March 27, 2024 to shareholders of record as of March 12,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6705"/>
                <wp:effectExtent l="0" t="0" r="0" b="0"/>
                <wp:wrapNone/>
                <wp:docPr id="38" name="Frame3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Cash Requirements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various commitments and other executory contracts that are disclosed in the following Notes to Consolidated Financial Statements in Item 8:</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Note 2: Canada Wind-down</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Note 5: Leases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Note 6: Debt and Credit Facilities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Note 8: Self-Insurance</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Note 9: Supplemental Executive Retirement Plan</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Note 12: Income Taxes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Note 13: Commitments and Contingencies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commitments include $63 for deferred compensation and other accrued benefits, $9 of which is payable within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connection with our workers’ compensation programs, we have a standby letter of credit issued on our behalf with $13 available and $2 outstanding as of February 3, 2024 (see Note 8: Self-Insurance in Item 8). In addition, we issued a standby letter of credit of $30 in the fourth quarter of 2023 reducing our short-term borrowing capacity on our Revolver (see Note 6: Debt and Credit Facilities in Item 8). In management’s opinion, we have no off-balance sheet arrangements that have a material current or future effect on our financial condition or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Free Cash Flow (Non-GAAP financial measure)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Free Cash Flow is one of our key liquidity measures and, when used in conjunction with GAAP measures, we believe it provides investors with a meaningful analysis of our ability to generate cash from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Free Cash Flow is not a measure of financial performance under GAAP and should be considered in addition to, and not as a substitute for, operating cash flows or other financial measures prepared in accordance with GAAP. Our method of calculating a non-GAAP financial measure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tbl>
      <w:tblPr>
        <w:tblW w:w="4268" w:type="dxa"/>
        <w:jc w:val="left"/>
        <w:tblInd w:w="0" w:type="dxa"/>
        <w:tblLayout w:type="fixed"/>
        <w:tblCellMar>
          <w:top w:w="28" w:type="dxa"/>
          <w:left w:w="28" w:type="dxa"/>
          <w:bottom w:w="28" w:type="dxa"/>
          <w:right w:w="28" w:type="dxa"/>
        </w:tblCellMar>
      </w:tblPr>
      <w:tblGrid>
        <w:gridCol w:w="1057"/>
        <w:gridCol w:w="927"/>
        <w:gridCol w:w="941"/>
        <w:gridCol w:w="233"/>
        <w:gridCol w:w="233"/>
        <w:gridCol w:w="136"/>
        <w:gridCol w:w="225"/>
        <w:gridCol w:w="226"/>
        <w:gridCol w:w="136"/>
        <w:gridCol w:w="154"/>
      </w:tblGrid>
      <w:tr>
        <w:trPr/>
        <w:tc>
          <w:tcPr>
            <w:tcW w:w="105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cash provided by operating activities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$621</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(569)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cash book overdrafts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Free Cash Flow</w:t>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$54</w:t>
            </w:r>
            <w:r>
              <w:rPr>
                <w:color w:val="000000"/>
              </w:rPr>
              <w:t>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$459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39" name="Frame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CAPITAL RESOURCES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Borrowing Capacity and Activity </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As of February 3, 2024, we had no borrowings outstanding under our Revolver that expires in May 2027 and our short-term borrowing capacity was reduced by $30 to $770 as a result of issuing a standby letter of credit in the fourth quarter of 2023. As of February 3, 2024, we had no issuances outstanding under our commercial paper program. For more information about our credit facilities, see Note 6: Debt and Credit Facilities in Item 8.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Impact of Credit Ratings and Revolver Covenants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Changes in our credit ratings may impact our costs to borrow, whether our personal property secures our Revolver and whether and to what extent we are permitted to pay dividends or conduct share repurchases.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our Revolver, the interest rate applicable to any borrowings we may enter into depends upon the type of borrowing incurred plus an applicable margin, which is determined based on our credit ratings. At the time of this report, our credit ratings and outlook were as follows:</w:t>
      </w:r>
    </w:p>
    <w:tbl>
      <w:tblPr>
        <w:tblW w:w="3212" w:type="dxa"/>
        <w:jc w:val="left"/>
        <w:tblInd w:w="0" w:type="dxa"/>
        <w:tblLayout w:type="fixed"/>
        <w:tblCellMar>
          <w:top w:w="28" w:type="dxa"/>
          <w:left w:w="28" w:type="dxa"/>
          <w:bottom w:w="28" w:type="dxa"/>
          <w:right w:w="28" w:type="dxa"/>
        </w:tblCellMar>
      </w:tblPr>
      <w:tblGrid>
        <w:gridCol w:w="511"/>
        <w:gridCol w:w="447"/>
        <w:gridCol w:w="452"/>
        <w:gridCol w:w="365"/>
        <w:gridCol w:w="365"/>
        <w:gridCol w:w="366"/>
        <w:gridCol w:w="206"/>
        <w:gridCol w:w="206"/>
        <w:gridCol w:w="294"/>
      </w:tblGrid>
      <w:tr>
        <w:trPr/>
        <w:tc>
          <w:tcPr>
            <w:tcW w:w="51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Credit Ratings</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Outlook</w:t>
            </w:r>
          </w:p>
        </w:tc>
      </w:tr>
      <w:tr>
        <w:trPr/>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Moody’s</w:t>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Ba1</w:t>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Negative</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S&amp;P Global Ratings</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BB+</w:t>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Negative</w:t>
            </w:r>
          </w:p>
        </w:tc>
      </w:tr>
      <w:tr>
        <w:trPr/>
        <w:tc>
          <w:tcPr>
            <w:tcW w:w="141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Fitch Ratings</w:t>
            </w:r>
          </w:p>
        </w:tc>
        <w:tc>
          <w:tcPr>
            <w:tcW w:w="109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BB+</w:t>
            </w:r>
          </w:p>
        </w:tc>
        <w:tc>
          <w:tcPr>
            <w:tcW w:w="70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Stable</w:t>
            </w:r>
          </w:p>
        </w:tc>
      </w:tr>
      <w:tr>
        <w:trPr/>
        <w:tc>
          <w:tcPr>
            <w:tcW w:w="1410"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Should the ratings assigned to our long-term debt improve, the applicable margin associated with any borrowings under the Revolver may decrease, resulting in a lower borrowing cost under this facility. Conversely, should the ratings assigned to our long-term debt worsen, the applicable margin associated with any borrowings under the Revolver may increase, resulting in a higher borrowing cost under this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February 3, 2024, we were in compliance with all covenants. We have certain limitations with respect to the payment of dividends and share repurchases under our Revolver agreement. On March 1, 2023, we amended our Revolver agreement. For more information about our Revolver covenants, see Note 6: Debt and Credit Facilities in Item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6705"/>
                <wp:effectExtent l="0" t="0" r="0" b="0"/>
                <wp:wrapNone/>
                <wp:docPr id="40" name="Frame3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Debt to EBITDAR (Non-GAAP financial measure)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Adjusted debt to EBITDAR is one of our key financial metrics and we believe that our debt levels are best analyzed using this measure, as it provides a reflection of our creditworthiness which could impact our credit ratings and borrowing costs. This metric is calculated in accordance with the updates in our Revolver covenant and is a key component in assessing whether our revolving credit facility is secured or unsecured, as well as our ability to make dividend payments and share repurchases. Our goal is to manage debt levels to achieve and maintain investment-grade credit ratings while operating with an efficient capital structure. For more information regarding our Revolver, see Note 6: Debt and Credit Facilities in Item 8.</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debt to EBITDAR is not a measure of financial performance under GAAP and should be considered in addition to, and not as a substitute for, debt to net earnings, net earnings, debt or other GAAP financial measures. Our method of calculating a non-GAAP financial measure may differ from other companies’ methods and therefore may not be comparable to those used by other companies. The financial measure calculated under GAAP which is most directly comparable to Adjusted debt to EBITDAR is debt to net earnings. The following shows the components to reconcile the debt to net earnings calculation to Adjusted debt to EBITDAR: </w:t>
      </w:r>
    </w:p>
    <w:tbl>
      <w:tblPr>
        <w:tblW w:w="4530" w:type="dxa"/>
        <w:jc w:val="left"/>
        <w:tblInd w:w="0" w:type="dxa"/>
        <w:tblLayout w:type="fixed"/>
        <w:tblCellMar>
          <w:top w:w="28" w:type="dxa"/>
          <w:left w:w="28" w:type="dxa"/>
          <w:bottom w:w="28" w:type="dxa"/>
          <w:right w:w="28" w:type="dxa"/>
        </w:tblCellMar>
      </w:tblPr>
      <w:tblGrid>
        <w:gridCol w:w="1177"/>
        <w:gridCol w:w="1025"/>
        <w:gridCol w:w="1053"/>
        <w:gridCol w:w="373"/>
        <w:gridCol w:w="373"/>
        <w:gridCol w:w="529"/>
      </w:tblGrid>
      <w:tr>
        <w:trPr/>
        <w:tc>
          <w:tcPr>
            <w:tcW w:w="117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Debt</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$2,862</w:t>
            </w: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1,617</w:t>
            </w: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Adjusted debt</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$4,479</w:t>
            </w: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Four Quarters Ended February 3, 2024</w:t>
            </w:r>
          </w:p>
        </w:tc>
      </w:tr>
      <w:tr>
        <w:trPr/>
        <w:tc>
          <w:tcPr>
            <w:tcW w:w="32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earnings</w:t>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$134</w:t>
            </w:r>
            <w:r>
              <w:rPr>
                <w:color w:val="000000"/>
              </w:rPr>
              <w:t>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w:t>
            </w: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 net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104</w:t>
            </w: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before interest and income taxes</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251</w:t>
            </w: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 expenses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586</w:t>
            </w: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278</w:t>
            </w: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Amortization of developer reimbursements</w:t>
            </w:r>
            <w:r>
              <w:rPr>
                <w:rFonts w:ascii="Arial Narrow;sans-serif" w:hAnsi="Arial Narrow;sans-serif"/>
                <w:b w:val="false"/>
                <w:color w:val="000000"/>
                <w:sz w:val="12"/>
              </w:rPr>
              <w:t>1</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69</w:t>
            </w: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Canada wind-down costs</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284</w:t>
            </w: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Supply chain asset impairment and related charge</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32</w:t>
            </w: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Other Revolver covenant adjustments</w:t>
            </w:r>
            <w:r>
              <w:rPr>
                <w:rFonts w:ascii="Arial Narrow;sans-serif" w:hAnsi="Arial Narrow;sans-serif"/>
                <w:b w:val="false"/>
                <w:color w:val="000000"/>
                <w:sz w:val="12"/>
              </w:rPr>
              <w:t>2</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w:t>
            </w: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Adjusted EBITDAR</w:t>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$1,536</w:t>
            </w:r>
            <w:r>
              <w:rPr>
                <w:color w:val="000000"/>
              </w:rPr>
              <w:t>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Debt to Net Earnings</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21.4</w:t>
            </w: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Adjusted debt to EBITDAR</w:t>
            </w:r>
          </w:p>
        </w:tc>
        <w:tc>
          <w:tcPr>
            <w:tcW w:w="7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2.9</w:t>
            </w:r>
            <w:r>
              <w:rPr>
                <w:color w:val="000000"/>
              </w:rPr>
              <w:t> </w:t>
            </w:r>
          </w:p>
        </w:tc>
        <w:tc>
          <w:tcPr>
            <w:tcW w:w="5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Amortization of developer reimbursements is a non-cash reduction of Operating Lease Cost and is therefore added back to Operating Lease Cost for purposes of our Revolver covenant calculation.</w:t>
      </w:r>
      <w:r>
        <w:rPr>
          <w:color w:val="000000"/>
        </w:rPr>
        <w:t xml:space="preserve"> </w:t>
      </w:r>
    </w:p>
    <w:p>
      <w:pPr>
        <w:pStyle w:val="TextBody"/>
        <w:bidi w:val="0"/>
        <w:spacing w:lineRule="auto" w:line="288" w:before="0" w:after="0"/>
        <w:ind w:left="0" w:right="0" w:hanging="90"/>
        <w:jc w:val="left"/>
        <w:rPr/>
      </w:pPr>
      <w:r>
        <w:rPr>
          <w:rFonts w:ascii="Arial Narrow;sans-serif" w:hAnsi="Arial Narrow;sans-serif"/>
          <w:b w:val="false"/>
          <w:color w:val="000000"/>
          <w:sz w:val="10"/>
        </w:rPr>
        <w:t xml:space="preserve">2 </w:t>
      </w:r>
      <w:r>
        <w:rPr>
          <w:rFonts w:ascii="Arial Narrow;sans-serif" w:hAnsi="Arial Narrow;sans-serif"/>
          <w:b w:val="false"/>
          <w:color w:val="000000"/>
          <w:sz w:val="16"/>
        </w:rPr>
        <w:t xml:space="preserve">Other adjusting items to reconcile net earnings to Adjusted EBITDAR as defined by our Revolver covenant include interest income, certain non-cash charges and other gains and losses where relevant. For the four quarters ended February 3, 2024, other Revolver covenant adjustments primarily included interest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0520"/>
                <wp:effectExtent l="0" t="0" r="0" b="0"/>
                <wp:wrapNone/>
                <wp:docPr id="41" name="Frame3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39</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ACCOUNTING ESTIMATES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conformity with GAAP requires that we make estimates, judgments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Actual results may differ from these estimates and assumptions. The following discussion highlights the estimates we believe are critical and should be read in conjunction with the Notes to Consolidated Financial Statements in Item 8. Our management has discussed the development and selection of these critical accounting estimates with the Audit and Finance Committee of our Board of Directors, and the Audit and Finance Committee has reviewed our disclosures that follow.</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Sales Return Reserve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reduce sales and cost of sales by an estimate of future customer merchandise returns, which is calculated based on historical and expected return patterns, and record a sales return reserve and an estimated returns asset. We record the impact of the sales return reserve separately in both our Nordstrom and Nordstrom Rack banners. The majority of our returns from both digital and physical sales come through our stores. Estimating future returns requires substantial judgment based on current and historical trends and actual returns may vary from our estimates. A 10% change in the sales return reserve, net of the estimated returns asset, would impact our EBIT by approximately $20 for the year ended February 3, 2024.</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Nordy Club Loyalty Program and Gift Cards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record breakage revenue for The Nordy Club, including unused points and unredeemed Nordstrom Notes, and gift cards based on historical and expected redemption trends. We have experienced a decrease in redemption rates, leading to increased breakage rates for The Nordy Club. A one percentage point change in our gift card breakage rate would impact our EBIT by approximately $43 for the year ended February 3, 2024.</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Merchandise Inventories</w:t>
      </w:r>
    </w:p>
    <w:p>
      <w:pPr>
        <w:pStyle w:val="TextBody"/>
        <w:bidi w:val="0"/>
        <w:spacing w:lineRule="auto" w:line="288" w:before="0" w:after="0"/>
        <w:jc w:val="left"/>
        <w:rPr/>
      </w:pPr>
      <w:r>
        <w:rPr>
          <w:rFonts w:ascii="Arial Narrow;sans-serif" w:hAnsi="Arial Narrow;sans-serif"/>
          <w:b w:val="false"/>
          <w:color w:val="000000"/>
          <w:sz w:val="20"/>
          <w:shd w:fill="FFFFFF" w:val="clear"/>
        </w:rPr>
        <w:t>Merchandise inventories are stated at the lower of cost or market value using the retail inventory method. Under the retail method, the valuation of inventories is determined by applying a calculated cost-to-retail ratio to the retail value of ending inventory.</w:t>
      </w:r>
      <w:r>
        <w:rPr>
          <w:color w:val="000000"/>
        </w:rPr>
        <w:t xml:space="preserve"> </w:t>
      </w:r>
      <w:r>
        <w:rPr>
          <w:rFonts w:ascii="Arial Narrow;sans-serif" w:hAnsi="Arial Narrow;sans-serif"/>
          <w:b w:val="false"/>
          <w:color w:val="000000"/>
          <w:sz w:val="20"/>
        </w:rPr>
        <w:t xml:space="preserve">Inherent in the retail inventory method are certain management judgments that may affect the ending inventory valuation, as well as gross profit. </w:t>
      </w:r>
      <w:r>
        <w:rPr>
          <w:rFonts w:ascii="Arial Narrow;sans-serif" w:hAnsi="Arial Narrow;sans-serif"/>
          <w:b w:val="false"/>
          <w:color w:val="000000"/>
          <w:sz w:val="20"/>
          <w:shd w:fill="FFFFFF" w:val="clear"/>
        </w:rPr>
        <w:t xml:space="preserve">To determine if the retail value of our inventory should be marked down, we consider current and anticipated demand, customer preferences, age of the merchandise and fashion trends. We record reserves for excess and obsolete inventory based on historical trends and specific identification.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take physical inventory counts at our stores and Supply Chain Network locations and adjust for differences between recorded amounts and counted amounts. Following each physical inventory cycle and using the most recent physical inventory count and historical results, we record an estimate for shrink based on a percentage of sales until the next physical inventory count.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Impairment of Long-Lived Assets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When facts and circumstances indicate the carrying values of buildings, equipment and ROU assets may be impaired, we compare the carrying value to the related projected future cash flows, among other quantitative and qualitative analyses. Cash flow analysis requires judgment regarding many factors, such as revenues, growth rates, expenses, capital expenditures and sublease income.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projections are inherently subject to uncertainties. While we believe the inputs and assumptions utilized in our future cash flows are reasonable, our estimates may change in the near term based on our current and future performance.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pay income taxes based on the tax statutes, regulations and case law of the various jurisdictions in which we operate. Our income tax expense and deferred tax assets and liabilities reflect our best estimate of current and future taxes to be paid. Income tax expense may be affected by numerous items, such as changes in tax law, changes in business operations, the results of tax audits and changes to our forecasts of income and loss due to economic and other conditions. Significant judgments and estimates are required in determining consolidated income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Deferred tax assets and liabilities arise from differences between the financial reporting and tax basis of assets and liabilities and for operating loss and tax credit carryforwards. The deferred tax assets and liabilities are calculated using the enacted tax rates and laws expected to be in effect when the differences are expected to reverse. In evaluating the likelihood of realizing the benefit of our deferred tax assets, we consider all available evidence, including historical results and projected future taxable income. The assumptions about future taxable income require the use of significant judgment and are consistent with the plans and estimates we are using to manage the underlying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6705"/>
                <wp:effectExtent l="0" t="0" r="0" b="0"/>
                <wp:wrapNone/>
                <wp:docPr id="42" name="Frame4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40</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benefits of uncertain tax positions are recorded in our financial statements only after determining it is more likely than not the uncertain tax positions would sustain challenge by taxing authorities. We are periodically audited by federal, state and foreign tax authorities related to our tax filing positions and allocation of income among various tax jurisdictions. Although we believe our liabilities for uncertain tax positions are reasonable, because of the complexity of some of these uncertainties, the ultimate resolution may result in an outcome that is materially different from our current estimated liability. Furthermore, we are unable to reasonably estimate the timing of related future cash payments. Any differences will be reflected as increases or decreases to income tax expense in the period of resolution.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Canada Wind-down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To assess the estimated fair value of our Nordstrom Canada investment and our related-party receivables, we estimated the assets available for distribution in relation to expected claims. At the time of filing for CCAA protection on March 2, 2023, the estimated amount of Nordstrom Canada’s liabilities exceeded the estimated fair value of assets available for distribution to creditors, and we believed we would not recover a significant portion of our receivables. As a result, our fair value was recorded as zero in our Condensed Consolidated Balance Sheets as of April 29, 2023. As of February 3, 2024, we adjusted our receivables by an immaterial amount based on currently available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February 3, 2024, we recorded the amount we believe probable of receipt as part of the claims process. This includes receipts related to the rights to the former landlords’ distributions, reimbursement of employee trust contributions and other receivables existing at the time of deconsolidation. The receivable and our other estimates are dependent on the outcome of the Nordstrom Canada wind-down process, including the amount of third-party and Nordstrom claims asserted and recognized in the claims process, the amount of assets available for distribution and the approval of the CCAA plan of arrangement by the Ontario Superior Court of Justice, which we expect to have updated information on in the first quarter of 2024. We continue to work through the wind-down process and our estimates of net losses are based on currently available information, our assessment of the validity of certain expected claims and our assessment of the recoverability of amounts receivable from Nordstrom Canada. These estimates may change as new information becomes available and it is reasonably possible that they may materially change from the estimated amounts. Increases in estimated costs to settle claims and decreases in estimated assets available for distribution may result in additional material charges. At the same time, any future decreases in estimated costs to settle claims or increases in estimated assets available for distribution may result in a gain, which would reduce our estimated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2: Canada Wind-down in Item 8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RECENT ACCOUNTING PRONOUNCEMENTS</w:t>
      </w:r>
    </w:p>
    <w:p>
      <w:pPr>
        <w:pStyle w:val="TextBody"/>
        <w:bidi w:val="0"/>
        <w:spacing w:lineRule="auto" w:line="288" w:before="0" w:after="0"/>
        <w:jc w:val="left"/>
        <w:rPr/>
      </w:pPr>
      <w:r>
        <w:rPr>
          <w:rFonts w:ascii="Arial Narrow;sans-serif" w:hAnsi="Arial Narrow;sans-serif"/>
          <w:b w:val="false"/>
          <w:color w:val="000000"/>
          <w:sz w:val="20"/>
        </w:rPr>
        <w:t xml:space="preserve">In March 2024, the SEC adopted the final rule under SEC Release No. 33-11275, </w:t>
      </w:r>
      <w:r>
        <w:rPr>
          <w:rFonts w:ascii="Arial Narrow;sans-serif" w:hAnsi="Arial Narrow;sans-serif"/>
          <w:b w:val="false"/>
          <w:i/>
          <w:color w:val="000000"/>
          <w:sz w:val="20"/>
        </w:rPr>
        <w:t>The Enhancement and Standardization of Climate-Related Disclosures for Investors,</w:t>
      </w:r>
      <w:r>
        <w:rPr>
          <w:color w:val="000000"/>
        </w:rPr>
        <w:t xml:space="preserve"> </w:t>
      </w:r>
      <w:r>
        <w:rPr>
          <w:rFonts w:ascii="Arial Narrow;sans-serif" w:hAnsi="Arial Narrow;sans-serif"/>
          <w:b w:val="false"/>
          <w:color w:val="000000"/>
          <w:sz w:val="20"/>
        </w:rPr>
        <w:t>which requires new disclosures regarding information about a registrant’s climate-related risks that have materially impacted, or are reasonably likely to have a material impact on, its business strategy, results of operations, or financial condition. In addition, certain disclosures related to severe weather events and other natural conditions will also be required in a registrant’s audited financial statements. Annual disclosure requirements will be effective for us in the fourth quarter of 2025. We are currently evaluating the impact of this final rule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0520"/>
                <wp:effectExtent l="0" t="0" r="0" b="0"/>
                <wp:wrapNone/>
                <wp:docPr id="43" name="Frame4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41</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7A. Quantitative and Qualitative Disclosures About Market Risk.</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(Dollars in millions)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RATE RISK</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For our long-term debt of $2,862, our exposure to interest rate risk is primarily limited to changes in fair value. As our debt is primarily fixed-rate, changes in interest rates do not materially impact our cash flows. However, changes in interest rates increase or decrease the fair value of our debt, depending on whether market rates are lower or higher than our fixed rates. As of February 3, 2024, the fair value of our long-term debt was $2,441 (see Note 6: Debt and Credit Facilities and Note 7: Fair Value Measurements in Item 8).</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exposed to interest rate risk primarily from changes in short-term interest rates. Interest rate fluctuations can affect our interest income and interest expense. As of February 3, 2024, we had cash and cash equivalents of $628, which generate interest income at variable rates and no borrowings outstanding under our Revolver, for which we pay interest at a variable rate.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FOREIGN CURRENCY EXCHANGE RISK</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majority of our revenues, expenses and capital expenditures are transacted in U.S. Dollars. Our U.S. operations periodically enter into merchandise purchase orders denominated in British Pounds or Euros. From time to time, we may use forward contracts to hedge against fluctuations in foreign currency prices. As of February 3, 2024, our outstanding forward contracts did not have a material impact on our Consolidated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March 2, 2023, as part of our initiatives to drive long-term profitable growth and enhance shareholder value, and after careful consideration of all reasonably available options, we announced the decision to discontinue support for Nordstrom Canada’s operations. See Note 2: Canada Wind-down in Item 8 for more information.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February 3, 2024, activities associated with foreign currency exchange risk have not had a material impact on our Consolidated Financial Statements (see Note 1: Nature of Operations and Summary of Significant Accounting Policies in Item 8).</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have been no material changes in our primary risk exposures or management of market risks since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6705"/>
                <wp:effectExtent l="0" t="0" r="0" b="0"/>
                <wp:wrapNone/>
                <wp:docPr id="44" name="Frame4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42</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8: Financial Statements and Supplementary Data.</w:t>
      </w:r>
    </w:p>
    <w:tbl>
      <w:tblPr>
        <w:tblW w:w="5952" w:type="dxa"/>
        <w:jc w:val="left"/>
        <w:tblInd w:w="0" w:type="dxa"/>
        <w:tblLayout w:type="fixed"/>
        <w:tblCellMar>
          <w:top w:w="28" w:type="dxa"/>
          <w:left w:w="28" w:type="dxa"/>
          <w:bottom w:w="28" w:type="dxa"/>
          <w:right w:w="28" w:type="dxa"/>
        </w:tblCellMar>
      </w:tblPr>
      <w:tblGrid>
        <w:gridCol w:w="2023"/>
        <w:gridCol w:w="1776"/>
        <w:gridCol w:w="1781"/>
        <w:gridCol w:w="109"/>
        <w:gridCol w:w="109"/>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Report of Independent Registered Public Accounting Firm</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30">
              <w:r>
                <w:rPr>
                  <w:rStyle w:val="InternetLink"/>
                  <w:rFonts w:ascii="Arial Narrow;sans-serif" w:hAnsi="Arial Narrow;sans-serif"/>
                  <w:b w:val="false"/>
                  <w:color w:val="0000FF"/>
                  <w:sz w:val="20"/>
                  <w:u w:val="single"/>
                </w:rPr>
                <w:t>44</w:t>
              </w:r>
            </w:hyperlink>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Earnings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33">
              <w:r>
                <w:rPr>
                  <w:rStyle w:val="InternetLink"/>
                  <w:rFonts w:ascii="Arial Narrow;sans-serif" w:hAnsi="Arial Narrow;sans-serif"/>
                  <w:b w:val="false"/>
                  <w:color w:val="0000FF"/>
                  <w:sz w:val="20"/>
                  <w:u w:val="single"/>
                </w:rPr>
                <w:t>46</w:t>
              </w:r>
            </w:hyperlink>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Comprehensive Earnings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36">
              <w:r>
                <w:rPr>
                  <w:rStyle w:val="InternetLink"/>
                  <w:rFonts w:ascii="Arial Narrow;sans-serif" w:hAnsi="Arial Narrow;sans-serif"/>
                  <w:b w:val="false"/>
                  <w:color w:val="0000FF"/>
                  <w:sz w:val="20"/>
                  <w:u w:val="single"/>
                </w:rPr>
                <w:t>46</w:t>
              </w:r>
            </w:hyperlink>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Consolidated Balance Sheets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39">
              <w:r>
                <w:rPr>
                  <w:rStyle w:val="InternetLink"/>
                  <w:rFonts w:ascii="Arial Narrow;sans-serif" w:hAnsi="Arial Narrow;sans-serif"/>
                  <w:b w:val="false"/>
                  <w:color w:val="0000FF"/>
                  <w:sz w:val="20"/>
                  <w:u w:val="single"/>
                </w:rPr>
                <w:t>47</w:t>
              </w:r>
            </w:hyperlink>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Shareholders’ Equity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42">
              <w:r>
                <w:rPr>
                  <w:rStyle w:val="InternetLink"/>
                  <w:rFonts w:ascii="Arial Narrow;sans-serif" w:hAnsi="Arial Narrow;sans-serif"/>
                  <w:b w:val="false"/>
                  <w:color w:val="0000FF"/>
                  <w:sz w:val="20"/>
                  <w:u w:val="single"/>
                </w:rPr>
                <w:t>48</w:t>
              </w:r>
            </w:hyperlink>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Cash Flows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45">
              <w:r>
                <w:rPr>
                  <w:rStyle w:val="InternetLink"/>
                  <w:rFonts w:ascii="Arial Narrow;sans-serif" w:hAnsi="Arial Narrow;sans-serif"/>
                  <w:b w:val="false"/>
                  <w:color w:val="0000FF"/>
                  <w:sz w:val="20"/>
                  <w:u w:val="single"/>
                </w:rPr>
                <w:t>49</w:t>
              </w:r>
            </w:hyperlink>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Notes to Consolidated Financial Statements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1: Nature of Operations and Summary of Significant Accounting Policies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48">
              <w:r>
                <w:rPr>
                  <w:rStyle w:val="InternetLink"/>
                  <w:rFonts w:ascii="Arial Narrow;sans-serif" w:hAnsi="Arial Narrow;sans-serif"/>
                  <w:b w:val="false"/>
                  <w:color w:val="0000FF"/>
                  <w:sz w:val="20"/>
                  <w:u w:val="single"/>
                </w:rPr>
                <w:t>50</w:t>
              </w:r>
            </w:hyperlink>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2: Canada Wind-down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968">
              <w:r>
                <w:rPr>
                  <w:rStyle w:val="InternetLink"/>
                  <w:rFonts w:ascii="Arial Narrow;sans-serif" w:hAnsi="Arial Narrow;sans-serif"/>
                  <w:b w:val="false"/>
                  <w:color w:val="0000FF"/>
                  <w:sz w:val="20"/>
                  <w:u w:val="single"/>
                </w:rPr>
                <w:t>57</w:t>
              </w:r>
            </w:hyperlink>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3: Revenue</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51">
              <w:r>
                <w:rPr>
                  <w:rStyle w:val="InternetLink"/>
                  <w:rFonts w:ascii="Arial Narrow;sans-serif" w:hAnsi="Arial Narrow;sans-serif"/>
                  <w:b w:val="false"/>
                  <w:color w:val="0000FF"/>
                  <w:sz w:val="20"/>
                  <w:u w:val="single"/>
                </w:rPr>
                <w:t>59</w:t>
              </w:r>
            </w:hyperlink>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4: Land, Property and Equipment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54">
              <w:r>
                <w:rPr>
                  <w:rStyle w:val="InternetLink"/>
                  <w:rFonts w:ascii="Arial Narrow;sans-serif" w:hAnsi="Arial Narrow;sans-serif"/>
                  <w:b w:val="false"/>
                  <w:color w:val="0000FF"/>
                  <w:sz w:val="20"/>
                  <w:u w:val="single"/>
                </w:rPr>
                <w:t>60</w:t>
              </w:r>
            </w:hyperlink>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5: Leases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57">
              <w:r>
                <w:rPr>
                  <w:rStyle w:val="InternetLink"/>
                  <w:rFonts w:ascii="Arial Narrow;sans-serif" w:hAnsi="Arial Narrow;sans-serif"/>
                  <w:b w:val="false"/>
                  <w:color w:val="0000FF"/>
                  <w:sz w:val="20"/>
                  <w:u w:val="single"/>
                </w:rPr>
                <w:t>60</w:t>
              </w:r>
            </w:hyperlink>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6: Debt and Credit Facilities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60">
              <w:r>
                <w:rPr>
                  <w:rStyle w:val="InternetLink"/>
                  <w:rFonts w:ascii="Arial Narrow;sans-serif" w:hAnsi="Arial Narrow;sans-serif"/>
                  <w:b w:val="false"/>
                  <w:color w:val="0000FF"/>
                  <w:sz w:val="20"/>
                  <w:u w:val="single"/>
                </w:rPr>
                <w:t>61</w:t>
              </w:r>
            </w:hyperlink>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7: Fair Value Measurements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63">
              <w:r>
                <w:rPr>
                  <w:rStyle w:val="InternetLink"/>
                  <w:rFonts w:ascii="Arial Narrow;sans-serif" w:hAnsi="Arial Narrow;sans-serif"/>
                  <w:b w:val="false"/>
                  <w:color w:val="0000FF"/>
                  <w:sz w:val="20"/>
                  <w:u w:val="single"/>
                </w:rPr>
                <w:t>63</w:t>
              </w:r>
            </w:hyperlink>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8: Self-Insurance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66">
              <w:r>
                <w:rPr>
                  <w:rStyle w:val="InternetLink"/>
                  <w:rFonts w:ascii="Arial Narrow;sans-serif" w:hAnsi="Arial Narrow;sans-serif"/>
                  <w:b w:val="false"/>
                  <w:color w:val="0000FF"/>
                  <w:sz w:val="20"/>
                  <w:u w:val="single"/>
                </w:rPr>
                <w:t>63</w:t>
              </w:r>
            </w:hyperlink>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9: Supplemental Executive Retirement Plan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69">
              <w:r>
                <w:rPr>
                  <w:rStyle w:val="InternetLink"/>
                  <w:rFonts w:ascii="Arial Narrow;sans-serif" w:hAnsi="Arial Narrow;sans-serif"/>
                  <w:b w:val="false"/>
                  <w:color w:val="0000FF"/>
                  <w:sz w:val="20"/>
                  <w:u w:val="single"/>
                </w:rPr>
                <w:t>64</w:t>
              </w:r>
            </w:hyperlink>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10: Stock-based Compensation</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72">
              <w:r>
                <w:rPr>
                  <w:rStyle w:val="InternetLink"/>
                  <w:rFonts w:ascii="Arial Narrow;sans-serif" w:hAnsi="Arial Narrow;sans-serif"/>
                  <w:b w:val="false"/>
                  <w:color w:val="0000FF"/>
                  <w:sz w:val="20"/>
                  <w:u w:val="single"/>
                </w:rPr>
                <w:t>65</w:t>
              </w:r>
            </w:hyperlink>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11: Shareholders’ Equity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75">
              <w:r>
                <w:rPr>
                  <w:rStyle w:val="InternetLink"/>
                  <w:rFonts w:ascii="Arial Narrow;sans-serif" w:hAnsi="Arial Narrow;sans-serif"/>
                  <w:b w:val="false"/>
                  <w:color w:val="0000FF"/>
                  <w:sz w:val="20"/>
                  <w:u w:val="single"/>
                </w:rPr>
                <w:t>68</w:t>
              </w:r>
            </w:hyperlink>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12: Income Taxes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78">
              <w:r>
                <w:rPr>
                  <w:rStyle w:val="InternetLink"/>
                  <w:rFonts w:ascii="Arial Narrow;sans-serif" w:hAnsi="Arial Narrow;sans-serif"/>
                  <w:b w:val="false"/>
                  <w:color w:val="0000FF"/>
                  <w:sz w:val="20"/>
                  <w:u w:val="single"/>
                </w:rPr>
                <w:t>68</w:t>
              </w:r>
            </w:hyperlink>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13: Commitments and Contingencies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81">
              <w:r>
                <w:rPr>
                  <w:rStyle w:val="InternetLink"/>
                  <w:rFonts w:ascii="Arial Narrow;sans-serif" w:hAnsi="Arial Narrow;sans-serif"/>
                  <w:b w:val="false"/>
                  <w:color w:val="0000FF"/>
                  <w:sz w:val="20"/>
                  <w:u w:val="single"/>
                </w:rPr>
                <w:t>70</w:t>
              </w:r>
            </w:hyperlink>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14: Earnings Per Share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84">
              <w:r>
                <w:rPr>
                  <w:rStyle w:val="InternetLink"/>
                  <w:rFonts w:ascii="Arial Narrow;sans-serif" w:hAnsi="Arial Narrow;sans-serif"/>
                  <w:b w:val="false"/>
                  <w:color w:val="0000FF"/>
                  <w:sz w:val="20"/>
                  <w:u w:val="single"/>
                </w:rPr>
                <w:t>70</w:t>
              </w:r>
            </w:hyperlink>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Note 15: Segment Reporting</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87">
              <w:r>
                <w:rPr>
                  <w:rStyle w:val="InternetLink"/>
                  <w:rFonts w:ascii="Arial Narrow;sans-serif" w:hAnsi="Arial Narrow;sans-serif"/>
                  <w:b w:val="false"/>
                  <w:color w:val="0000FF"/>
                  <w:sz w:val="20"/>
                  <w:u w:val="single"/>
                </w:rPr>
                <w:t>71</w:t>
              </w:r>
            </w:hyperlink>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5" name="Frame4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43</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REPORT OF INDEPENDENT REGISTERED PUBLIC ACCOUNTING FIRM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the Board of Directors and Shareholders of Nordstrom, Inc.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Opinion on the Financial Statements</w:t>
      </w:r>
    </w:p>
    <w:p>
      <w:pPr>
        <w:pStyle w:val="TextBody"/>
        <w:bidi w:val="0"/>
        <w:spacing w:before="0" w:after="0"/>
        <w:jc w:val="left"/>
        <w:rPr/>
      </w:pPr>
      <w:r>
        <w:rPr/>
      </w:r>
    </w:p>
    <w:p>
      <w:pPr>
        <w:pStyle w:val="TextBody"/>
        <w:bidi w:val="0"/>
        <w:spacing w:lineRule="auto" w:line="288" w:before="0" w:after="200"/>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audited the accompanying consolidated balance sheets of Nordstrom, Inc. and subsidiaries (the “Company”) as of February 3, 2024 and January 28, 2023 and the related consolidated statements of earnings, comprehensive earnings, shareholders’ equity, and cash flows, for each of the three years in the period ended February 3, 2024, and the related notes (collectively referred to as the “financial statements”). In our opinion, the financial statements present fairly, in all material respects, the financial position of the Company as of February 3, 2024, and January 28, 2023, and the results of its operations and its cash flows for each of the three years in the period ended February 3, 2024, in conformity with accounting principles generally accepted in the United States of America. </w:t>
      </w:r>
    </w:p>
    <w:p>
      <w:pPr>
        <w:pStyle w:val="TextBody"/>
        <w:bidi w:val="0"/>
        <w:spacing w:lineRule="auto" w:line="288" w:before="0" w:after="200"/>
        <w:jc w:val="left"/>
        <w:rPr/>
      </w:pPr>
      <w:r>
        <w:rPr>
          <w:rFonts w:ascii="Arial Narrow;sans-serif" w:hAnsi="Arial Narrow;sans-serif"/>
          <w:b w:val="false"/>
          <w:color w:val="000000"/>
          <w:sz w:val="20"/>
        </w:rPr>
        <w:t xml:space="preserve">We have also audited, in accordance with the standards of the Public Company Accounting Oversight Board (United States) (PCAOB), the Company’s internal control over financial reporting as of February 3, 2024, based on the criteria established in </w:t>
      </w:r>
      <w:r>
        <w:rPr>
          <w:rFonts w:ascii="Arial Narrow;sans-serif" w:hAnsi="Arial Narrow;sans-serif"/>
          <w:b w:val="false"/>
          <w:i/>
          <w:color w:val="000000"/>
          <w:sz w:val="20"/>
        </w:rPr>
        <w:t>Internal Control—Integrated Framework (2013)</w:t>
      </w:r>
      <w:r>
        <w:rPr>
          <w:color w:val="000000"/>
        </w:rPr>
        <w:t xml:space="preserve"> </w:t>
      </w:r>
      <w:r>
        <w:rPr>
          <w:rFonts w:ascii="Arial Narrow;sans-serif" w:hAnsi="Arial Narrow;sans-serif"/>
          <w:b w:val="false"/>
          <w:color w:val="000000"/>
          <w:sz w:val="20"/>
        </w:rPr>
        <w:t>issued by the Committee of Sponsoring Organizations of the Treadway Commission, and our report dated March 19, 2024, expressed an unqualified opinion on the Company’s internal control over financial reporting.</w:t>
      </w:r>
    </w:p>
    <w:p>
      <w:pPr>
        <w:pStyle w:val="TextBody"/>
        <w:bidi w:val="0"/>
        <w:spacing w:lineRule="auto" w:line="288" w:before="0" w:after="200"/>
        <w:jc w:val="left"/>
        <w:rPr>
          <w:rFonts w:ascii="Arial Narrow;sans-serif" w:hAnsi="Arial Narrow;sans-serif"/>
          <w:b/>
          <w:color w:val="000000"/>
          <w:sz w:val="20"/>
        </w:rPr>
      </w:pPr>
      <w:r>
        <w:rPr>
          <w:rFonts w:ascii="Arial Narrow;sans-serif" w:hAnsi="Arial Narrow;sans-serif"/>
          <w:b/>
          <w:color w:val="000000"/>
          <w:sz w:val="20"/>
        </w:rPr>
        <w:t>Basis for Opinion</w:t>
      </w:r>
    </w:p>
    <w:p>
      <w:pPr>
        <w:pStyle w:val="TextBody"/>
        <w:bidi w:val="0"/>
        <w:spacing w:lineRule="auto" w:line="288" w:before="0" w:after="200"/>
        <w:jc w:val="left"/>
        <w:rPr>
          <w:rFonts w:ascii="Arial Narrow;sans-serif" w:hAnsi="Arial Narrow;sans-serif"/>
          <w:b w:val="false"/>
          <w:color w:val="000000"/>
          <w:sz w:val="20"/>
        </w:rPr>
      </w:pPr>
      <w:r>
        <w:rPr>
          <w:rFonts w:ascii="Arial Narrow;sans-serif" w:hAnsi="Arial Narrow;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Arial Narrow;sans-serif" w:hAnsi="Arial Narrow;sans-serif"/>
          <w:b w:val="false"/>
          <w:color w:val="000000"/>
          <w:sz w:val="20"/>
        </w:rPr>
      </w:pPr>
      <w:r>
        <w:rPr>
          <w:rFonts w:ascii="Arial Narrow;sans-serif" w:hAnsi="Arial Narrow;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200"/>
        <w:jc w:val="left"/>
        <w:rPr>
          <w:rFonts w:ascii="Arial Narrow;sans-serif" w:hAnsi="Arial Narrow;sans-serif"/>
          <w:b/>
          <w:color w:val="000000"/>
          <w:sz w:val="20"/>
        </w:rPr>
      </w:pPr>
      <w:r>
        <w:rPr>
          <w:rFonts w:ascii="Arial Narrow;sans-serif" w:hAnsi="Arial Narrow;sans-serif"/>
          <w:b/>
          <w:color w:val="000000"/>
          <w:sz w:val="20"/>
        </w:rPr>
        <w:t>Critical Audit Matter</w:t>
      </w:r>
    </w:p>
    <w:p>
      <w:pPr>
        <w:pStyle w:val="TextBody"/>
        <w:bidi w:val="0"/>
        <w:spacing w:lineRule="auto" w:line="288" w:before="0" w:after="200"/>
        <w:jc w:val="left"/>
        <w:rPr>
          <w:rFonts w:ascii="Arial Narrow;sans-serif" w:hAnsi="Arial Narrow;sans-serif"/>
          <w:b w:val="false"/>
          <w:color w:val="000000"/>
          <w:sz w:val="20"/>
        </w:rPr>
      </w:pPr>
      <w:r>
        <w:rPr>
          <w:rFonts w:ascii="Arial Narrow;sans-serif" w:hAnsi="Arial Narrow;sans-serif"/>
          <w:b w:val="false"/>
          <w:color w:val="000000"/>
          <w:sz w:val="20"/>
        </w:rPr>
        <w:t>The critical audit matter communicated below arose from the current-period audit of the financial statements that was communicated or required to be communicated to the Audit and Finance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200"/>
        <w:jc w:val="left"/>
        <w:rPr>
          <w:rFonts w:ascii="Arial Narrow;sans-serif" w:hAnsi="Arial Narrow;sans-serif"/>
          <w:b/>
          <w:i/>
          <w:color w:val="000000"/>
          <w:sz w:val="20"/>
        </w:rPr>
      </w:pPr>
      <w:r>
        <w:rPr>
          <w:rFonts w:ascii="Arial Narrow;sans-serif" w:hAnsi="Arial Narrow;sans-serif"/>
          <w:b/>
          <w:i/>
          <w:color w:val="000000"/>
          <w:sz w:val="20"/>
        </w:rPr>
        <w:t>Merchandise Inventories—Refer to Note 1 to the financial statements</w:t>
      </w:r>
    </w:p>
    <w:p>
      <w:pPr>
        <w:pStyle w:val="TextBody"/>
        <w:bidi w:val="0"/>
        <w:spacing w:lineRule="auto" w:line="288" w:before="0" w:after="200"/>
        <w:jc w:val="left"/>
        <w:rPr>
          <w:rFonts w:ascii="Arial Narrow;sans-serif" w:hAnsi="Arial Narrow;sans-serif"/>
          <w:b w:val="false"/>
          <w:i/>
          <w:color w:val="000000"/>
          <w:sz w:val="20"/>
        </w:rPr>
      </w:pPr>
      <w:r>
        <w:rPr>
          <w:rFonts w:ascii="Arial Narrow;sans-serif" w:hAnsi="Arial Narrow;sans-serif"/>
          <w:b w:val="false"/>
          <w:i/>
          <w:color w:val="000000"/>
          <w:sz w:val="20"/>
        </w:rPr>
        <w:t>Critical Audit Matter Description</w:t>
      </w:r>
    </w:p>
    <w:p>
      <w:pPr>
        <w:pStyle w:val="TextBody"/>
        <w:bidi w:val="0"/>
        <w:spacing w:lineRule="auto" w:line="288" w:before="0" w:after="200"/>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Company’s merchandise inventories are stated at the lower of cost or market using the retail inventory method (“RIM”). Under the RIM, the valuation of inventories is determined by applying a calculated cost-to-retail ratio to the retail value of ending inventory. The value of the Company’s inventory on the balance sheet is then reduced by a charge to cost of sales for retail inventory markdowns taken on the selling price. To determine if the retail value of its inventory should be marked down, the Company considers many factors, including current and anticipated demand, customer preferences, age of the merchandise and fashion trends. Recorded markdowns represent one of the most significant inputs into the RIM calculation due to their impact on inventory valuation. Accordingly, the Company’s process of recording markdowns is subjective, particularly as it relates to timing of markdowns. </w:t>
      </w:r>
    </w:p>
    <w:p>
      <w:pPr>
        <w:pStyle w:val="TextBody"/>
        <w:bidi w:val="0"/>
        <w:spacing w:lineRule="auto" w:line="288" w:before="0" w:after="200"/>
        <w:jc w:val="left"/>
        <w:rPr>
          <w:rFonts w:ascii="Arial Narrow;sans-serif" w:hAnsi="Arial Narrow;sans-serif"/>
          <w:b w:val="false"/>
          <w:color w:val="000000"/>
          <w:sz w:val="20"/>
        </w:rPr>
      </w:pPr>
      <w:r>
        <w:rPr>
          <w:rFonts w:ascii="Arial Narrow;sans-serif" w:hAnsi="Arial Narrow;sans-serif"/>
          <w:b w:val="false"/>
          <w:color w:val="000000"/>
          <w:sz w:val="20"/>
        </w:rPr>
        <w:t>Given the management judgments necessary to identify and record markdowns in a timely manner, performing audit procedures to evaluate the timeliness of markdowns required a high degree of auditor judgment.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6705"/>
                <wp:effectExtent l="0" t="0" r="0" b="0"/>
                <wp:wrapNone/>
                <wp:docPr id="46" name="Frame4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44</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Arial Narrow;sans-serif" w:hAnsi="Arial Narrow;sans-serif"/>
          <w:b w:val="false"/>
          <w:i/>
          <w:color w:val="000000"/>
          <w:sz w:val="20"/>
        </w:rPr>
      </w:pPr>
      <w:r>
        <w:rPr>
          <w:rFonts w:ascii="Arial Narrow;sans-serif" w:hAnsi="Arial Narrow;sans-serif"/>
          <w:b w:val="false"/>
          <w:i/>
          <w:color w:val="000000"/>
          <w:sz w:val="20"/>
        </w:rPr>
        <w:t>How the Critical Audit Matter Was Addressed in the Audit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audit procedures related to the timing of markdowns taken, included the following, among others: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We tested the effectiveness of controls designed to ensure that markdowns are recorded timely.</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 xml:space="preserve">We evaluated the reasonableness of the timing of markdowns recorded by performing analytical procedures to compare current period trends to historical trends at varying levels of disaggregation (i.e., total company, operating segment, and business unit level) across multiple fiscal periods, including, but not limited to, metrics such as markdowns relative to sales trends, inventory turnover, and inventory aging. </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We evaluated management’s ability to identify triggering events and accurately forecast markdown activity by:</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Comparing actual markdowns recorded to management’s historical forecasts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Reading information included in Company press releases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Reading internal communications to management and the Board of Directors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We performed a retrospective review of markdowns recorded in periods subsequent to fiscal year-end to assess whether any unusual trends occurred that would indicate untimely markdowns.</w:t>
      </w:r>
    </w:p>
    <w:p>
      <w:pPr>
        <w:pStyle w:val="TextBody"/>
        <w:bidi w:val="0"/>
        <w:spacing w:lineRule="auto" w:line="288" w:before="18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/s/ Deloitte &amp; Touche LLP</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Seattle, Washington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March 19, 2024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served as the Company’s auditor since 1970.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7" name="Frame4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45</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Consolidated Statements of Earnings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millions except per share amounts)</w:t>
      </w:r>
    </w:p>
    <w:tbl>
      <w:tblPr>
        <w:tblW w:w="5937" w:type="dxa"/>
        <w:jc w:val="left"/>
        <w:tblInd w:w="0" w:type="dxa"/>
        <w:tblLayout w:type="fixed"/>
        <w:tblCellMar>
          <w:top w:w="28" w:type="dxa"/>
          <w:left w:w="28" w:type="dxa"/>
          <w:bottom w:w="28" w:type="dxa"/>
          <w:right w:w="28" w:type="dxa"/>
        </w:tblCellMar>
      </w:tblPr>
      <w:tblGrid>
        <w:gridCol w:w="1274"/>
        <w:gridCol w:w="1117"/>
        <w:gridCol w:w="1134"/>
        <w:gridCol w:w="330"/>
        <w:gridCol w:w="331"/>
        <w:gridCol w:w="136"/>
        <w:gridCol w:w="323"/>
        <w:gridCol w:w="323"/>
        <w:gridCol w:w="136"/>
        <w:gridCol w:w="323"/>
        <w:gridCol w:w="323"/>
        <w:gridCol w:w="187"/>
      </w:tblGrid>
      <w:tr>
        <w:trPr/>
        <w:tc>
          <w:tcPr>
            <w:tcW w:w="127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sales</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$14,219</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$15,092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$14,402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 card revenues, net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474</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14,693</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15,530 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14,789 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Cost of sales and related buying and occupancy costs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(9,303)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(10,019)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(9,344)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Selling, general and administrative expenses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(4,855)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(5,046)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Canada wind-down costs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(284)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before interest and income taxes</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251</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 net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(104)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before income taxes</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147</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earnings</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$134</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per share:</w:t>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$0.83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$0.82</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shares outstanding:</w:t>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161.8</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6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163.4</w:t>
            </w:r>
            <w:r>
              <w:rPr>
                <w:color w:val="000000"/>
              </w:rPr>
              <w:t> </w:t>
            </w:r>
          </w:p>
        </w:tc>
        <w:tc>
          <w:tcPr>
            <w:tcW w:w="1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162.1 </w:t>
            </w:r>
          </w:p>
        </w:tc>
        <w:tc>
          <w:tcPr>
            <w:tcW w:w="1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162.5 </w:t>
            </w:r>
          </w:p>
        </w:tc>
        <w:tc>
          <w:tcPr>
            <w:tcW w:w="1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18"/>
        </w:rPr>
      </w:pPr>
      <w:r>
        <w:rPr>
          <w:rFonts w:ascii="Arial Narrow;sans-serif" w:hAnsi="Arial Narrow;sans-serif"/>
          <w:b w:val="false"/>
          <w:color w:val="000000"/>
          <w:sz w:val="18"/>
        </w:rPr>
        <w:t>The accompanying Notes to Consolidated Financial Statements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Consolidated Statements of Comprehensive Earnings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millions)</w:t>
      </w:r>
    </w:p>
    <w:tbl>
      <w:tblPr>
        <w:tblW w:w="6086" w:type="dxa"/>
        <w:jc w:val="left"/>
        <w:tblInd w:w="0" w:type="dxa"/>
        <w:tblLayout w:type="fixed"/>
        <w:tblCellMar>
          <w:top w:w="28" w:type="dxa"/>
          <w:left w:w="28" w:type="dxa"/>
          <w:bottom w:w="28" w:type="dxa"/>
          <w:right w:w="28" w:type="dxa"/>
        </w:tblCellMar>
      </w:tblPr>
      <w:tblGrid>
        <w:gridCol w:w="1969"/>
        <w:gridCol w:w="1137"/>
        <w:gridCol w:w="1153"/>
        <w:gridCol w:w="233"/>
        <w:gridCol w:w="233"/>
        <w:gridCol w:w="136"/>
        <w:gridCol w:w="225"/>
        <w:gridCol w:w="226"/>
        <w:gridCol w:w="136"/>
        <w:gridCol w:w="225"/>
        <w:gridCol w:w="226"/>
        <w:gridCol w:w="187"/>
      </w:tblGrid>
      <w:tr>
        <w:trPr/>
        <w:tc>
          <w:tcPr>
            <w:tcW w:w="196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4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earnings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$134</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Postretirement plan adjustments, net of tax of ($2), ($12) and ($6)</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Comprehensive net earnings</w:t>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$135</w:t>
            </w:r>
            <w:r>
              <w:rPr>
                <w:color w:val="000000"/>
              </w:rPr>
              <w:t>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18"/>
        </w:rPr>
      </w:pPr>
      <w:r>
        <w:rPr>
          <w:rFonts w:ascii="Arial Narrow;sans-serif" w:hAnsi="Arial Narrow;sans-serif"/>
          <w:b w:val="false"/>
          <w:color w:val="000000"/>
          <w:sz w:val="18"/>
        </w:rPr>
        <w:t>The accompanying Notes to Consolidated Financial Statements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6705"/>
                <wp:effectExtent l="0" t="0" r="0" b="0"/>
                <wp:wrapNone/>
                <wp:docPr id="48" name="Frame4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46</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Consolidated Balance Sheets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millions)</w:t>
      </w:r>
    </w:p>
    <w:tbl>
      <w:tblPr>
        <w:tblW w:w="9073" w:type="dxa"/>
        <w:jc w:val="left"/>
        <w:tblInd w:w="0" w:type="dxa"/>
        <w:tblLayout w:type="fixed"/>
        <w:tblCellMar>
          <w:top w:w="28" w:type="dxa"/>
          <w:left w:w="28" w:type="dxa"/>
          <w:bottom w:w="28" w:type="dxa"/>
          <w:right w:w="28" w:type="dxa"/>
        </w:tblCellMar>
      </w:tblPr>
      <w:tblGrid>
        <w:gridCol w:w="2375"/>
        <w:gridCol w:w="2076"/>
        <w:gridCol w:w="2118"/>
        <w:gridCol w:w="409"/>
        <w:gridCol w:w="409"/>
        <w:gridCol w:w="411"/>
        <w:gridCol w:w="373"/>
        <w:gridCol w:w="373"/>
        <w:gridCol w:w="529"/>
      </w:tblGrid>
      <w:tr>
        <w:trPr/>
        <w:tc>
          <w:tcPr>
            <w:tcW w:w="2375"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28, 2023</w:t>
            </w:r>
          </w:p>
        </w:tc>
      </w:tr>
      <w:tr>
        <w:trPr/>
        <w:tc>
          <w:tcPr>
            <w:tcW w:w="6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$628</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 net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334</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inventories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1,888</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1,941 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286</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3,136</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3,209 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 property and equipment, net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3,177</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3,351 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1,359</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249</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523</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assets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$8,444</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$8,745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 and Shareholders’ Equity</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$1,236</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Accrued salaries, wages and related benefits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244</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portion of operating lease liabilities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240</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liabilities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1,102</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1,203 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portion of long-term debt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250</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3,072</w:t>
            </w: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2,990 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2,612</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operating lease liabilities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1,377</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1,526 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liabilities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535</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13)</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Shareholders’ equity:</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Arial Narrow;sans-serif" w:hAnsi="Arial Narrow;sans-serif"/>
                <w:b w:val="false"/>
                <w:color w:val="000000"/>
                <w:sz w:val="18"/>
              </w:rPr>
            </w:pPr>
            <w:r>
              <w:rPr>
                <w:rFonts w:ascii="Arial Narrow;sans-serif" w:hAnsi="Arial Narrow;sans-serif"/>
                <w:b w:val="false"/>
                <w:color w:val="000000"/>
                <w:sz w:val="18"/>
              </w:rPr>
              <w:t>Common stock, no par value: 1,000 shares authorized; 162.4 and 160.1 shares issued and outstanding</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3,418</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3,353 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deficit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(2,578)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(2,588)</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gain (loss)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shareholders’ equity</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848</w:t>
            </w: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liabilities and shareholders’ equity</w:t>
            </w:r>
          </w:p>
        </w:tc>
        <w:tc>
          <w:tcPr>
            <w:tcW w:w="8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$8,444</w:t>
            </w:r>
            <w:r>
              <w:rPr>
                <w:color w:val="000000"/>
              </w:rPr>
              <w:t> </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$8,745 </w:t>
            </w:r>
          </w:p>
        </w:tc>
        <w:tc>
          <w:tcPr>
            <w:tcW w:w="5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18"/>
        </w:rPr>
      </w:pPr>
      <w:r>
        <w:rPr>
          <w:rFonts w:ascii="Arial Narrow;sans-serif" w:hAnsi="Arial Narrow;sans-serif"/>
          <w:b w:val="false"/>
          <w:color w:val="000000"/>
          <w:sz w:val="18"/>
        </w:rPr>
        <w:t>The accompanying Notes to Consolidated Financial Statements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49" name="Frame4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47</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Consolidated Statements of Shareholders’ Equity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millions except per share amounts)</w:t>
      </w:r>
    </w:p>
    <w:tbl>
      <w:tblPr>
        <w:tblW w:w="7632" w:type="dxa"/>
        <w:jc w:val="center"/>
        <w:tblInd w:w="0" w:type="dxa"/>
        <w:tblLayout w:type="fixed"/>
        <w:tblCellMar>
          <w:top w:w="28" w:type="dxa"/>
          <w:left w:w="28" w:type="dxa"/>
          <w:bottom w:w="28" w:type="dxa"/>
          <w:right w:w="28" w:type="dxa"/>
        </w:tblCellMar>
      </w:tblPr>
      <w:tblGrid>
        <w:gridCol w:w="1413"/>
        <w:gridCol w:w="1239"/>
        <w:gridCol w:w="1247"/>
        <w:gridCol w:w="409"/>
        <w:gridCol w:w="409"/>
        <w:gridCol w:w="411"/>
        <w:gridCol w:w="409"/>
        <w:gridCol w:w="409"/>
        <w:gridCol w:w="411"/>
        <w:gridCol w:w="373"/>
        <w:gridCol w:w="373"/>
        <w:gridCol w:w="529"/>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 ended</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28, 2023</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29, 2022</w:t>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Common stock</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beginning of year</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$3,353</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$3,283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common stock under stock compensation plans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Stock-based compensation</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45</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end of year</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$3,418</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$3,353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$3,283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Accumulated deficit</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beginning of year</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($2,588)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($2,830)</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earnings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134</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Repurchase of common stock</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end of year</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($2,578)</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($2,588)</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($2,652)</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Accumulated other comprehensive gain (loss)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beginning of year</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($26)</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translation loss reclassified to earnings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33</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comprehensive earnings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end of year</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w:t>
            </w: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$848</w:t>
            </w: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$581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Dividends per share</w:t>
            </w:r>
          </w:p>
        </w:tc>
        <w:tc>
          <w:tcPr>
            <w:tcW w:w="81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$0.76</w:t>
            </w:r>
            <w:r>
              <w:rPr>
                <w:color w:val="000000"/>
              </w:rPr>
              <w:t> </w:t>
            </w:r>
          </w:p>
        </w:tc>
        <w:tc>
          <w:tcPr>
            <w:tcW w:w="4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$0.76 </w:t>
            </w:r>
          </w:p>
        </w:tc>
        <w:tc>
          <w:tcPr>
            <w:tcW w:w="4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 </w:t>
            </w:r>
          </w:p>
        </w:tc>
        <w:tc>
          <w:tcPr>
            <w:tcW w:w="5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18"/>
        </w:rPr>
      </w:pPr>
      <w:r>
        <w:rPr>
          <w:rFonts w:ascii="Arial Narrow;sans-serif" w:hAnsi="Arial Narrow;sans-serif"/>
          <w:b w:val="false"/>
          <w:color w:val="000000"/>
          <w:sz w:val="18"/>
        </w:rPr>
        <w:t>The accompanying Notes to Consolidated Financial Statements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06705"/>
                <wp:effectExtent l="0" t="0" r="0" b="0"/>
                <wp:wrapNone/>
                <wp:docPr id="50" name="Frame4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48</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Consolidated Statements of Cash Flows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millions)</w:t>
      </w:r>
    </w:p>
    <w:tbl>
      <w:tblPr>
        <w:tblW w:w="7181" w:type="dxa"/>
        <w:jc w:val="left"/>
        <w:tblInd w:w="0" w:type="dxa"/>
        <w:tblLayout w:type="fixed"/>
        <w:tblCellMar>
          <w:top w:w="28" w:type="dxa"/>
          <w:left w:w="28" w:type="dxa"/>
          <w:bottom w:w="28" w:type="dxa"/>
          <w:right w:w="28" w:type="dxa"/>
        </w:tblCellMar>
      </w:tblPr>
      <w:tblGrid>
        <w:gridCol w:w="1904"/>
        <w:gridCol w:w="1670"/>
        <w:gridCol w:w="1691"/>
        <w:gridCol w:w="233"/>
        <w:gridCol w:w="233"/>
        <w:gridCol w:w="136"/>
        <w:gridCol w:w="225"/>
        <w:gridCol w:w="226"/>
        <w:gridCol w:w="136"/>
        <w:gridCol w:w="269"/>
        <w:gridCol w:w="271"/>
        <w:gridCol w:w="187"/>
      </w:tblGrid>
      <w:tr>
        <w:trPr/>
        <w:tc>
          <w:tcPr>
            <w:tcW w:w="1904"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5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Activities</w:t>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earnings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$134</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earnings to net cash provided by operating activities:</w:t>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 expenses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586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Canada wind-down costs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207</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 impairment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30</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184</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(60)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Stock-based compensation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52</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(71)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operating assets and liabilities:</w:t>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inventories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(61)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and noncurrent assets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40</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salaries, wages and related benefits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(42)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liabilities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(272)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and noncurrent liabilities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(67)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621</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Investing Activities</w:t>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(569)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Decrease in cash and cash equivalents resulting from Canada deconsolidation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the sale of assets and other,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31</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(571)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(521)</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Financing Activities</w:t>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revolving line of credit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revolving line of credit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long-term borrowings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Principal payments on long-term borrowings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cash book overdrafts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dividends paid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(123)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for repurchase of common stock</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issuances under stock compensation plans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financing activities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(109)</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increase in cash and cash equivalents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(59)</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year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687</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Cash and cash equivalents at end of year</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$628</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Supplemental Cash Flow Information</w:t>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 paid, net of refunds received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paid, net of capitalized interest</w:t>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143</w:t>
            </w:r>
            <w:r>
              <w:rPr>
                <w:color w:val="000000"/>
              </w:rPr>
              <w:t> </w:t>
            </w:r>
          </w:p>
        </w:tc>
        <w:tc>
          <w:tcPr>
            <w:tcW w:w="1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136 </w:t>
            </w:r>
          </w:p>
        </w:tc>
        <w:tc>
          <w:tcPr>
            <w:tcW w:w="1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164 </w:t>
            </w:r>
          </w:p>
        </w:tc>
        <w:tc>
          <w:tcPr>
            <w:tcW w:w="18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18"/>
        </w:rPr>
      </w:pPr>
      <w:r>
        <w:rPr>
          <w:rFonts w:ascii="Arial Narrow;sans-serif" w:hAnsi="Arial Narrow;sans-serif"/>
          <w:b w:val="false"/>
          <w:color w:val="000000"/>
          <w:sz w:val="18"/>
        </w:rPr>
        <w:t>The accompanying Notes to Consolidated Financial Statements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51" name="Frame4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49</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NOTE 1: NATURE OF OPERATIONS AND SUMMARY OF SIGNIFICANT ACCOUNTING POLICIES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Company</w:t>
      </w:r>
    </w:p>
    <w:p>
      <w:pPr>
        <w:pStyle w:val="TextBody"/>
        <w:bidi w:val="0"/>
        <w:spacing w:lineRule="auto" w:line="288" w:before="0" w:after="0"/>
        <w:jc w:val="left"/>
        <w:rPr/>
      </w:pPr>
      <w:r>
        <w:rPr>
          <w:rFonts w:ascii="Arial Narrow;sans-serif" w:hAnsi="Arial Narrow;sans-serif"/>
          <w:b w:val="false"/>
          <w:color w:val="000000"/>
          <w:sz w:val="20"/>
        </w:rPr>
        <w:t>Founded in 1901 as a retail shoe business in Seattle, Washington, our Company is a leading fashion retailer that offers an extensive selection of high-quality brand-name and private-label merchandise for women, men, young adults and children, with a focus on apparel, shoes, beauty, accessories and home goods. This breadth of merchandise allows us to serve a wide range of customers who appreciate quality fashion and a superior shopping experience, across our digital and physical assets and in b</w:t>
      </w:r>
      <w:r>
        <w:rPr>
          <w:rFonts w:ascii="Arial Narrow;sans-serif" w:hAnsi="Arial Narrow;sans-serif"/>
          <w:b w:val="false"/>
          <w:color w:val="000000"/>
          <w:sz w:val="20"/>
          <w:shd w:fill="FFFFFF" w:val="clear"/>
        </w:rPr>
        <w:t>oth our Nordstrom and Nordstrom Rack banners. Our facilities and stores are located in 40 states in the U.S.</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As of </w:t>
      </w:r>
      <w:r>
        <w:rPr>
          <w:rFonts w:ascii="Arial Narrow;sans-serif" w:hAnsi="Arial Narrow;sans-serif"/>
          <w:b w:val="false"/>
          <w:color w:val="000000"/>
          <w:sz w:val="20"/>
        </w:rPr>
        <w:t xml:space="preserve">February 3, 2024, </w:t>
      </w:r>
      <w:r>
        <w:rPr>
          <w:rFonts w:ascii="Arial Narrow;sans-serif" w:hAnsi="Arial Narrow;sans-serif"/>
          <w:b w:val="false"/>
          <w:color w:val="000000"/>
          <w:sz w:val="20"/>
          <w:shd w:fill="FFFFFF" w:val="clear"/>
        </w:rPr>
        <w:t>Nordstrom includes: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93 Nordstrom stores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Nordstrom.com website and mobile application</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 xml:space="preserve">six Nordstrom Locals </w:t>
      </w:r>
    </w:p>
    <w:p>
      <w:pPr>
        <w:pStyle w:val="TextBody"/>
        <w:bidi w:val="0"/>
        <w:spacing w:lineRule="auto" w:line="288" w:before="180" w:after="283"/>
        <w:jc w:val="left"/>
        <w:rPr/>
      </w:pPr>
      <w:r>
        <w:rPr>
          <w:rFonts w:ascii="Arial Narrow;sans-serif" w:hAnsi="Arial Narrow;sans-serif"/>
          <w:b w:val="false"/>
          <w:color w:val="000000"/>
          <w:sz w:val="20"/>
          <w:shd w:fill="FFFFFF" w:val="clear"/>
        </w:rPr>
        <w:t xml:space="preserve">As of </w:t>
      </w:r>
      <w:r>
        <w:rPr>
          <w:rFonts w:ascii="Arial Narrow;sans-serif" w:hAnsi="Arial Narrow;sans-serif"/>
          <w:b w:val="false"/>
          <w:color w:val="000000"/>
          <w:sz w:val="20"/>
        </w:rPr>
        <w:t xml:space="preserve">February 3, 2024, Nordstrom Rack includes: </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258 Nordstrom Rack stores</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NordstromRack.com website and mobile application</w:t>
      </w:r>
    </w:p>
    <w:p>
      <w:pPr>
        <w:pStyle w:val="TextBody"/>
        <w:bidi w:val="0"/>
        <w:spacing w:lineRule="auto" w:line="288" w:before="60" w:after="283"/>
        <w:ind w:left="0" w:right="0" w:hanging="180"/>
        <w:jc w:val="left"/>
        <w:rPr/>
      </w:pPr>
      <w:r>
        <w:rPr>
          <w:color w:val="000000"/>
        </w:rPr>
        <w:t>•</w:t>
      </w:r>
      <w:r>
        <w:rPr>
          <w:rFonts w:ascii="Arial Narrow;sans-serif" w:hAnsi="Arial Narrow;sans-serif"/>
          <w:b w:val="false"/>
          <w:color w:val="000000"/>
          <w:sz w:val="20"/>
        </w:rPr>
        <w:t>two Last Chance clearance stores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Fiscal Year</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operate on a 52/53-week fiscal year ending on the Saturday closest to January 31st. References to 2023 relate to the 53-week fiscal year ending February 3, 2024. References to any other years included within this document are based on a 52-week fiscal year.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Principles of Consolidation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Consolidated Financial Statements include the balances of Nordstrom, Inc. and its subsidiaries and are presented in U.S. dollars. All intercompany transactions and balances are eliminated in consolidation.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On March 2, 2023, Nordstrom Canada commenced a wind-down of its business operations (see Note 2: Canada Wind-down) and as of this date, Nordstrom Canada was deconsolidated from Nordstrom, Inc.’s financial statements. Nordstrom Canada results prior to March 2, 2023 are included in the Company’s Consolidated Financial Statements.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Use of Estimates</w:t>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conformity with GAAP requires that we make estimates, judgments and assumptions that affect the reported amounts of assets, liabilities, revenues and expenses and disclosure of contingent assets and liabilities during the reporting period. Uncertainties regarding such estimates and assumptions are inherent in the preparation of financial statements. Actual results may differ from these estimates and assumptions. Our most significant accounting judgments and estimates include revenue recognition, inventory valuation, long-lived asset recoverability, income taxes and contingent liabilities, including assumptions related to our Canada wind-down, all of which involve assumptions about future events.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Net Sales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recognize sales revenue net of estimated returns and excluding sales taxes. Revenue from sales shipped to customers from our Supply Chain Network facilities, stores and directly from our vendors, which includes shipping revenue when applicable, is recognized at shipping point, the point in time where control has transferred to the customer. Costs to ship orders to customers are expensed as a fulfillment activity at shipping point, commissions from sales at our Nordstrom stores are expensed at the point of sale and both are recorded in SG&amp;A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06705"/>
                <wp:effectExtent l="0" t="0" r="0" b="0"/>
                <wp:wrapNone/>
                <wp:docPr id="52" name="Frame5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50</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pPr>
      <w:r>
        <w:rPr>
          <w:rFonts w:ascii="Arial Narrow;sans-serif" w:hAnsi="Arial Narrow;sans-serif"/>
          <w:b w:val="false"/>
          <w:color w:val="000000"/>
          <w:sz w:val="20"/>
        </w:rPr>
        <w:t xml:space="preserve">We reduce sales and cost of sales by an estimate of future customer merchandise returns, which is calculated based on historical and expected return patterns, and record a sales return reserve and an estimated returns asset. Our sales return reserve is classified in other current liabilities and our estimated returns asset, calculated based on the cost of merchandise sold, is classified in prepaid expenses and other on the Consolidated Balance Sheets. As of February 3, 2024 and January 28, 2023, our sales return reserve was $377 and $415, and our estimated returns asset was $164 and $179. Due to the seasonality of our business, these balances typically increase when higher sales occur in the last month of a period, such as during the Anniversary Sale, which usually occurs at the end of the second quarter, and decrease in the following period. </w:t>
      </w:r>
      <w:r>
        <w:rPr>
          <w:rFonts w:ascii="Arial Narrow;sans-serif" w:hAnsi="Arial Narrow;sans-serif"/>
          <w:b w:val="false"/>
          <w:color w:val="000000"/>
          <w:sz w:val="20"/>
          <w:shd w:fill="FFFFFF" w:val="clear"/>
        </w:rPr>
        <w:t xml:space="preserve">We record the impact of the sales return reserve separately in both our Nordstrom and Nordstrom Rack banners. The majority of our returns from both digital and physical sales come through our stores. </w:t>
      </w:r>
    </w:p>
    <w:p>
      <w:pPr>
        <w:pStyle w:val="TextBody"/>
        <w:bidi w:val="0"/>
        <w:spacing w:lineRule="auto" w:line="288" w:before="180" w:after="283"/>
        <w:jc w:val="left"/>
        <w:rPr>
          <w:rFonts w:ascii="Arial Narrow;sans-serif" w:hAnsi="Arial Narrow;sans-serif"/>
          <w:b w:val="false"/>
          <w:i/>
          <w:color w:val="000000"/>
          <w:sz w:val="20"/>
          <w:shd w:fill="FFFFFF" w:val="clear"/>
        </w:rPr>
      </w:pPr>
      <w:r>
        <w:rPr>
          <w:rFonts w:ascii="Arial Narrow;sans-serif" w:hAnsi="Arial Narrow;sans-serif"/>
          <w:b w:val="false"/>
          <w:i/>
          <w:color w:val="000000"/>
          <w:sz w:val="20"/>
          <w:shd w:fill="FFFFFF" w:val="clear"/>
        </w:rPr>
        <w:t>Loyalty Program</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Nordy Club is our customer loyalty program that incorporates a traditional point and benefit system, while providing customers exclusive access to products and events, enhanced services, personalized experiences and more convenient ways to shop. Customers accumulate points based on their level of spending and type of participation. Upon reaching certain point thresholds, customers receive Nordstrom Notes, which can be redeemed for goods or services across Nordstrom and Nordstrom Rack. The Nordy Club benefits vary based on the level of customer spend, and include bonus points days and shopping and fashion events.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offer customers access to a variety of payment products and services, including a selection of Nordstrom-branded Visa® credit cards, as well as a Nordstrom-branded private-label credit card for Nordstrom purchases. When customers use a Nordstrom-branded credit or debit card, they also participate in The Nordy Club and receive additional benefits, which can vary depending on the level of spend, including early access to the Anniversary Sale, enhanced alterations and stylist benefits and incremental accumulation of points toward Nordstrom Notes. </w:t>
      </w:r>
    </w:p>
    <w:p>
      <w:pPr>
        <w:pStyle w:val="TextBody"/>
        <w:bidi w:val="0"/>
        <w:spacing w:lineRule="auto" w:line="288" w:before="180" w:after="283"/>
        <w:jc w:val="left"/>
        <w:rPr/>
      </w:pPr>
      <w:r>
        <w:rPr>
          <w:rFonts w:ascii="Arial Narrow;sans-serif" w:hAnsi="Arial Narrow;sans-serif"/>
          <w:b w:val="false"/>
          <w:color w:val="000000"/>
          <w:sz w:val="20"/>
        </w:rPr>
        <w:t>As our customers earn points and Nordstrom Notes in The Nordy Club, a portion of underlying sales revenue is deferred based on an estimated stand-alone selling price of points, Nordstrom Notes and other loyalty benefits, such as alterations. We recognize the revenue and related cost of sale when the Nordstrom Notes are ultimately redeemed and reduce our contract liability. We include the deferred revenue in other current liabilities on the Consolidated Balance Sheets. We record breakage revenue of unused points and unredeemed Nordstrom Notes based on expected customer redemption. We estimate, based on historical and expected usage, that approximate</w:t>
      </w:r>
      <w:r>
        <w:rPr>
          <w:rFonts w:ascii="Arial Narrow;sans-serif" w:hAnsi="Arial Narrow;sans-serif"/>
          <w:b w:val="false"/>
          <w:color w:val="000000"/>
          <w:sz w:val="20"/>
          <w:shd w:fill="FFFFFF" w:val="clear"/>
        </w:rPr>
        <w:t>l</w:t>
      </w:r>
      <w:r>
        <w:rPr>
          <w:rFonts w:ascii="Arial Narrow;sans-serif" w:hAnsi="Arial Narrow;sans-serif"/>
          <w:b w:val="false"/>
          <w:color w:val="000000"/>
          <w:sz w:val="20"/>
        </w:rPr>
        <w:t xml:space="preserve">y 8% of Nordstrom Notes and points will be unredeemed. Estimating future breakage rates requires judgment based on current and historical trends, and actual breakage rates may vary from our estimates. Other benefits of the loyalty program, including shopping and fashion events, are recorded in SG&amp;A expenses as these are not a material right of the program.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both February 3, 2024 and January 28, 2023, our outstanding performance obligation for The Nordy Club, which consists primarily of unredeemed points and Nordstrom Notes at retail value, was $115. Almost all Nordstrom Notes redemptions occur within eleven months of issuance.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Gift Cards</w:t>
      </w:r>
    </w:p>
    <w:p>
      <w:pPr>
        <w:pStyle w:val="TextBody"/>
        <w:bidi w:val="0"/>
        <w:spacing w:lineRule="auto" w:line="288" w:before="0" w:after="0"/>
        <w:jc w:val="left"/>
        <w:rPr/>
      </w:pPr>
      <w:r>
        <w:rPr>
          <w:rFonts w:ascii="Arial Narrow;sans-serif" w:hAnsi="Arial Narrow;sans-serif"/>
          <w:b w:val="false"/>
          <w:color w:val="000000"/>
          <w:sz w:val="20"/>
        </w:rPr>
        <w:t xml:space="preserve">We record deferred revenue from the sale of gift cards at the time of purchase. As gift cards are redeemed, we recognize revenue and reduce our contract liability. Although our gift cards do not have an expiration date, we include this deferred revenue in other current liabilities on the Consolidated Balance Sheets as customers can redeem gift cards at any time. We record breakage revenue on unused gift cards based on expected customer redemption. We estimate, based on historical usage, that 4% </w:t>
      </w:r>
      <w:r>
        <w:rPr>
          <w:rFonts w:ascii="Arial Narrow;sans-serif" w:hAnsi="Arial Narrow;sans-serif"/>
          <w:b w:val="false"/>
          <w:color w:val="000000"/>
          <w:sz w:val="20"/>
          <w:shd w:fill="FFFFFF" w:val="clear"/>
        </w:rPr>
        <w:t xml:space="preserve">of gift cards </w:t>
      </w:r>
      <w:r>
        <w:rPr>
          <w:rFonts w:ascii="Arial Narrow;sans-serif" w:hAnsi="Arial Narrow;sans-serif"/>
          <w:b w:val="false"/>
          <w:color w:val="000000"/>
          <w:sz w:val="20"/>
        </w:rPr>
        <w:t>will be unredeemed and recognized as revenue. Estimating future breakage rates requires judgment based on current and historical trends and actual breakage rates may vary from our estimates. Breakage income was $52, $40 and $39 in 2023, 2022 and 2021.</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As of February 3, 2024 and January 28, 2023, our outstanding performance obligation for unredeemed gift cards was $343 and $370. Almost all gift card redemptions occur within two years of issuance. </w:t>
      </w:r>
    </w:p>
    <w:p>
      <w:pPr>
        <w:pStyle w:val="TextBody"/>
        <w:bidi w:val="0"/>
        <w:spacing w:lineRule="auto" w:line="288" w:before="180" w:after="283"/>
        <w:jc w:val="left"/>
        <w:rPr>
          <w:rFonts w:ascii="Arial Narrow;sans-serif" w:hAnsi="Arial Narrow;sans-serif"/>
          <w:b w:val="false"/>
          <w:i/>
          <w:color w:val="000000"/>
          <w:sz w:val="20"/>
          <w:shd w:fill="FFFFFF" w:val="clear"/>
        </w:rPr>
      </w:pPr>
      <w:r>
        <w:rPr>
          <w:rFonts w:ascii="Arial Narrow;sans-serif" w:hAnsi="Arial Narrow;sans-serif"/>
          <w:b w:val="false"/>
          <w:i/>
          <w:color w:val="000000"/>
          <w:sz w:val="20"/>
          <w:shd w:fill="FFFFFF" w:val="clear"/>
        </w:rPr>
        <w:t>Credit Card Revenues, net</w:t>
      </w:r>
    </w:p>
    <w:p>
      <w:pPr>
        <w:pStyle w:val="TextBody"/>
        <w:bidi w:val="0"/>
        <w:spacing w:lineRule="auto" w:line="288" w:before="0" w:after="0"/>
        <w:jc w:val="left"/>
        <w:rPr/>
      </w:pPr>
      <w:r>
        <w:rPr>
          <w:rFonts w:ascii="Arial Narrow;sans-serif" w:hAnsi="Arial Narrow;sans-serif"/>
          <w:b w:val="false"/>
          <w:color w:val="000000"/>
          <w:sz w:val="20"/>
          <w:shd w:fill="FFFFFF" w:val="clear"/>
        </w:rPr>
        <w:t>Although the primary purpose of offering our credit cards is to foster greater customer loyalty and drive more sales, we also receive credit card revenue through our program agreement with TD. Under that agreement, which was amended in the fourth quarter of 2022 and runs through September 2026, TD is the exclusive issuer of Nordstrom-branded consumer credit cards and we perform account servicing functions for those cards. Credit card revenues, net include our portion of the ongoing credit card revenue, net of credit losses, pursuant to our program agreement with TD.</w:t>
      </w:r>
      <w:r>
        <w:rPr>
          <w:color w:val="000000"/>
        </w:rPr>
        <w:t xml:space="preserve"> </w:t>
      </w:r>
      <w:r>
        <w:rPr>
          <w:rFonts w:ascii="Arial Narrow;sans-serif" w:hAnsi="Arial Narrow;sans-serif"/>
          <w:b w:val="false"/>
          <w:color w:val="000000"/>
          <w:sz w:val="20"/>
        </w:rPr>
        <w:t xml:space="preserve">In connection with the amendment, we recorded deferred revenue, which will be recognized in full over the term of the agreement as we perform account servicing functions. Our outstanding performance obligation for the TD agreement is included in other current liabilities and other liabilities on our Consolidated Balance Sheets and the amortization is included in other operating, net on the Consolidated Statements of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3" name="Frame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51</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Cost of Sales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Cost of sales primarily includes the purchase and manufacturing costs of inventory sold, net of vendor allowances, and in-bound freight and duty expense.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Buying and Occupancy Costs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Buying costs consist primarily of compensation and other costs incurred by our merchandising and product development groups. Occupancy costs include rent, depreciation, property taxes and facility operating costs of our stores, office facilities and Supply Chain Network facilities.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Selling, General and Administrative Expenses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SG&amp;A expenses consist primarily of compensation and benefits, marketing, outbound supply chain and technology costs.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Shipping and Fulfillment Costs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shipping and fulfillment costs include payments to third-party shippers and costs to hold, move and prepare merchandise for shipment. These costs do not include in-bound freight to our Supply Chain Network facilities, which we include in the cost of our inventory. Shipping and fulfillment costs of $712, $885 and $993 in 2023, 2022 and 2021 were included in SG&amp;A expenses.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Advertising</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Advertising production costs for internet, magazines, store events and other media are expensed the first time the advertisement is run. Online marketing costs are expensed when incurred. Total advertising expenses, net of vendor allowances, of $313, $309 and $300 in 2023, 2022 and 2021 were included in SG&amp;A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Vendor Allowances</w:t>
      </w:r>
    </w:p>
    <w:p>
      <w:pPr>
        <w:pStyle w:val="TextBody"/>
        <w:bidi w:val="0"/>
        <w:spacing w:lineRule="auto" w:line="276" w:before="0" w:after="0"/>
        <w:jc w:val="left"/>
        <w:rPr>
          <w:rFonts w:ascii="Arial Narrow;sans-serif" w:hAnsi="Arial Narrow;sans-serif"/>
          <w:b w:val="false"/>
          <w:color w:val="000000"/>
          <w:sz w:val="20"/>
        </w:rPr>
      </w:pPr>
      <w:r>
        <w:rPr>
          <w:rFonts w:ascii="Arial Narrow;sans-serif" w:hAnsi="Arial Narrow;sans-serif"/>
          <w:b w:val="false"/>
          <w:color w:val="000000"/>
          <w:sz w:val="20"/>
        </w:rPr>
        <w:t>We receive allowances from merchandise vendors for purchase price adjustments, beauty expenses, advertising programs and various other expenses. Purchase price adjustments are recorded as a reduction of cost of sales at the point they have been earned and the related merchandise has been marked down or sold. Allowances for beauty expenses, advertising programs and other expenses are recorded in SG&amp;A expenses as a reduction of the related costs when incurred.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Vendor allowances earned are as follows:</w:t>
      </w:r>
    </w:p>
    <w:tbl>
      <w:tblPr>
        <w:tblW w:w="3701" w:type="dxa"/>
        <w:jc w:val="left"/>
        <w:tblInd w:w="0" w:type="dxa"/>
        <w:tblLayout w:type="fixed"/>
        <w:tblCellMar>
          <w:top w:w="28" w:type="dxa"/>
          <w:left w:w="28" w:type="dxa"/>
          <w:bottom w:w="28" w:type="dxa"/>
          <w:right w:w="28" w:type="dxa"/>
        </w:tblCellMar>
      </w:tblPr>
      <w:tblGrid>
        <w:gridCol w:w="677"/>
        <w:gridCol w:w="594"/>
        <w:gridCol w:w="603"/>
        <w:gridCol w:w="232"/>
        <w:gridCol w:w="234"/>
        <w:gridCol w:w="136"/>
        <w:gridCol w:w="225"/>
        <w:gridCol w:w="226"/>
        <w:gridCol w:w="136"/>
        <w:gridCol w:w="225"/>
        <w:gridCol w:w="226"/>
        <w:gridCol w:w="187"/>
      </w:tblGrid>
      <w:tr>
        <w:trPr/>
        <w:tc>
          <w:tcPr>
            <w:tcW w:w="6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price adjustments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$94</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Beauty expenses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114</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Advertising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87</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vendor allowances</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$301</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 </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Advertising includes NMN, where vendors pay a fee for use of our first-party data. Funds received from vendors are recorded as a reduction of the campaign cost in SG&amp;A expenses and media fees are recorded as a reduction of cost of sales.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401(k) Plan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provide a 401(k) plan for our employees that allows for employee elective contributions and our matching contributions. Employee elective contributions are funded through voluntary payroll deductions. Total expenses related to Company contributions were $71 in 2023 and 2022 and $67 in 2021, and were included in both buying and occupancy costs and SG&amp;A expenses on our Consolidated Statements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06705"/>
                <wp:effectExtent l="0" t="0" r="0" b="0"/>
                <wp:wrapNone/>
                <wp:docPr id="54" name="Frame5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52</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Stock-Based Compensation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2019 Plan authorizes the grant of stock options, PSUs, RSUs, stock appreciation rights and both restricted and unrestricted shares of common stock to employees and nonemployee directors. We grant stock-based awards under our 2019 Plan and employees may purchase our stock at a discount under our ESPP. We predominantly recognize stock-based compensation expense related to stock-based awards at their estimated grant date fair value, recorded on a straight-line basis over the requisite service period. Compensation expense for certain award holders is accelerated based upon age and years of service. Compensation expense for PSUs is adjusted based on the payout percentage of the PSU grant subject to achieving specific performance measures. The total compensation expense is reduced by actual forfeitures as they occur.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primarily estimate the grant date fair value of stock options using the Binomial Lattice-based valuation model, but for our price-hurdle grants in 2021, we estimate the grant date fair value using the Monte Carlo simulation valuation model. The grant date fair value of RSUs and PSUs is determined based on the number of RSUs or PSUs granted and the quoted price of our common stock on the date of grant, less the estimated present value of dividends over the vesting period. PSUs granted are classified as equity.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included on the following line items of our Consolidated Statements of Shareholders’ Equity and our Consolidated Statements of Cash Flows are as follows: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 xml:space="preserve">Issuance of common stock under stock compensation plans — includes common stock option exercises and purchases of shares under the ESPP </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Stock-based compensation — primarily includes stock-based compensation expense for our common stock options, RSUs and PSUs, partially offset by shares withheld for taxes on RSUs and PSUs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Store Opening Costs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Non-capital expenditures associated with opening new stores, including marketing expenses, relocation expenses and occupancy costs, are charged to expense as incurred. These costs are included in both buying and occupancy costs and SG&amp;A expenses, according to their nature as disclosed above.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Taxes</w:t>
      </w:r>
    </w:p>
    <w:p>
      <w:pPr>
        <w:pStyle w:val="TextBody"/>
        <w:bidi w:val="0"/>
        <w:spacing w:lineRule="auto" w:line="288" w:before="0" w:after="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We use the asset and liability method of accounting for income taxes. Using this method, deferred tax assets and liabilities are recorded based on differences between the financial reporting and tax basis of assets and liabilities and for operating loss and tax credit carryforwards. The deferred tax assets and liabilities are calculated using the enacted tax rates and laws that are expected to be in effect when the differences are expected to reverse. We routinely evaluate the likelihood of realizing the benefit of our deferred tax assets and may record a valuation allowance if, based on all available evidence, it is determined that some portion of the tax benefit will not be realized. </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regularly evaluate the likelihood of realizing the benefit for income tax positions we have taken in various federal, state and foreign filings by considering all relevant facts, circumstances and information available. If we believe it is more likely than not that our position will be sustained, we recognize a benefit at the largest amount we believe is cumulatively greater than 50% likely to be realized. Interest and penalties related to income tax matters are classified as a component of income tax expense.</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 xml:space="preserve">Income taxes require significant management judgment regarding applicable statutes and their related interpretation, the status of various income tax audits and our particular facts and circumstances. Also, as audits are completed or statutes of limitations lapse, it may be necessary to record adjustments to our taxes payable, deferred taxes, tax reserves or income tax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5" name="Frame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53</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Earnings Per Share</w:t>
      </w:r>
    </w:p>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Earnings per basic share is computed using the weighted-average number of common shares outstanding during the year. Earnings per diluted share uses the weighted-average number of common shares outstanding during the year plus dilutive common stock equivalents, primarily RSUs and stock options. Dilutive common stock is calculated using the treasury stock method and includes outstanding RSUs and options that would reduce the amount of earnings for which each share is entitled. Anti-dilutive shares (including stock options and other shares) are excluded from the calculation of diluted shares and earnings per diluted share because their impact could increase earnings per diluted share.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Comprehensive Net Earnings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Comprehensive net earnings consist of net earnings and other gains and losses affecting equity that are excluded from net earnings. These consist of postretirement plan adjustments, net of related income tax effects, and foreign currency translation adjustments.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Cash Equivalents</w:t>
      </w:r>
    </w:p>
    <w:p>
      <w:pPr>
        <w:pStyle w:val="TextBody"/>
        <w:bidi w:val="0"/>
        <w:spacing w:lineRule="auto" w:line="288" w:before="0" w:after="0"/>
        <w:jc w:val="left"/>
        <w:rPr/>
      </w:pPr>
      <w:r>
        <w:rPr>
          <w:rFonts w:ascii="Arial Narrow;sans-serif" w:hAnsi="Arial Narrow;sans-serif"/>
          <w:b w:val="false"/>
          <w:color w:val="000000"/>
          <w:sz w:val="20"/>
        </w:rPr>
        <w:t xml:space="preserve">Cash equivalents are short-term investments with an original maturity of three months or less from the date of purchase and are carried at cost, which approximates fair value. At the end of 2023 and 2022, checks not yet presented for payment drawn in excess of our bank deposit balances </w:t>
      </w:r>
      <w:r>
        <w:rPr>
          <w:rFonts w:ascii="Arial Narrow;sans-serif" w:hAnsi="Arial Narrow;sans-serif"/>
          <w:b w:val="false"/>
          <w:color w:val="000000"/>
          <w:sz w:val="20"/>
          <w:shd w:fill="FFFFFF" w:val="clear"/>
        </w:rPr>
        <w:t xml:space="preserve">were </w:t>
      </w:r>
      <w:r>
        <w:rPr>
          <w:rFonts w:ascii="Arial Narrow;sans-serif" w:hAnsi="Arial Narrow;sans-serif"/>
          <w:b w:val="false"/>
          <w:color w:val="000000"/>
          <w:sz w:val="20"/>
        </w:rPr>
        <w:t xml:space="preserve">$62 </w:t>
      </w:r>
      <w:r>
        <w:rPr>
          <w:rFonts w:ascii="Arial Narrow;sans-serif" w:hAnsi="Arial Narrow;sans-serif"/>
          <w:b w:val="false"/>
          <w:color w:val="000000"/>
          <w:sz w:val="20"/>
          <w:shd w:fill="FFFFFF" w:val="clear"/>
        </w:rPr>
        <w:t>a</w:t>
      </w:r>
      <w:r>
        <w:rPr>
          <w:rFonts w:ascii="Arial Narrow;sans-serif" w:hAnsi="Arial Narrow;sans-serif"/>
          <w:b w:val="false"/>
          <w:color w:val="000000"/>
          <w:sz w:val="20"/>
        </w:rPr>
        <w:t>nd $60. Amounts are included in accounts payable on our Consolidated Balance Sheets and in change in cash book overdrafts as a financing activity in our Consolidated Statements of Cash Flows.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Accounts Receivable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Accounts receivable, net primarily includes receivables from TD related to our program agreement, non-Nordstrom-branded credit and debit cards and developer reimbursements. As of February 3, 2024, accounts receivable, net also includes the amount we believe probable of receipt as part of the claims process related to the wind-down of Canada (see Note 2: Canada Wind-down).</w:t>
      </w:r>
    </w:p>
    <w:p>
      <w:pPr>
        <w:pStyle w:val="TextBody"/>
        <w:bidi w:val="0"/>
        <w:spacing w:lineRule="auto" w:line="288" w:before="180" w:after="283"/>
        <w:jc w:val="left"/>
        <w:rPr>
          <w:rFonts w:ascii="Arial Narrow;sans-serif" w:hAnsi="Arial Narrow;sans-serif"/>
          <w:b/>
          <w:color w:val="000000"/>
          <w:sz w:val="20"/>
          <w:shd w:fill="FFFFFF" w:val="clear"/>
        </w:rPr>
      </w:pPr>
      <w:r>
        <w:rPr>
          <w:rFonts w:ascii="Arial Narrow;sans-serif" w:hAnsi="Arial Narrow;sans-serif"/>
          <w:b/>
          <w:color w:val="000000"/>
          <w:sz w:val="20"/>
          <w:shd w:fill="FFFFFF" w:val="clear"/>
        </w:rPr>
        <w:t>Merchandise Inventories</w:t>
      </w:r>
    </w:p>
    <w:p>
      <w:pPr>
        <w:pStyle w:val="TextBody"/>
        <w:bidi w:val="0"/>
        <w:spacing w:lineRule="auto" w:line="288" w:before="0" w:after="18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Merchandise inventories are stated at the lower of cost or market value using the retail inventory method. Under the retail method, the valuation of inventories is determined by applying a calculated cost-to-retail ratio to the retail value of ending inventory. The value of our inventory on the balance sheet is also reduced by a charge to cost of sales for retail inventory markdowns taken on the selling price. To determine if the retail value of our inventory should be marked down, we consider current and anticipated demand, customer preferences, age of the merchandise and fashion trends. We record reserves for excess and obsolete inventory based on historical trends and specific identification.</w:t>
      </w:r>
    </w:p>
    <w:p>
      <w:pPr>
        <w:pStyle w:val="TextBody"/>
        <w:bidi w:val="0"/>
        <w:spacing w:lineRule="auto" w:line="288" w:before="180" w:after="283"/>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take physical inventory counts at our stores and Supply Chain Network locations and adjust for differences between recorded amounts and counted amounts. Following each physical inventory cycle and using the most recent physical inventory count and historical results, we record an estimate for shrink based on a percentage of sales until the next physical inventory count.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Leases</w:t>
      </w:r>
    </w:p>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We record leases, which consist primarily of operating leases, on the Consolidated Balance Sheets as operating lease ROU assets and operating lease liabilities, both of which include current and noncurrent portions. Operating lease liabilities are initially recognized based on the net present value of the fixed portion of our lease and common area maintenance payments from lease commencement through the lease term. To calculate the net present value, we apply an incremental borrowing rate. The incremental borrowing rate is determined using a portfolio approach based on the rate of interest we would pay to borrow an amount equal to the lease payments on a collateralized basis over a similar term. We use quoted interest rates obtained from financial institutions as an input to derive our incremental borrowing rate as the discount rate for the lease. We recognize ROU assets based on operating lease liabilities reduced by property incentives received from landlords. We test ROU assets for impairment in the same manner as long-lived assets and exclude the related operating lease liability and operating lease payments in our analysis.</w:t>
      </w:r>
    </w:p>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We lease the land, buildings, or land and buildings for many of our stores, office facilities and Supply Chain Network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06705"/>
                <wp:effectExtent l="0" t="0" r="0" b="0"/>
                <wp:wrapNone/>
                <wp:docPr id="56" name="Frame5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54</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Land, Property and Equipment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Land is recorded at historical cost, while property and equipment are recorded at cost less accumulated depreciation and amortization. Capitalized software includes the costs of developing or obtaining internal-use software, including external direct costs of materials and services and internal payroll costs related to the software project.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capitalize interest on construction in progress and software projects during the period in which expenditures have been made, activities are in progress to prepare the asset for its intended use and actual interest costs are being incurred. Depreciation and amortization are computed using the straight-line method over the asset’s estimated useful life, which is determined by asset category as follows:</w:t>
      </w:r>
    </w:p>
    <w:tbl>
      <w:tblPr>
        <w:tblW w:w="3014" w:type="dxa"/>
        <w:jc w:val="left"/>
        <w:tblInd w:w="0" w:type="dxa"/>
        <w:tblLayout w:type="fixed"/>
        <w:tblCellMar>
          <w:top w:w="28" w:type="dxa"/>
          <w:left w:w="28" w:type="dxa"/>
          <w:bottom w:w="28" w:type="dxa"/>
          <w:right w:w="28" w:type="dxa"/>
        </w:tblCellMar>
      </w:tblPr>
      <w:tblGrid>
        <w:gridCol w:w="698"/>
        <w:gridCol w:w="615"/>
        <w:gridCol w:w="621"/>
        <w:gridCol w:w="315"/>
        <w:gridCol w:w="315"/>
        <w:gridCol w:w="450"/>
      </w:tblGrid>
      <w:tr>
        <w:trPr/>
        <w:tc>
          <w:tcPr>
            <w:tcW w:w="69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Life (in years)</w:t>
            </w:r>
          </w:p>
        </w:tc>
      </w:tr>
      <w:tr>
        <w:trPr/>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Buildings and improvements</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5 – 40</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fixtures and equipment</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3 – 15</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Leasehold improvements</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5 – 40</w:t>
            </w:r>
          </w:p>
        </w:tc>
      </w:tr>
      <w:tr>
        <w:trPr/>
        <w:tc>
          <w:tcPr>
            <w:tcW w:w="19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Capitalized software</w:t>
            </w:r>
          </w:p>
        </w:tc>
        <w:tc>
          <w:tcPr>
            <w:tcW w:w="10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2 – 7</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Leasehold improvements and leased property and equipment that are purchased at the inception of the lease, or during the lease term, are amortized over the shorter of the lease term or the asset life. Lease terms include the fixed, non-cancelable term of a lease, plus any renewal periods determined to be reasonably assured.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Long-Lived Assets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When facts and circumstances indicate the carrying values of buildings, equipment and ROU assets may be impaired, we compare the carrying value to the related projected future cash flows, among other quantitative and qualitative analyses. Cash flow analysis requires judgment regarding many factors, such as revenues, growth rates, expenses, capital expenditures and sublease income. These projections are inherently subject to uncertainties. While we believe the inputs and assumptions utilized in our future cash flows are reasonable, our estimates may change in the near term based on our current and future performance. Land, property and equipment are grouped at the lowest level at which there are identifiable cash flows when assessing impairment, while cash flows for our retail store assets are identified at the individual store level.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details related to asset impairment charges for each fiscal year:</w:t>
      </w:r>
    </w:p>
    <w:tbl>
      <w:tblPr>
        <w:tblW w:w="6025" w:type="dxa"/>
        <w:jc w:val="left"/>
        <w:tblInd w:w="0" w:type="dxa"/>
        <w:tblLayout w:type="fixed"/>
        <w:tblCellMar>
          <w:top w:w="28" w:type="dxa"/>
          <w:left w:w="28" w:type="dxa"/>
          <w:bottom w:w="28" w:type="dxa"/>
          <w:right w:w="28" w:type="dxa"/>
        </w:tblCellMar>
      </w:tblPr>
      <w:tblGrid>
        <w:gridCol w:w="966"/>
        <w:gridCol w:w="848"/>
        <w:gridCol w:w="855"/>
        <w:gridCol w:w="348"/>
        <w:gridCol w:w="348"/>
        <w:gridCol w:w="354"/>
        <w:gridCol w:w="109"/>
        <w:gridCol w:w="109"/>
        <w:gridCol w:w="109"/>
        <w:gridCol w:w="349"/>
        <w:gridCol w:w="349"/>
        <w:gridCol w:w="351"/>
        <w:gridCol w:w="271"/>
        <w:gridCol w:w="271"/>
        <w:gridCol w:w="388"/>
      </w:tblGrid>
      <w:tr>
        <w:trPr/>
        <w:tc>
          <w:tcPr>
            <w:tcW w:w="96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2022</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Supply Chain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Supply Chain</w:t>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Trunk Club</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Long-lived asset impairment</w:t>
            </w:r>
            <w:r>
              <w:rPr>
                <w:rFonts w:ascii="Arial Narrow;sans-serif" w:hAnsi="Arial Narrow;sans-serif"/>
                <w:b w:val="false"/>
                <w:color w:val="000000"/>
                <w:sz w:val="12"/>
              </w:rPr>
              <w:t>1</w:t>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w:t>
            </w:r>
            <w:r>
              <w:rPr>
                <w:color w:val="000000"/>
              </w:rPr>
              <w:t>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Operating lease ROU asset impairment</w:t>
            </w:r>
            <w:r>
              <w:rPr>
                <w:rFonts w:ascii="Arial Narrow;sans-serif" w:hAnsi="Arial Narrow;sans-serif"/>
                <w:b w:val="false"/>
                <w:color w:val="000000"/>
                <w:sz w:val="12"/>
              </w:rPr>
              <w:t>1</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w:t>
            </w: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 impairment</w:t>
            </w:r>
          </w:p>
        </w:tc>
        <w:tc>
          <w:tcPr>
            <w:tcW w:w="6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$30</w:t>
            </w:r>
            <w:r>
              <w:rPr>
                <w:color w:val="000000"/>
              </w:rPr>
              <w:t> </w:t>
            </w:r>
          </w:p>
        </w:tc>
        <w:tc>
          <w:tcPr>
            <w:tcW w:w="3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 </w:t>
            </w:r>
          </w:p>
        </w:tc>
        <w:tc>
          <w:tcPr>
            <w:tcW w:w="3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3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After impairment, the carrying values of the remaining long-lived tangible and ROU assets were not material.</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Supply Chain Impairments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the fourth quarter of 2023 and the third quarter of 2022, as part of our supply chain optimization initiatives, we incurred a non-cash impairment charge to adjust the carrying values to their estimated fair values for certain supply chain assets. These charges are included in our Corporate/Other SG&amp;A expense on the Consolidated Statement of Earnings and in asset impairment on the Consolidated Statement of Cash Flows. We evaluated the assets for impairment by comparing the carrying values to the related projected future cash flows, among other quantitative and qualitative analyses. After impairment, the carrying values of the remaining long-lived tangible and ROU assets were not material.</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Trunk Club Wind-down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the first quarter of 2022, in conjunction with the decision to sunset the Trunk Club brand, we incurred non-cash impairment charges related to a Trunk Club property to adjust the carrying values to their estimated fair value. These charges are included in our Retail segment SG&amp;A expense on the Consolidated Statement of Earnings and in asset impairment on the Consolidated Statement of Cash Flows.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the second quarter of 2022, we also incurred additional costs of $8 associated with the wind-down of Trunk Club. These expenses are primarily included in our Retail segment cost of sales and related buying and occupancy costs on the Consolidated Statement of Earnings. All charges are classified as operating on the Consolidated Statement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7"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55</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Goodwill</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Goodwill represents the excess of acquisition cost over the fair value of the related net assets acquired and is not subject to amortization. We review our goodwill annually for impairment, as of the first day of the fourth quarter, or when circumstances indicate that the carrying value may exceed the fair value. We perform this evaluation at the reporting unit level, all in our Retail segment. Our goodwill is allocated to two reporting units, Nordstrom and NordstromRack.com. When evaluating these assets for impairment, we may first perform a qualitative assessment to determine whether it is more likely than not that a reporting unit is impaired. If we determine that it is more likely than not that the carrying value exceeds the fair value of the reporting unit, we perform a quantitative fair value test. We may also choose to bypass this qualitative assessment and perform the quantitative assessment.</w:t>
      </w:r>
    </w:p>
    <w:p>
      <w:pPr>
        <w:pStyle w:val="TextBody"/>
        <w:bidi w:val="0"/>
        <w:spacing w:lineRule="auto" w:line="288" w:before="180" w:after="283"/>
        <w:jc w:val="left"/>
        <w:rPr/>
      </w:pPr>
      <w:r>
        <w:rPr>
          <w:rFonts w:ascii="Arial Narrow;sans-serif" w:hAnsi="Arial Narrow;sans-serif"/>
          <w:b w:val="false"/>
          <w:color w:val="000000"/>
          <w:sz w:val="20"/>
        </w:rPr>
        <w:t>As of February 3, 2024 and January 28, 2023, we had goodwill</w:t>
      </w:r>
      <w:r>
        <w:rPr>
          <w:color w:val="000000"/>
          <w:shd w:fill="FFFFFF" w:val="clear"/>
        </w:rPr>
        <w:t xml:space="preserve"> </w:t>
      </w:r>
      <w:r>
        <w:rPr>
          <w:rFonts w:ascii="Arial Narrow;sans-serif" w:hAnsi="Arial Narrow;sans-serif"/>
          <w:b w:val="false"/>
          <w:color w:val="000000"/>
          <w:sz w:val="20"/>
          <w:shd w:fill="FFFFFF" w:val="clear"/>
        </w:rPr>
        <w:t>of</w:t>
      </w:r>
      <w:r>
        <w:rPr>
          <w:color w:val="000000"/>
        </w:rPr>
        <w:t xml:space="preserve"> </w:t>
      </w:r>
      <w:r>
        <w:rPr>
          <w:rFonts w:ascii="Arial Narrow;sans-serif" w:hAnsi="Arial Narrow;sans-serif"/>
          <w:b w:val="false"/>
          <w:color w:val="000000"/>
          <w:sz w:val="20"/>
        </w:rPr>
        <w:t>$249. To determine fair value, we compare the carrying value of the reporting unit to its estimated fair value, which is based on the expected present value of future cash flows (income approach), comparable public companies (market approach) or a combination of both. Determining fair value using these approaches requires management assumptions, estimations and judgments regarding factors like overall economic conditions, prospective financial information, growth rates, terminal value, discount rates and market multiples. If fair value is lower than the carrying value, an impairment charge is recognized in an amount equal to that excess, limited to the total amount of goodwill allocated to that reporting unit. Based on the results of our tests, fair value exceeded carrying value, and we therefore had no goodwill impairment in 2023, 2022 or 2021.</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Investments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From time to time, we invest in financial interests of certain private companies and venture capital funds that align with our business and omni-channel strategies, which are recorded in other assets in the Consolidated Balance Sheets and proceeds from the sale of assets and other, net on the Consolidated Statements of Cash Flows.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February 3, 2024 and January 28, 2023, we held $41 and $42 of equity interests in certain venture capital funds, which are recorded at fair value using the practical expedient estimate of NAV or its equivalent.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first quarter of 2022, in connection with the sale of a limited partnership interest in a corporate office building, we recognized a gain of $51 in our Corporate/Other SG&amp;A expense in the Consolidated Statement of Earnings and $73 in proceeds from the sale of assets and other, net on the Consolidated Statement of Cash Flows.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Self-Insurance</w:t>
      </w:r>
    </w:p>
    <w:p>
      <w:pPr>
        <w:pStyle w:val="TextBody"/>
        <w:bidi w:val="0"/>
        <w:spacing w:lineRule="auto" w:line="288" w:before="0" w:after="0"/>
        <w:jc w:val="left"/>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retain a portion of the risk for certain losses related to employee health and welfare, workers’ compensation and other liability claims. Liabilities associated with these losses include undiscounted estimates of both losses reported and losses incurred but not yet reported. We estimate our ultimate cost using an actuarially-based analysis of claims experience, regulatory changes and other relevant factors.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Foreign Currency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On March 2, 2023, Nordstrom Canada commenced a wind-down of its business operations. The functional currency of our Canadian operations was the Canadian Dollar. Prior to deconsolidation, we translated assets and liabilities into U.S. Dollars using the exchange rate in effect at the balance sheet date, while we translated revenues and expenses using an average exchange rate for the period. We recorded these translation adjustments as a component of accumulated other comprehensive loss on the Consolidated Balance Sheets. In the first quarter of 2023, we recognized a charge of $33 related to the derecognition of the accumulated comprehensive loss on foreign currency translation (see Note 2: Canada Wind-down).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Reclassification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reclassified amounts in our fiscal 2022 and 2021 Consolidated Statements of Cash Flows to conform with current period presentation. As a result, we aggregated:</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Accounts receivable, net with prepaid expenses and other assets into other current and noncurrent assets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Other current liabilities with other liabilities into other current and noncurrent liabilities</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 xml:space="preserve">Tax withholding on share-based awards with other financing, net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reclassifications had no impact on cash flows from operations, cash flows from investing or cash flows from financing.</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Recent Accounting Pronouncements</w:t>
      </w:r>
    </w:p>
    <w:p>
      <w:pPr>
        <w:pStyle w:val="TextBody"/>
        <w:bidi w:val="0"/>
        <w:spacing w:lineRule="auto" w:line="288" w:before="0" w:after="0"/>
        <w:jc w:val="left"/>
        <w:rPr/>
      </w:pPr>
      <w:r>
        <w:rPr>
          <w:rFonts w:ascii="Arial Narrow;sans-serif" w:hAnsi="Arial Narrow;sans-serif"/>
          <w:b w:val="false"/>
          <w:color w:val="000000"/>
          <w:sz w:val="20"/>
        </w:rPr>
        <w:t xml:space="preserve">In November 2023, the FASB issued ASU No. 2023-07, </w:t>
      </w:r>
      <w:r>
        <w:rPr>
          <w:rFonts w:ascii="Arial Narrow;sans-serif" w:hAnsi="Arial Narrow;sans-serif"/>
          <w:b w:val="false"/>
          <w:i/>
          <w:color w:val="000000"/>
          <w:sz w:val="20"/>
        </w:rPr>
        <w:t>Segment Reporting (Topic 280): Improvements to Reportable Segment Disclosures</w:t>
      </w:r>
      <w:r>
        <w:rPr>
          <w:rFonts w:ascii="Arial Narrow;sans-serif" w:hAnsi="Arial Narrow;sans-serif"/>
          <w:b w:val="false"/>
          <w:color w:val="000000"/>
          <w:sz w:val="20"/>
        </w:rPr>
        <w:t>, which requires additional quarterly and annual reportable segment disclosures, primarily around significant segment expenses. Annual disclosure requirements will be effective for us for the fourth quarter of 2024, and quarterly disclosure requirements will be effective for us in the first quarter of 2025, with early adoption permitted. We are currently evaluating the impact of this ASU on our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06705"/>
                <wp:effectExtent l="0" t="0" r="0" b="0"/>
                <wp:wrapNone/>
                <wp:docPr id="58" name="Frame5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56</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pPr>
      <w:r>
        <w:rPr>
          <w:rFonts w:ascii="Arial Narrow;sans-serif" w:hAnsi="Arial Narrow;sans-serif"/>
          <w:b w:val="false"/>
          <w:color w:val="000000"/>
          <w:sz w:val="20"/>
        </w:rPr>
        <w:t>In December 2023, the FASB issued ASU 2023-09,</w:t>
      </w:r>
      <w:r>
        <w:rPr>
          <w:color w:val="000000"/>
        </w:rPr>
        <w:t xml:space="preserve"> </w:t>
      </w:r>
      <w:r>
        <w:rPr>
          <w:rFonts w:ascii="Arial Narrow;sans-serif" w:hAnsi="Arial Narrow;sans-serif"/>
          <w:b w:val="false"/>
          <w:i/>
          <w:color w:val="000000"/>
          <w:sz w:val="20"/>
        </w:rPr>
        <w:t>Income Taxes (Topic 740): Improvements to Income Tax Disclosures</w:t>
      </w:r>
      <w:r>
        <w:rPr>
          <w:rFonts w:ascii="Arial Narrow;sans-serif" w:hAnsi="Arial Narrow;sans-serif"/>
          <w:b w:val="false"/>
          <w:color w:val="000000"/>
          <w:sz w:val="20"/>
        </w:rPr>
        <w:t>, which requires disclosure of additional income tax information, primarily related to the rate reconciliation and income taxes paid. Annual disclosure requirements will be effective for us for the fourth quarter of 2025, with early adoption permitted. We are currently evaluating the impact of this ASU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NOTE 2: CANADA WIND-DOWN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Background</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On March 2, 2023, as part of our initiatives to drive long-term profitable growth and enhance shareholder value, and after careful consideration of all reasonably available options, we announced the decision to discontinue support for Nordstrom Canada’s operations. Accordingly, Nordstrom Canada commenced a wind-down of its business operations, obtaining an Initial Order from the Ontario Superior Court of Justice under the CCAA on March 2, 2023 to facilitate the wind-down in an orderly fashion. Nordstrom Canada’s e-commerce platform ceased operations on March 2, 2023 and the closure of six Nordstrom and seven Nordstrom Rack stores was completed in June 2023. Significant developments in the case, including a creditor vote to approve a Plan of Compromise and Arrangement and a court hearing to sanction that plan and authorize its implementation are scheduled to occur in the first quarter of 2024. Distributions to creditors, including distributions to Nordstrom, Inc. as a creditor of Nordstrom Canada, are expected to be substantially complete by the end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Ontario Superior Court of Justice has appointed a monitor to oversee the wind-down process. Subsequent to the CCAA filing, Nordstrom has been providing limited support to Nordstrom Canada for the purpose of supporting an orderly wind-down, including providing shared services and temporary use of intellectual property.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Wind-down Charges and Deconsolidation of Nordstrom Canada</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details the pre-tax charges associated with the wind-down of operations in Canada:</w:t>
      </w:r>
    </w:p>
    <w:tbl>
      <w:tblPr>
        <w:tblW w:w="4133" w:type="dxa"/>
        <w:jc w:val="left"/>
        <w:tblInd w:w="0" w:type="dxa"/>
        <w:tblLayout w:type="fixed"/>
        <w:tblCellMar>
          <w:top w:w="28" w:type="dxa"/>
          <w:left w:w="28" w:type="dxa"/>
          <w:bottom w:w="28" w:type="dxa"/>
          <w:right w:w="28" w:type="dxa"/>
        </w:tblCellMar>
      </w:tblPr>
      <w:tblGrid>
        <w:gridCol w:w="1258"/>
        <w:gridCol w:w="1103"/>
        <w:gridCol w:w="1119"/>
        <w:gridCol w:w="233"/>
        <w:gridCol w:w="233"/>
        <w:gridCol w:w="187"/>
      </w:tblGrid>
      <w:tr>
        <w:trPr/>
        <w:tc>
          <w:tcPr>
            <w:tcW w:w="125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Loss on Canada write-off</w:t>
            </w:r>
            <w:r>
              <w:rPr>
                <w:rFonts w:ascii="Arial Narrow;sans-serif" w:hAnsi="Arial Narrow;sans-serif"/>
                <w:b w:val="false"/>
                <w:color w:val="000000"/>
                <w:sz w:val="12"/>
              </w:rPr>
              <w:t>1</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$176</w:t>
            </w: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Accumulated translation loss reclassified to earnings</w:t>
            </w:r>
            <w:r>
              <w:rPr>
                <w:rFonts w:ascii="Arial Narrow;sans-serif" w:hAnsi="Arial Narrow;sans-serif"/>
                <w:b w:val="false"/>
                <w:color w:val="000000"/>
                <w:sz w:val="12"/>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33</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Contingent liabilities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70</w:t>
            </w: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Other exit costs</w:t>
            </w:r>
            <w:r>
              <w:rPr>
                <w:rFonts w:ascii="Arial Narrow;sans-serif" w:hAnsi="Arial Narrow;sans-serif"/>
                <w:b w:val="false"/>
                <w:color w:val="000000"/>
                <w:sz w:val="12"/>
              </w:rPr>
              <w:t>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w:t>
            </w: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pre-tax charges</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$284</w:t>
            </w:r>
            <w:r>
              <w:rPr>
                <w:color w:val="000000"/>
              </w:rPr>
              <w:t> </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Non-cash amounts are included in Canada wind-down costs on the Consolidated Statement of Cash Flows.</w:t>
      </w:r>
    </w:p>
    <w:p>
      <w:pPr>
        <w:pStyle w:val="TextBody"/>
        <w:bidi w:val="0"/>
        <w:spacing w:lineRule="auto" w:line="288" w:before="0" w:after="0"/>
        <w:jc w:val="left"/>
        <w:rPr/>
      </w:pPr>
      <w:r>
        <w:rPr>
          <w:rFonts w:ascii="Arial Narrow;sans-serif" w:hAnsi="Arial Narrow;sans-serif"/>
          <w:b w:val="false"/>
          <w:color w:val="000000"/>
          <w:sz w:val="10"/>
        </w:rPr>
        <w:t>2</w:t>
      </w:r>
      <w:r>
        <w:rPr>
          <w:color w:val="000000"/>
        </w:rPr>
        <w:t xml:space="preserve"> </w:t>
      </w:r>
      <w:r>
        <w:rPr>
          <w:rFonts w:ascii="Arial Narrow;sans-serif" w:hAnsi="Arial Narrow;sans-serif"/>
          <w:b w:val="false"/>
          <w:color w:val="000000"/>
          <w:sz w:val="16"/>
        </w:rPr>
        <w:t>Other exit costs include funding an employee trust, net of expected recoveries, and professional fees.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charges are primarily included in Corporate/Other in Note 15: Segment Reporting. The decrease in cash due to the deconsolidation of Nordstrom Canada is included in investing activities on the Consolidated Statement of Cash Flows and all other impacts are included in operating cash flows.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Loss on Canada Write-off and Accumulated Translation Loss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While Nordstrom continues to own 100% of the shares of Nordstrom Canada, as of March 2, 2023, the date of the CCAA filing, we no longer have a controlling interest under GAAP and have deconsolidated Nordstrom Canada. We hold a variable interest in the Nordstrom Canada entities, which are considered variable interest entities, but are not consolidated, as we are no longer the primary beneficiary.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the year ended February 3, 2024, we recorded a pre-tax loss on Canada write-off of $176 that included the derecognition of Nordstrom Canada’s assets and liabilities and the write-down of both our Nordstrom Canada investment and related-party receivables to estimated fair value. In addition, we recognized a charge of $33 related to the derecognition of the accumulated comprehensive loss on foreign currency translation.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assess the estimated fair value of our Nordstrom Canada investment and our related-party receivables, we estimated the assets available for distribution in relation to expected claims. At the time of filing for CCAA protection on March 2, 2023, the estimated amount of Nordstrom Canada’s liabilities exceeded the estimated fair value of assets available for distribution to creditors, and we believed we would not recover a significant portion of our receivables. As a result, our fair value was recorded as zero in our Condensed Consolidated Balance Sheets as of April 29, 2023. As of February 3, 2024, we adjusted our receivables by an immaterial amount based on currently available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59"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57</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Prior to deconsolidation, Nordstrom made loans to the Canadian subsidiaries and incurred liabilities related to certain intercompany charges. These were considered intercompany transactions and were eliminated in consolidation of Nordstrom. Subsequent to deconsolidation, these liabilities and receivables were no longer eliminated through consolidation, are considered related-party transactions and are recorded in our Consolidated Balance Sheets at estimated fair value. As of February 3, 2024, Nordstrom had a net outstanding liability to Nordstrom Canada of $52 related to certain intercompany charges incurred prior to deconsolidation.</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Contingent Liabilities and Guarantees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the third quarter of 2023, Nordstrom, Inc. reached a settlement with former landlords related to guarantees of certain lease obligations of Nordstrom Canada. As part of the agreements, we made cash payments to the former landlords in exchange for a release of substantially all our guarantee obligations, as well as the right to these landlords’ distributions from Nordstrom Canada as part of the CCAA proceedings.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Employee Trust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filing, Nordstrom contributed $11 to establish an employee trust to fund termination and severance payments to employees of Nordstrom Canada. As of February 3, 2024, the trust has been terminated.</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Debtor-in-Possession Financing</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If needed, Nordstrom has agreed to provide Nordstrom Canada debtor-in-possession financing up to $11. However, we believe Nordstrom Canada has sufficient liquidity to sustain operations through the wind-down period and therefore it is not likely that any amounts would need to be borrowed from Nordstrom. As of February 3, 2024, there were no outstanding borrowings.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Estimates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As of February 3, 2024, we recorded $71 in accounts receivable, net on the Consolidated Balance Sheets to reflect the amount we believe probable of receipt as part of the claims process. This includes receipts related to the rights to the former landlords’ distributions, reimbursement of employee trust contributions and other receivables existing at the time of deconsolidation. The receivable and our other estimates are dependent on the outcome of the Nordstrom Canada wind-down process, including the amount of third-party and Nordstrom claims asserted and recognized in the claims process, the amount of assets available for distribution and the approval of the CCAA plan of arrangement by the Ontario Superior Court of Justice, which we expect to have updated information on in the first quarter of 2024. We continue to work through the wind-down process and our estimates of net losses are based on currently available information, our assessment of the validity of certain expected claims and our assessment of the recoverability of amounts receivable from Nordstrom Canada. These estimates may change as new information becomes available and it is reasonably possible that they may materially change from the estimated amounts. Increases in estimated costs to settle claims and decreases in estimated assets available for distribution may result in additional material charges. At the same time, any future decreases in estimated costs to settle claims or increases in estimated assets available for distribution may result in a gain, which would reduce our estimated charges.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Taxes</w:t>
      </w:r>
    </w:p>
    <w:p>
      <w:pPr>
        <w:pStyle w:val="TextBody"/>
        <w:bidi w:val="0"/>
        <w:spacing w:lineRule="auto" w:line="268" w:before="0" w:after="0"/>
        <w:jc w:val="left"/>
        <w:rPr>
          <w:rFonts w:ascii="Arial Narrow;sans-serif" w:hAnsi="Arial Narrow;sans-serif"/>
          <w:b w:val="false"/>
          <w:color w:val="000000"/>
          <w:sz w:val="20"/>
        </w:rPr>
      </w:pPr>
      <w:r>
        <w:rPr>
          <w:rFonts w:ascii="Arial Narrow;sans-serif" w:hAnsi="Arial Narrow;sans-serif"/>
          <w:b w:val="false"/>
          <w:color w:val="000000"/>
          <w:sz w:val="20"/>
        </w:rPr>
        <w:t>For the year ended February 3, 2024, we recognized net tax benefits of $95 primarily related to the write-off of our investment in Canada, net of tax expense related to an increase in valuation allowance for Canada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06705"/>
                <wp:effectExtent l="0" t="0" r="0" b="0"/>
                <wp:wrapNone/>
                <wp:docPr id="60" name="Frame5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58</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NOTE 3: REVENUE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Contract Liabilities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Contract liabilities represent our obligation to transfer goods or services to customers and include deferred revenue for The Nordy Club (including points and Nordstrom Notes), gift cards and our amended 2022 TD program agreement. Our contract liabilities are classified on the Consolidated Balance Sheets as follows:</w:t>
      </w:r>
    </w:p>
    <w:tbl>
      <w:tblPr>
        <w:tblW w:w="5127" w:type="dxa"/>
        <w:jc w:val="left"/>
        <w:tblInd w:w="0" w:type="dxa"/>
        <w:tblLayout w:type="fixed"/>
        <w:tblCellMar>
          <w:top w:w="28" w:type="dxa"/>
          <w:left w:w="28" w:type="dxa"/>
          <w:bottom w:w="28" w:type="dxa"/>
          <w:right w:w="28" w:type="dxa"/>
        </w:tblCellMar>
      </w:tblPr>
      <w:tblGrid>
        <w:gridCol w:w="796"/>
        <w:gridCol w:w="702"/>
        <w:gridCol w:w="706"/>
        <w:gridCol w:w="569"/>
        <w:gridCol w:w="569"/>
        <w:gridCol w:w="571"/>
        <w:gridCol w:w="354"/>
        <w:gridCol w:w="354"/>
        <w:gridCol w:w="506"/>
      </w:tblGrid>
      <w:tr>
        <w:trPr/>
        <w:tc>
          <w:tcPr>
            <w:tcW w:w="7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Other current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Other liabilities</w:t>
            </w:r>
          </w:p>
        </w:tc>
      </w:tr>
      <w:tr>
        <w:trPr/>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as of January 29, 2022</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$478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as of January 28, 2023</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as of February 3, 2024</w:t>
            </w:r>
          </w:p>
        </w:tc>
        <w:tc>
          <w:tcPr>
            <w:tcW w:w="11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508</w:t>
            </w:r>
            <w:r>
              <w:rPr>
                <w:color w:val="000000"/>
              </w:rPr>
              <w:t> </w:t>
            </w:r>
          </w:p>
        </w:tc>
        <w:tc>
          <w:tcPr>
            <w:tcW w:w="5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85</w:t>
            </w:r>
            <w:r>
              <w:rPr>
                <w:color w:val="000000"/>
              </w:rPr>
              <w:t> </w:t>
            </w:r>
          </w:p>
        </w:tc>
        <w:tc>
          <w:tcPr>
            <w:tcW w:w="5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Contract liabilities increased during 2022 primarily as a result of deferred revenue recorded in connection with our amended 2022 TD program agreement. Revenues recognized from our beginning contract liability balance were $316 and $265 for the years ended February 3, 2024 and January 28, 2023.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Disaggregation of Revenue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our disaggregated net sales:</w:t>
      </w:r>
    </w:p>
    <w:tbl>
      <w:tblPr>
        <w:tblW w:w="4323" w:type="dxa"/>
        <w:jc w:val="left"/>
        <w:tblInd w:w="0" w:type="dxa"/>
        <w:tblLayout w:type="fixed"/>
        <w:tblCellMar>
          <w:top w:w="28" w:type="dxa"/>
          <w:left w:w="28" w:type="dxa"/>
          <w:bottom w:w="28" w:type="dxa"/>
          <w:right w:w="28" w:type="dxa"/>
        </w:tblCellMar>
      </w:tblPr>
      <w:tblGrid>
        <w:gridCol w:w="894"/>
        <w:gridCol w:w="785"/>
        <w:gridCol w:w="796"/>
        <w:gridCol w:w="198"/>
        <w:gridCol w:w="198"/>
        <w:gridCol w:w="205"/>
        <w:gridCol w:w="199"/>
        <w:gridCol w:w="199"/>
        <w:gridCol w:w="203"/>
        <w:gridCol w:w="188"/>
        <w:gridCol w:w="188"/>
        <w:gridCol w:w="270"/>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$9,436</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$10,279</w:t>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$9,640</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Rack</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4,783</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4,813</w:t>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4,762</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net sales</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$14,219</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$15,092</w:t>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$14,402</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Digital sales as a % of total net sales</w:t>
            </w:r>
          </w:p>
        </w:tc>
        <w:tc>
          <w:tcPr>
            <w:tcW w:w="60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36%</w:t>
            </w:r>
          </w:p>
        </w:tc>
        <w:tc>
          <w:tcPr>
            <w:tcW w:w="60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w:t>
            </w:r>
          </w:p>
        </w:tc>
        <w:tc>
          <w:tcPr>
            <w:tcW w:w="6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w:t>
            </w:r>
          </w:p>
        </w:tc>
      </w:tr>
    </w:tbl>
    <w:p>
      <w:pPr>
        <w:pStyle w:val="TextBody"/>
        <w:bidi w:val="0"/>
        <w:spacing w:before="0" w:after="0"/>
        <w:ind w:left="0" w:right="0" w:hanging="9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the percent of net sales by merchandise category:</w:t>
      </w:r>
    </w:p>
    <w:tbl>
      <w:tblPr>
        <w:tblW w:w="3140" w:type="dxa"/>
        <w:jc w:val="left"/>
        <w:tblInd w:w="0" w:type="dxa"/>
        <w:tblLayout w:type="fixed"/>
        <w:tblCellMar>
          <w:top w:w="28" w:type="dxa"/>
          <w:left w:w="28" w:type="dxa"/>
          <w:bottom w:w="28" w:type="dxa"/>
          <w:right w:w="28" w:type="dxa"/>
        </w:tblCellMar>
      </w:tblPr>
      <w:tblGrid>
        <w:gridCol w:w="444"/>
        <w:gridCol w:w="390"/>
        <w:gridCol w:w="395"/>
        <w:gridCol w:w="195"/>
        <w:gridCol w:w="196"/>
        <w:gridCol w:w="241"/>
        <w:gridCol w:w="188"/>
        <w:gridCol w:w="188"/>
        <w:gridCol w:w="241"/>
        <w:gridCol w:w="188"/>
        <w:gridCol w:w="188"/>
        <w:gridCol w:w="286"/>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12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Women’s Apparel</w:t>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27%</w:t>
            </w:r>
          </w:p>
        </w:tc>
        <w:tc>
          <w:tcPr>
            <w:tcW w:w="6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w:t>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Shoes</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26%</w:t>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Men’s Apparel</w:t>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15%</w:t>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w:t>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Beauty</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13%</w:t>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Accessories</w:t>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12%</w:t>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Kids’ Apparel</w:t>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4%</w:t>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w:t>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12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net sales</w:t>
            </w:r>
          </w:p>
        </w:tc>
        <w:tc>
          <w:tcPr>
            <w:tcW w:w="3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100</w:t>
            </w:r>
            <w:r>
              <w:rPr>
                <w:color w:val="000000"/>
              </w:rPr>
              <w:t>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3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1"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59</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NOTE 4: LAND, PROPERTY AND EQUIPMENT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Land, property and equipment consist of the following:</w:t>
      </w:r>
    </w:p>
    <w:tbl>
      <w:tblPr>
        <w:tblW w:w="5324" w:type="dxa"/>
        <w:jc w:val="left"/>
        <w:tblInd w:w="0" w:type="dxa"/>
        <w:tblLayout w:type="fixed"/>
        <w:tblCellMar>
          <w:top w:w="28" w:type="dxa"/>
          <w:left w:w="28" w:type="dxa"/>
          <w:bottom w:w="28" w:type="dxa"/>
          <w:right w:w="28" w:type="dxa"/>
        </w:tblCellMar>
      </w:tblPr>
      <w:tblGrid>
        <w:gridCol w:w="1021"/>
        <w:gridCol w:w="898"/>
        <w:gridCol w:w="901"/>
        <w:gridCol w:w="409"/>
        <w:gridCol w:w="409"/>
        <w:gridCol w:w="411"/>
        <w:gridCol w:w="373"/>
        <w:gridCol w:w="373"/>
        <w:gridCol w:w="529"/>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28, 2023</w:t>
            </w:r>
          </w:p>
        </w:tc>
      </w:tr>
      <w:tr>
        <w:trPr/>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 and land improvements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$283</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Buildings and building improvements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1,365</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Leasehold improvements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3,103</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3,389 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fixtures and equipment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3,873</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4,138 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Capitalized software</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2,439</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2,151 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Construction in progress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365</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 property and equipment</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11,428</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11,640 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depreciation and amortization</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(8,251)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(8,289)</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Land, property and equipment, net</w:t>
            </w:r>
          </w:p>
        </w:tc>
        <w:tc>
          <w:tcPr>
            <w:tcW w:w="8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$3,177</w:t>
            </w:r>
            <w:r>
              <w:rPr>
                <w:color w:val="000000"/>
              </w:rPr>
              <w:t> </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$3,351 </w:t>
            </w:r>
          </w:p>
        </w:tc>
        <w:tc>
          <w:tcPr>
            <w:tcW w:w="5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NOTE 5: LEASES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lease the land, buildings, or land and buildings for many of our stores, office facilities and Supply Chain Network facilities, as well as equipment. The following table summarizes the majority of our fixed, non-cancelable lease terms:</w:t>
      </w:r>
    </w:p>
    <w:tbl>
      <w:tblPr>
        <w:tblW w:w="4410" w:type="dxa"/>
        <w:jc w:val="left"/>
        <w:tblInd w:w="0" w:type="dxa"/>
        <w:tblLayout w:type="fixed"/>
        <w:tblCellMar>
          <w:top w:w="28" w:type="dxa"/>
          <w:left w:w="28" w:type="dxa"/>
          <w:bottom w:w="28" w:type="dxa"/>
          <w:right w:w="28" w:type="dxa"/>
        </w:tblCellMar>
      </w:tblPr>
      <w:tblGrid>
        <w:gridCol w:w="1009"/>
        <w:gridCol w:w="887"/>
        <w:gridCol w:w="894"/>
        <w:gridCol w:w="473"/>
        <w:gridCol w:w="473"/>
        <w:gridCol w:w="674"/>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Property Type</w:t>
            </w:r>
          </w:p>
        </w:tc>
        <w:tc>
          <w:tcPr>
            <w:tcW w:w="16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Lease Term (in years)</w:t>
            </w:r>
          </w:p>
        </w:tc>
      </w:tr>
      <w:tr>
        <w:trPr/>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stores</w:t>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15 – 30</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Nordstrom Rack stores</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Approximately 10</w:t>
            </w:r>
          </w:p>
        </w:tc>
      </w:tr>
      <w:tr>
        <w:trPr/>
        <w:tc>
          <w:tcPr>
            <w:tcW w:w="27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Office and Supply Chain Network facilities</w:t>
            </w:r>
          </w:p>
        </w:tc>
        <w:tc>
          <w:tcPr>
            <w:tcW w:w="162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5 – 20</w:t>
            </w:r>
          </w:p>
        </w:tc>
      </w:tr>
    </w:tbl>
    <w:p>
      <w:pPr>
        <w:pStyle w:val="TextBody"/>
        <w:bidi w:val="0"/>
        <w:spacing w:lineRule="auto" w:line="288" w:before="180" w:after="283"/>
        <w:jc w:val="left"/>
        <w:rPr/>
      </w:pPr>
      <w:r>
        <w:rPr>
          <w:rFonts w:ascii="Arial Narrow;sans-serif" w:hAnsi="Arial Narrow;sans-serif"/>
          <w:b w:val="false"/>
          <w:color w:val="000000"/>
          <w:sz w:val="20"/>
        </w:rPr>
        <w:t>Many of our leases include options that allow us to extend the lease term beyond the initial commitment period.</w:t>
      </w:r>
      <w:r>
        <w:rPr>
          <w:color w:val="FF0000"/>
        </w:rPr>
        <w:t xml:space="preserve"> </w:t>
      </w:r>
      <w:r>
        <w:rPr>
          <w:rFonts w:ascii="Arial Narrow;sans-serif" w:hAnsi="Arial Narrow;sans-serif"/>
          <w:b w:val="false"/>
          <w:color w:val="000000"/>
          <w:sz w:val="20"/>
        </w:rPr>
        <w:t>At the commencement of a lease, we generally include only the initial lease term as we have determined that options to extend are not reasonably certain to occur. The exercise of lease renewal options is generally at our sole discretion. At the renewal of an expiring lease, we reassess our options in the agreement and include all reasonably certain extensions in the measurement of our lease term.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Most of our leases also require us to pay certain expenses, such as common area maintenance charges, real estate taxes and other executory costs, the fixed portion of which is included in Operating Lease Cost, as we combine lease and non-lease components. We recognize Operating Lease Cost, which is primarily included in occupancy costs, on a straight-line basis over the lease term. Variable lease cost includes payments for variable common area maintenance charges and additional payments based on a percentage of sales, which are recognized when probable. Our lease agreements do not contain any material residual value guarantees or material restrictive covenants.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the components of lease cost:</w:t>
      </w:r>
    </w:p>
    <w:tbl>
      <w:tblPr>
        <w:tblW w:w="3326" w:type="dxa"/>
        <w:jc w:val="left"/>
        <w:tblInd w:w="0" w:type="dxa"/>
        <w:tblLayout w:type="fixed"/>
        <w:tblCellMar>
          <w:top w:w="28" w:type="dxa"/>
          <w:left w:w="28" w:type="dxa"/>
          <w:bottom w:w="28" w:type="dxa"/>
          <w:right w:w="28" w:type="dxa"/>
        </w:tblCellMar>
      </w:tblPr>
      <w:tblGrid>
        <w:gridCol w:w="542"/>
        <w:gridCol w:w="475"/>
        <w:gridCol w:w="482"/>
        <w:gridCol w:w="233"/>
        <w:gridCol w:w="233"/>
        <w:gridCol w:w="136"/>
        <w:gridCol w:w="225"/>
        <w:gridCol w:w="226"/>
        <w:gridCol w:w="136"/>
        <w:gridCol w:w="225"/>
        <w:gridCol w:w="226"/>
        <w:gridCol w:w="187"/>
      </w:tblGrid>
      <w:tr>
        <w:trPr/>
        <w:tc>
          <w:tcPr>
            <w:tcW w:w="54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$278</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Variable lease cost</w:t>
            </w:r>
            <w:r>
              <w:rPr>
                <w:rFonts w:ascii="Arial Narrow;sans-serif" w:hAnsi="Arial Narrow;sans-serif"/>
                <w:b w:val="false"/>
                <w:color w:val="000000"/>
                <w:sz w:val="12"/>
              </w:rPr>
              <w:t>1</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93</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Sublease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lease cost, net</w:t>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$346</w:t>
            </w:r>
            <w:r>
              <w:rPr>
                <w:color w:val="000000"/>
              </w:rPr>
              <w:t>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Variable lease cost includes short-term lease cost, which was immaterial in 2023, 2022 and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06705"/>
                <wp:effectExtent l="0" t="0" r="0" b="0"/>
                <wp:wrapNone/>
                <wp:docPr id="62" name="Frame6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60</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future lease payments as of February 3, 2024:</w:t>
      </w:r>
    </w:p>
    <w:tbl>
      <w:tblPr>
        <w:tblW w:w="4209" w:type="dxa"/>
        <w:jc w:val="left"/>
        <w:tblInd w:w="0" w:type="dxa"/>
        <w:tblLayout w:type="fixed"/>
        <w:tblCellMar>
          <w:top w:w="28" w:type="dxa"/>
          <w:left w:w="28" w:type="dxa"/>
          <w:bottom w:w="28" w:type="dxa"/>
          <w:right w:w="28" w:type="dxa"/>
        </w:tblCellMar>
      </w:tblPr>
      <w:tblGrid>
        <w:gridCol w:w="954"/>
        <w:gridCol w:w="837"/>
        <w:gridCol w:w="849"/>
        <w:gridCol w:w="109"/>
        <w:gridCol w:w="109"/>
        <w:gridCol w:w="395"/>
        <w:gridCol w:w="395"/>
        <w:gridCol w:w="561"/>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Operating Leases</w:t>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$321</w:t>
            </w:r>
            <w:r>
              <w:rPr>
                <w:color w:val="000000"/>
              </w:rPr>
              <w:t>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324</w:t>
            </w: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273</w:t>
            </w: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224</w:t>
            </w: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182</w:t>
            </w: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708</w:t>
            </w:r>
            <w:r>
              <w:rPr>
                <w:color w:val="000000"/>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Total lease payments</w:t>
            </w:r>
            <w:r>
              <w:rPr>
                <w:rFonts w:ascii="Arial Narrow;sans-serif" w:hAnsi="Arial Narrow;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2,032</w:t>
            </w:r>
            <w:r>
              <w:rPr>
                <w:color w:val="000000"/>
              </w:rPr>
              <w:t>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Amount representing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(415)</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18"/>
              </w:rPr>
              <w:t>Present value of net lease payments</w:t>
            </w:r>
            <w:r>
              <w:rPr>
                <w:rFonts w:ascii="Arial Narrow;sans-serif" w:hAnsi="Arial Narrow;sans-serif"/>
                <w:b w:val="false"/>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$1,617</w:t>
            </w:r>
            <w:r>
              <w:rPr>
                <w:color w:val="000000"/>
              </w:rPr>
              <w:t> </w:t>
            </w:r>
          </w:p>
        </w:tc>
        <w:tc>
          <w:tcPr>
            <w:tcW w:w="5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Total lease payments do not include payments for variable lease costs that are required by most of our lease agreements.</w:t>
      </w:r>
    </w:p>
    <w:p>
      <w:pPr>
        <w:pStyle w:val="TextBody"/>
        <w:bidi w:val="0"/>
        <w:spacing w:lineRule="auto" w:line="288" w:before="0" w:after="0"/>
        <w:ind w:left="0" w:right="0" w:hanging="90"/>
        <w:jc w:val="left"/>
        <w:rPr/>
      </w:pPr>
      <w:r>
        <w:rPr>
          <w:rFonts w:ascii="Arial Narrow;sans-serif" w:hAnsi="Arial Narrow;sans-serif"/>
          <w:b w:val="false"/>
          <w:color w:val="000000"/>
          <w:sz w:val="10"/>
        </w:rPr>
        <w:t>2</w:t>
      </w:r>
      <w:r>
        <w:rPr>
          <w:color w:val="000000"/>
        </w:rPr>
        <w:t xml:space="preserve"> </w:t>
      </w:r>
      <w:r>
        <w:rPr>
          <w:rFonts w:ascii="Arial Narrow;sans-serif" w:hAnsi="Arial Narrow;sans-serif"/>
          <w:b w:val="false"/>
          <w:color w:val="000000"/>
          <w:sz w:val="16"/>
        </w:rPr>
        <w:t>Net lease payments exclude $139 of lease payments for operating leases that were signed but not yet commenced as of February 3,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includes supplemental information:</w:t>
      </w:r>
    </w:p>
    <w:tbl>
      <w:tblPr>
        <w:tblW w:w="6721" w:type="dxa"/>
        <w:jc w:val="left"/>
        <w:tblInd w:w="0" w:type="dxa"/>
        <w:tblLayout w:type="fixed"/>
        <w:tblCellMar>
          <w:top w:w="28" w:type="dxa"/>
          <w:left w:w="28" w:type="dxa"/>
          <w:bottom w:w="28" w:type="dxa"/>
          <w:right w:w="28" w:type="dxa"/>
        </w:tblCellMar>
      </w:tblPr>
      <w:tblGrid>
        <w:gridCol w:w="1306"/>
        <w:gridCol w:w="1146"/>
        <w:gridCol w:w="1162"/>
        <w:gridCol w:w="233"/>
        <w:gridCol w:w="233"/>
        <w:gridCol w:w="136"/>
        <w:gridCol w:w="399"/>
        <w:gridCol w:w="401"/>
        <w:gridCol w:w="430"/>
        <w:gridCol w:w="389"/>
        <w:gridCol w:w="391"/>
        <w:gridCol w:w="495"/>
      </w:tblGrid>
      <w:tr>
        <w:trPr/>
        <w:tc>
          <w:tcPr>
            <w:tcW w:w="130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paid related to operating lease liabilities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$358</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$371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interest</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86</w:t>
            </w: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4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4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arising from lease agreements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242</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28, 2023</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remaining lease term</w:t>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8 years</w:t>
            </w:r>
          </w:p>
        </w:tc>
        <w:tc>
          <w:tcPr>
            <w:tcW w:w="12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years</w:t>
            </w:r>
          </w:p>
        </w:tc>
      </w:tr>
      <w:tr>
        <w:trPr/>
        <w:tc>
          <w:tcPr>
            <w:tcW w:w="36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discount rate</w:t>
            </w:r>
          </w:p>
        </w:tc>
        <w:tc>
          <w:tcPr>
            <w:tcW w:w="60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5.5</w:t>
            </w:r>
            <w:r>
              <w:rPr>
                <w:color w:val="000000"/>
              </w:rPr>
              <w:t> </w:t>
            </w:r>
          </w:p>
        </w:tc>
        <w:tc>
          <w:tcPr>
            <w:tcW w:w="4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7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4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NOTE 6: DEBT AND CREDIT FACILITIES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Debt</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 summary of our long-term debt is as follows:</w:t>
      </w:r>
    </w:p>
    <w:tbl>
      <w:tblPr>
        <w:tblW w:w="5444" w:type="dxa"/>
        <w:jc w:val="left"/>
        <w:tblInd w:w="0" w:type="dxa"/>
        <w:tblLayout w:type="fixed"/>
        <w:tblCellMar>
          <w:top w:w="28" w:type="dxa"/>
          <w:left w:w="28" w:type="dxa"/>
          <w:bottom w:w="28" w:type="dxa"/>
          <w:right w:w="28" w:type="dxa"/>
        </w:tblCellMar>
      </w:tblPr>
      <w:tblGrid>
        <w:gridCol w:w="1065"/>
        <w:gridCol w:w="936"/>
        <w:gridCol w:w="939"/>
        <w:gridCol w:w="409"/>
        <w:gridCol w:w="409"/>
        <w:gridCol w:w="411"/>
        <w:gridCol w:w="373"/>
        <w:gridCol w:w="373"/>
        <w:gridCol w:w="529"/>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28, 2023</w:t>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 of unamortized discount:</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Senior notes, 2.30%, due April 2024</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$250</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18"/>
              </w:rPr>
            </w:pPr>
            <w:r>
              <w:rPr>
                <w:rFonts w:ascii="Arial Narrow;sans-serif" w:hAnsi="Arial Narrow;sans-serif"/>
                <w:b w:val="false"/>
                <w:color w:val="000000"/>
                <w:sz w:val="18"/>
              </w:rPr>
              <w:t>Senior notes, 4.00%, due March 2027</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349</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Senior debentures, 6.95%, due March 2028</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300</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Senior notes, 4.375%, due April 2030</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500</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Senior notes, 4.25%, due August 2031</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425</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Senior notes, 7.00%, due January 2038</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147</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Senior notes, 5.00%, due January 2044</w:t>
            </w:r>
            <w:r>
              <w:rPr>
                <w:rFonts w:ascii="Arial Narrow;sans-serif" w:hAnsi="Arial Narrow;sans-serif"/>
                <w:b w:val="false"/>
                <w:color w:val="000000"/>
                <w:sz w:val="12"/>
              </w:rPr>
              <w:t>1</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909</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bond issuance costs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long-term debt</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$2,862</w:t>
            </w: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portion of debt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(250)</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due beyond one year</w:t>
            </w:r>
          </w:p>
        </w:tc>
        <w:tc>
          <w:tcPr>
            <w:tcW w:w="8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$2,612</w:t>
            </w:r>
            <w:r>
              <w:rPr>
                <w:color w:val="000000"/>
              </w:rPr>
              <w:t> </w:t>
            </w:r>
          </w:p>
        </w:tc>
        <w:tc>
          <w:tcPr>
            <w:tcW w:w="4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 </w:t>
            </w:r>
          </w:p>
        </w:tc>
        <w:tc>
          <w:tcPr>
            <w:tcW w:w="5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The unamortized discount on these notes was $57 and $61 as of February 3, 2024 and January 28,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3"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61</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Required principal payments on long-term debt are as follows:</w:t>
      </w:r>
    </w:p>
    <w:tbl>
      <w:tblPr>
        <w:tblW w:w="1579" w:type="dxa"/>
        <w:jc w:val="left"/>
        <w:tblInd w:w="0" w:type="dxa"/>
        <w:tblLayout w:type="fixed"/>
        <w:tblCellMar>
          <w:top w:w="28" w:type="dxa"/>
          <w:left w:w="28" w:type="dxa"/>
          <w:bottom w:w="28" w:type="dxa"/>
          <w:right w:w="28" w:type="dxa"/>
        </w:tblCellMar>
      </w:tblPr>
      <w:tblGrid>
        <w:gridCol w:w="330"/>
        <w:gridCol w:w="290"/>
        <w:gridCol w:w="294"/>
        <w:gridCol w:w="255"/>
        <w:gridCol w:w="256"/>
        <w:gridCol w:w="154"/>
      </w:tblGrid>
      <w:tr>
        <w:trPr/>
        <w:tc>
          <w:tcPr>
            <w:tcW w:w="3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18"/>
              </w:rPr>
              <w:t>Fiscal year</w:t>
            </w:r>
            <w:r>
              <w:rPr>
                <w:rFonts w:ascii="Arial Narrow;sans-serif" w:hAnsi="Arial Narrow;sans-serif"/>
                <w:b w:val="false"/>
                <w:color w:val="000000"/>
                <w:sz w:val="12"/>
              </w:rPr>
              <w:t>1</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2026</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2027</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350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2028</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2,039</w:t>
            </w:r>
            <w:r>
              <w:rPr>
                <w:color w:val="000000"/>
              </w:rPr>
              <w:t>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Required principal payments exclude estimated future interest payments of $1,519 as of February 3, 2024, with $136 payable within one year.</w:t>
      </w:r>
    </w:p>
    <w:p>
      <w:pPr>
        <w:pStyle w:val="TextBody"/>
        <w:bidi w:val="0"/>
        <w:spacing w:lineRule="auto" w:line="288" w:before="180" w:after="283"/>
        <w:jc w:val="left"/>
        <w:rPr/>
      </w:pPr>
      <w:r>
        <w:rPr>
          <w:rFonts w:ascii="Arial Narrow;sans-serif" w:hAnsi="Arial Narrow;sans-serif"/>
          <w:b w:val="false"/>
          <w:color w:val="000000"/>
          <w:sz w:val="20"/>
        </w:rPr>
        <w:t>During the first quarter of 2021, we issued $250 aggregate principal amount of 2.30% senior notes due April 2024 and $425 aggregate principal amount of 4.25% senior notes due August 2031. With the net proceeds of these new notes, together with cash on hand, we retired our $600 Secured Notes.</w:t>
      </w:r>
      <w:r>
        <w:rPr>
          <w:color w:val="000000"/>
          <w:shd w:fill="FFFFFF" w:val="clear"/>
        </w:rPr>
        <w:t xml:space="preserve"> </w:t>
      </w:r>
      <w:r>
        <w:rPr>
          <w:rFonts w:ascii="Arial Narrow;sans-serif" w:hAnsi="Arial Narrow;sans-serif"/>
          <w:b w:val="false"/>
          <w:color w:val="000000"/>
          <w:sz w:val="20"/>
          <w:shd w:fill="FFFFFF" w:val="clear"/>
        </w:rPr>
        <w:t>We reco</w:t>
      </w:r>
      <w:r>
        <w:rPr>
          <w:rFonts w:ascii="Arial Narrow;sans-serif" w:hAnsi="Arial Narrow;sans-serif"/>
          <w:b w:val="false"/>
          <w:color w:val="000000"/>
          <w:sz w:val="20"/>
        </w:rPr>
        <w:t>rded $88 related to the redemption in interest expense, net, which primarily consisted of a one-time payment of $78 for a “</w:t>
      </w:r>
      <w:r>
        <w:rPr>
          <w:rFonts w:ascii="Arial Narrow;sans-serif" w:hAnsi="Arial Narrow;sans-serif"/>
          <w:b w:val="false"/>
          <w:color w:val="000000"/>
          <w:sz w:val="20"/>
          <w:shd w:fill="FFFFFF" w:val="clear"/>
        </w:rPr>
        <w:t xml:space="preserve">make-whole” premium, and the write-off of unamortized balances associated with the debt discount and issuance costs. </w:t>
      </w:r>
      <w:r>
        <w:rPr>
          <w:rFonts w:ascii="Arial Narrow;sans-serif" w:hAnsi="Arial Narrow;sans-serif"/>
          <w:b w:val="false"/>
          <w:color w:val="000000"/>
          <w:sz w:val="20"/>
        </w:rPr>
        <w:t xml:space="preserve">The “make-whole” premium payment was not included in cash paid during the period for interest, net of capitalized interest in the Supplemental Cash Flow Information.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Expense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components of interest expense, net are as follows:</w:t>
      </w:r>
    </w:p>
    <w:tbl>
      <w:tblPr>
        <w:tblW w:w="5247" w:type="dxa"/>
        <w:jc w:val="left"/>
        <w:tblInd w:w="0" w:type="dxa"/>
        <w:tblLayout w:type="fixed"/>
        <w:tblCellMar>
          <w:top w:w="28" w:type="dxa"/>
          <w:left w:w="28" w:type="dxa"/>
          <w:bottom w:w="28" w:type="dxa"/>
          <w:right w:w="28" w:type="dxa"/>
        </w:tblCellMar>
      </w:tblPr>
      <w:tblGrid>
        <w:gridCol w:w="1236"/>
        <w:gridCol w:w="1084"/>
        <w:gridCol w:w="1100"/>
        <w:gridCol w:w="233"/>
        <w:gridCol w:w="233"/>
        <w:gridCol w:w="136"/>
        <w:gridCol w:w="225"/>
        <w:gridCol w:w="226"/>
        <w:gridCol w:w="136"/>
        <w:gridCol w:w="225"/>
        <w:gridCol w:w="226"/>
        <w:gridCol w:w="187"/>
      </w:tblGrid>
      <w:tr>
        <w:trPr/>
        <w:tc>
          <w:tcPr>
            <w:tcW w:w="1236"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3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long-term debt and short-term borrowings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$150</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Capitalized interest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Interest expense, net</w:t>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$104</w:t>
            </w:r>
            <w:r>
              <w:rPr>
                <w:color w:val="000000"/>
              </w:rPr>
              <w:t>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Credit Facilities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On March 1, 2023, we amended our Revolver originally dated May 6, 2022. Prior to this amendment, Nordstrom Canada Retail, Inc. was a loan party under the Revolver and the obligations under the Revolver were secured, in part, by the assets of this subsidiary. As a result of this amendment, Nordstrom Canada Retail, Inc. was removed as a loan party and obligations under the Revolver are no longer secured by these assets. In addition, this amendment excludes as subsidiaries or affiliates all Nordstrom Canada entities and carves out certain CCAA-related expenses and obligations from financial covenants under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February 3, 2024 and January 28, 2023, we had no outstanding borrowings under the Revolver that expires in May 2027. Our short-term borrowing capacity was reduced by $30 to $770 as a result of issuing a standby letter of credit in the fourth quarter of 2023. Provided that we obtain written consent from the lenders, we have the option to increase the Revolver by up to $200, to a total of $1,000, and two options to extend the Revolver for additional one-year terms. </w:t>
      </w:r>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Any outstanding borrowings under the Revolver are secured by substantially all our personal and intellectual property assets and are guaranteed by certain of our subsidiaries. Under the Revolver, our obligation to secure any outstanding borrowings will be eliminated if no default exists and we either have an unsecured investment-grade debt rating from two of three specified ratings agencies, or we have one investment-grade rating and achieve two consecutive fiscal quarters with a Leverage Ratio of less than 2.5 times.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Revolver, we have two financial covenant tests that need to be met on a quarterly basis: a Leverage Ratio that is less than or equal to 4 times and a fixed charge coverage ratio that is greater than or equal to 1.25 times. As of February 3, 2024, we were in compliance with all covenants.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Revolver contains customary representations, warranties, covenants and terms, including paying a variable rate of interest and a facility fee based on our debt rating, and is available for working capital, capital expenditures and general corporate purposes. The Revolver allows us to issue dividends and repurchase shares provided we are not in default and no default would arise as a result of such payments. If the pro-forma Leverage Ratio after such payments is less than 3 times, then such payments are unlimited. If the pro-forma Leverage Ratio is greater than or equal to 3 times but less than 3.5 times, then we are limited to $100 per fiscal quarter and if the pro-forma Leverage Ratio is greater than or equal to 3.5 times, then the limit is $60 per fiscal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06705"/>
                <wp:effectExtent l="0" t="0" r="0" b="0"/>
                <wp:wrapNone/>
                <wp:docPr id="64" name="Frame6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62</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of reducing available liquidity under the Revolver by an amount equal to the principal amount of commercial paper outstanding. Conversely, borrowings under our Revolver have the effect of reducing the available capacity of our commercial paper program by an amount equal to the amount outstanding. As of February 3, 2024 and January 28, 2023, we had no issuances outstanding under our commercial paper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NOTE 7: FAIR VALUE MEASUREMENTS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disclose our financial assets and liabilities that are measured at fair value in our Consolidated Balance Sheets by level within the fair value hierarchy as defined by applicable accounting standards:</w:t>
      </w:r>
    </w:p>
    <w:p>
      <w:pPr>
        <w:pStyle w:val="TextBody"/>
        <w:bidi w:val="0"/>
        <w:spacing w:lineRule="auto" w:line="288" w:before="180" w:after="283"/>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Level 1: Quoted market prices in active markets for identical assets or liabilities</w:t>
      </w:r>
    </w:p>
    <w:p>
      <w:pPr>
        <w:pStyle w:val="TextBody"/>
        <w:bidi w:val="0"/>
        <w:spacing w:lineRule="auto" w:line="288" w:before="0" w:after="0"/>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Level 2: Other observable market-based inputs or unobservable inputs that are corroborated by market data</w:t>
      </w:r>
    </w:p>
    <w:p>
      <w:pPr>
        <w:pStyle w:val="TextBody"/>
        <w:bidi w:val="0"/>
        <w:spacing w:lineRule="auto" w:line="288" w:before="0" w:after="0"/>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Level 3: Unobservable inputs that cannot be corroborated by market data that reflect the reporting entity’s own assumptions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instruments measured at carrying value on a recurring basis include cash and cash equivalents, accounts receivable, accounts payable and our Revolver, which approximate fair value due to their short-term nature.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is recorded at carrying value. If long-term debt was measured at fair value, we would use quoted market prices of the same or similar issues, which is considered a Level 2 fair value measurement. The following table summarizes the carrying value and fair value estimate of our long-term debt, including current maturities:</w:t>
      </w:r>
    </w:p>
    <w:tbl>
      <w:tblPr>
        <w:tblW w:w="4634" w:type="dxa"/>
        <w:jc w:val="left"/>
        <w:tblInd w:w="0" w:type="dxa"/>
        <w:tblLayout w:type="fixed"/>
        <w:tblCellMar>
          <w:top w:w="28" w:type="dxa"/>
          <w:left w:w="28" w:type="dxa"/>
          <w:bottom w:w="28" w:type="dxa"/>
          <w:right w:w="28" w:type="dxa"/>
        </w:tblCellMar>
      </w:tblPr>
      <w:tblGrid>
        <w:gridCol w:w="769"/>
        <w:gridCol w:w="679"/>
        <w:gridCol w:w="682"/>
        <w:gridCol w:w="409"/>
        <w:gridCol w:w="409"/>
        <w:gridCol w:w="411"/>
        <w:gridCol w:w="373"/>
        <w:gridCol w:w="373"/>
        <w:gridCol w:w="529"/>
      </w:tblGrid>
      <w:tr>
        <w:trPr/>
        <w:tc>
          <w:tcPr>
            <w:tcW w:w="76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28, 2023</w:t>
            </w:r>
          </w:p>
        </w:tc>
      </w:tr>
      <w:tr>
        <w:trPr/>
        <w:tc>
          <w:tcPr>
            <w:tcW w:w="2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Carrying value of long-term debt</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$2,862</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long-term debt</w:t>
            </w:r>
          </w:p>
        </w:tc>
        <w:tc>
          <w:tcPr>
            <w:tcW w:w="81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2,441</w:t>
            </w:r>
            <w:r>
              <w:rPr>
                <w:color w:val="000000"/>
              </w:rPr>
              <w:t> </w:t>
            </w:r>
          </w:p>
        </w:tc>
        <w:tc>
          <w:tcPr>
            <w:tcW w:w="4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2,278 </w:t>
            </w:r>
          </w:p>
        </w:tc>
        <w:tc>
          <w:tcPr>
            <w:tcW w:w="5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measure certain items at fair value on a nonrecurring basis, primarily goodwill, and long-lived tangible and ROU assets, in connection with periodic evaluations for potential impairment. We estimate the fair value of these assets using primarily unobservable inputs and, as such, these are considered Level 3 fair value measurements. For more information regarding long-lived tangible and ROU asset impairment charges, see Note 1: Nature of Operations and Summary of Significant Accounting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year ended February 3, 2024, we measured our investment in Nordstrom Canada, our related-party receivables and related lease guarantees at fair value (see Note 2: Canada Wind-down).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Investments Measured at NAV</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certain investments that are measured at fair value using the NAV per share, or its equivalent, as a practical expedient. This class of investments consists of partnership interests that mainly invest in venture capital strategies with a focus on privately held consumer and technology companies. The NAV is based on the fair value of the underlying net assets owned by the fund and the relative interest of each participating investor in the fair value of the underlying assets. Our interest in these partnerships is generally not redeemable and is subject to significant restrictions regarding transfers. Distributions from each fund will be received as the underlying assets of the funds are liquidated. Liquidation is triggered by clauses within the partnership agreements or at the funds’ stated end date. The contractual terms of the partnership interests range from six to ten years. For more information regarding investments measured at NAV, see Note 1: Nature of Operations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NOTE 8: SELF-INSURANCE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self-insurance reserves are summarized as follows:</w:t>
      </w:r>
    </w:p>
    <w:tbl>
      <w:tblPr>
        <w:tblW w:w="4589" w:type="dxa"/>
        <w:jc w:val="left"/>
        <w:tblInd w:w="0" w:type="dxa"/>
        <w:tblLayout w:type="fixed"/>
        <w:tblCellMar>
          <w:top w:w="28" w:type="dxa"/>
          <w:left w:w="28" w:type="dxa"/>
          <w:bottom w:w="28" w:type="dxa"/>
          <w:right w:w="28" w:type="dxa"/>
        </w:tblCellMar>
      </w:tblPr>
      <w:tblGrid>
        <w:gridCol w:w="755"/>
        <w:gridCol w:w="664"/>
        <w:gridCol w:w="666"/>
        <w:gridCol w:w="409"/>
        <w:gridCol w:w="409"/>
        <w:gridCol w:w="411"/>
        <w:gridCol w:w="373"/>
        <w:gridCol w:w="373"/>
        <w:gridCol w:w="529"/>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28, 2023</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Workers’ compensation</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$73</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Employee health and welfare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liability</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self-insurance reserves</w:t>
            </w:r>
          </w:p>
        </w:tc>
        <w:tc>
          <w:tcPr>
            <w:tcW w:w="8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$119</w:t>
            </w:r>
            <w:r>
              <w:rPr>
                <w:color w:val="000000"/>
              </w:rPr>
              <w:t> </w:t>
            </w:r>
          </w:p>
        </w:tc>
        <w:tc>
          <w:tcPr>
            <w:tcW w:w="4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 </w:t>
            </w:r>
          </w:p>
        </w:tc>
        <w:tc>
          <w:tcPr>
            <w:tcW w:w="5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self-insured for the majority of our workers’ compensation programs, employee health and welfare coverage and other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65"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63</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workers’ compensation policies have a retention per claim of $1 or less and no policy limits. Approximately 30% of our workers’ compensation obligations are payable within one year. In connection with our workers’ compensation programs, we have a standby letter of credit issued on our behalf with $13 available and $2 outstanding as of February 3, 2024. This letter of credit is not reflected in our Consolidated Balance Sheets.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employee health and welfare programs do not use stop-loss coverage and participants contribute to the cost of their coverage through premiums and out-of-pocket expenses for deductibles, copays and coinsurance.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liability primarily includes commercial general liability obligations. Our commercial general liability policy, with a limit up to $111, has a retention per claim of $1 or less. Approximately 50% of our other liability reserve obligations are payable within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NOTE 9: SUPPLEMENTAL EXECUTIVE RETIREMENT PLAN</w:t>
      </w:r>
    </w:p>
    <w:p>
      <w:pPr>
        <w:pStyle w:val="TextBody"/>
        <w:bidi w:val="0"/>
        <w:spacing w:lineRule="auto" w:line="268" w:before="0" w:after="0"/>
        <w:jc w:val="left"/>
        <w:rPr/>
      </w:pPr>
      <w:r>
        <w:rPr>
          <w:rFonts w:ascii="Arial Narrow;sans-serif" w:hAnsi="Arial Narrow;sans-serif"/>
          <w:b w:val="false"/>
          <w:color w:val="000000"/>
          <w:sz w:val="20"/>
        </w:rPr>
        <w:t xml:space="preserve">We have a SERP, which provides retirement benefits to certain officers and select employees. The SERP has different benefit levels depending on the participant’s role. At the end of 2023, </w:t>
      </w:r>
      <w:r>
        <w:rPr>
          <w:rFonts w:ascii="Arial Narrow;sans-serif" w:hAnsi="Arial Narrow;sans-serif"/>
          <w:b w:val="false"/>
          <w:color w:val="000000"/>
          <w:sz w:val="20"/>
          <w:shd w:fill="FFFFFF" w:val="clear"/>
        </w:rPr>
        <w:t>we</w:t>
      </w:r>
      <w:r>
        <w:rPr>
          <w:color w:val="000000"/>
        </w:rPr>
        <w:t xml:space="preserve"> </w:t>
      </w:r>
      <w:r>
        <w:rPr>
          <w:rFonts w:ascii="Arial Narrow;sans-serif" w:hAnsi="Arial Narrow;sans-serif"/>
          <w:b w:val="false"/>
          <w:color w:val="000000"/>
          <w:sz w:val="20"/>
        </w:rPr>
        <w:t xml:space="preserve">had 57 participants in the plan, including five officers and select employees eligible for SERP benefits, 47 retirees and five beneficiaries. This plan is nonqualified and does not have a </w:t>
      </w:r>
      <w:r>
        <w:rPr>
          <w:rFonts w:ascii="Arial Narrow;sans-serif" w:hAnsi="Arial Narrow;sans-serif"/>
          <w:b w:val="false"/>
          <w:color w:val="000000"/>
          <w:sz w:val="20"/>
          <w:shd w:fill="FFFFFF" w:val="clear"/>
        </w:rPr>
        <w:t>m</w:t>
      </w:r>
      <w:r>
        <w:rPr>
          <w:rFonts w:ascii="Arial Narrow;sans-serif" w:hAnsi="Arial Narrow;sans-serif"/>
          <w:b w:val="false"/>
          <w:color w:val="000000"/>
          <w:sz w:val="20"/>
        </w:rPr>
        <w:t>inimum funding requirement. We selected the measurement date of January 31, the calendar month end closest to our fiscal year end, to value our SERP.</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Benefit Obligation and Funded Status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benefit obligation and funded status is as follows:</w:t>
      </w:r>
    </w:p>
    <w:tbl>
      <w:tblPr>
        <w:tblW w:w="5443" w:type="dxa"/>
        <w:jc w:val="left"/>
        <w:tblInd w:w="0" w:type="dxa"/>
        <w:tblLayout w:type="fixed"/>
        <w:tblCellMar>
          <w:top w:w="28" w:type="dxa"/>
          <w:left w:w="28" w:type="dxa"/>
          <w:bottom w:w="28" w:type="dxa"/>
          <w:right w:w="28" w:type="dxa"/>
        </w:tblCellMar>
      </w:tblPr>
      <w:tblGrid>
        <w:gridCol w:w="1062"/>
        <w:gridCol w:w="936"/>
        <w:gridCol w:w="941"/>
        <w:gridCol w:w="409"/>
        <w:gridCol w:w="409"/>
        <w:gridCol w:w="411"/>
        <w:gridCol w:w="373"/>
        <w:gridCol w:w="373"/>
        <w:gridCol w:w="529"/>
      </w:tblGrid>
      <w:tr>
        <w:trPr/>
        <w:tc>
          <w:tcPr>
            <w:tcW w:w="106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28, 2023</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benefit obligation:</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Benefit obligation at beginning of year</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$176</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Participant service cost</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cost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Benefits paid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Actuarial gain</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Benefit obligation at end of year</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168</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plan assets: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plan assets at beginning of year</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Employer contribution</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Benefits paid</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Fair value of plan assets at end of year</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Underfunded status at end of year</w:t>
            </w:r>
          </w:p>
        </w:tc>
        <w:tc>
          <w:tcPr>
            <w:tcW w:w="8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($168)</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w:t>
            </w:r>
          </w:p>
        </w:tc>
        <w:tc>
          <w:tcPr>
            <w:tcW w:w="5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color w:val="000000"/>
          <w:sz w:val="20"/>
        </w:rPr>
        <w:t>The accumulated benefit obligation, which is the present value of benefits, assuming no future compensation changes, wa</w:t>
      </w:r>
      <w:r>
        <w:rPr>
          <w:rFonts w:ascii="Arial Narrow;sans-serif" w:hAnsi="Arial Narrow;sans-serif"/>
          <w:b w:val="false"/>
          <w:color w:val="000000"/>
          <w:sz w:val="20"/>
          <w:shd w:fill="FFFFFF" w:val="clear"/>
        </w:rPr>
        <w:t>s $168</w:t>
      </w:r>
      <w:r>
        <w:rPr>
          <w:color w:val="000000"/>
        </w:rPr>
        <w:t xml:space="preserve"> </w:t>
      </w:r>
      <w:r>
        <w:rPr>
          <w:rFonts w:ascii="Arial Narrow;sans-serif" w:hAnsi="Arial Narrow;sans-serif"/>
          <w:b w:val="false"/>
          <w:color w:val="000000"/>
          <w:sz w:val="20"/>
        </w:rPr>
        <w:t>and $175 at the end of 2023 and 2022. Amounts recognized as liabilities in the Consolidated Balance Sheets consist of the following:</w:t>
      </w:r>
    </w:p>
    <w:tbl>
      <w:tblPr>
        <w:tblW w:w="5444" w:type="dxa"/>
        <w:jc w:val="left"/>
        <w:tblInd w:w="0" w:type="dxa"/>
        <w:tblLayout w:type="fixed"/>
        <w:tblCellMar>
          <w:top w:w="28" w:type="dxa"/>
          <w:left w:w="28" w:type="dxa"/>
          <w:bottom w:w="28" w:type="dxa"/>
          <w:right w:w="28" w:type="dxa"/>
        </w:tblCellMar>
      </w:tblPr>
      <w:tblGrid>
        <w:gridCol w:w="1065"/>
        <w:gridCol w:w="933"/>
        <w:gridCol w:w="942"/>
        <w:gridCol w:w="409"/>
        <w:gridCol w:w="409"/>
        <w:gridCol w:w="411"/>
        <w:gridCol w:w="373"/>
        <w:gridCol w:w="373"/>
        <w:gridCol w:w="529"/>
      </w:tblGrid>
      <w:tr>
        <w:trPr/>
        <w:tc>
          <w:tcPr>
            <w:tcW w:w="106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28, 2023</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Accrued salaries, wages and related benefits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liabilities (noncurrent)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156</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amount recognized</w:t>
            </w:r>
          </w:p>
        </w:tc>
        <w:tc>
          <w:tcPr>
            <w:tcW w:w="8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$168</w:t>
            </w:r>
            <w:r>
              <w:rPr>
                <w:color w:val="000000"/>
              </w:rPr>
              <w:t> </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 </w:t>
            </w:r>
          </w:p>
        </w:tc>
        <w:tc>
          <w:tcPr>
            <w:tcW w:w="5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SERP Expense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components of SERP expense recognized in SG&amp;A expense on the Consolidated Statements of Earnings are as follows:</w:t>
      </w:r>
    </w:p>
    <w:tbl>
      <w:tblPr>
        <w:tblW w:w="3866" w:type="dxa"/>
        <w:jc w:val="left"/>
        <w:tblInd w:w="0" w:type="dxa"/>
        <w:tblLayout w:type="fixed"/>
        <w:tblCellMar>
          <w:top w:w="28" w:type="dxa"/>
          <w:left w:w="28" w:type="dxa"/>
          <w:bottom w:w="28" w:type="dxa"/>
          <w:right w:w="28" w:type="dxa"/>
        </w:tblCellMar>
      </w:tblPr>
      <w:tblGrid>
        <w:gridCol w:w="813"/>
        <w:gridCol w:w="713"/>
        <w:gridCol w:w="723"/>
        <w:gridCol w:w="203"/>
        <w:gridCol w:w="203"/>
        <w:gridCol w:w="136"/>
        <w:gridCol w:w="187"/>
        <w:gridCol w:w="189"/>
        <w:gridCol w:w="136"/>
        <w:gridCol w:w="187"/>
        <w:gridCol w:w="189"/>
        <w:gridCol w:w="187"/>
      </w:tblGrid>
      <w:tr>
        <w:trPr/>
        <w:tc>
          <w:tcPr>
            <w:tcW w:w="8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2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Participant service cost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cost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net loss and other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SERP expense</w:t>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w:t>
            </w:r>
            <w:r>
              <w:rPr>
                <w:color w:val="000000"/>
              </w:rPr>
              <w:t>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06705"/>
                <wp:effectExtent l="0" t="0" r="0" b="0"/>
                <wp:wrapNone/>
                <wp:docPr id="66" name="Frame6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64</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Accumulated Other Comprehensive Gain (Loss)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Amounts recognized in accumulated other comprehensive gain (loss) (pre-tax) consist of the following:</w:t>
      </w:r>
    </w:p>
    <w:tbl>
      <w:tblPr>
        <w:tblW w:w="6625" w:type="dxa"/>
        <w:jc w:val="left"/>
        <w:tblInd w:w="0" w:type="dxa"/>
        <w:tblLayout w:type="fixed"/>
        <w:tblCellMar>
          <w:top w:w="28" w:type="dxa"/>
          <w:left w:w="28" w:type="dxa"/>
          <w:bottom w:w="28" w:type="dxa"/>
          <w:right w:w="28" w:type="dxa"/>
        </w:tblCellMar>
      </w:tblPr>
      <w:tblGrid>
        <w:gridCol w:w="1778"/>
        <w:gridCol w:w="1561"/>
        <w:gridCol w:w="1581"/>
        <w:gridCol w:w="202"/>
        <w:gridCol w:w="204"/>
        <w:gridCol w:w="136"/>
        <w:gridCol w:w="210"/>
        <w:gridCol w:w="210"/>
        <w:gridCol w:w="136"/>
        <w:gridCol w:w="210"/>
        <w:gridCol w:w="210"/>
        <w:gridCol w:w="187"/>
      </w:tblGrid>
      <w:tr>
        <w:trPr/>
        <w:tc>
          <w:tcPr>
            <w:tcW w:w="1778"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6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4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Actuarial gain</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net loss and other</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Amounts recognized in accumulated other comprehensive gain (loss)</w:t>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($7)</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Assumptions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Weighted-average assumptions used to determine our benefit obligation and SERP expense are as follows:</w:t>
      </w:r>
    </w:p>
    <w:tbl>
      <w:tblPr>
        <w:tblW w:w="5300" w:type="dxa"/>
        <w:jc w:val="left"/>
        <w:tblInd w:w="0" w:type="dxa"/>
        <w:tblLayout w:type="fixed"/>
        <w:tblCellMar>
          <w:top w:w="28" w:type="dxa"/>
          <w:left w:w="28" w:type="dxa"/>
          <w:bottom w:w="28" w:type="dxa"/>
          <w:right w:w="28" w:type="dxa"/>
        </w:tblCellMar>
      </w:tblPr>
      <w:tblGrid>
        <w:gridCol w:w="1173"/>
        <w:gridCol w:w="1032"/>
        <w:gridCol w:w="1049"/>
        <w:gridCol w:w="218"/>
        <w:gridCol w:w="218"/>
        <w:gridCol w:w="241"/>
        <w:gridCol w:w="210"/>
        <w:gridCol w:w="211"/>
        <w:gridCol w:w="241"/>
        <w:gridCol w:w="210"/>
        <w:gridCol w:w="211"/>
        <w:gridCol w:w="286"/>
      </w:tblGrid>
      <w:tr>
        <w:trPr/>
        <w:tc>
          <w:tcPr>
            <w:tcW w:w="11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3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Assumptions used to determine benefit obligation:</w:t>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Discount rate</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5.27</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Rate of compensation increase</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2.50</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Assumptions used to determine SERP expense:</w:t>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Discount rate</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4.95</w:t>
            </w: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2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Rate of compensation increase</w:t>
            </w:r>
          </w:p>
        </w:tc>
        <w:tc>
          <w:tcPr>
            <w:tcW w:w="43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2.50</w:t>
            </w:r>
            <w:r>
              <w:rPr>
                <w:color w:val="000000"/>
              </w:rPr>
              <w:t>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254"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Future Benefit Payments and Contributions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As of February 3, 2024, the expected future benefit payments based upon the assumptions described above and including benefits attributable to estimated future employee service are as follows:</w:t>
      </w:r>
    </w:p>
    <w:tbl>
      <w:tblPr>
        <w:tblW w:w="1429" w:type="dxa"/>
        <w:jc w:val="left"/>
        <w:tblInd w:w="0" w:type="dxa"/>
        <w:tblLayout w:type="fixed"/>
        <w:tblCellMar>
          <w:top w:w="28" w:type="dxa"/>
          <w:left w:w="28" w:type="dxa"/>
          <w:bottom w:w="28" w:type="dxa"/>
          <w:right w:w="28" w:type="dxa"/>
        </w:tblCellMar>
      </w:tblPr>
      <w:tblGrid>
        <w:gridCol w:w="320"/>
        <w:gridCol w:w="280"/>
        <w:gridCol w:w="284"/>
        <w:gridCol w:w="195"/>
        <w:gridCol w:w="196"/>
        <w:gridCol w:w="154"/>
      </w:tblGrid>
      <w:tr>
        <w:trPr/>
        <w:tc>
          <w:tcPr>
            <w:tcW w:w="3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2024</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2026</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2027</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2028</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 2033</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39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44</w:t>
            </w:r>
            <w:r>
              <w:rPr>
                <w:color w:val="000000"/>
              </w:rPr>
              <w:t>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NOTE 10: STOCK-BASED COMPENSATION </w:t>
      </w:r>
    </w:p>
    <w:p>
      <w:pPr>
        <w:pStyle w:val="TextBody"/>
        <w:bidi w:val="0"/>
        <w:spacing w:lineRule="auto" w:line="288" w:before="0" w:after="0"/>
        <w:jc w:val="left"/>
        <w:rPr/>
      </w:pPr>
      <w:r>
        <w:rPr>
          <w:rFonts w:ascii="Arial Narrow;sans-serif" w:hAnsi="Arial Narrow;sans-serif"/>
          <w:b w:val="false"/>
          <w:color w:val="000000"/>
          <w:sz w:val="20"/>
        </w:rPr>
        <w:t xml:space="preserve">Under our deferred and stock-based compensation plan arrangements, we issued 2.4, 3.4 and 1.6 shares of common stock in 2023, 2022 and 2021. </w:t>
      </w:r>
      <w:r>
        <w:rPr>
          <w:rFonts w:ascii="Arial Narrow;sans-serif" w:hAnsi="Arial Narrow;sans-serif"/>
          <w:b w:val="false"/>
          <w:color w:val="000000"/>
          <w:sz w:val="20"/>
          <w:shd w:fill="FFFFFF" w:val="clear"/>
        </w:rPr>
        <w:t>On June 6, 2023, our shareholders approved an amendment to the 2019 Equity Incentive Plan. The amendment increases common stock available for issuance by 15.0 shares.</w:t>
      </w:r>
      <w:r>
        <w:rPr>
          <w:color w:val="000000"/>
        </w:rPr>
        <w:t xml:space="preserve"> </w:t>
      </w:r>
      <w:r>
        <w:rPr>
          <w:rFonts w:ascii="Arial Narrow;sans-serif" w:hAnsi="Arial Narrow;sans-serif"/>
          <w:b w:val="false"/>
          <w:color w:val="000000"/>
          <w:sz w:val="20"/>
        </w:rPr>
        <w:t>Under the 2019 Plan, the aggregate number of shares to be issued may not exceed 39.5 plus any shares currently outstanding under the 2010 Plan that are forfeited or expire during the term of the 2019 Plan. As of February 3, 2024, we had 39.5 shares authorized, 14.8 shares issued and outstanding and 23.9 shares remaining available for future grants under the 2019 Plan.</w:t>
      </w:r>
    </w:p>
    <w:p>
      <w:pPr>
        <w:pStyle w:val="TextBody"/>
        <w:bidi w:val="0"/>
        <w:spacing w:lineRule="auto" w:line="288" w:before="180" w:after="283"/>
        <w:jc w:val="left"/>
        <w:rPr/>
      </w:pPr>
      <w:r>
        <w:rPr>
          <w:rFonts w:ascii="Arial Narrow;sans-serif" w:hAnsi="Arial Narrow;sans-serif"/>
          <w:b w:val="false"/>
          <w:color w:val="000000"/>
          <w:sz w:val="20"/>
        </w:rPr>
        <w:t xml:space="preserve">Under the ESPP, employees may make payroll deductions of up to 15% of their base compensation for the purchase of Nordstrom common stock. At the end of each six-month offering period, participants apply their accumulated payroll deductions toward the purchase of shares of our common stock at 90% of the fair market value on the last day of the offer period. </w:t>
      </w:r>
      <w:r>
        <w:rPr>
          <w:rFonts w:ascii="Arial Narrow;sans-serif" w:hAnsi="Arial Narrow;sans-serif"/>
          <w:b w:val="false"/>
          <w:color w:val="000000"/>
          <w:sz w:val="20"/>
          <w:shd w:fill="FFFFFF" w:val="clear"/>
        </w:rPr>
        <w:t>On June 6, 2023, our shareholders approved an amendment under the ESPP. The amendment increases common stock available for purchase by 3.5 shares. As</w:t>
      </w:r>
      <w:r>
        <w:rPr>
          <w:color w:val="000000"/>
        </w:rPr>
        <w:t xml:space="preserve"> </w:t>
      </w:r>
      <w:r>
        <w:rPr>
          <w:rFonts w:ascii="Arial Narrow;sans-serif" w:hAnsi="Arial Narrow;sans-serif"/>
          <w:b w:val="false"/>
          <w:color w:val="000000"/>
          <w:sz w:val="20"/>
        </w:rPr>
        <w:t>of February 3, 2024, we had 19.6</w:t>
      </w:r>
      <w:r>
        <w:rPr>
          <w:color w:val="000000"/>
          <w:shd w:fill="FFFFFF" w:val="clear"/>
        </w:rPr>
        <w:t xml:space="preserve"> </w:t>
      </w:r>
      <w:r>
        <w:rPr>
          <w:rFonts w:ascii="Arial Narrow;sans-serif" w:hAnsi="Arial Narrow;sans-serif"/>
          <w:b w:val="false"/>
          <w:color w:val="000000"/>
          <w:sz w:val="20"/>
          <w:shd w:fill="FFFFFF" w:val="clear"/>
        </w:rPr>
        <w:t>s</w:t>
      </w:r>
      <w:r>
        <w:rPr>
          <w:rFonts w:ascii="Arial Narrow;sans-serif" w:hAnsi="Arial Narrow;sans-serif"/>
          <w:b w:val="false"/>
          <w:color w:val="000000"/>
          <w:sz w:val="20"/>
        </w:rPr>
        <w:t>hares authorized and 4.9 shares available for issuance under the ESPP. We issued</w:t>
      </w:r>
      <w:r>
        <w:rPr>
          <w:color w:val="000000"/>
          <w:shd w:fill="FFFFFF" w:val="clear"/>
        </w:rPr>
        <w:t xml:space="preserve"> </w:t>
      </w:r>
      <w:r>
        <w:rPr>
          <w:rFonts w:ascii="Arial Narrow;sans-serif" w:hAnsi="Arial Narrow;sans-serif"/>
          <w:b w:val="false"/>
          <w:color w:val="000000"/>
          <w:sz w:val="20"/>
          <w:shd w:fill="FFFFFF" w:val="clear"/>
        </w:rPr>
        <w:t xml:space="preserve">1.0, </w:t>
      </w:r>
      <w:r>
        <w:rPr>
          <w:rFonts w:ascii="Arial Narrow;sans-serif" w:hAnsi="Arial Narrow;sans-serif"/>
          <w:b w:val="false"/>
          <w:color w:val="000000"/>
          <w:sz w:val="20"/>
        </w:rPr>
        <w:t xml:space="preserve">0.9 and 0.5 shares under the ESPP during 2023, 2022 and 2021. At the end of 2023 and 2022, we had current liabilities of </w:t>
      </w:r>
      <w:r>
        <w:rPr>
          <w:rFonts w:ascii="Arial Narrow;sans-serif" w:hAnsi="Arial Narrow;sans-serif"/>
          <w:b w:val="false"/>
          <w:color w:val="000000"/>
          <w:sz w:val="20"/>
          <w:shd w:fill="FFFFFF" w:val="clear"/>
        </w:rPr>
        <w:t xml:space="preserve">$5 and </w:t>
      </w:r>
      <w:r>
        <w:rPr>
          <w:rFonts w:ascii="Arial Narrow;sans-serif" w:hAnsi="Arial Narrow;sans-serif"/>
          <w:b w:val="false"/>
          <w:color w:val="000000"/>
          <w:sz w:val="20"/>
        </w:rPr>
        <w:t xml:space="preserve">$6 </w:t>
      </w:r>
      <w:r>
        <w:rPr>
          <w:rFonts w:ascii="Arial Narrow;sans-serif" w:hAnsi="Arial Narrow;sans-serif"/>
          <w:b w:val="false"/>
          <w:color w:val="000000"/>
          <w:sz w:val="20"/>
          <w:shd w:fill="FFFFFF" w:val="clear"/>
        </w:rPr>
        <w:t>fo</w:t>
      </w:r>
      <w:r>
        <w:rPr>
          <w:rFonts w:ascii="Arial Narrow;sans-serif" w:hAnsi="Arial Narrow;sans-serif"/>
          <w:b w:val="false"/>
          <w:color w:val="000000"/>
          <w:sz w:val="20"/>
        </w:rPr>
        <w:t>r future purchases of shares under the ESPP.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7" name="Frame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65</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our stock-based compensation expense:</w:t>
      </w:r>
    </w:p>
    <w:tbl>
      <w:tblPr>
        <w:tblW w:w="6326" w:type="dxa"/>
        <w:jc w:val="left"/>
        <w:tblInd w:w="0" w:type="dxa"/>
        <w:tblLayout w:type="fixed"/>
        <w:tblCellMar>
          <w:top w:w="28" w:type="dxa"/>
          <w:left w:w="28" w:type="dxa"/>
          <w:bottom w:w="28" w:type="dxa"/>
          <w:right w:w="28" w:type="dxa"/>
        </w:tblCellMar>
      </w:tblPr>
      <w:tblGrid>
        <w:gridCol w:w="1850"/>
        <w:gridCol w:w="1428"/>
        <w:gridCol w:w="1446"/>
        <w:gridCol w:w="195"/>
        <w:gridCol w:w="196"/>
        <w:gridCol w:w="136"/>
        <w:gridCol w:w="188"/>
        <w:gridCol w:w="188"/>
        <w:gridCol w:w="136"/>
        <w:gridCol w:w="188"/>
        <w:gridCol w:w="188"/>
        <w:gridCol w:w="187"/>
      </w:tblGrid>
      <w:tr>
        <w:trPr/>
        <w:tc>
          <w:tcPr>
            <w:tcW w:w="1850"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4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RSUs</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$40</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options</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Other</w:t>
            </w:r>
            <w:r>
              <w:rPr>
                <w:rFonts w:ascii="Arial Narrow;sans-serif" w:hAnsi="Arial Narrow;sans-serif"/>
                <w:b w:val="false"/>
                <w:color w:val="000000"/>
                <w:sz w:val="12"/>
              </w:rPr>
              <w:t>1</w:t>
            </w:r>
            <w:r>
              <w:rPr>
                <w:color w:val="000000"/>
              </w:rPr>
              <w:t xml:space="preserve"> </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stock-based compensation expense, before income tax benefit</w:t>
            </w:r>
          </w:p>
        </w:tc>
        <w:tc>
          <w:tcPr>
            <w:tcW w:w="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52</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benefit</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stock-based compensation expense, net of income tax benefit</w:t>
            </w:r>
          </w:p>
        </w:tc>
        <w:tc>
          <w:tcPr>
            <w:tcW w:w="3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$39</w:t>
            </w:r>
            <w:r>
              <w:rPr>
                <w:color w:val="000000"/>
              </w:rPr>
              <w:t>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Other stock-based compensation expense includes PSUs, ESPP and nonemployee director stock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stock-based compensation expense before income tax benefit was recorded in our Consolidated Statements of Earnings as follows:</w:t>
      </w:r>
    </w:p>
    <w:tbl>
      <w:tblPr>
        <w:tblW w:w="6371" w:type="dxa"/>
        <w:jc w:val="left"/>
        <w:tblInd w:w="0" w:type="dxa"/>
        <w:tblLayout w:type="fixed"/>
        <w:tblCellMar>
          <w:top w:w="28" w:type="dxa"/>
          <w:left w:w="28" w:type="dxa"/>
          <w:bottom w:w="28" w:type="dxa"/>
          <w:right w:w="28" w:type="dxa"/>
        </w:tblCellMar>
      </w:tblPr>
      <w:tblGrid>
        <w:gridCol w:w="1724"/>
        <w:gridCol w:w="1511"/>
        <w:gridCol w:w="1534"/>
        <w:gridCol w:w="195"/>
        <w:gridCol w:w="196"/>
        <w:gridCol w:w="136"/>
        <w:gridCol w:w="187"/>
        <w:gridCol w:w="189"/>
        <w:gridCol w:w="136"/>
        <w:gridCol w:w="188"/>
        <w:gridCol w:w="188"/>
        <w:gridCol w:w="187"/>
      </w:tblGrid>
      <w:tr>
        <w:trPr/>
        <w:tc>
          <w:tcPr>
            <w:tcW w:w="172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4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Cost of sales and related buying and occupancy costs</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SG&amp;A expenses</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42</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stock-based compensation expense, before income tax benefit</w:t>
            </w:r>
          </w:p>
        </w:tc>
        <w:tc>
          <w:tcPr>
            <w:tcW w:w="3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$52</w:t>
            </w:r>
            <w:r>
              <w:rPr>
                <w:color w:val="000000"/>
              </w:rPr>
              <w:t>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 </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Restricted Stock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Compensation, People and Culture Committee of our Board of Directors approves grants of restricted stock units to employees. The number of units granted to an individual are determined based upon award amounts and the fair value of the restricted stock units at the time of grant. Restricted stock units typically vest over four years.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summary of restricted stock unit activity for 2023 is presented below:</w:t>
      </w:r>
    </w:p>
    <w:tbl>
      <w:tblPr>
        <w:tblW w:w="5985" w:type="dxa"/>
        <w:jc w:val="left"/>
        <w:tblInd w:w="0" w:type="dxa"/>
        <w:tblLayout w:type="fixed"/>
        <w:tblCellMar>
          <w:top w:w="28" w:type="dxa"/>
          <w:left w:w="28" w:type="dxa"/>
          <w:bottom w:w="28" w:type="dxa"/>
          <w:right w:w="28" w:type="dxa"/>
        </w:tblCellMar>
      </w:tblPr>
      <w:tblGrid>
        <w:gridCol w:w="736"/>
        <w:gridCol w:w="646"/>
        <w:gridCol w:w="657"/>
        <w:gridCol w:w="195"/>
        <w:gridCol w:w="195"/>
        <w:gridCol w:w="196"/>
        <w:gridCol w:w="984"/>
        <w:gridCol w:w="984"/>
        <w:gridCol w:w="1392"/>
      </w:tblGrid>
      <w:tr>
        <w:trPr/>
        <w:tc>
          <w:tcPr>
            <w:tcW w:w="7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39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Shares</w:t>
            </w:r>
          </w:p>
        </w:tc>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Weighted-average grant date fair value per unit</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beginning of year</w:t>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$32</w:t>
            </w:r>
            <w:r>
              <w:rPr>
                <w:color w:val="000000"/>
              </w:rPr>
              <w:t> </w:t>
            </w:r>
          </w:p>
        </w:tc>
        <w:tc>
          <w:tcPr>
            <w:tcW w:w="13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Granted</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w:t>
            </w:r>
            <w:r>
              <w:rPr>
                <w:color w:val="000000"/>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Vested</w:t>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26</w:t>
            </w:r>
            <w:r>
              <w:rPr>
                <w:color w:val="000000"/>
              </w:rPr>
              <w:t> </w:t>
            </w:r>
          </w:p>
        </w:tc>
        <w:tc>
          <w:tcPr>
            <w:tcW w:w="1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Forfeited or canceled</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w:t>
            </w:r>
            <w:r>
              <w:rPr>
                <w:color w:val="000000"/>
              </w:rPr>
              <w:t> </w:t>
            </w:r>
          </w:p>
        </w:tc>
        <w:tc>
          <w:tcPr>
            <w:tcW w:w="1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Outstanding, end of year</w:t>
            </w:r>
          </w:p>
        </w:tc>
        <w:tc>
          <w:tcPr>
            <w:tcW w:w="3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6.2</w:t>
            </w:r>
            <w:r>
              <w:rPr>
                <w:color w:val="000000"/>
              </w:rPr>
              <w:t>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w:t>
            </w:r>
            <w:r>
              <w:rPr>
                <w:color w:val="000000"/>
              </w:rPr>
              <w:t> </w:t>
            </w:r>
          </w:p>
        </w:tc>
        <w:tc>
          <w:tcPr>
            <w:tcW w:w="13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aggregate fair value of restricted stock units vested during 2023, 2022 and 2021 was $33, $62 and $50. As of February 3, 2024, the total unrecognized stock-based compensation expense related to nonvested restricted stock units was $69, which is expected to be recognized over a weighted-average period of 24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06705"/>
                <wp:effectExtent l="0" t="0" r="0" b="0"/>
                <wp:wrapNone/>
                <wp:docPr id="68" name="Frame6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66</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Stock Options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Compensation, People and Culture Committee of our Board of Directors approves grants of nonqualified stock options to employees. The number of awards granted to an individual are determined based upon award amounts and the fair value of stock options at the time of grant. Our options primarily vest equally over a four-year period or at the end of two years, and expire ten years after the date of grant. We used the following assumptions to estimate the fair value for stock options at each grant date:</w:t>
      </w:r>
    </w:p>
    <w:tbl>
      <w:tblPr>
        <w:tblW w:w="6598" w:type="dxa"/>
        <w:jc w:val="left"/>
        <w:tblInd w:w="0" w:type="dxa"/>
        <w:tblLayout w:type="fixed"/>
        <w:tblCellMar>
          <w:top w:w="28" w:type="dxa"/>
          <w:left w:w="28" w:type="dxa"/>
          <w:bottom w:w="28" w:type="dxa"/>
          <w:right w:w="28" w:type="dxa"/>
        </w:tblCellMar>
      </w:tblPr>
      <w:tblGrid>
        <w:gridCol w:w="191"/>
        <w:gridCol w:w="168"/>
        <w:gridCol w:w="168"/>
        <w:gridCol w:w="924"/>
        <w:gridCol w:w="924"/>
        <w:gridCol w:w="941"/>
        <w:gridCol w:w="255"/>
        <w:gridCol w:w="255"/>
        <w:gridCol w:w="569"/>
        <w:gridCol w:w="255"/>
        <w:gridCol w:w="255"/>
        <w:gridCol w:w="569"/>
        <w:gridCol w:w="240"/>
        <w:gridCol w:w="240"/>
        <w:gridCol w:w="644"/>
      </w:tblGrid>
      <w:tr>
        <w:trPr/>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rPr/>
        <w:tc>
          <w:tcPr>
            <w:tcW w:w="331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2022</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color w:val="000000"/>
                <w:sz w:val="18"/>
              </w:rPr>
              <w:t>2021</w:t>
            </w:r>
            <w:r>
              <w:rPr>
                <w:rFonts w:ascii="Arial Narrow;sans-serif" w:hAnsi="Arial Narrow;sans-serif"/>
                <w:b w:val="false"/>
                <w:color w:val="000000"/>
                <w:sz w:val="12"/>
              </w:rPr>
              <w:t>1</w:t>
            </w:r>
          </w:p>
        </w:tc>
      </w:tr>
      <w:tr>
        <w:trPr/>
        <w:tc>
          <w:tcPr>
            <w:tcW w:w="3316"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color w:val="000000"/>
                <w:sz w:val="18"/>
              </w:rPr>
            </w:pPr>
            <w:r>
              <w:rPr>
                <w:rFonts w:ascii="Arial Narrow;sans-serif" w:hAnsi="Arial Narrow;sans-serif"/>
                <w:b/>
                <w:color w:val="000000"/>
                <w:sz w:val="18"/>
              </w:rPr>
              <w:t>Assumptions</w:t>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 Narrow;sans-serif" w:hAnsi="Arial Narrow;sans-serif"/>
                <w:b w:val="false"/>
                <w:color w:val="000000"/>
                <w:sz w:val="18"/>
              </w:rPr>
              <w:t>Risk-free interest rate</w:t>
            </w:r>
            <w:r>
              <w:rPr>
                <w:rFonts w:ascii="Arial Narrow;sans-serif" w:hAnsi="Arial Narrow;sans-serif"/>
                <w:b w:val="false"/>
                <w:color w:val="000000"/>
                <w:sz w:val="12"/>
              </w:rPr>
              <w:t>2</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3.98% – 5.05%</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1.18% – 1.95%</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18"/>
              </w:rPr>
            </w:pPr>
            <w:r>
              <w:rPr>
                <w:rFonts w:ascii="Arial Narrow;sans-serif" w:hAnsi="Arial Narrow;sans-serif"/>
                <w:b w:val="false"/>
                <w:color w:val="000000"/>
                <w:sz w:val="18"/>
              </w:rPr>
              <w:t>0.11% – 1.51%</w:t>
            </w:r>
          </w:p>
        </w:tc>
      </w:tr>
      <w:tr>
        <w:trPr/>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 Narrow;sans-serif" w:hAnsi="Arial Narrow;sans-serif"/>
                <w:b w:val="false"/>
                <w:color w:val="000000"/>
                <w:sz w:val="18"/>
              </w:rPr>
              <w:t>Weighted-average volatility</w:t>
            </w:r>
            <w:r>
              <w:rPr>
                <w:rFonts w:ascii="Arial Narrow;sans-serif" w:hAnsi="Arial Narrow;sans-serif"/>
                <w:b w:val="false"/>
                <w:color w:val="000000"/>
                <w:sz w:val="12"/>
              </w:rPr>
              <w:t>3</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52.3</w:t>
            </w: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52.2 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 Narrow;sans-serif" w:hAnsi="Arial Narrow;sans-serif"/>
                <w:b w:val="false"/>
                <w:color w:val="000000"/>
                <w:sz w:val="18"/>
              </w:rPr>
              <w:t>Weighted-average expected dividend yield</w:t>
            </w:r>
            <w:r>
              <w:rPr>
                <w:rFonts w:ascii="Arial Narrow;sans-serif" w:hAnsi="Arial Narrow;sans-serif"/>
                <w:b w:val="false"/>
                <w:color w:val="000000"/>
                <w:sz w:val="12"/>
              </w:rPr>
              <w:t>4</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3.8</w:t>
            </w: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 Narrow;sans-serif" w:hAnsi="Arial Narrow;sans-serif"/>
                <w:b w:val="false"/>
                <w:color w:val="000000"/>
                <w:sz w:val="18"/>
              </w:rPr>
              <w:t>Expected life in years</w:t>
            </w:r>
            <w:r>
              <w:rPr>
                <w:rFonts w:ascii="Arial Narrow;sans-serif" w:hAnsi="Arial Narrow;sans-serif"/>
                <w:b w:val="false"/>
                <w:color w:val="000000"/>
                <w:sz w:val="12"/>
              </w:rPr>
              <w:t>5</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8.2</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w:t>
            </w:r>
          </w:p>
        </w:tc>
      </w:tr>
      <w:tr>
        <w:trPr/>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6"/>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color w:val="000000"/>
                <w:sz w:val="18"/>
              </w:rPr>
            </w:pPr>
            <w:r>
              <w:rPr>
                <w:rFonts w:ascii="Arial Narrow;sans-serif" w:hAnsi="Arial Narrow;sans-serif"/>
                <w:b/>
                <w:color w:val="000000"/>
                <w:sz w:val="18"/>
              </w:rPr>
              <w:t>Grant Date Information</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18"/>
              </w:rPr>
            </w:pPr>
            <w:r>
              <w:rPr>
                <w:rFonts w:ascii="Arial Narrow;sans-serif" w:hAnsi="Arial Narrow;sans-serif"/>
                <w:b w:val="false"/>
                <w:color w:val="000000"/>
                <w:sz w:val="18"/>
              </w:rPr>
              <w:t>Date of grant</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March 6, 2023</w:t>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March 3, 2022</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March 4, 2021</w:t>
            </w:r>
          </w:p>
        </w:tc>
      </w:tr>
      <w:tr>
        <w:trPr/>
        <w:tc>
          <w:tcPr>
            <w:tcW w:w="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18"/>
              </w:rPr>
            </w:pPr>
            <w:r>
              <w:rPr>
                <w:rFonts w:ascii="Arial Narrow;sans-serif" w:hAnsi="Arial Narrow;sans-serif"/>
                <w:b w:val="false"/>
                <w:color w:val="000000"/>
                <w:sz w:val="18"/>
              </w:rPr>
              <w:t>Weighted-average fair value per option</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w:t>
            </w: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ind w:left="0" w:right="0" w:hanging="180"/>
              <w:jc w:val="left"/>
              <w:rPr>
                <w:rFonts w:ascii="Arial Narrow;sans-serif" w:hAnsi="Arial Narrow;sans-serif"/>
                <w:b w:val="false"/>
                <w:color w:val="000000"/>
                <w:sz w:val="18"/>
              </w:rPr>
            </w:pPr>
            <w:r>
              <w:rPr>
                <w:rFonts w:ascii="Arial Narrow;sans-serif" w:hAnsi="Arial Narrow;sans-serif"/>
                <w:b w:val="false"/>
                <w:color w:val="000000"/>
                <w:sz w:val="18"/>
              </w:rPr>
              <w:t>Exercise price per option</w:t>
            </w:r>
          </w:p>
        </w:tc>
        <w:tc>
          <w:tcPr>
            <w:tcW w:w="5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w:t>
            </w:r>
            <w:r>
              <w:rPr>
                <w:color w:val="000000"/>
              </w:rPr>
              <w:t> </w:t>
            </w:r>
          </w:p>
        </w:tc>
        <w:tc>
          <w:tcPr>
            <w:tcW w:w="5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5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6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The options granted on March 4, 2021 include market performance-based stock options with a contractual term of ten years that were awarded to certain members of senior management as well as time-based options. The price-hurdle options contain a market condition that requires the closing price of our stock to meet or exceed certain price thresholds for 20 consecutive trading days in order for shares to vest.</w:t>
      </w:r>
    </w:p>
    <w:p>
      <w:pPr>
        <w:pStyle w:val="TextBody"/>
        <w:bidi w:val="0"/>
        <w:spacing w:lineRule="auto" w:line="288" w:before="0" w:after="0"/>
        <w:ind w:left="0" w:right="0" w:hanging="90"/>
        <w:jc w:val="left"/>
        <w:rPr/>
      </w:pPr>
      <w:r>
        <w:rPr>
          <w:rFonts w:ascii="Arial Narrow;sans-serif" w:hAnsi="Arial Narrow;sans-serif"/>
          <w:b w:val="false"/>
          <w:color w:val="000000"/>
          <w:sz w:val="10"/>
        </w:rPr>
        <w:t>2</w:t>
      </w:r>
      <w:r>
        <w:rPr>
          <w:color w:val="000000"/>
        </w:rPr>
        <w:t xml:space="preserve"> </w:t>
      </w:r>
      <w:r>
        <w:rPr>
          <w:rFonts w:ascii="Arial Narrow;sans-serif" w:hAnsi="Arial Narrow;sans-serif"/>
          <w:b w:val="false"/>
          <w:color w:val="000000"/>
          <w:sz w:val="16"/>
        </w:rPr>
        <w:t>Represents the yield on U.S. Treasury securities that mature over the 10-year life of the stock options.</w:t>
      </w:r>
    </w:p>
    <w:p>
      <w:pPr>
        <w:pStyle w:val="TextBody"/>
        <w:bidi w:val="0"/>
        <w:spacing w:lineRule="auto" w:line="288" w:before="0" w:after="0"/>
        <w:ind w:left="0" w:right="0" w:hanging="90"/>
        <w:jc w:val="left"/>
        <w:rPr/>
      </w:pPr>
      <w:r>
        <w:rPr>
          <w:rFonts w:ascii="Arial Narrow;sans-serif" w:hAnsi="Arial Narrow;sans-serif"/>
          <w:b w:val="false"/>
          <w:color w:val="000000"/>
          <w:sz w:val="10"/>
        </w:rPr>
        <w:t>3</w:t>
      </w:r>
      <w:r>
        <w:rPr>
          <w:color w:val="000000"/>
        </w:rPr>
        <w:t xml:space="preserve"> </w:t>
      </w:r>
      <w:r>
        <w:rPr>
          <w:rFonts w:ascii="Arial Narrow;sans-serif" w:hAnsi="Arial Narrow;sans-serif"/>
          <w:b w:val="false"/>
          <w:color w:val="000000"/>
          <w:sz w:val="16"/>
        </w:rPr>
        <w:t>Based on a combination of the historical volatility of our common stock and the implied volatility of exchange-traded options for our common stock.</w:t>
      </w:r>
    </w:p>
    <w:p>
      <w:pPr>
        <w:pStyle w:val="TextBody"/>
        <w:bidi w:val="0"/>
        <w:spacing w:lineRule="auto" w:line="288" w:before="0" w:after="0"/>
        <w:ind w:left="0" w:right="0" w:hanging="90"/>
        <w:jc w:val="left"/>
        <w:rPr/>
      </w:pPr>
      <w:r>
        <w:rPr>
          <w:rFonts w:ascii="Arial Narrow;sans-serif" w:hAnsi="Arial Narrow;sans-serif"/>
          <w:b w:val="false"/>
          <w:color w:val="000000"/>
          <w:sz w:val="10"/>
        </w:rPr>
        <w:t>4</w:t>
      </w:r>
      <w:r>
        <w:rPr>
          <w:color w:val="000000"/>
        </w:rPr>
        <w:t xml:space="preserve"> </w:t>
      </w:r>
      <w:r>
        <w:rPr>
          <w:rFonts w:ascii="Arial Narrow;sans-serif" w:hAnsi="Arial Narrow;sans-serif"/>
          <w:b w:val="false"/>
          <w:color w:val="000000"/>
          <w:sz w:val="16"/>
        </w:rPr>
        <w:t>Our forecasted dividend yield for the next 10 years.</w:t>
      </w:r>
    </w:p>
    <w:p>
      <w:pPr>
        <w:pStyle w:val="TextBody"/>
        <w:bidi w:val="0"/>
        <w:spacing w:lineRule="auto" w:line="288" w:before="0" w:after="0"/>
        <w:ind w:left="0" w:right="0" w:hanging="90"/>
        <w:jc w:val="left"/>
        <w:rPr/>
      </w:pPr>
      <w:r>
        <w:rPr>
          <w:rFonts w:ascii="Arial Narrow;sans-serif" w:hAnsi="Arial Narrow;sans-serif"/>
          <w:b w:val="false"/>
          <w:color w:val="000000"/>
          <w:sz w:val="10"/>
        </w:rPr>
        <w:t>5</w:t>
      </w:r>
      <w:r>
        <w:rPr>
          <w:color w:val="000000"/>
        </w:rPr>
        <w:t xml:space="preserve"> </w:t>
      </w:r>
      <w:r>
        <w:rPr>
          <w:rFonts w:ascii="Arial Narrow;sans-serif" w:hAnsi="Arial Narrow;sans-serif"/>
          <w:b w:val="false"/>
          <w:color w:val="000000"/>
          <w:sz w:val="16"/>
        </w:rPr>
        <w:t>Derived from the output of the binomial lattice model and represents the estimated period of time until option exercise. The expected term of options granted is based on our historical exercise behavior, taking into consideration the contractual term of the option and our employees’ expected exercise and post-vesting employment termination behavior.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summary of stock option activity for 2023 is presented below:</w:t>
      </w:r>
    </w:p>
    <w:tbl>
      <w:tblPr>
        <w:tblW w:w="6829" w:type="dxa"/>
        <w:jc w:val="left"/>
        <w:tblInd w:w="0" w:type="dxa"/>
        <w:tblLayout w:type="fixed"/>
        <w:tblCellMar>
          <w:top w:w="28" w:type="dxa"/>
          <w:left w:w="28" w:type="dxa"/>
          <w:bottom w:w="28" w:type="dxa"/>
          <w:right w:w="28" w:type="dxa"/>
        </w:tblCellMar>
      </w:tblPr>
      <w:tblGrid>
        <w:gridCol w:w="1072"/>
        <w:gridCol w:w="941"/>
        <w:gridCol w:w="957"/>
        <w:gridCol w:w="195"/>
        <w:gridCol w:w="195"/>
        <w:gridCol w:w="196"/>
        <w:gridCol w:w="350"/>
        <w:gridCol w:w="350"/>
        <w:gridCol w:w="351"/>
        <w:gridCol w:w="440"/>
        <w:gridCol w:w="440"/>
        <w:gridCol w:w="441"/>
        <w:gridCol w:w="264"/>
        <w:gridCol w:w="264"/>
        <w:gridCol w:w="373"/>
      </w:tblGrid>
      <w:tr>
        <w:trPr/>
        <w:tc>
          <w:tcPr>
            <w:tcW w:w="107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385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Shares</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Weighted-</w:t>
            </w:r>
          </w:p>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average</w:t>
            </w:r>
          </w:p>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exercise price</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Weighted-average</w:t>
            </w:r>
          </w:p>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remaining </w:t>
            </w:r>
          </w:p>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contractual</w:t>
            </w:r>
          </w:p>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life (years)</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Aggregate </w:t>
            </w:r>
          </w:p>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intrinsic </w:t>
            </w:r>
          </w:p>
          <w:p>
            <w:pPr>
              <w:pStyle w:val="TableContents"/>
              <w:bidi w:val="0"/>
              <w:spacing w:lineRule="auto" w:line="240" w:before="0" w:after="0"/>
              <w:jc w:val="right"/>
              <w:rPr/>
            </w:pPr>
            <w:r>
              <w:rPr>
                <w:rFonts w:ascii="Arial Narrow;sans-serif" w:hAnsi="Arial Narrow;sans-serif"/>
                <w:b/>
                <w:color w:val="000000"/>
                <w:sz w:val="18"/>
              </w:rPr>
              <w:t>value</w:t>
            </w:r>
            <w:r>
              <w:rPr>
                <w:rFonts w:ascii="Arial Narrow;sans-serif" w:hAnsi="Arial Narrow;sans-serif"/>
                <w:b w:val="false"/>
                <w:color w:val="000000"/>
                <w:sz w:val="12"/>
              </w:rPr>
              <w:t>1</w:t>
            </w:r>
            <w:r>
              <w:rPr>
                <w:color w:val="000000"/>
              </w:rPr>
              <w:t> </w:t>
            </w:r>
          </w:p>
        </w:tc>
      </w:tr>
      <w:tr>
        <w:trPr/>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Outstanding, beginning of year</w:t>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$38</w:t>
            </w: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Granted</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w:t>
            </w: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Exercised</w:t>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(0.3)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w:t>
            </w: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Forfeited or canceled</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44</w:t>
            </w: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Outstanding, end of year</w:t>
            </w:r>
          </w:p>
        </w:tc>
        <w:tc>
          <w:tcPr>
            <w:tcW w:w="3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$35</w:t>
            </w: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5</w:t>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w:t>
            </w:r>
            <w:r>
              <w:rPr>
                <w:color w:val="000000"/>
              </w:rPr>
              <w:t>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Exercisable, end of year</w:t>
            </w:r>
          </w:p>
        </w:tc>
        <w:tc>
          <w:tcPr>
            <w:tcW w:w="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4.8</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$40</w:t>
            </w:r>
            <w:r>
              <w:rPr>
                <w:color w:val="000000"/>
              </w:rPr>
              <w:t> </w:t>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4</w:t>
            </w:r>
          </w:p>
        </w:tc>
        <w:tc>
          <w:tcPr>
            <w:tcW w:w="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w:t>
            </w:r>
            <w:r>
              <w:rPr>
                <w:color w:val="000000"/>
              </w:rPr>
              <w:t>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Aggregate intrinsic value of options exercised</w:t>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stock options vested</w:t>
            </w:r>
          </w:p>
        </w:tc>
        <w:tc>
          <w:tcPr>
            <w:tcW w:w="5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w:t>
            </w:r>
            <w:r>
              <w:rPr>
                <w:color w:val="000000"/>
              </w:rPr>
              <w:t> </w:t>
            </w:r>
          </w:p>
        </w:tc>
        <w:tc>
          <w:tcPr>
            <w:tcW w:w="3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4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37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Arial Narrow;sans-serif" w:hAnsi="Arial Narrow;sans-serif"/>
          <w:b w:val="false"/>
          <w:color w:val="000000"/>
          <w:sz w:val="10"/>
        </w:rPr>
        <w:t xml:space="preserve">1 </w:t>
      </w:r>
      <w:r>
        <w:rPr>
          <w:rFonts w:ascii="Arial Narrow;sans-serif" w:hAnsi="Arial Narrow;sans-serif"/>
          <w:b w:val="false"/>
          <w:color w:val="000000"/>
          <w:sz w:val="16"/>
        </w:rPr>
        <w:t>The aggregate intrinsic value represents the amount realized if all in-the-money options were exercised on the final business day before February 3, 2024</w:t>
      </w:r>
      <w:r>
        <w:rPr>
          <w:rFonts w:ascii="Arial Narrow;sans-serif" w:hAnsi="Arial Narrow;sans-serif"/>
          <w:b w:val="false"/>
          <w:color w:val="000000"/>
          <w:sz w:val="20"/>
        </w:rPr>
        <w: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February 3, 2024, the total unrecognized stock-based compensation expense related to nonvested stock options was $6, which is expected to be recognized over a weighted-average period of 10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0520"/>
                <wp:effectExtent l="0" t="0" r="0" b="0"/>
                <wp:wrapNone/>
                <wp:docPr id="69" name="Frame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67</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 xml:space="preserve">NOTE 11: SHAREHOLDERS’ EQUITY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certain limitations with respect to the payment of dividends and share repurchases under our Revolver agreement (see Note 6: Debt and Credit Facilities).</w:t>
      </w:r>
    </w:p>
    <w:p>
      <w:pPr>
        <w:pStyle w:val="TextBody"/>
        <w:bidi w:val="0"/>
        <w:spacing w:lineRule="auto" w:line="288" w:before="180" w:after="283"/>
        <w:jc w:val="left"/>
        <w:rPr/>
      </w:pPr>
      <w:r>
        <w:rPr>
          <w:rFonts w:ascii="Arial Narrow;sans-serif" w:hAnsi="Arial Narrow;sans-serif"/>
          <w:b w:val="false"/>
          <w:color w:val="000000"/>
          <w:sz w:val="20"/>
        </w:rPr>
        <w:t>Changes in the number of issued and outstanding shares of our common stock in</w:t>
      </w:r>
      <w:r>
        <w:rPr>
          <w:color w:val="EE2724"/>
        </w:rPr>
        <w:t xml:space="preserve"> </w:t>
      </w:r>
      <w:r>
        <w:rPr>
          <w:rFonts w:ascii="Arial Narrow;sans-serif" w:hAnsi="Arial Narrow;sans-serif"/>
          <w:b w:val="false"/>
          <w:color w:val="000000"/>
          <w:sz w:val="20"/>
        </w:rPr>
        <w:t xml:space="preserve">2023, 2022 and 2021 are the result of share repurchases and compensation plan issuances (see Note 10: Stock-based Compensation).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Share Repurchases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May 2022, our Board of Directors authorized a new program to repurchase up to $500 of our outstanding common stock, with no expiration date, which replaced the August 2018 program. The following is a summary of the activity related to our share repurchase programs:</w:t>
      </w:r>
    </w:p>
    <w:tbl>
      <w:tblPr>
        <w:tblW w:w="5487" w:type="dxa"/>
        <w:jc w:val="left"/>
        <w:tblInd w:w="0" w:type="dxa"/>
        <w:tblLayout w:type="fixed"/>
        <w:tblCellMar>
          <w:top w:w="28" w:type="dxa"/>
          <w:left w:w="28" w:type="dxa"/>
          <w:bottom w:w="28" w:type="dxa"/>
          <w:right w:w="28" w:type="dxa"/>
        </w:tblCellMar>
      </w:tblPr>
      <w:tblGrid>
        <w:gridCol w:w="1105"/>
        <w:gridCol w:w="974"/>
        <w:gridCol w:w="980"/>
        <w:gridCol w:w="210"/>
        <w:gridCol w:w="211"/>
        <w:gridCol w:w="196"/>
        <w:gridCol w:w="350"/>
        <w:gridCol w:w="350"/>
        <w:gridCol w:w="351"/>
        <w:gridCol w:w="232"/>
        <w:gridCol w:w="234"/>
        <w:gridCol w:w="294"/>
      </w:tblGrid>
      <w:tr>
        <w:trPr/>
        <w:tc>
          <w:tcPr>
            <w:tcW w:w="110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Shares</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Average price</w:t>
            </w:r>
          </w:p>
          <w:p>
            <w:pPr>
              <w:pStyle w:val="TableContents"/>
              <w:bidi w:val="0"/>
              <w:spacing w:lineRule="auto" w:line="240" w:before="0" w:after="0"/>
              <w:jc w:val="right"/>
              <w:rPr>
                <w:rFonts w:ascii="Arial Narrow;sans-serif" w:hAnsi="Arial Narrow;sans-serif"/>
                <w:b/>
                <w:color w:val="000000"/>
                <w:sz w:val="18"/>
              </w:rPr>
            </w:pPr>
            <w:r>
              <w:rPr>
                <w:rFonts w:ascii="Arial Narrow;sans-serif" w:hAnsi="Arial Narrow;sans-serif"/>
                <w:b/>
                <w:color w:val="000000"/>
                <w:sz w:val="18"/>
              </w:rPr>
              <w:t>per share</w:t>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Amount</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Capacity at January 30, 2021</w:t>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repurchased</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Capacity at January 29, 2022</w:t>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August 2018 program termination</w:t>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May 2022 program authorization (no expiration)</w:t>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repurchased</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Capacity at January 28, 2023</w:t>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Shares repurchased</w:t>
            </w:r>
            <w:r>
              <w:rPr>
                <w:rFonts w:ascii="Arial Narrow;sans-serif" w:hAnsi="Arial Narrow;sans-serif"/>
                <w:b w:val="false"/>
                <w:color w:val="000000"/>
                <w:sz w:val="12"/>
              </w:rPr>
              <w:t>1</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18"/>
              </w:rPr>
              <w:t>Capacity at February 3, 2024</w:t>
            </w:r>
            <w:r>
              <w:rPr>
                <w:rFonts w:ascii="Arial Narrow;sans-serif" w:hAnsi="Arial Narrow;sans-serif"/>
                <w:b w:val="false"/>
                <w:color w:val="000000"/>
                <w:sz w:val="12"/>
              </w:rPr>
              <w:t>1</w:t>
            </w:r>
          </w:p>
        </w:tc>
        <w:tc>
          <w:tcPr>
            <w:tcW w:w="61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$438</w:t>
            </w:r>
            <w:r>
              <w:rPr>
                <w:color w:val="000000"/>
              </w:rPr>
              <w:t> </w:t>
            </w:r>
          </w:p>
        </w:tc>
        <w:tc>
          <w:tcPr>
            <w:tcW w:w="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Subtotal of ending share repurchase capacity may not foot due to rounding.</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Dividends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paid dividends of $0.76 per share in 2023 and in 2022 and none in 2021. In February 2024, subsequent to year end, we declared a quarterly dividend of $0.19 per share, which will be paid on March 27, 2024 to shareholders of record as of March 12, 2024.</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Rights Plan</w:t>
      </w:r>
    </w:p>
    <w:p>
      <w:pPr>
        <w:pStyle w:val="TextBody"/>
        <w:bidi w:val="0"/>
        <w:spacing w:lineRule="auto" w:line="288" w:before="0" w:after="0"/>
        <w:jc w:val="left"/>
        <w:rPr/>
      </w:pPr>
      <w:r>
        <w:rPr>
          <w:rFonts w:ascii="Arial Narrow;sans-serif" w:hAnsi="Arial Narrow;sans-serif"/>
          <w:b w:val="false"/>
          <w:color w:val="000000"/>
          <w:sz w:val="20"/>
        </w:rPr>
        <w:t xml:space="preserve">In September 2022, our Board of Directors approved a </w:t>
      </w:r>
      <w:hyperlink r:id="rId6">
        <w:r>
          <w:rPr>
            <w:rStyle w:val="InternetLink"/>
            <w:rFonts w:ascii="Arial Narrow;sans-serif" w:hAnsi="Arial Narrow;sans-serif"/>
            <w:b w:val="false"/>
            <w:color w:val="0000FF"/>
            <w:sz w:val="20"/>
            <w:u w:val="single"/>
          </w:rPr>
          <w:t>shareholder rights agreement</w:t>
        </w:r>
      </w:hyperlink>
      <w:r>
        <w:rPr>
          <w:color w:val="000000"/>
        </w:rPr>
        <w:t xml:space="preserve"> </w:t>
      </w:r>
      <w:r>
        <w:rPr>
          <w:rFonts w:ascii="Arial Narrow;sans-serif" w:hAnsi="Arial Narrow;sans-serif"/>
          <w:b w:val="false"/>
          <w:color w:val="000000"/>
          <w:sz w:val="20"/>
        </w:rPr>
        <w:t>and declared a dividend of one right for each outstanding share of Nordstrom common stock to shareholders of record on September 30, 2022. In June 2023, shareholders approved an advisory vote on the extension of our Rights Plan at our 2023 Annual Meeting, and in August 2023, the Board of Directors extended the expiration date to September 19, 2025, unless redeemed, exchanged or terminated earlier by our Board. Each right entitles holders to purchase one newly issued share of Nordstrom common stock at an exercise price of $94 per right, subject to adjustment. Initially, the rights are not exercisable and trade with our shares of 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general, the rights become exercisable following a public announcement that a person acquires 10% or more of the outstanding shares of Nordstrom common stock. If the rights are exercised, each holder (except the acquiring person) will have the right to receive common stock equal to two times the exercise price of the right. The Company may redeem the rights for $0.001 per right anytime prior to the rights becoming exercisable. The agreement also provides for exceptions and additional terms for other certain situations and circumstances. There is currently no impact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NOTE 12: INCOME TAXES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U.S. and foreign components of earnings before income taxes were as follows:</w:t>
      </w:r>
    </w:p>
    <w:tbl>
      <w:tblPr>
        <w:tblW w:w="3437" w:type="dxa"/>
        <w:jc w:val="left"/>
        <w:tblInd w:w="0" w:type="dxa"/>
        <w:tblLayout w:type="fixed"/>
        <w:tblCellMar>
          <w:top w:w="28" w:type="dxa"/>
          <w:left w:w="28" w:type="dxa"/>
          <w:bottom w:w="28" w:type="dxa"/>
          <w:right w:w="28" w:type="dxa"/>
        </w:tblCellMar>
      </w:tblPr>
      <w:tblGrid>
        <w:gridCol w:w="786"/>
        <w:gridCol w:w="689"/>
        <w:gridCol w:w="699"/>
        <w:gridCol w:w="135"/>
        <w:gridCol w:w="135"/>
        <w:gridCol w:w="136"/>
        <w:gridCol w:w="135"/>
        <w:gridCol w:w="135"/>
        <w:gridCol w:w="136"/>
        <w:gridCol w:w="132"/>
        <w:gridCol w:w="132"/>
        <w:gridCol w:w="187"/>
      </w:tblGrid>
      <w:tr>
        <w:trPr/>
        <w:tc>
          <w:tcPr>
            <w:tcW w:w="7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w:t>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$143</w:t>
            </w:r>
          </w:p>
        </w:tc>
        <w:tc>
          <w:tcPr>
            <w:tcW w:w="4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w:t>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4</w:t>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r>
      <w:tr>
        <w:trPr/>
        <w:tc>
          <w:tcPr>
            <w:tcW w:w="21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Earnings before income taxes</w:t>
            </w:r>
          </w:p>
        </w:tc>
        <w:tc>
          <w:tcPr>
            <w:tcW w:w="40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$147</w:t>
            </w:r>
          </w:p>
        </w:tc>
        <w:tc>
          <w:tcPr>
            <w:tcW w:w="40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w:t>
            </w:r>
          </w:p>
        </w:tc>
        <w:tc>
          <w:tcPr>
            <w:tcW w:w="4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w:t>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06705"/>
                <wp:effectExtent l="0" t="0" r="0" b="0"/>
                <wp:wrapNone/>
                <wp:docPr id="70" name="Frame6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68</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consists of the following:</w:t>
      </w:r>
    </w:p>
    <w:tbl>
      <w:tblPr>
        <w:tblW w:w="3990" w:type="dxa"/>
        <w:jc w:val="left"/>
        <w:tblInd w:w="0" w:type="dxa"/>
        <w:tblLayout w:type="fixed"/>
        <w:tblCellMar>
          <w:top w:w="28" w:type="dxa"/>
          <w:left w:w="28" w:type="dxa"/>
          <w:bottom w:w="28" w:type="dxa"/>
          <w:right w:w="28" w:type="dxa"/>
        </w:tblCellMar>
      </w:tblPr>
      <w:tblGrid>
        <w:gridCol w:w="802"/>
        <w:gridCol w:w="704"/>
        <w:gridCol w:w="714"/>
        <w:gridCol w:w="233"/>
        <w:gridCol w:w="233"/>
        <w:gridCol w:w="109"/>
        <w:gridCol w:w="233"/>
        <w:gridCol w:w="233"/>
        <w:gridCol w:w="109"/>
        <w:gridCol w:w="233"/>
        <w:gridCol w:w="233"/>
        <w:gridCol w:w="154"/>
      </w:tblGrid>
      <w:tr>
        <w:trPr/>
        <w:tc>
          <w:tcPr>
            <w:tcW w:w="8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income taxes:</w:t>
            </w:r>
          </w:p>
        </w:tc>
        <w:tc>
          <w:tcPr>
            <w:tcW w:w="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Federal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local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income tax expense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Federal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local</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income tax benefit</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income tax expense</w:t>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reconciliation of the statutory federal income tax rate to the effective tax rate on earnings before income taxes is as follows:</w:t>
      </w:r>
    </w:p>
    <w:tbl>
      <w:tblPr>
        <w:tblW w:w="6066" w:type="dxa"/>
        <w:jc w:val="left"/>
        <w:tblInd w:w="0" w:type="dxa"/>
        <w:tblLayout w:type="fixed"/>
        <w:tblCellMar>
          <w:top w:w="28" w:type="dxa"/>
          <w:left w:w="28" w:type="dxa"/>
          <w:bottom w:w="28" w:type="dxa"/>
          <w:right w:w="28" w:type="dxa"/>
        </w:tblCellMar>
      </w:tblPr>
      <w:tblGrid>
        <w:gridCol w:w="1356"/>
        <w:gridCol w:w="1190"/>
        <w:gridCol w:w="1204"/>
        <w:gridCol w:w="240"/>
        <w:gridCol w:w="241"/>
        <w:gridCol w:w="286"/>
        <w:gridCol w:w="233"/>
        <w:gridCol w:w="233"/>
        <w:gridCol w:w="286"/>
        <w:gridCol w:w="233"/>
        <w:gridCol w:w="233"/>
        <w:gridCol w:w="331"/>
      </w:tblGrid>
      <w:tr>
        <w:trPr/>
        <w:tc>
          <w:tcPr>
            <w:tcW w:w="135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2021</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Statutory rate</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CARES Act impact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 and local income taxes, net of federal income taxes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Federal credits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Non-deductible expenses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Stock-based compensation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Valuation allowance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on foreign operations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Excess tax over book loss on Canada wind-down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Resolution of prior period tax matters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net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7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Effective tax rate</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8.6</w:t>
            </w:r>
            <w:r>
              <w:rPr>
                <w:color w:val="000000"/>
              </w:rPr>
              <w:t>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27.2 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27.5 </w:t>
            </w:r>
          </w:p>
        </w:tc>
        <w:tc>
          <w:tcPr>
            <w:tcW w:w="3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components of deferred tax assets and liabilities are as follows:</w:t>
      </w:r>
    </w:p>
    <w:tbl>
      <w:tblPr>
        <w:tblW w:w="5908" w:type="dxa"/>
        <w:jc w:val="left"/>
        <w:tblInd w:w="0" w:type="dxa"/>
        <w:tblLayout w:type="fixed"/>
        <w:tblCellMar>
          <w:top w:w="28" w:type="dxa"/>
          <w:left w:w="28" w:type="dxa"/>
          <w:bottom w:w="28" w:type="dxa"/>
          <w:right w:w="28" w:type="dxa"/>
        </w:tblCellMar>
      </w:tblPr>
      <w:tblGrid>
        <w:gridCol w:w="1232"/>
        <w:gridCol w:w="1081"/>
        <w:gridCol w:w="1091"/>
        <w:gridCol w:w="409"/>
        <w:gridCol w:w="409"/>
        <w:gridCol w:w="411"/>
        <w:gridCol w:w="373"/>
        <w:gridCol w:w="373"/>
        <w:gridCol w:w="529"/>
      </w:tblGrid>
      <w:tr>
        <w:trPr/>
        <w:tc>
          <w:tcPr>
            <w:tcW w:w="123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28, 2023</w:t>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 liabilities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$425</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$463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Compensation and benefits accruals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104</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Sales return reserve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56</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expenses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31</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inventories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Gift cards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39</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 Nordy Club loyalty program</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operating losses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38</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36</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assets</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767</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824 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Valuation allowance</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assets, net of valuation allowance</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766</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796 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liabilities:</w:t>
            </w:r>
          </w:p>
        </w:tc>
        <w:tc>
          <w:tcPr>
            <w:tcW w:w="12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ROU assets</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(310)</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(331)</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Land, property and equipment</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exchange premium</w:t>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(11)</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deferred tax liabilities</w:t>
            </w:r>
          </w:p>
        </w:tc>
        <w:tc>
          <w:tcPr>
            <w:tcW w:w="8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(485)</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(573)</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deferred tax assets</w:t>
            </w:r>
          </w:p>
        </w:tc>
        <w:tc>
          <w:tcPr>
            <w:tcW w:w="8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$281</w:t>
            </w:r>
            <w:r>
              <w:rPr>
                <w:color w:val="000000"/>
              </w:rPr>
              <w:t> </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5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0520"/>
                <wp:effectExtent l="0" t="0" r="0" b="0"/>
                <wp:wrapNone/>
                <wp:docPr id="71" name="Frame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69</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sets forth information on approximate net operating loss carryforwards for income tax purposes:</w:t>
      </w:r>
    </w:p>
    <w:tbl>
      <w:tblPr>
        <w:tblW w:w="3090" w:type="dxa"/>
        <w:jc w:val="left"/>
        <w:tblInd w:w="0" w:type="dxa"/>
        <w:tblLayout w:type="fixed"/>
        <w:tblCellMar>
          <w:top w:w="28" w:type="dxa"/>
          <w:left w:w="28" w:type="dxa"/>
          <w:bottom w:w="28" w:type="dxa"/>
          <w:right w:w="28" w:type="dxa"/>
        </w:tblCellMar>
      </w:tblPr>
      <w:tblGrid>
        <w:gridCol w:w="211"/>
        <w:gridCol w:w="186"/>
        <w:gridCol w:w="189"/>
        <w:gridCol w:w="409"/>
        <w:gridCol w:w="409"/>
        <w:gridCol w:w="411"/>
        <w:gridCol w:w="373"/>
        <w:gridCol w:w="373"/>
        <w:gridCol w:w="529"/>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February 3, 2024</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January 28, 2023</w:t>
            </w:r>
          </w:p>
        </w:tc>
      </w:tr>
      <w:tr>
        <w:trPr/>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State</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$621</w:t>
            </w:r>
            <w:r>
              <w:rPr>
                <w:color w:val="000000"/>
              </w:rPr>
              <w:t>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$756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w:t>
            </w:r>
          </w:p>
        </w:tc>
        <w:tc>
          <w:tcPr>
            <w:tcW w:w="81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26 </w:t>
            </w:r>
          </w:p>
        </w:tc>
        <w:tc>
          <w:tcPr>
            <w:tcW w:w="5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net operating loss carryforwards are subject to certain statutory limitations of applicable state laws. If not utilized, a portion of our state net operating loss carryforwards will begin to expire in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February 3, 2024 and January 28, 2023, the valuation allowance for deferred tax assets was $1 and $28. As a result of the wind-down of our Canada operations in 2023, the valuation allowance for foreign deferred tax assets increased $9 and upon deconsolidation was written off to zero. The write-off of the deferred tax assets and corresponding valuation allowance for Canada was included in the Canada wind-down costs. In 2023, a valuation allowance of $1 was recorded for state net operating loss carryforwards that will not be realized in the foreseeable future. There was no change to the valuation allowance in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reconciliation of the beginning and ending amount of unrecognized tax benefits is as follows:</w:t>
      </w:r>
    </w:p>
    <w:tbl>
      <w:tblPr>
        <w:tblW w:w="4766" w:type="dxa"/>
        <w:jc w:val="left"/>
        <w:tblInd w:w="0" w:type="dxa"/>
        <w:tblLayout w:type="fixed"/>
        <w:tblCellMar>
          <w:top w:w="28" w:type="dxa"/>
          <w:left w:w="28" w:type="dxa"/>
          <w:bottom w:w="28" w:type="dxa"/>
          <w:right w:w="28" w:type="dxa"/>
        </w:tblCellMar>
      </w:tblPr>
      <w:tblGrid>
        <w:gridCol w:w="1130"/>
        <w:gridCol w:w="991"/>
        <w:gridCol w:w="1013"/>
        <w:gridCol w:w="195"/>
        <w:gridCol w:w="196"/>
        <w:gridCol w:w="136"/>
        <w:gridCol w:w="188"/>
        <w:gridCol w:w="188"/>
        <w:gridCol w:w="136"/>
        <w:gridCol w:w="203"/>
        <w:gridCol w:w="203"/>
        <w:gridCol w:w="187"/>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5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5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Unrecognized tax benefit at beginning of year</w:t>
            </w:r>
          </w:p>
        </w:tc>
        <w:tc>
          <w:tcPr>
            <w:tcW w:w="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$48</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increase to tax positions in prior periods</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decrease to tax positions in prior periods</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increase to tax positions in current period</w:t>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527"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Settlements</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Unrecognized tax benefit at end of year</w:t>
            </w:r>
          </w:p>
        </w:tc>
        <w:tc>
          <w:tcPr>
            <w:tcW w:w="3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w:t>
            </w:r>
            <w:r>
              <w:rPr>
                <w:color w:val="000000"/>
              </w:rPr>
              <w:t>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the end of 2023 and 2022, $22 and $45 of the ending gross unrecognized tax benefit related to items which, if recognized, would affect the effective tax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There was no material expense for interest and penalties in 2023, 2022 and 2021. At the end of 2023 and 2022, our liability for interest and penalties was $3 and $8.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file income tax returns in the U.S. With few exceptions, we are no longer subject to federal or state and local income tax examinations for years before 2014. As of February 3, 2024, we believe it is reasonably possible unrecognized tax benefits related to federal, state and local tax positions may decrease $6 by February 1, 2025, due to the completion of examinations and the expiration of various statutes of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NOTE 13: COMMITMENTS AND CONTINGENCIES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estimated total purchase obligations, which primarily consist of inventory purchase orders and capital expenditure commitments, were $2,049 as of February 3, 2024. These purchase obligations are primarily payable within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NOTE 14: EARNINGS PER SHARE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computation of EPS is as follows:</w:t>
      </w:r>
    </w:p>
    <w:tbl>
      <w:tblPr>
        <w:tblW w:w="5186" w:type="dxa"/>
        <w:jc w:val="left"/>
        <w:tblInd w:w="0" w:type="dxa"/>
        <w:tblLayout w:type="fixed"/>
        <w:tblCellMar>
          <w:top w:w="28" w:type="dxa"/>
          <w:left w:w="28" w:type="dxa"/>
          <w:bottom w:w="28" w:type="dxa"/>
          <w:right w:w="28" w:type="dxa"/>
        </w:tblCellMar>
      </w:tblPr>
      <w:tblGrid>
        <w:gridCol w:w="1346"/>
        <w:gridCol w:w="1057"/>
        <w:gridCol w:w="821"/>
        <w:gridCol w:w="255"/>
        <w:gridCol w:w="256"/>
        <w:gridCol w:w="136"/>
        <w:gridCol w:w="247"/>
        <w:gridCol w:w="249"/>
        <w:gridCol w:w="136"/>
        <w:gridCol w:w="247"/>
        <w:gridCol w:w="249"/>
        <w:gridCol w:w="187"/>
      </w:tblGrid>
      <w:tr>
        <w:trPr/>
        <w:tc>
          <w:tcPr>
            <w:tcW w:w="13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w:t>
            </w:r>
          </w:p>
        </w:tc>
        <w:tc>
          <w:tcPr>
            <w:tcW w:w="6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2023</w:t>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2022</w:t>
            </w:r>
          </w:p>
        </w:tc>
        <w:tc>
          <w:tcPr>
            <w:tcW w:w="6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2021</w:t>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earnings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$134</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weighted-average shares outstanding</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161.8</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Dilutive shares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Diluted weighted-average shares outstanding</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163.4</w:t>
            </w: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EPS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$0.83</w:t>
            </w: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EPS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$0.82</w:t>
            </w: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Anti-dilutive shares</w:t>
            </w:r>
          </w:p>
        </w:tc>
        <w:tc>
          <w:tcPr>
            <w:tcW w:w="51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8.4</w:t>
            </w:r>
            <w:r>
              <w:rPr>
                <w:color w:val="000000"/>
              </w:rPr>
              <w:t> </w:t>
            </w:r>
          </w:p>
        </w:tc>
        <w:tc>
          <w:tcPr>
            <w:tcW w:w="1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8.7 </w:t>
            </w:r>
          </w:p>
        </w:tc>
        <w:tc>
          <w:tcPr>
            <w:tcW w:w="1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8.1 </w:t>
            </w:r>
          </w:p>
        </w:tc>
        <w:tc>
          <w:tcPr>
            <w:tcW w:w="1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06705"/>
                <wp:effectExtent l="0" t="0" r="0" b="0"/>
                <wp:wrapNone/>
                <wp:docPr id="72" name="Frame7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70</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NOTE 15: SEGMENT REPORTING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We continually monitor and review our segment reporting structure in accordance with authoritative guidance to determine whether any changes have occurred that would impact our reportable segments. We have one reportable “Retail” segment to align with how management operates and evaluates the results of our operations. Our principal executive officer, who is our chief operating decision maker, reviews results on a total Company, Nordstrom and Nordstrom Rack basis and uses EBIT as a measure of profitability.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Retail reportable segment aggregates our two operating segments, Nordstrom and Nordstrom Rack. As of February 3, 2024, Nordstrom consists of Nordstrom.com, Nordstrom U.S. stores and Nordstrom Local. Nordstrom also included Canada operations prior to March 2, 2023, inclusive of Nordstrom.ca, Nordstrom Canadian stores and Nordstrom Rack Canadian stores, ASOS | Nordstrom prior to December 2023 and TrunkClub.com prior to October 2022. Nordstrom Rack consists of NordstromRack.com, Nordstrom Rack U.S. stores and Last Chance clearance stores.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Nordstrom and Nordstrom Rack operating segments both generate revenue by offering customers an extensive selection of high-quality brand-name and private-label merchandise for women, men, young adults and children, with a focus on apparel, shoes, beauty, accessories and home goods. We continue to focus on omni-channel initiatives by integrating the operations, merchandising and technology necessary to be consistent with our customers’ expectations of a seamless shopping experience regardless of channel or business. Nordstrom and Nordstrom Rack have historically had similar economic characteristics and financial performance over the long-term, which we expect to continue in the future. They also have other similar qualitative characteristics, including suppliers, method of distribution, type of customer and regulatory environment. Due to their similar qualitative and economic characteristics, we have aggregated our Nordstrom and Nordstrom Rack operating segments into a single reportable segment.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Amounts in the Corporate/Other column include unallocated corporate expenses and assets (including unallocated assets in corporate headquarters, consisting primarily of cash, land, buildings, equipment and deferred tax assets), inter-segment eliminations and other adjustments to segment results necessary for the presentation of consolidated financial results in accordance with GAAP.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Accounting Policy</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present our segment results in the way that management views our results internally and the accounting policies of the operating segments are the same as those described in Note 1: Nature of Operations and Summary of Significant Accounting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0520"/>
                <wp:effectExtent l="0" t="0" r="0" b="0"/>
                <wp:wrapNone/>
                <wp:docPr id="73" name="Frame7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71</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Notes to Consolidated Financial Statements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(Dollar and share amounts in millions except per share, per option and per unit amounts)</w:t>
      </w:r>
    </w:p>
    <w:p>
      <w:pPr>
        <w:pStyle w:val="TextBody"/>
        <w:bidi w:val="0"/>
        <w:spacing w:before="0" w:after="0"/>
        <w:jc w:val="center"/>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information for our reportable segment:</w:t>
      </w:r>
    </w:p>
    <w:tbl>
      <w:tblPr>
        <w:tblW w:w="6103" w:type="dxa"/>
        <w:jc w:val="left"/>
        <w:tblInd w:w="0" w:type="dxa"/>
        <w:tblLayout w:type="fixed"/>
        <w:tblCellMar>
          <w:top w:w="28" w:type="dxa"/>
          <w:left w:w="28" w:type="dxa"/>
          <w:bottom w:w="28" w:type="dxa"/>
          <w:right w:w="28" w:type="dxa"/>
        </w:tblCellMar>
      </w:tblPr>
      <w:tblGrid>
        <w:gridCol w:w="1143"/>
        <w:gridCol w:w="1005"/>
        <w:gridCol w:w="1017"/>
        <w:gridCol w:w="330"/>
        <w:gridCol w:w="331"/>
        <w:gridCol w:w="181"/>
        <w:gridCol w:w="409"/>
        <w:gridCol w:w="409"/>
        <w:gridCol w:w="411"/>
        <w:gridCol w:w="330"/>
        <w:gridCol w:w="331"/>
        <w:gridCol w:w="206"/>
      </w:tblGrid>
      <w:tr>
        <w:trPr/>
        <w:tc>
          <w:tcPr>
            <w:tcW w:w="11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Retail </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Corporate/Other</w:t>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Total</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 2023</w:t>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sales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$14,219</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$14,219</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 card revenues, net</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474</w:t>
            </w: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474</w:t>
            </w: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(loss) before interest and income taxes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855</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(604)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251</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(244)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(325)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(569)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Canada wind-down costs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(284)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(263)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(323)</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(586)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5,622</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2,822</w:t>
            </w:r>
            <w:r>
              <w:rPr>
                <w:color w:val="000000"/>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8,444</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 2022</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sales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$15,092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$15,092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 card revenues, net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(loss) before interest and income taxes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Assets</w:t>
            </w:r>
            <w:r>
              <w:rPr>
                <w:color w:val="EE2724"/>
              </w:rPr>
              <w:t xml:space="preserve"> </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5,968 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2,777 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8,745 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Fiscal year 2021</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sales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 card revenues, net</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Earnings (loss) before interest and income taxes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w:t>
            </w:r>
          </w:p>
        </w:tc>
        <w:tc>
          <w:tcPr>
            <w:tcW w:w="6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6,244 </w:t>
            </w:r>
          </w:p>
        </w:tc>
        <w:tc>
          <w:tcPr>
            <w:tcW w:w="1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2,625 </w:t>
            </w:r>
          </w:p>
        </w:tc>
        <w:tc>
          <w:tcPr>
            <w:tcW w:w="4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8,869 </w:t>
            </w:r>
          </w:p>
        </w:tc>
        <w:tc>
          <w:tcPr>
            <w:tcW w:w="2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information about disaggregated revenues, see Note 3: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06705"/>
                <wp:effectExtent l="0" t="0" r="0" b="0"/>
                <wp:wrapNone/>
                <wp:docPr id="74" name="Frame7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72</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9. Changes in and Disagreements With Accountants on Accounting and Financial Disclosure.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Item 9A. Controls and Procedures.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DISCLOSURE CONTROLS AND PROCEDURES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For the purposes of the Exchange Act, our Chief Executive Officer, Erik B. Nordstrom, serves as our principal executive officer and our Chief Financial Officer, Cathy R. Smith, is our principal financial officer and principal accounting officer.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Under the supervision and with the participation of management, including our principal executive officer and principal financial officer, we have performed an evaluation of the design and effectiveness of our disclosure controls and procedures as of the last day of the period covered by this report.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Based upon that evaluation, our principal executive officer and principal financial officer concluded that our disclosure controls and procedures were effective. Disclosure controls and procedures are defined by Rules 13a-15(e) and 15d-15(e) under the Exchange Act as controls and other procedures that are designed to ensure that information required to be disclosed in the reports that we file or submit under the Exchange Act is recorded, processed, summarized and reported within the time periods specified within the SEC’s rules and forms. Disclosure controls and procedures include, without limitation, controls and procedures designed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MANAGEMENT’S REPORT ON INTERNAL CONTROL OVER FINANCIAL REPORTING</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management is responsible for establishing and maintaining adequate internal control over financial reporting, as is defined in the Exchange Act. These internal controls are designed to provide reasonable assurance that the reported financial information is presented fairly, that disclosures are adequate and that the judgments inherent in the preparation of financial statements are reasonable. There are inherent limitations in the effectiveness of any system of internal control, including the possibility of human error and overriding of controls. Consequently, an effective internal control system can only provide reasonable, not absolute, assurance with respect to reporting financial information.</w:t>
      </w:r>
    </w:p>
    <w:p>
      <w:pPr>
        <w:pStyle w:val="TextBody"/>
        <w:bidi w:val="0"/>
        <w:spacing w:lineRule="auto" w:line="288" w:before="180" w:after="283"/>
        <w:jc w:val="left"/>
        <w:rPr/>
      </w:pPr>
      <w:r>
        <w:rPr>
          <w:rFonts w:ascii="Arial Narrow;sans-serif" w:hAnsi="Arial Narrow;sans-serif"/>
          <w:b w:val="false"/>
          <w:color w:val="000000"/>
          <w:sz w:val="20"/>
        </w:rPr>
        <w:t xml:space="preserve">Management conducted an evaluation of the effectiveness of our internal control over financial reporting based on the framework and criteria established in </w:t>
      </w:r>
      <w:r>
        <w:rPr>
          <w:rFonts w:ascii="Arial Narrow;sans-serif" w:hAnsi="Arial Narrow;sans-serif"/>
          <w:b w:val="false"/>
          <w:i/>
          <w:color w:val="000000"/>
          <w:sz w:val="20"/>
        </w:rPr>
        <w:t>Internal Control – Integrated Framework (2013),</w:t>
      </w:r>
      <w:r>
        <w:rPr>
          <w:color w:val="000000"/>
        </w:rPr>
        <w:t xml:space="preserve"> </w:t>
      </w:r>
      <w:r>
        <w:rPr>
          <w:rFonts w:ascii="Arial Narrow;sans-serif" w:hAnsi="Arial Narrow;sans-serif"/>
          <w:b w:val="false"/>
          <w:color w:val="000000"/>
          <w:sz w:val="20"/>
        </w:rPr>
        <w:t>issued by the Committee of Sponsoring Organizations of the Treadway Commission. Based on this evaluation, management concluded that the Company’s internal control over financial reporting was effective as of February 3,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Deloitte &amp; Touche LLP, an independent registered public accounting firm, was retained to audit our Consolidated Financial Statements and the effectiveness of our internal control over financial reporting. They have issued an attestation report on our internal control over financial reporting as of February 3, 2024, which is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0520"/>
                <wp:effectExtent l="0" t="0" r="0" b="0"/>
                <wp:wrapNone/>
                <wp:docPr id="75" name="Frame7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73</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REPORT OF INDEPENDENT REGISTERED PUBLIC ACCOUNTING FIRM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Board of Directors and Shareholders of Nordstrom, Inc.</w:t>
      </w:r>
    </w:p>
    <w:p>
      <w:pPr>
        <w:pStyle w:val="TextBody"/>
        <w:bidi w:val="0"/>
        <w:spacing w:lineRule="auto" w:line="288" w:before="180" w:after="200"/>
        <w:jc w:val="left"/>
        <w:rPr>
          <w:rFonts w:ascii="Arial Narrow;sans-serif" w:hAnsi="Arial Narrow;sans-serif"/>
          <w:b/>
          <w:color w:val="000000"/>
          <w:sz w:val="20"/>
        </w:rPr>
      </w:pPr>
      <w:r>
        <w:rPr>
          <w:rFonts w:ascii="Arial Narrow;sans-serif" w:hAnsi="Arial Narrow;sans-serif"/>
          <w:b/>
          <w:color w:val="000000"/>
          <w:sz w:val="20"/>
        </w:rPr>
        <w:t>Opinion on Internal Control over Financial Reporting</w:t>
      </w:r>
    </w:p>
    <w:p>
      <w:pPr>
        <w:pStyle w:val="TextBody"/>
        <w:bidi w:val="0"/>
        <w:spacing w:lineRule="auto" w:line="288" w:before="180" w:after="180"/>
        <w:jc w:val="left"/>
        <w:rPr/>
      </w:pPr>
      <w:r>
        <w:rPr>
          <w:rFonts w:ascii="Arial Narrow;sans-serif" w:hAnsi="Arial Narrow;sans-serif"/>
          <w:b w:val="false"/>
          <w:color w:val="000000"/>
          <w:sz w:val="20"/>
        </w:rPr>
        <w:t>We have audited the internal control over financial reporting of Nordstrom, Inc. and subsidiaries (the “Company”) as of February 3, 2024, based on criteria established in</w:t>
      </w:r>
      <w:r>
        <w:rPr>
          <w:color w:val="000000"/>
        </w:rPr>
        <w:t xml:space="preserve"> </w:t>
      </w:r>
      <w:r>
        <w:rPr>
          <w:rFonts w:ascii="Arial Narrow;sans-serif" w:hAnsi="Arial Narrow;sans-serif"/>
          <w:b w:val="false"/>
          <w:i/>
          <w:color w:val="000000"/>
          <w:sz w:val="20"/>
        </w:rPr>
        <w:t>Internal Control—Integrated Framework (2013)</w:t>
      </w:r>
      <w:r>
        <w:rPr>
          <w:color w:val="000000"/>
        </w:rPr>
        <w:t xml:space="preserve"> </w:t>
      </w:r>
      <w:r>
        <w:rPr>
          <w:rFonts w:ascii="Arial Narrow;sans-serif" w:hAnsi="Arial Narrow;sans-serif"/>
          <w:b w:val="false"/>
          <w:color w:val="000000"/>
          <w:sz w:val="20"/>
        </w:rPr>
        <w:t xml:space="preserve">issued by the Committee of Sponsoring Organizations of the Treadway Commission (COSO). In our opinion, the Company maintained, in all material respects, effective internal control over financial reporting as of February 3, 2024, based on criteria established in </w:t>
      </w:r>
      <w:r>
        <w:rPr>
          <w:rFonts w:ascii="Arial Narrow;sans-serif" w:hAnsi="Arial Narrow;sans-serif"/>
          <w:b w:val="false"/>
          <w:i/>
          <w:color w:val="000000"/>
          <w:sz w:val="20"/>
        </w:rPr>
        <w:t>Internal Control — Integrated Framework (2013)</w:t>
      </w:r>
      <w:r>
        <w:rPr>
          <w:color w:val="000000"/>
        </w:rPr>
        <w:t xml:space="preserve"> </w:t>
      </w:r>
      <w:r>
        <w:rPr>
          <w:rFonts w:ascii="Arial Narrow;sans-serif" w:hAnsi="Arial Narrow;sans-serif"/>
          <w:b w:val="false"/>
          <w:color w:val="000000"/>
          <w:sz w:val="20"/>
        </w:rPr>
        <w:t xml:space="preserve">issued by COSO.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also audited, in accordance with the standards of the Public Company Accounting Oversight Board (United States) (PCAOB), the consolidated financial statements as of and for the year ended February 3, 2024, of the Company and our report dated March 19, 2024, expressed an unqualified opinion on those financial statements. </w:t>
      </w:r>
    </w:p>
    <w:p>
      <w:pPr>
        <w:pStyle w:val="TextBody"/>
        <w:bidi w:val="0"/>
        <w:spacing w:lineRule="auto" w:line="288" w:before="180" w:after="200"/>
        <w:jc w:val="left"/>
        <w:rPr>
          <w:rFonts w:ascii="Arial Narrow;sans-serif" w:hAnsi="Arial Narrow;sans-serif"/>
          <w:b/>
          <w:color w:val="000000"/>
          <w:sz w:val="20"/>
        </w:rPr>
      </w:pPr>
      <w:r>
        <w:rPr>
          <w:rFonts w:ascii="Arial Narrow;sans-serif" w:hAnsi="Arial Narrow;sans-serif"/>
          <w:b/>
          <w:color w:val="000000"/>
          <w:sz w:val="20"/>
        </w:rPr>
        <w:t>Basis for Opinion</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0" w:after="200"/>
        <w:jc w:val="left"/>
        <w:rPr>
          <w:rFonts w:ascii="Arial Narrow;sans-serif" w:hAnsi="Arial Narrow;sans-serif"/>
          <w:b/>
          <w:color w:val="000000"/>
          <w:sz w:val="20"/>
        </w:rPr>
      </w:pPr>
      <w:r>
        <w:rPr>
          <w:rFonts w:ascii="Arial Narrow;sans-serif" w:hAnsi="Arial Narrow;sans-serif"/>
          <w:b/>
          <w:color w:val="000000"/>
          <w:sz w:val="20"/>
        </w:rPr>
        <w:t>Definition and Limitations of Internal Control over Financial Reporting</w:t>
      </w:r>
    </w:p>
    <w:p>
      <w:pPr>
        <w:pStyle w:val="TextBody"/>
        <w:bidi w:val="0"/>
        <w:spacing w:lineRule="auto" w:line="288" w:before="180" w:after="180"/>
        <w:jc w:val="left"/>
        <w:rPr/>
      </w:pPr>
      <w:r>
        <w:rPr>
          <w:rFonts w:ascii="Arial Narrow;sans-serif" w:hAnsi="Arial Narrow;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color w:val="000000"/>
        </w:rPr>
        <w:t xml:space="preserve">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20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/s/ Deloitte &amp; Touche LLP</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Seattle, Washington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March 19,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06705"/>
                <wp:effectExtent l="0" t="0" r="0" b="0"/>
                <wp:wrapNone/>
                <wp:docPr id="76" name="Frame7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74</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9B. Other Information.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9C. Disclosure Regarding Foreign Jurisdictions that Prevent Inspections.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 Narrow;sans-serif" w:hAnsi="Arial Narrow;sans-serif"/>
          <w:b/>
          <w:color w:val="000000"/>
          <w:sz w:val="24"/>
        </w:rPr>
      </w:pPr>
      <w:r>
        <w:rPr>
          <w:rFonts w:ascii="Arial Narrow;sans-serif" w:hAnsi="Arial Narrow;sans-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10. Directors, Executive Officers and Corporate Governance.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under this item is included in the following sections of our Proxy Statement for our 2024 Annual Meeting of Shareholders, the sections of which are incorporated by reference herein and will be filed within 120 days after the end of our fiscal year:</w:t>
      </w:r>
    </w:p>
    <w:p>
      <w:pPr>
        <w:pStyle w:val="TextBody"/>
        <w:bidi w:val="0"/>
        <w:spacing w:lineRule="auto" w:line="288" w:before="180" w:after="283"/>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Corporate Governance</w:t>
      </w:r>
    </w:p>
    <w:p>
      <w:pPr>
        <w:pStyle w:val="TextBody"/>
        <w:bidi w:val="0"/>
        <w:spacing w:lineRule="auto" w:line="288" w:before="0" w:after="0"/>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Director Qualifications, Experience, and Nominating Process</w:t>
      </w:r>
    </w:p>
    <w:p>
      <w:pPr>
        <w:pStyle w:val="TextBody"/>
        <w:bidi w:val="0"/>
        <w:spacing w:lineRule="auto" w:line="288" w:before="0" w:after="0"/>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Delinquent Section 16(a) Reports</w:t>
      </w:r>
    </w:p>
    <w:p>
      <w:pPr>
        <w:pStyle w:val="TextBody"/>
        <w:bidi w:val="0"/>
        <w:spacing w:lineRule="auto" w:line="288" w:before="0" w:after="0"/>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Requirements and Deadlines for Submission of Proxy Proposals, Nomination of Directors, and Other Business of Shareholders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certifications of our Chief Executive Officer and Chief Financial Officer required pursuant to Sections 302 and 906 of the Sarbanes-Oxley Act of 2002 are included as exhibits to this 2023 Annual Report and were included as exhibits to each of our quarterly reports on Form 10-Q. Our Chief Executive Officer certified to the NYSE on June 13, 2023, pursuant to Section 303A.12(a) of the NYSE’s listing standards, that he was not aware of any violation by the Company of the NYSE’s corporate governance listing standards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11. Executive Compensation.</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under this item is included in the following sections of our Proxy Statement for our 2024 Annual Meeting of Shareholders, the sections of which are incorporated by reference herein and will be filed within 120 days after the end of our fiscal year:</w:t>
      </w:r>
    </w:p>
    <w:p>
      <w:pPr>
        <w:pStyle w:val="TextBody"/>
        <w:bidi w:val="0"/>
        <w:spacing w:lineRule="auto" w:line="288" w:before="180" w:after="283"/>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Compensation of Executive Officers</w:t>
      </w:r>
    </w:p>
    <w:p>
      <w:pPr>
        <w:pStyle w:val="TextBody"/>
        <w:bidi w:val="0"/>
        <w:spacing w:lineRule="auto" w:line="288" w:before="0" w:after="0"/>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Director Compensation and Stock Ownership Guidelines</w:t>
      </w:r>
    </w:p>
    <w:p>
      <w:pPr>
        <w:pStyle w:val="TextBody"/>
        <w:bidi w:val="0"/>
        <w:spacing w:lineRule="auto" w:line="288" w:before="0" w:after="0"/>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Compensation Committee Interlocks and Insider Participation</w:t>
      </w:r>
    </w:p>
    <w:p>
      <w:pPr>
        <w:pStyle w:val="TextBody"/>
        <w:bidi w:val="0"/>
        <w:spacing w:lineRule="auto" w:line="288" w:before="0" w:after="0"/>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Compensation, People and Culture Committee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12. Security Ownership of Certain Beneficial Owners and Management and Related Shareholder Matters.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under this item is included in the following sections of our Proxy Statement for our 2024 Annual Meeting of Shareholders, the sections of which are incorporated by reference herein and will be filed within 120 days after the end of our fiscal year:</w:t>
      </w:r>
    </w:p>
    <w:p>
      <w:pPr>
        <w:pStyle w:val="TextBody"/>
        <w:bidi w:val="0"/>
        <w:spacing w:lineRule="auto" w:line="288" w:before="180" w:after="283"/>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Security Ownership of Certain Beneficial Owners and Management</w:t>
      </w:r>
    </w:p>
    <w:p>
      <w:pPr>
        <w:pStyle w:val="TextBody"/>
        <w:bidi w:val="0"/>
        <w:spacing w:lineRule="auto" w:line="288" w:before="0" w:after="0"/>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13. Certain Relationships and Related Transactions, and Director Independence.</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under this item is included in the following sections of our Proxy Statement for our 2024 Annual Meeting of Shareholders, the sections of which are incorporated by reference herein and will be filed within 120 days after the end of our fiscal year:</w:t>
      </w:r>
    </w:p>
    <w:p>
      <w:pPr>
        <w:pStyle w:val="TextBody"/>
        <w:bidi w:val="0"/>
        <w:spacing w:lineRule="auto" w:line="288" w:before="180" w:after="283"/>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Corporate Governance</w:t>
      </w:r>
    </w:p>
    <w:p>
      <w:pPr>
        <w:pStyle w:val="TextBody"/>
        <w:bidi w:val="0"/>
        <w:spacing w:lineRule="auto" w:line="288" w:before="0" w:after="0"/>
        <w:ind w:left="0" w:right="0" w:firstLine="495"/>
        <w:jc w:val="left"/>
        <w:rPr>
          <w:rFonts w:ascii="Arial Narrow;sans-serif" w:hAnsi="Arial Narrow;sans-serif"/>
          <w:b w:val="false"/>
          <w:color w:val="000000"/>
          <w:sz w:val="20"/>
        </w:rPr>
      </w:pPr>
      <w:r>
        <w:rPr>
          <w:rFonts w:ascii="Arial Narrow;sans-serif" w:hAnsi="Arial Narrow;sans-serif"/>
          <w:b w:val="false"/>
          <w:color w:val="000000"/>
          <w:sz w:val="20"/>
        </w:rPr>
        <w:t>Certain Relationships and Related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14. Principal Accountant Fees and Services.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Our independent registered public accounting firm is Deloitte &amp; Touche LLP, Seattle, Washington, Auditor ID: 34.</w:t>
      </w:r>
    </w:p>
    <w:p>
      <w:pPr>
        <w:pStyle w:val="TextBody"/>
        <w:bidi w:val="0"/>
        <w:spacing w:lineRule="auto" w:line="288" w:before="180" w:after="283"/>
        <w:jc w:val="left"/>
        <w:rPr/>
      </w:pPr>
      <w:r>
        <w:rPr>
          <w:rFonts w:ascii="Arial Narrow;sans-serif" w:hAnsi="Arial Narrow;sans-serif"/>
          <w:b w:val="false"/>
          <w:color w:val="000000"/>
          <w:sz w:val="20"/>
        </w:rPr>
        <w:t xml:space="preserve">The information required under this item is included in the </w:t>
      </w:r>
      <w:r>
        <w:rPr>
          <w:rFonts w:ascii="Arial Narrow;sans-serif" w:hAnsi="Arial Narrow;sans-serif"/>
          <w:b w:val="false"/>
          <w:i/>
          <w:color w:val="000000"/>
          <w:sz w:val="20"/>
        </w:rPr>
        <w:t xml:space="preserve">Ratification of the Appointment of Independent Registered Public Accounting Firm </w:t>
      </w:r>
      <w:r>
        <w:rPr>
          <w:rFonts w:ascii="Arial Narrow;sans-serif" w:hAnsi="Arial Narrow;sans-serif"/>
          <w:b w:val="false"/>
          <w:color w:val="000000"/>
          <w:sz w:val="20"/>
        </w:rPr>
        <w:t>section of our Proxy Statement for our 2024 Annual Meeting of Shareholders, the section of which is incorporated by reference herein and will be filed within 120 days after the end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0520"/>
                <wp:effectExtent l="0" t="0" r="0" b="0"/>
                <wp:wrapNone/>
                <wp:docPr id="77" name="Frame7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75</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180" w:after="283"/>
        <w:jc w:val="center"/>
        <w:rPr>
          <w:rFonts w:ascii="Arial Narrow;sans-serif" w:hAnsi="Arial Narrow;sans-serif"/>
          <w:b/>
          <w:color w:val="000000"/>
          <w:sz w:val="24"/>
        </w:rPr>
      </w:pPr>
      <w:r>
        <w:rPr>
          <w:rFonts w:ascii="Arial Narrow;sans-serif" w:hAnsi="Arial Narrow;sans-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Item 15. Exhibit and Financial Statement Schedules.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information required under this item is filed as part of this report:</w:t>
      </w:r>
    </w:p>
    <w:tbl>
      <w:tblPr>
        <w:tblW w:w="4800" w:type="dxa"/>
        <w:jc w:val="left"/>
        <w:tblInd w:w="0" w:type="dxa"/>
        <w:tblLayout w:type="fixed"/>
        <w:tblCellMar>
          <w:top w:w="28" w:type="dxa"/>
          <w:left w:w="28" w:type="dxa"/>
          <w:bottom w:w="28" w:type="dxa"/>
          <w:right w:w="28" w:type="dxa"/>
        </w:tblCellMar>
      </w:tblPr>
      <w:tblGrid>
        <w:gridCol w:w="1559"/>
        <w:gridCol w:w="1371"/>
        <w:gridCol w:w="1374"/>
        <w:gridCol w:w="145"/>
        <w:gridCol w:w="145"/>
        <w:gridCol w:w="206"/>
      </w:tblGrid>
      <w:tr>
        <w:trPr/>
        <w:tc>
          <w:tcPr>
            <w:tcW w:w="15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Page</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(a)1. FINANCIAL STATEMENTS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Report of Independent Registered Public Accounting Firm</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30">
              <w:r>
                <w:rPr>
                  <w:rStyle w:val="InternetLink"/>
                  <w:rFonts w:ascii="Arial Narrow;sans-serif" w:hAnsi="Arial Narrow;sans-serif"/>
                  <w:b w:val="false"/>
                  <w:color w:val="0000FF"/>
                  <w:sz w:val="18"/>
                  <w:u w:val="single"/>
                </w:rPr>
                <w:t>44</w:t>
              </w:r>
            </w:hyperlink>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Statements of Earnings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33">
              <w:r>
                <w:rPr>
                  <w:rStyle w:val="InternetLink"/>
                  <w:rFonts w:ascii="Arial Narrow;sans-serif" w:hAnsi="Arial Narrow;sans-serif"/>
                  <w:b w:val="false"/>
                  <w:color w:val="0000FF"/>
                  <w:sz w:val="18"/>
                  <w:u w:val="single"/>
                </w:rPr>
                <w:t>46</w:t>
              </w:r>
            </w:hyperlink>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Statements of Comprehensive Earnings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36">
              <w:r>
                <w:rPr>
                  <w:rStyle w:val="InternetLink"/>
                  <w:rFonts w:ascii="Arial Narrow;sans-serif" w:hAnsi="Arial Narrow;sans-serif"/>
                  <w:b w:val="false"/>
                  <w:color w:val="0000FF"/>
                  <w:sz w:val="18"/>
                  <w:u w:val="single"/>
                </w:rPr>
                <w:t>46</w:t>
              </w:r>
            </w:hyperlink>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Balance Sheets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39">
              <w:r>
                <w:rPr>
                  <w:rStyle w:val="InternetLink"/>
                  <w:rFonts w:ascii="Arial Narrow;sans-serif" w:hAnsi="Arial Narrow;sans-serif"/>
                  <w:b w:val="false"/>
                  <w:color w:val="0000FF"/>
                  <w:sz w:val="18"/>
                  <w:u w:val="single"/>
                </w:rPr>
                <w:t>47</w:t>
              </w:r>
            </w:hyperlink>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Statements of Shareholders’ Equity</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42">
              <w:r>
                <w:rPr>
                  <w:rStyle w:val="InternetLink"/>
                  <w:rFonts w:ascii="Arial Narrow;sans-serif" w:hAnsi="Arial Narrow;sans-serif"/>
                  <w:b w:val="false"/>
                  <w:color w:val="0000FF"/>
                  <w:sz w:val="18"/>
                  <w:u w:val="single"/>
                </w:rPr>
                <w:t>48</w:t>
              </w:r>
            </w:hyperlink>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Statements of Cash Flows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45">
              <w:r>
                <w:rPr>
                  <w:rStyle w:val="InternetLink"/>
                  <w:rFonts w:ascii="Arial Narrow;sans-serif" w:hAnsi="Arial Narrow;sans-serif"/>
                  <w:b w:val="false"/>
                  <w:color w:val="0000FF"/>
                  <w:sz w:val="18"/>
                  <w:u w:val="single"/>
                </w:rPr>
                <w:t>49</w:t>
              </w:r>
            </w:hyperlink>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Management’s Report on Internal Control Over Financial Reporting</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96">
              <w:r>
                <w:rPr>
                  <w:rStyle w:val="InternetLink"/>
                  <w:rFonts w:ascii="Arial Narrow;sans-serif" w:hAnsi="Arial Narrow;sans-serif"/>
                  <w:b w:val="false"/>
                  <w:color w:val="0E32E1"/>
                  <w:sz w:val="18"/>
                  <w:u w:val="single"/>
                </w:rPr>
                <w:t>73</w:t>
              </w:r>
            </w:hyperlink>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Report of Independent Registered Public Accounting Firm</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199">
              <w:r>
                <w:rPr>
                  <w:rStyle w:val="InternetLink"/>
                  <w:rFonts w:ascii="Arial Narrow;sans-serif" w:hAnsi="Arial Narrow;sans-serif"/>
                  <w:b w:val="false"/>
                  <w:color w:val="0E32E1"/>
                  <w:sz w:val="18"/>
                  <w:u w:val="single"/>
                </w:rPr>
                <w:t>74</w:t>
              </w:r>
            </w:hyperlink>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color w:val="000000"/>
                <w:sz w:val="20"/>
              </w:rPr>
            </w:pPr>
            <w:r>
              <w:rPr>
                <w:rFonts w:ascii="Arial Narrow;sans-serif" w:hAnsi="Arial Narrow;sans-serif"/>
                <w:b/>
                <w:color w:val="000000"/>
                <w:sz w:val="20"/>
              </w:rPr>
              <w:t>(a)3. EXHIBITS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Arial Narrow;sans-serif" w:hAnsi="Arial Narrow;sans-serif"/>
                <w:b w:val="false"/>
                <w:color w:val="000000"/>
                <w:sz w:val="18"/>
              </w:rPr>
            </w:pPr>
            <w:r>
              <w:rPr>
                <w:rFonts w:ascii="Arial Narrow;sans-serif" w:hAnsi="Arial Narrow;sans-serif"/>
                <w:b w:val="false"/>
                <w:color w:val="000000"/>
                <w:sz w:val="18"/>
              </w:rPr>
              <w:t>Nordstrom, Inc. and Subsidiaries Exhibit Index</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32edfa625ac64f068feac7cf09039254_232">
              <w:r>
                <w:rPr>
                  <w:rStyle w:val="InternetLink"/>
                  <w:rFonts w:ascii="Arial Narrow;sans-serif" w:hAnsi="Arial Narrow;sans-serif"/>
                  <w:b w:val="false"/>
                  <w:color w:val="0000FF"/>
                  <w:sz w:val="18"/>
                  <w:u w:val="single"/>
                </w:rPr>
                <w:t>77</w:t>
              </w:r>
            </w:hyperlink>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other schedules and exhibits are omitted because they are not applicable, not required or because the information required has been given as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06705"/>
                <wp:effectExtent l="0" t="0" r="0" b="0"/>
                <wp:wrapNone/>
                <wp:docPr id="78" name="Frame7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76</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lineRule="auto" w:line="288" w:before="120" w:after="283"/>
        <w:jc w:val="left"/>
        <w:rPr>
          <w:rFonts w:ascii="Arial Narrow;sans-serif" w:hAnsi="Arial Narrow;sans-serif"/>
          <w:b/>
          <w:color w:val="000000"/>
          <w:sz w:val="24"/>
        </w:rPr>
      </w:pPr>
      <w:r>
        <w:rPr>
          <w:rFonts w:ascii="Arial Narrow;sans-serif" w:hAnsi="Arial Narrow;sans-serif"/>
          <w:b/>
          <w:color w:val="000000"/>
          <w:sz w:val="24"/>
        </w:rPr>
        <w:t>Nordstrom, Inc. and Subsidiaries</w:t>
      </w:r>
    </w:p>
    <w:p>
      <w:pPr>
        <w:pStyle w:val="TextBody"/>
        <w:bidi w:val="0"/>
        <w:spacing w:lineRule="auto" w:line="288" w:before="0" w:after="0"/>
        <w:jc w:val="left"/>
        <w:rPr>
          <w:rFonts w:ascii="Arial Narrow;sans-serif" w:hAnsi="Arial Narrow;sans-serif"/>
          <w:b/>
          <w:color w:val="000000"/>
          <w:sz w:val="24"/>
        </w:rPr>
      </w:pPr>
      <w:r>
        <w:rPr>
          <w:rFonts w:ascii="Arial Narrow;sans-serif" w:hAnsi="Arial Narrow;sans-serif"/>
          <w:b/>
          <w:color w:val="000000"/>
          <w:sz w:val="24"/>
        </w:rPr>
        <w:t>Exhibit Index</w:t>
      </w:r>
    </w:p>
    <w:tbl>
      <w:tblPr>
        <w:tblW w:w="10205" w:type="dxa"/>
        <w:jc w:val="left"/>
        <w:tblInd w:w="0" w:type="dxa"/>
        <w:tblLayout w:type="fixed"/>
        <w:tblCellMar>
          <w:top w:w="28" w:type="dxa"/>
          <w:left w:w="28" w:type="dxa"/>
          <w:bottom w:w="28" w:type="dxa"/>
          <w:right w:w="28" w:type="dxa"/>
        </w:tblCellMar>
      </w:tblPr>
      <w:tblGrid>
        <w:gridCol w:w="189"/>
        <w:gridCol w:w="166"/>
        <w:gridCol w:w="171"/>
        <w:gridCol w:w="109"/>
        <w:gridCol w:w="109"/>
        <w:gridCol w:w="109"/>
        <w:gridCol w:w="109"/>
        <w:gridCol w:w="109"/>
        <w:gridCol w:w="109"/>
        <w:gridCol w:w="2209"/>
        <w:gridCol w:w="2092"/>
        <w:gridCol w:w="2115"/>
        <w:gridCol w:w="243"/>
        <w:gridCol w:w="186"/>
        <w:gridCol w:w="170"/>
        <w:gridCol w:w="292"/>
        <w:gridCol w:w="292"/>
        <w:gridCol w:w="238"/>
        <w:gridCol w:w="376"/>
        <w:gridCol w:w="376"/>
        <w:gridCol w:w="436"/>
      </w:tblGrid>
      <w:tr>
        <w:trPr/>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5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5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8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 Narrow;sans-serif" w:hAnsi="Arial Narrow;sans-serif"/>
                  <w:b w:val="false"/>
                  <w:color w:val="0000FF"/>
                  <w:sz w:val="20"/>
                  <w:u w:val="single"/>
                </w:rPr>
                <w:t>Articles of Incorporation as amended and restated on May 25, 2005</w:t>
              </w:r>
            </w:hyperlink>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3.1</w:t>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May 31, 2005</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 Narrow;sans-serif" w:hAnsi="Arial Narrow;sans-serif"/>
                  <w:b w:val="false"/>
                  <w:color w:val="0000FF"/>
                  <w:sz w:val="20"/>
                  <w:u w:val="single"/>
                </w:rPr>
                <w:t>Bylaws, as amended and restated on September 20, 2023</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21, 2023</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 Narrow;sans-serif" w:hAnsi="Arial Narrow;sans-serif"/>
                  <w:b w:val="false"/>
                  <w:color w:val="0000FF"/>
                  <w:sz w:val="20"/>
                  <w:u w:val="single"/>
                </w:rPr>
                <w:t>Description of Nordstrom, Inc. Securities</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S-3</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4.4</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April 30, 2001</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 Narrow;sans-serif" w:hAnsi="Arial Narrow;sans-serif"/>
                  <w:b w:val="false"/>
                  <w:color w:val="0000FF"/>
                  <w:sz w:val="20"/>
                  <w:u w:val="single"/>
                </w:rPr>
                <w:t>Indenture between Registrant and Norwest Bank Colorado, N.A., as trustee, dated March 10, 1998</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S-3/A</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10, 1998</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 Narrow;sans-serif" w:hAnsi="Arial Narrow;sans-serif"/>
                  <w:b w:val="false"/>
                  <w:color w:val="0000FF"/>
                  <w:sz w:val="20"/>
                  <w:u w:val="single"/>
                </w:rPr>
                <w:t>Indenture dated December 3, 2007, between the Company and Wells Fargo Bank, National Association</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S-4/A</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April 29, 2014</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 Narrow;sans-serif" w:hAnsi="Arial Narrow;sans-serif"/>
                  <w:b w:val="false"/>
                  <w:color w:val="0000FF"/>
                  <w:sz w:val="20"/>
                  <w:u w:val="single"/>
                </w:rPr>
                <w:t>Form of 5.00% Global Note due 2044</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S-4</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28, 2014</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 Narrow;sans-serif" w:hAnsi="Arial Narrow;sans-serif"/>
                  <w:b w:val="false"/>
                  <w:color w:val="0000FF"/>
                  <w:sz w:val="20"/>
                  <w:u w:val="single"/>
                </w:rPr>
                <w:t>Form of 5.00% Rule 144A Global Note due 2044</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S-4</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4.3</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28, 2014</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 Narrow;sans-serif" w:hAnsi="Arial Narrow;sans-serif"/>
                  <w:b w:val="false"/>
                  <w:color w:val="0000FF"/>
                  <w:sz w:val="20"/>
                  <w:u w:val="single"/>
                </w:rPr>
                <w:t>Form of 5.00% Regulation S Global Note due 2044</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S-4</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4.4</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28, 2014</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 Narrow;sans-serif" w:hAnsi="Arial Narrow;sans-serif"/>
                  <w:b w:val="false"/>
                  <w:color w:val="0000FF"/>
                  <w:sz w:val="20"/>
                  <w:u w:val="single"/>
                </w:rPr>
                <w:t>Form of 7.00% Note due January 2038</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December 3, 2007</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 Narrow;sans-serif" w:hAnsi="Arial Narrow;sans-serif"/>
                  <w:b w:val="false"/>
                  <w:color w:val="0000FF"/>
                  <w:sz w:val="20"/>
                  <w:u w:val="single"/>
                </w:rPr>
                <w:t>Form of 4.00% Note due 2027</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9, 2017</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 Narrow;sans-serif" w:hAnsi="Arial Narrow;sans-serif"/>
                  <w:b w:val="false"/>
                  <w:color w:val="0000FF"/>
                  <w:sz w:val="20"/>
                  <w:u w:val="single"/>
                </w:rPr>
                <w:t>Form of 5.00% Note due 2044</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9, 2017</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 Narrow;sans-serif" w:hAnsi="Arial Narrow;sans-serif"/>
                  <w:b w:val="false"/>
                  <w:color w:val="0000FF"/>
                  <w:sz w:val="20"/>
                  <w:u w:val="single"/>
                </w:rPr>
                <w:t xml:space="preserve">Form of 4.375% Note due 2030 </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November 6, 2019</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 Narrow;sans-serif" w:hAnsi="Arial Narrow;sans-serif"/>
                  <w:b w:val="false"/>
                  <w:color w:val="0000FF"/>
                  <w:sz w:val="20"/>
                  <w:u w:val="single"/>
                </w:rPr>
                <w:t>Form of 2.300% Global Note due 2024</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 2021</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 Narrow;sans-serif" w:hAnsi="Arial Narrow;sans-serif"/>
                  <w:b w:val="false"/>
                  <w:color w:val="0000FF"/>
                  <w:sz w:val="20"/>
                  <w:u w:val="single"/>
                </w:rPr>
                <w:t>Form of 4.250% Global Note due 2031</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4.3</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3, 2021</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 Narrow;sans-serif" w:hAnsi="Arial Narrow;sans-serif"/>
                  <w:b w:val="false"/>
                  <w:color w:val="0000FF"/>
                  <w:sz w:val="20"/>
                  <w:u w:val="single"/>
                </w:rPr>
                <w:t>Trunk Club Newco, Inc. 2010 Equity Incentive Plan</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S-8</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27, 2014</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 Narrow;sans-serif" w:hAnsi="Arial Narrow;sans-serif"/>
                  <w:b w:val="false"/>
                  <w:color w:val="0000FF"/>
                  <w:sz w:val="20"/>
                  <w:u w:val="single"/>
                </w:rPr>
                <w:t>Shareholder Rights Agreement, dated as of September 19, 2022, by and between the Company and Computershare Trust Company, N.A., as rights agent (which includes the Form of Rights Certificate as Exhibit A thereto).</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20, 2022</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 Narrow;sans-serif" w:hAnsi="Arial Narrow;sans-serif"/>
                  <w:b w:val="false"/>
                  <w:color w:val="0000FF"/>
                  <w:sz w:val="20"/>
                  <w:u w:val="single"/>
                </w:rPr>
                <w:t>First Amendment to the Shareholder Rights Agreement, dated as of August 21, 2023, by and between Nordstrom, Inc. and Computershare Trust Company, N.A., as rights agent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21, 2023</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 Narrow;sans-serif" w:hAnsi="Arial Narrow;sans-serif"/>
                  <w:b w:val="false"/>
                  <w:color w:val="0000FF"/>
                  <w:sz w:val="20"/>
                  <w:u w:val="single"/>
                </w:rPr>
                <w:t>Nordstrom, Inc. 2019 Equity Incentive Plan (2020 Amendment)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Appendix B</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April 7, 2020</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 Narrow;sans-serif" w:hAnsi="Arial Narrow;sans-serif"/>
                  <w:b w:val="false"/>
                  <w:color w:val="0000FF"/>
                  <w:sz w:val="20"/>
                  <w:u w:val="single"/>
                </w:rPr>
                <w:t>Nordstrom, Inc. 2019 Equity Incentive Plan (2023 Amendment)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Appendix B</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April 28, 2023</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 Narrow;sans-serif" w:hAnsi="Arial Narrow;sans-serif"/>
                  <w:b w:val="false"/>
                  <w:color w:val="000080"/>
                  <w:sz w:val="20"/>
                  <w:u w:val="single"/>
                </w:rPr>
                <w:t>N</w:t>
              </w:r>
            </w:hyperlink>
            <w:hyperlink r:id="rId27">
              <w:r>
                <w:rPr>
                  <w:rStyle w:val="InternetLink"/>
                  <w:rFonts w:ascii="Arial Narrow;sans-serif" w:hAnsi="Arial Narrow;sans-serif"/>
                  <w:b w:val="false"/>
                  <w:color w:val="000080"/>
                  <w:sz w:val="20"/>
                  <w:u w:val="single"/>
                </w:rPr>
                <w:t>ordstrom, Inc. Employee Stock Pur</w:t>
              </w:r>
            </w:hyperlink>
            <w:hyperlink r:id="rId28">
              <w:r>
                <w:rPr>
                  <w:rStyle w:val="InternetLink"/>
                  <w:rFonts w:ascii="Arial Narrow;sans-serif" w:hAnsi="Arial Narrow;sans-serif"/>
                  <w:b w:val="false"/>
                  <w:color w:val="000080"/>
                  <w:sz w:val="20"/>
                  <w:u w:val="single"/>
                </w:rPr>
                <w:t>chase Plan (2023 Amendment)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Appendix C</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April 28, 2023</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 Narrow;sans-serif" w:hAnsi="Arial Narrow;sans-serif"/>
                  <w:b w:val="false"/>
                  <w:color w:val="0000FF"/>
                  <w:sz w:val="20"/>
                  <w:u w:val="single"/>
                </w:rPr>
                <w:t>Nordstrom 401(k) Plan (2021 Restatement)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4, 2021</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 Narrow;sans-serif" w:hAnsi="Arial Narrow;sans-serif"/>
                  <w:b w:val="false"/>
                  <w:color w:val="0000FF"/>
                  <w:sz w:val="20"/>
                  <w:u w:val="single"/>
                </w:rPr>
                <w:t>Amendment 2021-1 to the Nordstrom 401(k) Plan</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99.3</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10, 2022</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 Narrow;sans-serif" w:hAnsi="Arial Narrow;sans-serif"/>
                  <w:b w:val="false"/>
                  <w:color w:val="0000FF"/>
                  <w:sz w:val="20"/>
                  <w:u w:val="single"/>
                </w:rPr>
                <w:t>Amended and Restated Nordstrom, Inc. Executive Management Bonus Plan</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10, 2023</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 Narrow;sans-serif" w:hAnsi="Arial Narrow;sans-serif"/>
                  <w:b w:val="false"/>
                  <w:color w:val="0000FF"/>
                  <w:sz w:val="20"/>
                  <w:u w:val="single"/>
                </w:rPr>
                <w:t>Nordstrom Deferred Compensation Plan (2022 Restatement)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2, 2022</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 Narrow;sans-serif" w:hAnsi="Arial Narrow;sans-serif"/>
                  <w:b w:val="false"/>
                  <w:color w:val="0000FF"/>
                  <w:sz w:val="20"/>
                  <w:u w:val="single"/>
                </w:rPr>
                <w:t>Form of 2014 Nonqualified Stock Option Grant Agreement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4, 2014</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 Narrow;sans-serif" w:hAnsi="Arial Narrow;sans-serif"/>
                  <w:b w:val="false"/>
                  <w:color w:val="0000FF"/>
                  <w:sz w:val="20"/>
                  <w:u w:val="single"/>
                </w:rPr>
                <w:t>Form of the 2015 Nonqualified Stock Option Grant Agreement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February 19, 2015</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 Narrow;sans-serif" w:hAnsi="Arial Narrow;sans-serif"/>
                  <w:b w:val="false"/>
                  <w:color w:val="0000FF"/>
                  <w:sz w:val="20"/>
                  <w:u w:val="single"/>
                </w:rPr>
                <w:t>Form of the 2016 Nonqualified Stock Option Grant Agreement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1, 2016</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 Narrow;sans-serif" w:hAnsi="Arial Narrow;sans-serif"/>
                  <w:b w:val="false"/>
                  <w:color w:val="0000FF"/>
                  <w:sz w:val="20"/>
                  <w:u w:val="single"/>
                </w:rPr>
                <w:t>Form of 2016 Nonqualified Stock Option Grant Agreement, Supplemental Award</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30, 2016</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 Narrow;sans-serif" w:hAnsi="Arial Narrow;sans-serif"/>
                  <w:b w:val="false"/>
                  <w:color w:val="0000FF"/>
                  <w:sz w:val="20"/>
                  <w:u w:val="single"/>
                </w:rPr>
                <w:t>Form of the 2017 Nonqualified Stock Option Grant Agreement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February 23, 2017</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 Narrow;sans-serif" w:hAnsi="Arial Narrow;sans-serif"/>
                  <w:b w:val="false"/>
                  <w:color w:val="0000FF"/>
                  <w:sz w:val="20"/>
                  <w:u w:val="single"/>
                </w:rPr>
                <w:t>Form of 2019 Nonqualified Stock Option Award Agreement</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4, 2019</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 Narrow;sans-serif" w:hAnsi="Arial Narrow;sans-serif"/>
                  <w:b w:val="false"/>
                  <w:color w:val="0000FF"/>
                  <w:sz w:val="20"/>
                  <w:u w:val="single"/>
                </w:rPr>
                <w:t>Form of 2019 Nonqualified Stock Option Award Agreement, Supplemental Award</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4, 2019</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 Narrow;sans-serif" w:hAnsi="Arial Narrow;sans-serif"/>
                  <w:b w:val="false"/>
                  <w:color w:val="0000FF"/>
                  <w:sz w:val="20"/>
                  <w:u w:val="single"/>
                </w:rPr>
                <w:t xml:space="preserve">Form of 2020 Nonqualified Stock Option Award Agreement </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3, 2020</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 Narrow;sans-serif" w:hAnsi="Arial Narrow;sans-serif"/>
                  <w:b w:val="false"/>
                  <w:color w:val="0000FF"/>
                  <w:sz w:val="20"/>
                  <w:u w:val="single"/>
                </w:rPr>
                <w:t>Form of 2020 Nonqualified Stock Option Award Agreement, Supplemental Award</w:t>
              </w:r>
            </w:hyperlink>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10.5</w:t>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10, 2020</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0520"/>
                <wp:effectExtent l="0" t="0" r="0" b="0"/>
                <wp:wrapNone/>
                <wp:docPr id="79" name="Frame7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77</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5"/>
        <w:gridCol w:w="189"/>
        <w:gridCol w:w="191"/>
        <w:gridCol w:w="109"/>
        <w:gridCol w:w="109"/>
        <w:gridCol w:w="109"/>
        <w:gridCol w:w="109"/>
        <w:gridCol w:w="109"/>
        <w:gridCol w:w="109"/>
        <w:gridCol w:w="2266"/>
        <w:gridCol w:w="2082"/>
        <w:gridCol w:w="2106"/>
        <w:gridCol w:w="242"/>
        <w:gridCol w:w="178"/>
        <w:gridCol w:w="160"/>
        <w:gridCol w:w="287"/>
        <w:gridCol w:w="287"/>
        <w:gridCol w:w="232"/>
        <w:gridCol w:w="433"/>
        <w:gridCol w:w="366"/>
        <w:gridCol w:w="317"/>
      </w:tblGrid>
      <w:tr>
        <w:trPr/>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5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5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8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 Narrow;sans-serif" w:hAnsi="Arial Narrow;sans-serif"/>
                  <w:b w:val="false"/>
                  <w:color w:val="0000FF"/>
                  <w:sz w:val="20"/>
                  <w:u w:val="single"/>
                </w:rPr>
                <w:t>Form of 2023 Nonqualified Stock Option Award Agreement</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6, 2023</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 Narrow;sans-serif" w:hAnsi="Arial Narrow;sans-serif"/>
                  <w:b w:val="false"/>
                  <w:color w:val="0000FF"/>
                  <w:sz w:val="20"/>
                  <w:u w:val="single"/>
                </w:rPr>
                <w:t>Nordstrom, Inc. 2010 Equity Incentive Plan</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Appendix A</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April 8, 2010</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 Narrow;sans-serif" w:hAnsi="Arial Narrow;sans-serif"/>
                  <w:b w:val="false"/>
                  <w:color w:val="0000FF"/>
                  <w:sz w:val="20"/>
                  <w:u w:val="single"/>
                </w:rPr>
                <w:t>Nordstrom, Inc. 2010 Equity Incentive Plan as amended February 27, 2013</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Appendix A</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April 1, 2013</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 Narrow;sans-serif" w:hAnsi="Arial Narrow;sans-serif"/>
                  <w:b w:val="false"/>
                  <w:color w:val="0000FF"/>
                  <w:sz w:val="20"/>
                  <w:u w:val="single"/>
                </w:rPr>
                <w:t>Nordstrom, Inc. 2010 Equity Incentive Plan as amended and restated February 26, 2014</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10.4</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4, 2014</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 Narrow;sans-serif" w:hAnsi="Arial Narrow;sans-serif"/>
                  <w:b w:val="false"/>
                  <w:color w:val="0000FF"/>
                  <w:sz w:val="20"/>
                  <w:u w:val="single"/>
                </w:rPr>
                <w:t>Nordstrom, Inc. 2010 Equity Incentive Plan as amended and restated February 16, 2017</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Appendix A</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April 5, 2017</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 Narrow;sans-serif" w:hAnsi="Arial Narrow;sans-serif"/>
                  <w:b w:val="false"/>
                  <w:color w:val="0000FF"/>
                  <w:sz w:val="20"/>
                  <w:u w:val="single"/>
                </w:rPr>
                <w:t>Nordstrom, Inc. Executive Severance Plan</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10.23</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20, 2020</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Arial Narrow;sans-serif" w:hAnsi="Arial Narrow;sans-serif"/>
                  <w:b w:val="false"/>
                  <w:color w:val="0000FF"/>
                  <w:sz w:val="20"/>
                  <w:u w:val="single"/>
                </w:rPr>
                <w:t>Form of 2022 Performance Share Unit Award Agreement</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February 28, 2022</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Arial Narrow;sans-serif" w:hAnsi="Arial Narrow;sans-serif"/>
                  <w:b w:val="false"/>
                  <w:color w:val="0000FF"/>
                  <w:sz w:val="20"/>
                  <w:u w:val="single"/>
                </w:rPr>
                <w:t>Form of 2023 Performance Share Unit Award Agreement</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6, 2023</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Arial Narrow;sans-serif" w:hAnsi="Arial Narrow;sans-serif"/>
                  <w:b w:val="false"/>
                  <w:color w:val="0000FF"/>
                  <w:sz w:val="20"/>
                  <w:u w:val="single"/>
                </w:rPr>
                <w:t>Form of 2024 Performance Share Unit Award Agreement</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5, 2024</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Arial Narrow;sans-serif" w:hAnsi="Arial Narrow;sans-serif"/>
                  <w:b w:val="false"/>
                  <w:color w:val="0000FF"/>
                  <w:sz w:val="20"/>
                  <w:u w:val="single"/>
                </w:rPr>
                <w:t>Nordstrom Supplemental Executive Retirement Plan (2020 Restatement)</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September 4, 2020</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Arial Narrow;sans-serif" w:hAnsi="Arial Narrow;sans-serif"/>
                  <w:b w:val="false"/>
                  <w:color w:val="0000FF"/>
                  <w:sz w:val="20"/>
                  <w:u w:val="single"/>
                </w:rPr>
                <w:t>Nordstrom Directors Deferred Compensation Plan (2017 Restatement)</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10.48</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19, 2018</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Arial Narrow;sans-serif" w:hAnsi="Arial Narrow;sans-serif"/>
                  <w:b w:val="false"/>
                  <w:color w:val="0000FF"/>
                  <w:sz w:val="20"/>
                  <w:u w:val="single"/>
                </w:rPr>
                <w:t>2010 Form of Independent Director Indemnification Agreement</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10.78</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18, 2011</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Arial Narrow;sans-serif" w:hAnsi="Arial Narrow;sans-serif"/>
                  <w:b w:val="false"/>
                  <w:color w:val="0000FF"/>
                  <w:sz w:val="20"/>
                  <w:u w:val="single"/>
                </w:rPr>
                <w:t xml:space="preserve">2023 Form of Independent Director Indemnification Agreement </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December 1, 2023</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Arial Narrow;sans-serif" w:hAnsi="Arial Narrow;sans-serif"/>
                  <w:b w:val="false"/>
                  <w:color w:val="0000FF"/>
                  <w:sz w:val="20"/>
                  <w:u w:val="single"/>
                </w:rPr>
                <w:t xml:space="preserve">Form of 2020 Restricted Stock Unit Award Agreement </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3, 2020</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Arial Narrow;sans-serif" w:hAnsi="Arial Narrow;sans-serif"/>
                  <w:b w:val="false"/>
                  <w:color w:val="0000FF"/>
                  <w:sz w:val="20"/>
                  <w:u w:val="single"/>
                </w:rPr>
                <w:t>Form of Restricted Stock Unit Award (Supplemental Award) under the 2019 Equity Incentive Plan</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May 20, 2022</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Arial Narrow;sans-serif" w:hAnsi="Arial Narrow;sans-serif"/>
                  <w:b w:val="false"/>
                  <w:color w:val="000080"/>
                  <w:sz w:val="20"/>
                  <w:u w:val="single"/>
                </w:rPr>
                <w:t xml:space="preserve">Form of 2023 Restricted Stock Unit Agreement </w:t>
              </w:r>
            </w:hyperlink>
            <w:hyperlink r:id="rId58">
              <w:r>
                <w:rPr>
                  <w:rStyle w:val="InternetLink"/>
                  <w:rFonts w:ascii="Arial Narrow;sans-serif" w:hAnsi="Arial Narrow;sans-serif"/>
                  <w:b w:val="false"/>
                  <w:color w:val="000080"/>
                  <w:sz w:val="20"/>
                  <w:u w:val="single"/>
                </w:rPr>
                <w:t xml:space="preserve">– </w:t>
              </w:r>
            </w:hyperlink>
            <w:hyperlink r:id="rId59">
              <w:r>
                <w:rPr>
                  <w:rStyle w:val="InternetLink"/>
                  <w:rFonts w:ascii="Arial Narrow;sans-serif" w:hAnsi="Arial Narrow;sans-serif"/>
                  <w:b w:val="false"/>
                  <w:color w:val="000080"/>
                  <w:sz w:val="20"/>
                  <w:u w:val="single"/>
                </w:rPr>
                <w:t>Supplemental Award under the 2019 Equity Incentive Plan</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May 10, 2023</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Arial Narrow;sans-serif" w:hAnsi="Arial Narrow;sans-serif"/>
                  <w:b w:val="false"/>
                  <w:color w:val="0000FF"/>
                  <w:sz w:val="20"/>
                  <w:u w:val="single"/>
                </w:rPr>
                <w:t>Form of 2024 Restricted Stock Unit Award Agreement</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5, 2024</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Arial Narrow;sans-serif" w:hAnsi="Arial Narrow;sans-serif"/>
                  <w:b w:val="false"/>
                  <w:color w:val="0000FF"/>
                  <w:sz w:val="20"/>
                  <w:u w:val="single"/>
                </w:rPr>
                <w:t>Revolving Credit Agreement dated May 6, 2022 between Registrant and each of the initial lenders named therein as lenders; Wells Fargo Bank, National Association as administrative agent; and Bank of America, N. A. and U.S. Bank, National Association as co-syndication agents</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June 3, 2022</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Arial Narrow;sans-serif" w:hAnsi="Arial Narrow;sans-serif"/>
                  <w:b w:val="false"/>
                  <w:color w:val="0000FF"/>
                  <w:sz w:val="20"/>
                  <w:u w:val="single"/>
                </w:rPr>
                <w:t>First Amendment to Revolving Credit Agreement</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10.30</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March 10, 2023</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Arial Narrow;sans-serif" w:hAnsi="Arial Narrow;sans-serif"/>
                  <w:b w:val="false"/>
                  <w:color w:val="0000FF"/>
                  <w:sz w:val="20"/>
                  <w:u w:val="single"/>
                </w:rPr>
                <w:t>Credit Card Program Agreement by and among Nordstrom, Inc., Nordstrom FSB and TD Bank USA, N.A. dated May 25, 2015</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December 1, 2015</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Arial Narrow;sans-serif" w:hAnsi="Arial Narrow;sans-serif"/>
                  <w:b w:val="false"/>
                  <w:color w:val="0000FF"/>
                  <w:sz w:val="20"/>
                  <w:u w:val="single"/>
                </w:rPr>
                <w:t>Amendment No. 7 to the Credit Card Program Agreement by and between Nordstrom, Inc., and TD Bank USA, N.A.</w:t>
              </w:r>
            </w:hyperlink>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December 2, 2022</w:t>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wn-232024x10kex191.htm">
              <w:r>
                <w:rPr>
                  <w:rStyle w:val="InternetLink"/>
                  <w:rFonts w:ascii="Arial Narrow;sans-serif" w:hAnsi="Arial Narrow;sans-serif"/>
                  <w:b w:val="false"/>
                  <w:color w:val="0000FF"/>
                  <w:sz w:val="20"/>
                  <w:u w:val="single"/>
                </w:rPr>
                <w:t>Amended and Restated Nordstrom Insider Trading Policy</w:t>
              </w:r>
            </w:hyperlink>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wn-232024x10kex211.htm">
              <w:r>
                <w:rPr>
                  <w:rStyle w:val="InternetLink"/>
                  <w:rFonts w:ascii="Arial Narrow;sans-serif" w:hAnsi="Arial Narrow;sans-serif"/>
                  <w:b w:val="false"/>
                  <w:color w:val="0000FF"/>
                  <w:sz w:val="20"/>
                  <w:u w:val="single"/>
                </w:rPr>
                <w:t>Significant subsidiaries of the Registrant</w:t>
              </w:r>
            </w:hyperlink>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edfa625ac64f068feac7cf09039254_238">
              <w:r>
                <w:rPr>
                  <w:rStyle w:val="InternetLink"/>
                  <w:rFonts w:ascii="Arial Narrow;sans-serif" w:hAnsi="Arial Narrow;sans-serif"/>
                  <w:b w:val="false"/>
                  <w:color w:val="0000FF"/>
                  <w:sz w:val="20"/>
                  <w:u w:val="single"/>
                </w:rPr>
                <w:t>Consent of Independent Registered Public Accounting Firm</w:t>
              </w:r>
            </w:hyperlink>
            <w:r>
              <w:rPr>
                <w:rFonts w:ascii="Arial Narrow;sans-serif" w:hAnsi="Arial Narrow;sans-serif"/>
                <w:b w:val="false"/>
                <w:color w:val="000000"/>
                <w:sz w:val="20"/>
              </w:rPr>
              <w:t xml:space="preserve">, filed as page </w:t>
            </w:r>
            <w:hyperlink w:anchor="i32edfa625ac64f068feac7cf09039254_238">
              <w:r>
                <w:rPr>
                  <w:rStyle w:val="InternetLink"/>
                  <w:rFonts w:ascii="Arial Narrow;sans-serif" w:hAnsi="Arial Narrow;sans-serif"/>
                  <w:b w:val="false"/>
                  <w:color w:val="0000FF"/>
                  <w:sz w:val="20"/>
                  <w:u w:val="single"/>
                </w:rPr>
                <w:t>81</w:t>
              </w:r>
            </w:hyperlink>
            <w:r>
              <w:rPr>
                <w:color w:val="000000"/>
              </w:rPr>
              <w:t xml:space="preserve"> </w:t>
            </w:r>
            <w:r>
              <w:rPr>
                <w:rFonts w:ascii="Arial Narrow;sans-serif" w:hAnsi="Arial Narrow;sans-serif"/>
                <w:b w:val="false"/>
                <w:color w:val="000000"/>
                <w:sz w:val="20"/>
              </w:rPr>
              <w:t>of this report</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wn-232024x10kex311.htm">
              <w:r>
                <w:rPr>
                  <w:rStyle w:val="InternetLink"/>
                  <w:rFonts w:ascii="Arial Narrow;sans-serif" w:hAnsi="Arial Narrow;sans-serif"/>
                  <w:b w:val="false"/>
                  <w:color w:val="0000FF"/>
                  <w:sz w:val="20"/>
                  <w:u w:val="single"/>
                </w:rPr>
                <w:t>Certification of Chief Executive Officer required by Section 302(a) of the Sarbanes-Oxley Act of 2002</w:t>
              </w:r>
            </w:hyperlink>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wn-232024x10kex312.htm">
              <w:r>
                <w:rPr>
                  <w:rStyle w:val="InternetLink"/>
                  <w:rFonts w:ascii="Arial Narrow;sans-serif" w:hAnsi="Arial Narrow;sans-serif"/>
                  <w:b w:val="false"/>
                  <w:color w:val="0000FF"/>
                  <w:sz w:val="20"/>
                  <w:u w:val="single"/>
                </w:rPr>
                <w:t>Certification of Chief Financial Officer required by Section 302(a) of the Sarbanes-Oxley Act of 2002</w:t>
              </w:r>
            </w:hyperlink>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wn-232024x10kex321.htm">
              <w:r>
                <w:rPr>
                  <w:rStyle w:val="InternetLink"/>
                  <w:rFonts w:ascii="Arial Narrow;sans-serif" w:hAnsi="Arial Narrow;sans-serif"/>
                  <w:b w:val="false"/>
                  <w:color w:val="0000FF"/>
                  <w:sz w:val="20"/>
                  <w:u w:val="single"/>
                </w:rPr>
                <w:t>Certification of Chief Executive Officer and Chief Financial Officer pursuant to 18 U.S.C. 1350, as adopted pursuant to Section 906 of the Sarbanes-Oxley Act of 2002</w:t>
              </w:r>
            </w:hyperlink>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jwn-232024x10kex971.htm">
              <w:r>
                <w:rPr>
                  <w:rStyle w:val="InternetLink"/>
                  <w:rFonts w:ascii="Arial Narrow;sans-serif" w:hAnsi="Arial Narrow;sans-serif"/>
                  <w:b w:val="false"/>
                  <w:color w:val="0000FF"/>
                  <w:sz w:val="20"/>
                  <w:u w:val="single"/>
                </w:rPr>
                <w:t>Nordstrom, Inc. Clawback Policy</w:t>
              </w:r>
            </w:hyperlink>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Instance Document</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Schema Document</w:t>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06705"/>
                <wp:effectExtent l="0" t="0" r="0" b="0"/>
                <wp:wrapNone/>
                <wp:docPr id="80" name="Frame7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78</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tbl>
      <w:tblPr>
        <w:tblW w:w="8726" w:type="dxa"/>
        <w:jc w:val="left"/>
        <w:tblInd w:w="0" w:type="dxa"/>
        <w:tblLayout w:type="fixed"/>
        <w:tblCellMar>
          <w:top w:w="28" w:type="dxa"/>
          <w:left w:w="28" w:type="dxa"/>
          <w:bottom w:w="28" w:type="dxa"/>
          <w:right w:w="28" w:type="dxa"/>
        </w:tblCellMar>
      </w:tblPr>
      <w:tblGrid>
        <w:gridCol w:w="277"/>
        <w:gridCol w:w="242"/>
        <w:gridCol w:w="246"/>
        <w:gridCol w:w="109"/>
        <w:gridCol w:w="109"/>
        <w:gridCol w:w="109"/>
        <w:gridCol w:w="109"/>
        <w:gridCol w:w="109"/>
        <w:gridCol w:w="109"/>
        <w:gridCol w:w="1618"/>
        <w:gridCol w:w="1618"/>
        <w:gridCol w:w="1639"/>
        <w:gridCol w:w="238"/>
        <w:gridCol w:w="238"/>
        <w:gridCol w:w="238"/>
        <w:gridCol w:w="238"/>
        <w:gridCol w:w="238"/>
        <w:gridCol w:w="238"/>
        <w:gridCol w:w="291"/>
        <w:gridCol w:w="291"/>
        <w:gridCol w:w="422"/>
      </w:tblGrid>
      <w:tr>
        <w:trPr/>
        <w:tc>
          <w:tcPr>
            <w:tcW w:w="27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7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7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Calculation Linkbase Document</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Labels Linkbase Document</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Presentation Linkbase Document</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Definition Linkbase Document</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Cover Page Interactive Data File (Inline XBRL)</w:t>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2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 Management contract, compensatory plan or arrangement</w:t>
            </w:r>
          </w:p>
        </w:tc>
      </w:tr>
      <w:tr>
        <w:trPr/>
        <w:tc>
          <w:tcPr>
            <w:tcW w:w="8726" w:type="dxa"/>
            <w:gridSpan w:val="21"/>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Arial Narrow;sans-serif" w:hAnsi="Arial Narrow;sans-serif"/>
                <w:b w:val="false"/>
                <w:color w:val="000000"/>
                <w:sz w:val="16"/>
              </w:rPr>
              <w:t>Filed herewith electronically</w:t>
            </w:r>
          </w:p>
        </w:tc>
      </w:tr>
      <w:tr>
        <w:trPr/>
        <w:tc>
          <w:tcPr>
            <w:tcW w:w="8726" w:type="dxa"/>
            <w:gridSpan w:val="21"/>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Arial Narrow;sans-serif" w:hAnsi="Arial Narrow;sans-serif"/>
                <w:b w:val="false"/>
                <w:color w:val="000000"/>
                <w:sz w:val="16"/>
              </w:rPr>
              <w:t>Furnished herewith electronically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81" name="Frame7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lef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79</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SIGNATURES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689" w:type="dxa"/>
        <w:jc w:val="left"/>
        <w:tblInd w:w="0" w:type="dxa"/>
        <w:tblLayout w:type="fixed"/>
        <w:tblCellMar>
          <w:top w:w="28" w:type="dxa"/>
          <w:left w:w="28" w:type="dxa"/>
          <w:bottom w:w="28" w:type="dxa"/>
          <w:right w:w="28" w:type="dxa"/>
        </w:tblCellMar>
      </w:tblPr>
      <w:tblGrid>
        <w:gridCol w:w="124"/>
        <w:gridCol w:w="109"/>
        <w:gridCol w:w="109"/>
        <w:gridCol w:w="407"/>
        <w:gridCol w:w="407"/>
        <w:gridCol w:w="407"/>
        <w:gridCol w:w="407"/>
        <w:gridCol w:w="407"/>
        <w:gridCol w:w="415"/>
        <w:gridCol w:w="555"/>
        <w:gridCol w:w="555"/>
        <w:gridCol w:w="7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NORDSTROM, INC.</w:t>
            </w:r>
          </w:p>
        </w:tc>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(Registrant)</w:t>
            </w:r>
          </w:p>
        </w:tc>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1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Cathy R.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Cathy R.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(Principal Financial Officer and Principal Accounting Officer)</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Date: March 19,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left"/>
        <w:rPr/>
      </w:pPr>
      <w:r>
        <w:rPr/>
      </w:r>
    </w:p>
    <w:tbl>
      <w:tblPr>
        <w:tblW w:w="8164" w:type="dxa"/>
        <w:jc w:val="left"/>
        <w:tblInd w:w="0" w:type="dxa"/>
        <w:tblLayout w:type="fixed"/>
        <w:tblCellMar>
          <w:top w:w="28" w:type="dxa"/>
          <w:left w:w="28" w:type="dxa"/>
          <w:bottom w:w="28" w:type="dxa"/>
          <w:right w:w="28" w:type="dxa"/>
        </w:tblCellMar>
      </w:tblPr>
      <w:tblGrid>
        <w:gridCol w:w="786"/>
        <w:gridCol w:w="688"/>
        <w:gridCol w:w="688"/>
        <w:gridCol w:w="688"/>
        <w:gridCol w:w="688"/>
        <w:gridCol w:w="706"/>
        <w:gridCol w:w="109"/>
        <w:gridCol w:w="109"/>
        <w:gridCol w:w="109"/>
        <w:gridCol w:w="313"/>
        <w:gridCol w:w="313"/>
        <w:gridCol w:w="313"/>
        <w:gridCol w:w="768"/>
        <w:gridCol w:w="768"/>
        <w:gridCol w:w="1118"/>
      </w:tblGrid>
      <w:tr>
        <w:trPr/>
        <w:tc>
          <w:tcPr>
            <w:tcW w:w="7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42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Principal Executive Officer:</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Cathy R.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Erik B. Nordstrom</w:t>
            </w:r>
          </w:p>
        </w:tc>
      </w:tr>
      <w:tr>
        <w:trPr/>
        <w:tc>
          <w:tcPr>
            <w:tcW w:w="2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Cathy R.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Erik B. Nordstrom</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19, 2024</w:t>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Stacy Brown-Philpot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James L. Donald</w:t>
            </w:r>
          </w:p>
        </w:tc>
      </w:tr>
      <w:tr>
        <w:trPr/>
        <w:tc>
          <w:tcPr>
            <w:tcW w:w="2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Stacy Brown-Philpot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James L. Donald</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Director</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15, 2024</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Kirsten A. 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Glenda G. McNeal</w:t>
            </w:r>
          </w:p>
        </w:tc>
      </w:tr>
      <w:tr>
        <w:trPr/>
        <w:tc>
          <w:tcPr>
            <w:tcW w:w="2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Kirsten A. Green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Glenda G. McNeal</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Director</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15, 2024</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Erik B. Nordstrom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Peter E. Nordstrom</w:t>
            </w:r>
          </w:p>
        </w:tc>
      </w:tr>
      <w:tr>
        <w:trPr/>
        <w:tc>
          <w:tcPr>
            <w:tcW w:w="2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Erik B. Nordstrom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Peter E. Nordstrom</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Director</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19, 2024</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Amie Thuener O’Toole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Guy B. Persaud</w:t>
            </w:r>
          </w:p>
        </w:tc>
      </w:tr>
      <w:tr>
        <w:trPr/>
        <w:tc>
          <w:tcPr>
            <w:tcW w:w="2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Amie Thuener O’Toole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Guy B. Persaud</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Director</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15, 2024</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Eric D. Sprunk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Bradley D. Tilden</w:t>
            </w:r>
          </w:p>
        </w:tc>
      </w:tr>
      <w:tr>
        <w:trPr/>
        <w:tc>
          <w:tcPr>
            <w:tcW w:w="2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Eric D. Sprunk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Bradley D. Tilden</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Chairman of the Board of Directors</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15, 2024</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Mark J. Tritton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Atticus N. Tysen</w:t>
            </w:r>
          </w:p>
        </w:tc>
      </w:tr>
      <w:tr>
        <w:trPr/>
        <w:tc>
          <w:tcPr>
            <w:tcW w:w="2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Mark J. Tritton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Atticus N. Tysen</w:t>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Director</w:t>
            </w:r>
          </w:p>
        </w:tc>
      </w:tr>
      <w:tr>
        <w:trPr/>
        <w:tc>
          <w:tcPr>
            <w:tcW w:w="21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15, 2024</w:t>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vAlign w:val="center"/>
          </w:tcPr>
          <w:p>
            <w:pPr>
              <w:pStyle w:val="TableContents"/>
              <w:bidi w:val="0"/>
              <w:spacing w:before="0" w:after="283"/>
              <w:jc w:val="left"/>
              <w:rPr>
                <w:sz w:val="4"/>
                <w:szCs w:val="4"/>
              </w:rPr>
            </w:pPr>
            <w:r>
              <w:rPr>
                <w:sz w:val="4"/>
                <w:szCs w:val="4"/>
              </w:rPr>
            </w:r>
          </w:p>
        </w:tc>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2654" w:type="dxa"/>
            <w:gridSpan w:val="3"/>
            <w:tcBorders/>
            <w:vAlign w:val="center"/>
          </w:tcPr>
          <w:p>
            <w:pPr>
              <w:pStyle w:val="TableContents"/>
              <w:bidi w:val="0"/>
              <w:spacing w:before="0" w:after="283"/>
              <w:jc w:val="left"/>
              <w:rPr>
                <w:sz w:val="4"/>
                <w:szCs w:val="4"/>
              </w:rPr>
            </w:pPr>
            <w:r>
              <w:rPr>
                <w:sz w:val="4"/>
                <w:szCs w:val="4"/>
              </w:rPr>
            </w:r>
          </w:p>
        </w:tc>
      </w:tr>
      <w:tr>
        <w:trPr/>
        <w:tc>
          <w:tcPr>
            <w:tcW w:w="2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06705"/>
                <wp:effectExtent l="0" t="0" r="0" b="0"/>
                <wp:wrapNone/>
                <wp:docPr id="82" name="Frame8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18"/>
                        </w:rPr>
                      </w:pPr>
                      <w:r>
                        <w:rPr>
                          <w:rFonts w:ascii="Arial Narrow;sans-serif" w:hAnsi="Arial Narrow;sans-serif"/>
                          <w:b w:val="false"/>
                          <w:color w:val="000000"/>
                          <w:sz w:val="18"/>
                        </w:rPr>
                        <w:t>80</w:t>
                      </w:r>
                    </w:p>
                  </w:txbxContent>
                </v:textbox>
                <w10:wrap type="none"/>
              </v:rect>
            </w:pict>
          </mc:Fallback>
        </mc:AlternateContent>
      </w:r>
    </w:p>
    <w:p>
      <w:pPr>
        <w:pStyle w:val="TextBody"/>
        <w:bidi w:val="0"/>
        <w:spacing w:lineRule="auto" w:line="288" w:before="0" w:after="0"/>
        <w:jc w:val="left"/>
        <w:rPr/>
      </w:pPr>
      <w:hyperlink w:anchor="i32edfa625ac64f068feac7cf09039254_16">
        <w:r>
          <w:rPr>
            <w:rStyle w:val="InternetLink"/>
            <w:rFonts w:ascii="Arial Narrow;sans-serif" w:hAnsi="Arial Narrow;sans-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CONSENT OF INDEPENDENT REGISTERED PUBLIC ACCOUNTING FIRM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consent to the incorporation by reference in Registration Statement Nos. 333-239087, 333-239086, 333-239083, 333-231969, 333-225295, 333-211825, 333-207396, 333-198413, 333-189301, 333-166961, 333-161803, 333-275859, 333-275861, 333-275864, on Form S-8 and Registration Statement No. 333-230379 on Form S-3 of our reports dated March 19, 2024, relating to the financial statements of Nordstrom Inc. and subsidiaries, and the effectiveness of Nordstrom, Inc. and subsidiaries’ internal control over financial reporting, appearing in the Annual Report on Form 10-K of Nordstrom, Inc. for the year ended February 3, 2024.</w:t>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/s/ Deloitte &amp; Touche LLP</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Seattle, Washington</w:t>
      </w:r>
    </w:p>
    <w:p>
      <w:pPr>
        <w:pStyle w:val="TextBody"/>
        <w:bidi w:val="0"/>
        <w:spacing w:lineRule="auto" w:line="288"/>
        <w:jc w:val="left"/>
        <w:rPr>
          <w:rFonts w:ascii="Arial Narrow;sans-serif" w:hAnsi="Arial Narrow;sans-serif"/>
          <w:b w:val="false"/>
          <w:color w:val="000000"/>
          <w:sz w:val="20"/>
        </w:rPr>
      </w:pPr>
      <w:r>
        <w:rPr>
          <w:rFonts w:ascii="Arial Narrow;sans-serif" w:hAnsi="Arial Narrow;sans-serif"/>
          <w:b w:val="false"/>
          <w:color w:val="000000"/>
          <w:sz w:val="20"/>
        </w:rPr>
        <w:t>March 19,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3" name="Frame8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right"/>
                        <w:rPr/>
                      </w:pPr>
                      <w:r>
                        <w:rPr>
                          <w:rFonts w:ascii="Arial Narrow;sans-serif" w:hAnsi="Arial Narrow;sans-serif"/>
                          <w:b w:val="false"/>
                          <w:color w:val="000000"/>
                          <w:sz w:val="14"/>
                        </w:rPr>
                        <w:t>Nordstrom, Inc. and subsidiaries</w:t>
                      </w:r>
                      <w:r>
                        <w:rPr>
                          <w:color w:val="000000"/>
                        </w:rPr>
                        <w:t xml:space="preserve"> </w:t>
                      </w:r>
                      <w:r>
                        <w:rPr>
                          <w:rFonts w:ascii="Arial Narrow;sans-serif" w:hAnsi="Arial Narrow;sans-serif"/>
                          <w:b w:val="false"/>
                          <w:color w:val="000000"/>
                          <w:sz w:val="18"/>
                        </w:rPr>
                        <w:t>81</w:t>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19.1</w:t>
      </w:r>
    </w:p>
    <w:p>
      <w:pPr>
        <w:pStyle w:val="TextBody"/>
        <w:bidi w:val="0"/>
        <w:spacing w:before="0" w:after="0"/>
        <w:jc w:val="left"/>
        <w:rPr/>
      </w:pPr>
      <w:r>
        <w:rPr/>
        <w:drawing>
          <wp:inline distT="0" distB="0" distL="0" distR="0">
            <wp:extent cx="1857375" cy="257175"/>
            <wp:effectExtent l="0" t="0" r="0" b="0"/>
            <wp:docPr id="8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 descr=""/>
                    <pic:cNvPicPr>
                      <a:picLocks noChangeAspect="1" noChangeArrowheads="1"/>
                    </pic:cNvPicPr>
                  </pic:nvPicPr>
                  <pic:blipFill>
                    <a:blip r:embed="rId65"/>
                    <a:stretch>
                      <a:fillRect/>
                    </a:stretch>
                  </pic:blipFill>
                  <pic:spPr bwMode="auto">
                    <a:xfrm>
                      <a:off x="0" y="0"/>
                      <a:ext cx="1857375" cy="257175"/>
                    </a:xfrm>
                    <a:prstGeom prst="rect">
                      <a:avLst/>
                    </a:prstGeom>
                  </pic:spPr>
                </pic:pic>
              </a:graphicData>
            </a:graphic>
          </wp:inline>
        </w:drawing>
      </w:r>
    </w:p>
    <w:p>
      <w:pPr>
        <w:pStyle w:val="TextBody"/>
        <w:bidi w:val="0"/>
        <w:spacing w:before="42" w:after="283"/>
        <w:jc w:val="left"/>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AMENDED AND RESTATED</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NORDSTROM INSIDER TRADING POLICY (THE “POLICY”)</w:t>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(As Amended and Restated on February 28, 2023)</w:t>
      </w:r>
    </w:p>
    <w:p>
      <w:pPr>
        <w:pStyle w:val="TextBody"/>
        <w:bidi w:val="0"/>
        <w:spacing w:before="0" w:after="0"/>
        <w:jc w:val="left"/>
        <w:rPr/>
      </w:pPr>
      <w:r>
        <w:rPr/>
      </w:r>
    </w:p>
    <w:p>
      <w:pPr>
        <w:pStyle w:val="TextBody"/>
        <w:bidi w:val="0"/>
        <w:spacing w:lineRule="auto" w:line="240" w:before="0" w:after="0"/>
        <w:ind w:left="0" w:right="0" w:hanging="200"/>
        <w:jc w:val="left"/>
        <w:rPr>
          <w:rFonts w:ascii="Arial;sans-serif" w:hAnsi="Arial;sans-serif"/>
          <w:b/>
          <w:color w:val="000000"/>
          <w:sz w:val="24"/>
          <w:u w:val="single"/>
        </w:rPr>
      </w:pPr>
      <w:r>
        <w:rPr>
          <w:rFonts w:ascii="Arial;sans-serif" w:hAnsi="Arial;sans-serif"/>
          <w:b/>
          <w:color w:val="000000"/>
          <w:sz w:val="24"/>
          <w:u w:val="single"/>
        </w:rPr>
        <w:t>1. Purpose</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4"/>
        </w:rPr>
      </w:pPr>
      <w:r>
        <w:rPr>
          <w:rFonts w:ascii="Arial;sans-serif" w:hAnsi="Arial;sans-serif"/>
          <w:b w:val="false"/>
          <w:color w:val="000000"/>
          <w:sz w:val="24"/>
        </w:rPr>
        <w:t>Nordstrom (“Nordstrom” or the “Company”) is a publicly held company listed on the New York Stock Exchange and has adopted this Policy to help its directors, officers, employees, and contractors comply with insider trading laws, to prevent the appearance of improper insider trading, and to protect the Company’s reputation for integrity and ethical conduct. The securities rules do not recognize any mitigating circumstances, and even the appearance of an improper transaction must be avoided to preserve the Company’s reputation for adhering to the highest standards of conduct.</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4"/>
        </w:rPr>
      </w:pPr>
      <w:r>
        <w:rPr>
          <w:rFonts w:ascii="Arial;sans-serif" w:hAnsi="Arial;sans-serif"/>
          <w:b w:val="false"/>
          <w:color w:val="000000"/>
          <w:sz w:val="24"/>
        </w:rPr>
        <w:t>While this Policy is intended to assist and guide you with complying with the requirements of the insider trading laws, it remains your obligation to ensure that you are in compliance with all applicable laws, rules and regulations pertaining to trading in the Company’s securities. You are responsible for understanding and complying with this Policy.</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4"/>
        </w:rPr>
      </w:pPr>
      <w:r>
        <w:rPr>
          <w:rFonts w:ascii="Arial;sans-serif" w:hAnsi="Arial;sans-serif"/>
          <w:b w:val="false"/>
          <w:color w:val="000000"/>
          <w:sz w:val="24"/>
        </w:rPr>
        <w:t>Should you have any questions about this Policy, please contact the General Counsel at corporatesecretary@nordstrom.com.</w:t>
      </w:r>
    </w:p>
    <w:p>
      <w:pPr>
        <w:pStyle w:val="TextBody"/>
        <w:bidi w:val="0"/>
        <w:spacing w:before="0" w:after="0"/>
        <w:jc w:val="left"/>
        <w:rPr/>
      </w:pPr>
      <w:r>
        <w:rPr/>
      </w:r>
    </w:p>
    <w:p>
      <w:pPr>
        <w:pStyle w:val="TextBody"/>
        <w:bidi w:val="0"/>
        <w:spacing w:lineRule="auto" w:line="240" w:before="0" w:after="0"/>
        <w:ind w:left="0" w:right="0" w:hanging="200"/>
        <w:jc w:val="left"/>
        <w:rPr>
          <w:rFonts w:ascii="Arial;sans-serif" w:hAnsi="Arial;sans-serif"/>
          <w:b/>
          <w:color w:val="000000"/>
          <w:sz w:val="24"/>
          <w:u w:val="single"/>
        </w:rPr>
      </w:pPr>
      <w:r>
        <w:rPr>
          <w:rFonts w:ascii="Arial;sans-serif" w:hAnsi="Arial;sans-serif"/>
          <w:b/>
          <w:color w:val="000000"/>
          <w:sz w:val="24"/>
          <w:u w:val="single"/>
        </w:rPr>
        <w:t>2. Scope</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This Policy applies to the list below (collectively referred to as “Covered Persons”):</w:t>
      </w:r>
    </w:p>
    <w:p>
      <w:pPr>
        <w:pStyle w:val="TextBody"/>
        <w:bidi w:val="0"/>
        <w:spacing w:before="0" w:after="0"/>
        <w:jc w:val="left"/>
        <w:rPr/>
      </w:pPr>
      <w:r>
        <w:rPr/>
      </w:r>
    </w:p>
    <w:p>
      <w:pPr>
        <w:pStyle w:val="TextBody"/>
        <w:bidi w:val="0"/>
        <w:spacing w:lineRule="auto" w:line="240" w:before="0" w:after="0"/>
        <w:ind w:left="0" w:right="0" w:hanging="720"/>
        <w:jc w:val="both"/>
        <w:rPr>
          <w:rFonts w:ascii="Arial;sans-serif" w:hAnsi="Arial;sans-serif"/>
          <w:b w:val="false"/>
          <w:color w:val="000000"/>
          <w:sz w:val="24"/>
        </w:rPr>
      </w:pPr>
      <w:r>
        <w:rPr>
          <w:rFonts w:ascii="Arial;sans-serif" w:hAnsi="Arial;sans-serif"/>
          <w:b w:val="false"/>
          <w:color w:val="000000"/>
          <w:sz w:val="24"/>
        </w:rPr>
        <w:t>1.all directors, officers, employees, as well as their respective Immediate Family Members (as defined below);</w:t>
      </w:r>
    </w:p>
    <w:p>
      <w:pPr>
        <w:pStyle w:val="TextBody"/>
        <w:bidi w:val="0"/>
        <w:spacing w:lineRule="auto" w:line="240" w:before="0" w:after="0"/>
        <w:ind w:left="0" w:right="0" w:hanging="720"/>
        <w:jc w:val="both"/>
        <w:rPr>
          <w:rFonts w:ascii="Arial;sans-serif" w:hAnsi="Arial;sans-serif"/>
          <w:b w:val="false"/>
          <w:color w:val="000000"/>
          <w:sz w:val="24"/>
        </w:rPr>
      </w:pPr>
      <w:r>
        <w:rPr>
          <w:rFonts w:ascii="Arial;sans-serif" w:hAnsi="Arial;sans-serif"/>
          <w:b w:val="false"/>
          <w:color w:val="000000"/>
          <w:sz w:val="24"/>
        </w:rPr>
        <w:t>2.contractors who have, or are likely to have, access to material nonpublic information (“MNPI”) from time to time; and</w:t>
      </w:r>
    </w:p>
    <w:p>
      <w:pPr>
        <w:pStyle w:val="TextBody"/>
        <w:bidi w:val="0"/>
        <w:spacing w:lineRule="auto" w:line="240" w:before="1" w:after="283"/>
        <w:ind w:left="0" w:right="0" w:hanging="720"/>
        <w:jc w:val="both"/>
        <w:rPr>
          <w:rFonts w:ascii="Arial;sans-serif" w:hAnsi="Arial;sans-serif"/>
          <w:b w:val="false"/>
          <w:color w:val="000000"/>
          <w:sz w:val="24"/>
        </w:rPr>
      </w:pPr>
      <w:r>
        <w:rPr>
          <w:rFonts w:ascii="Arial;sans-serif" w:hAnsi="Arial;sans-serif"/>
          <w:b w:val="false"/>
          <w:color w:val="000000"/>
          <w:sz w:val="24"/>
        </w:rPr>
        <w:t>3.any entities that you influence or control (including corporations, limited liability companies, partnerships, or trusts). For entities that are venture or similar investment funds, you have influence or control of the shares held by those funds if you can vote or dispose of them. Any transactions by entities that you have influence or control over should be treated for purposes of this Policy and applicable securities laws as if they were for your own account. You are responsible for ensuring compliance with this Policy by any such person or entity that you influence or control.</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before="8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5"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Except as provided in Section 3.D below, this Policy applies to all trading or other transactions in:</w:t>
      </w:r>
    </w:p>
    <w:p>
      <w:pPr>
        <w:pStyle w:val="TextBody"/>
        <w:bidi w:val="0"/>
        <w:spacing w:before="0" w:after="0"/>
        <w:jc w:val="left"/>
        <w:rPr/>
      </w:pPr>
      <w:r>
        <w:rPr/>
      </w:r>
    </w:p>
    <w:p>
      <w:pPr>
        <w:pStyle w:val="TextBody"/>
        <w:bidi w:val="0"/>
        <w:spacing w:lineRule="auto" w:line="240" w:before="0" w:after="0"/>
        <w:ind w:left="0" w:right="0" w:hanging="720"/>
        <w:jc w:val="both"/>
        <w:rPr>
          <w:rFonts w:ascii="Arial;sans-serif" w:hAnsi="Arial;sans-serif"/>
          <w:b w:val="false"/>
          <w:color w:val="000000"/>
          <w:sz w:val="24"/>
        </w:rPr>
      </w:pPr>
      <w:r>
        <w:rPr>
          <w:rFonts w:ascii="Arial;sans-serif" w:hAnsi="Arial;sans-serif"/>
          <w:b w:val="false"/>
          <w:color w:val="000000"/>
          <w:sz w:val="24"/>
        </w:rPr>
        <w:t>1.the Company's securities, including common stock, options, restricted stock units and any other securities that the Company may issue, as well as to derivative securities relating to any of the Company's securities, whether or not issued by the Company; and</w:t>
      </w:r>
    </w:p>
    <w:p>
      <w:pPr>
        <w:pStyle w:val="TextBody"/>
        <w:bidi w:val="0"/>
        <w:spacing w:lineRule="auto" w:line="240" w:before="0" w:after="0"/>
        <w:ind w:left="0" w:right="0" w:hanging="720"/>
        <w:jc w:val="both"/>
        <w:rPr>
          <w:rFonts w:ascii="Arial;sans-serif" w:hAnsi="Arial;sans-serif"/>
          <w:b w:val="false"/>
          <w:color w:val="000000"/>
          <w:sz w:val="24"/>
        </w:rPr>
      </w:pPr>
      <w:r>
        <w:rPr>
          <w:rFonts w:ascii="Arial;sans-serif" w:hAnsi="Arial;sans-serif"/>
          <w:b w:val="false"/>
          <w:color w:val="000000"/>
          <w:sz w:val="24"/>
        </w:rPr>
        <w:t>2.the securities of certain other companies (including, but not limited to, customers and suppliers and those with whom the Company may be negotiating major transactions, such as an acquisition, investment, or sale), including common stock, options and other securities issued by those companies as well as derivative securities relating to any of those companies' securities.</w:t>
      </w:r>
    </w:p>
    <w:p>
      <w:pPr>
        <w:pStyle w:val="TextBody"/>
        <w:bidi w:val="0"/>
        <w:spacing w:before="0" w:after="0"/>
        <w:jc w:val="left"/>
        <w:rPr/>
      </w:pPr>
      <w:r>
        <w:rPr/>
      </w:r>
    </w:p>
    <w:p>
      <w:pPr>
        <w:pStyle w:val="TextBody"/>
        <w:bidi w:val="0"/>
        <w:spacing w:lineRule="auto" w:line="240" w:before="0" w:after="0"/>
        <w:ind w:left="0" w:right="0" w:hanging="201"/>
        <w:jc w:val="left"/>
        <w:rPr/>
      </w:pPr>
      <w:r>
        <w:rPr>
          <w:rFonts w:ascii="Arial;sans-serif" w:hAnsi="Arial;sans-serif"/>
          <w:b/>
          <w:color w:val="000000"/>
          <w:sz w:val="24"/>
          <w:u w:val="single"/>
        </w:rPr>
        <w:t>3.</w:t>
      </w:r>
      <w:r>
        <w:rPr>
          <w:color w:val="000000"/>
          <w:u w:val="single"/>
        </w:rPr>
        <w:t xml:space="preserve"> </w:t>
      </w:r>
      <w:r>
        <w:rPr>
          <w:rFonts w:ascii="Arial;sans-serif" w:hAnsi="Arial;sans-serif"/>
          <w:b/>
          <w:color w:val="000000"/>
          <w:sz w:val="24"/>
          <w:u w:val="single"/>
        </w:rPr>
        <w:t>General Policy</w:t>
      </w:r>
    </w:p>
    <w:p>
      <w:pPr>
        <w:pStyle w:val="TextBody"/>
        <w:bidi w:val="0"/>
        <w:spacing w:before="0" w:after="0"/>
        <w:jc w:val="left"/>
        <w:rPr/>
      </w:pPr>
      <w:r>
        <w:rPr/>
      </w:r>
    </w:p>
    <w:p>
      <w:pPr>
        <w:pStyle w:val="TextBody"/>
        <w:bidi w:val="0"/>
        <w:spacing w:lineRule="auto" w:line="240" w:before="1" w:after="283"/>
        <w:ind w:left="0" w:right="0" w:hanging="359"/>
        <w:jc w:val="left"/>
        <w:rPr>
          <w:rFonts w:ascii="Arial;sans-serif" w:hAnsi="Arial;sans-serif"/>
          <w:b/>
          <w:color w:val="000000"/>
          <w:sz w:val="24"/>
        </w:rPr>
      </w:pPr>
      <w:r>
        <w:rPr>
          <w:rFonts w:ascii="Arial;sans-serif" w:hAnsi="Arial;sans-serif"/>
          <w:b/>
          <w:color w:val="000000"/>
          <w:sz w:val="24"/>
        </w:rPr>
        <w:t>A.Prohibited Activities</w:t>
      </w:r>
    </w:p>
    <w:p>
      <w:pPr>
        <w:pStyle w:val="TextBody"/>
        <w:bidi w:val="0"/>
        <w:spacing w:lineRule="auto" w:line="240" w:before="276" w:after="283"/>
        <w:jc w:val="left"/>
        <w:rPr>
          <w:rFonts w:ascii="Arial;sans-serif" w:hAnsi="Arial;sans-serif"/>
          <w:b w:val="false"/>
          <w:color w:val="000000"/>
          <w:sz w:val="24"/>
        </w:rPr>
      </w:pPr>
      <w:r>
        <w:rPr>
          <w:rFonts w:ascii="Arial;sans-serif" w:hAnsi="Arial;sans-serif"/>
          <w:b w:val="false"/>
          <w:color w:val="000000"/>
          <w:sz w:val="24"/>
        </w:rPr>
        <w:t>The following activities are prohibited for all Covered Persons.</w:t>
      </w:r>
    </w:p>
    <w:p>
      <w:pPr>
        <w:pStyle w:val="TextBody"/>
        <w:bidi w:val="0"/>
        <w:spacing w:lineRule="auto" w:line="240" w:before="276" w:after="283"/>
        <w:ind w:left="0" w:right="0" w:hanging="360"/>
        <w:jc w:val="both"/>
        <w:rPr/>
      </w:pPr>
      <w:r>
        <w:rPr>
          <w:rFonts w:ascii="Arial;sans-serif" w:hAnsi="Arial;sans-serif"/>
          <w:b w:val="false"/>
          <w:color w:val="000000"/>
          <w:sz w:val="24"/>
        </w:rPr>
        <w:t>1.</w:t>
      </w:r>
      <w:r>
        <w:rPr>
          <w:rFonts w:ascii="Arial;sans-serif" w:hAnsi="Arial;sans-serif"/>
          <w:b w:val="false"/>
          <w:color w:val="000000"/>
          <w:sz w:val="24"/>
          <w:u w:val="single"/>
        </w:rPr>
        <w:t>Trading in Company Securities While Aware of MNPI</w:t>
      </w:r>
      <w:r>
        <w:rPr>
          <w:rFonts w:ascii="Arial;sans-serif" w:hAnsi="Arial;sans-serif"/>
          <w:b w:val="false"/>
          <w:color w:val="000000"/>
          <w:sz w:val="24"/>
        </w:rPr>
        <w:t>. No Covered Person may buy, sell, or otherwise trade in Company securities while aware of MNPI concerning the Company. It makes no difference whether or not you relied upon or used MNPI in deciding to trade – if you are aware of MNPI about Nordstrom, the prohibition applies.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2.</w:t>
      </w:r>
      <w:r>
        <w:rPr>
          <w:rFonts w:ascii="Arial;sans-serif" w:hAnsi="Arial;sans-serif"/>
          <w:b w:val="false"/>
          <w:color w:val="000000"/>
          <w:sz w:val="24"/>
          <w:u w:val="single"/>
        </w:rPr>
        <w:t>Tipping</w:t>
      </w:r>
      <w:r>
        <w:rPr>
          <w:rFonts w:ascii="Arial;sans-serif" w:hAnsi="Arial;sans-serif"/>
          <w:b w:val="false"/>
          <w:color w:val="000000"/>
          <w:sz w:val="24"/>
        </w:rPr>
        <w:t>. Providing MNPI to another person who may trade or advise others to trade based on that information is known as “tipping” and is illegal. No Covered Person may “tip” or provide MNPI concerning the Company to any person other than a director, officer, or employee of the Company, unless required as part of that Covered Person’s regular duties for the Company or authorized by the General Counsel.</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3.</w:t>
      </w:r>
      <w:r>
        <w:rPr>
          <w:rFonts w:ascii="Arial;sans-serif" w:hAnsi="Arial;sans-serif"/>
          <w:b w:val="false"/>
          <w:color w:val="000000"/>
          <w:sz w:val="24"/>
          <w:u w:val="single"/>
        </w:rPr>
        <w:t>Giving Trading Advice</w:t>
      </w:r>
      <w:r>
        <w:rPr>
          <w:rFonts w:ascii="Arial;sans-serif" w:hAnsi="Arial;sans-serif"/>
          <w:b w:val="false"/>
          <w:color w:val="000000"/>
          <w:sz w:val="24"/>
        </w:rPr>
        <w:t>. No Covered Person may give trading advice of any kind about the Company to anyone, except that Covered Persons should advise other Covered Persons not to trade if trading might violate the law or this Policy.</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4.</w:t>
      </w:r>
      <w:r>
        <w:rPr>
          <w:rFonts w:ascii="Arial;sans-serif" w:hAnsi="Arial;sans-serif"/>
          <w:b w:val="false"/>
          <w:color w:val="000000"/>
          <w:sz w:val="24"/>
          <w:u w:val="single"/>
        </w:rPr>
        <w:t>Engaging in Short Sales</w:t>
      </w:r>
      <w:r>
        <w:rPr>
          <w:rFonts w:ascii="Arial;sans-serif" w:hAnsi="Arial;sans-serif"/>
          <w:b w:val="false"/>
          <w:color w:val="000000"/>
          <w:sz w:val="24"/>
        </w:rPr>
        <w:t>. No Covered Person may engage in short sales of Company securities. A short sale is the sale of a security that the seller does not own at the time of the trade. Shorting, or short-selling, is when an investor borrows shares and immediately sells them, hoping he or she can buy shares later at a lower price to replace the shares that were borrowed, return them to the lender and pocket the difference. Short sales have the potential to signal to the market that the seller lacks confidence in the Company’s prospects. In addition, short sales may reduce a seller’s incentive to improve the Company’s performance.</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5.</w:t>
      </w:r>
      <w:r>
        <w:rPr>
          <w:rFonts w:ascii="Arial;sans-serif" w:hAnsi="Arial;sans-serif"/>
          <w:b w:val="false"/>
          <w:color w:val="000000"/>
          <w:sz w:val="24"/>
          <w:u w:val="single"/>
        </w:rPr>
        <w:t>Engaging in Derivative Transactions</w:t>
      </w:r>
      <w:r>
        <w:rPr>
          <w:rFonts w:ascii="Arial;sans-serif" w:hAnsi="Arial;sans-serif"/>
          <w:b w:val="false"/>
          <w:color w:val="000000"/>
          <w:sz w:val="24"/>
        </w:rPr>
        <w:t>. No Covered Person may engage in transactions in puts, calls or other derivative instruments that relate to or involve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6"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both"/>
        <w:rPr>
          <w:rFonts w:ascii="Arial;sans-serif" w:hAnsi="Arial;sans-serif"/>
          <w:b w:val="false"/>
          <w:color w:val="000000"/>
          <w:sz w:val="24"/>
        </w:rPr>
      </w:pPr>
      <w:r>
        <w:rPr>
          <w:rFonts w:ascii="Arial;sans-serif" w:hAnsi="Arial;sans-serif"/>
          <w:b w:val="false"/>
          <w:color w:val="000000"/>
          <w:sz w:val="24"/>
        </w:rPr>
        <w:t>Company securities. Such transactions are, in effect, bets on short-term movements in the Company’s stock price and therefore create the appearance that the transaction is based on nonpublic information.</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6.</w:t>
      </w:r>
      <w:r>
        <w:rPr>
          <w:rFonts w:ascii="Arial;sans-serif" w:hAnsi="Arial;sans-serif"/>
          <w:b w:val="false"/>
          <w:color w:val="000000"/>
          <w:sz w:val="24"/>
          <w:u w:val="single"/>
        </w:rPr>
        <w:t>Hedging</w:t>
      </w:r>
      <w:r>
        <w:rPr>
          <w:rFonts w:ascii="Arial;sans-serif" w:hAnsi="Arial;sans-serif"/>
          <w:b w:val="false"/>
          <w:color w:val="000000"/>
          <w:sz w:val="24"/>
        </w:rPr>
        <w:t>. No Covered Person may engage in hedging transactions involving swaps, collars, or exchange funds. Such transactions are speculative in nature and allow the person to continue to own the covered securities, but without the full risks and rewards of ownership. When that occurs, the person may no longer have the same objectives as the Company’s other shareholders.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7.</w:t>
      </w:r>
      <w:r>
        <w:rPr>
          <w:rFonts w:ascii="Arial;sans-serif" w:hAnsi="Arial;sans-serif"/>
          <w:b w:val="false"/>
          <w:color w:val="000000"/>
          <w:sz w:val="24"/>
          <w:u w:val="single"/>
        </w:rPr>
        <w:t>Trading in Securities of Other Companies</w:t>
      </w:r>
      <w:r>
        <w:rPr>
          <w:rFonts w:ascii="Arial;sans-serif" w:hAnsi="Arial;sans-serif"/>
          <w:b w:val="false"/>
          <w:color w:val="000000"/>
          <w:sz w:val="24"/>
        </w:rPr>
        <w:t>. If a Covered Person possesses MNPI about any other company gained during his or her employment with Nordstrom, that Covered Person may not (a) trade in securities of the other company, (b) “tip” or disclose such MNPI concerning the other company to anyone, or (c) give trading advice of any kind to anyone concerning the other company.</w:t>
      </w:r>
    </w:p>
    <w:p>
      <w:pPr>
        <w:pStyle w:val="TextBody"/>
        <w:bidi w:val="0"/>
        <w:spacing w:before="0" w:after="0"/>
        <w:jc w:val="left"/>
        <w:rPr/>
      </w:pPr>
      <w:r>
        <w:rPr/>
      </w:r>
    </w:p>
    <w:p>
      <w:pPr>
        <w:pStyle w:val="TextBody"/>
        <w:bidi w:val="0"/>
        <w:spacing w:lineRule="auto" w:line="240" w:before="1" w:after="283"/>
        <w:ind w:left="0" w:right="0" w:hanging="360"/>
        <w:jc w:val="both"/>
        <w:rPr/>
      </w:pPr>
      <w:r>
        <w:rPr>
          <w:rFonts w:ascii="Arial;sans-serif" w:hAnsi="Arial;sans-serif"/>
          <w:b w:val="false"/>
          <w:color w:val="000000"/>
          <w:sz w:val="24"/>
        </w:rPr>
        <w:t>8.</w:t>
      </w:r>
      <w:r>
        <w:rPr>
          <w:rFonts w:ascii="Arial;sans-serif" w:hAnsi="Arial;sans-serif"/>
          <w:b w:val="false"/>
          <w:color w:val="000000"/>
          <w:sz w:val="24"/>
          <w:u w:val="single"/>
        </w:rPr>
        <w:t>MNPI Must Not Be Disclosed and Must Be Kept Confidential</w:t>
      </w:r>
      <w:r>
        <w:rPr>
          <w:rFonts w:ascii="Arial;sans-serif" w:hAnsi="Arial;sans-serif"/>
          <w:b w:val="false"/>
          <w:color w:val="000000"/>
          <w:sz w:val="24"/>
        </w:rPr>
        <w:t>. MNPI about Nordstrom or its business partners is the property of Nordstrom, and unauthorized disclosure or use of that information is strictly prohibited. MNPI should be maintained in confidence and should only be discussed with persons who “need to know.” You should exercise the utmost care in dealing with MNPI, avoiding conversations in public places involving information of a sensitive or confidential nature. Written information should be appropriately safeguarded and should not be left or stored where persons that are not entitled to the information may see it. The unauthorized disclosure of information could result in serious consequences to Nordstrom. Accordingly, it is important that responses to inquiries about the Company by the press, investment analysts or others in the financial or business community be made on the Company’s behalf only through authorized individuals. For additional details, please refer to the Regulation FD and Disclosure Policy of Nordstrom, Inc.</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9.</w:t>
      </w:r>
      <w:r>
        <w:rPr>
          <w:rFonts w:ascii="Arial;sans-serif" w:hAnsi="Arial;sans-serif"/>
          <w:b w:val="false"/>
          <w:color w:val="000000"/>
          <w:sz w:val="24"/>
          <w:u w:val="single"/>
        </w:rPr>
        <w:t>Post-Employment Transactions May be Prohibited</w:t>
      </w:r>
      <w:r>
        <w:rPr>
          <w:rFonts w:ascii="Arial;sans-serif" w:hAnsi="Arial;sans-serif"/>
          <w:b w:val="false"/>
          <w:color w:val="000000"/>
          <w:sz w:val="24"/>
        </w:rPr>
        <w:t>. The portions of this Policy relating to trading while in possession of MNPI and the use or disclosure of that information continue to apply to transactions in Company securities even after termination of employment or association with the Company. If you are aware of MNPI about Nordstrom when your employment or other business relationship with Nordstrom ends, you may not trade in Company securities or disclose the MNPI to anyone else until that information is made public or is no longer material.</w:t>
      </w:r>
    </w:p>
    <w:p>
      <w:pPr>
        <w:pStyle w:val="TextBody"/>
        <w:bidi w:val="0"/>
        <w:spacing w:before="0" w:after="0"/>
        <w:jc w:val="left"/>
        <w:rPr/>
      </w:pPr>
      <w:r>
        <w:rPr/>
      </w:r>
    </w:p>
    <w:p>
      <w:pPr>
        <w:pStyle w:val="TextBody"/>
        <w:bidi w:val="0"/>
        <w:spacing w:lineRule="auto" w:line="240" w:before="0" w:after="0"/>
        <w:ind w:left="0" w:right="0" w:hanging="359"/>
        <w:jc w:val="left"/>
        <w:rPr>
          <w:rFonts w:ascii="Arial;sans-serif" w:hAnsi="Arial;sans-serif"/>
          <w:b/>
          <w:color w:val="000000"/>
          <w:sz w:val="24"/>
        </w:rPr>
      </w:pPr>
      <w:r>
        <w:rPr>
          <w:rFonts w:ascii="Arial;sans-serif" w:hAnsi="Arial;sans-serif"/>
          <w:b/>
          <w:color w:val="000000"/>
          <w:sz w:val="24"/>
        </w:rPr>
        <w:t>B.Discouraged Activities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The following activities are discouraged for all Covered Persons.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1.</w:t>
      </w:r>
      <w:r>
        <w:rPr>
          <w:rFonts w:ascii="Arial;sans-serif" w:hAnsi="Arial;sans-serif"/>
          <w:b w:val="false"/>
          <w:color w:val="000000"/>
          <w:sz w:val="24"/>
          <w:u w:val="single"/>
        </w:rPr>
        <w:t>Frequent Trading</w:t>
      </w:r>
      <w:r>
        <w:rPr>
          <w:rFonts w:ascii="Arial;sans-serif" w:hAnsi="Arial;sans-serif"/>
          <w:b w:val="false"/>
          <w:color w:val="000000"/>
          <w:sz w:val="24"/>
        </w:rPr>
        <w:t>. Frequent trading of Company securities can create an appearance of wrongdoing even if the decision to trade was based solely on public information such as stock price ranges and other market events. You are strongly discouraged from trading in Company securities for short-term trading profits. Daily</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7"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both"/>
        <w:rPr>
          <w:rFonts w:ascii="Arial;sans-serif" w:hAnsi="Arial;sans-serif"/>
          <w:b w:val="false"/>
          <w:color w:val="000000"/>
          <w:sz w:val="24"/>
        </w:rPr>
      </w:pPr>
      <w:r>
        <w:rPr>
          <w:rFonts w:ascii="Arial;sans-serif" w:hAnsi="Arial;sans-serif"/>
          <w:b w:val="false"/>
          <w:color w:val="000000"/>
          <w:sz w:val="24"/>
        </w:rPr>
        <w:t>or frequent trading, which can be time-consuming and distracting, is strongly discouraged. Nordstrom reserves the right to request brokerage account statements to assure compliance with this and other provisions of the Policy, with compliance to be determined by the General Counsel in their discretion. Failure to comply with this Policy can result in potential penalties and disciplinary action imposed by the Company as described in Section 6 below.</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2.</w:t>
      </w:r>
      <w:r>
        <w:rPr>
          <w:rFonts w:ascii="Arial;sans-serif" w:hAnsi="Arial;sans-serif"/>
          <w:b w:val="false"/>
          <w:color w:val="000000"/>
          <w:sz w:val="24"/>
          <w:u w:val="single"/>
        </w:rPr>
        <w:t>Standing Orders</w:t>
      </w:r>
      <w:r>
        <w:rPr>
          <w:rFonts w:ascii="Arial;sans-serif" w:hAnsi="Arial;sans-serif"/>
          <w:b w:val="false"/>
          <w:color w:val="000000"/>
          <w:sz w:val="24"/>
        </w:rPr>
        <w:t xml:space="preserve">. Covered Persons should exercise caution in placing standing or limit orders on Nordstrom stock. Standing and limit orders are orders placed with a broker to sell or purchase stock at a specified price. Because there is no control over the timing of purchases or sales that result from standing instructions to a broker, a transaction could be executed when persons subject to this Policy are in possession of MNPI. If you determine you must use a standing or limit order, the order (unless under an approved Rule 10b5-1 Plan, as described in the </w:t>
      </w:r>
      <w:r>
        <w:rPr>
          <w:rFonts w:ascii="Arial;sans-serif" w:hAnsi="Arial;sans-serif"/>
          <w:b w:val="false"/>
          <w:i/>
          <w:color w:val="000000"/>
          <w:sz w:val="24"/>
        </w:rPr>
        <w:t xml:space="preserve">Addendum to the Amended and Restated Insider Trading Policy </w:t>
      </w:r>
      <w:r>
        <w:rPr>
          <w:rFonts w:ascii="Arial;sans-serif" w:hAnsi="Arial;sans-serif"/>
          <w:b w:val="false"/>
          <w:color w:val="000000"/>
          <w:sz w:val="24"/>
        </w:rPr>
        <w:t>(the “Addendum”)) should be limited to a short duration, should not extend beyond the trading “window” and should otherwise comply with the trading restrictions and procedures outlined in this Policy and the Addendum.</w:t>
      </w:r>
    </w:p>
    <w:p>
      <w:pPr>
        <w:pStyle w:val="TextBody"/>
        <w:bidi w:val="0"/>
        <w:spacing w:before="0" w:after="0"/>
        <w:jc w:val="left"/>
        <w:rPr/>
      </w:pPr>
      <w:r>
        <w:rPr/>
      </w:r>
    </w:p>
    <w:p>
      <w:pPr>
        <w:pStyle w:val="TextBody"/>
        <w:bidi w:val="0"/>
        <w:spacing w:lineRule="auto" w:line="240" w:before="1" w:after="283"/>
        <w:ind w:left="0" w:right="0" w:hanging="360"/>
        <w:jc w:val="both"/>
        <w:rPr>
          <w:rFonts w:ascii="Arial;sans-serif" w:hAnsi="Arial;sans-serif"/>
          <w:b/>
          <w:color w:val="000000"/>
          <w:sz w:val="24"/>
        </w:rPr>
      </w:pPr>
      <w:r>
        <w:rPr>
          <w:rFonts w:ascii="Arial;sans-serif" w:hAnsi="Arial;sans-serif"/>
          <w:b/>
          <w:color w:val="000000"/>
          <w:sz w:val="24"/>
        </w:rPr>
        <w:t>C.Additional Restrictions Applicable to Section 16 Individuals and Designated Insiders</w:t>
      </w:r>
    </w:p>
    <w:p>
      <w:pPr>
        <w:pStyle w:val="TextBody"/>
        <w:bidi w:val="0"/>
        <w:spacing w:lineRule="auto" w:line="240" w:before="276" w:after="283"/>
        <w:ind w:left="0" w:right="0" w:hanging="360"/>
        <w:jc w:val="both"/>
        <w:rPr>
          <w:rFonts w:ascii="Arial;sans-serif" w:hAnsi="Arial;sans-serif"/>
          <w:b w:val="false"/>
          <w:color w:val="000000"/>
          <w:sz w:val="24"/>
        </w:rPr>
      </w:pPr>
      <w:r>
        <w:rPr>
          <w:rFonts w:ascii="Arial;sans-serif" w:hAnsi="Arial;sans-serif"/>
          <w:b w:val="false"/>
          <w:color w:val="000000"/>
          <w:sz w:val="24"/>
        </w:rPr>
        <w:t>1.No Section 16 Individual or Designated Insider may trade in Company securities outside of the Company trading window described below.</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2.No Section 16 Individual may engage in any transactions in Company securities unless the transaction(s) have been pre-cleared by the General Counsel in accordance with the procedures set forth in the Addendum. Any standing or limit order of a Section 16 Individual that has been pre-cleared by the General Counsel pursuant to the pre-clearance procedures outlined in the Addendum must not exceed the end of the pre-clearance period specified in the Addendum.</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3.Section 16 Individuals and Designated Insiders should exercise caution in holding Nordstrom stock in a margin account or pledging Nordstrom stock as collateral for a loan since a margin call or default under the pledge could occur when the Section 16 Individual or Designated Insider is aware of MNPI, resulting in a possible violation of this Policy. Section 16 Individuals who desire to pledge Nordstrom stock must obtain pre-clearance by the General Counsel pursuant to the pre- clearance procedures outlined in the Addendum, and any pledge of shares shall not exceed a majority of their holdings in Nordstrom stock nor shall pledged shares count toward their stock ownership targets.</w:t>
      </w:r>
    </w:p>
    <w:p>
      <w:pPr>
        <w:pStyle w:val="TextBody"/>
        <w:bidi w:val="0"/>
        <w:spacing w:before="0" w:after="0"/>
        <w:jc w:val="left"/>
        <w:rPr/>
      </w:pPr>
      <w:r>
        <w:rPr/>
      </w:r>
    </w:p>
    <w:p>
      <w:pPr>
        <w:pStyle w:val="TextBody"/>
        <w:bidi w:val="0"/>
        <w:spacing w:lineRule="auto" w:line="240" w:before="0" w:after="0"/>
        <w:ind w:left="0" w:right="0" w:hanging="359"/>
        <w:jc w:val="left"/>
        <w:rPr>
          <w:rFonts w:ascii="Arial;sans-serif" w:hAnsi="Arial;sans-serif"/>
          <w:b/>
          <w:color w:val="000000"/>
          <w:sz w:val="24"/>
        </w:rPr>
      </w:pPr>
      <w:r>
        <w:rPr>
          <w:rFonts w:ascii="Arial;sans-serif" w:hAnsi="Arial;sans-serif"/>
          <w:b/>
          <w:color w:val="000000"/>
          <w:sz w:val="24"/>
        </w:rPr>
        <w:t>D.Exceptions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The trading restrictions of this Policy do not apply to the following:</w:t>
      </w:r>
    </w:p>
    <w:p>
      <w:pPr>
        <w:pStyle w:val="TextBody"/>
        <w:bidi w:val="0"/>
        <w:spacing w:before="0" w:after="0"/>
        <w:jc w:val="left"/>
        <w:rPr/>
      </w:pPr>
      <w:r>
        <w:rPr/>
      </w:r>
    </w:p>
    <w:p>
      <w:pPr>
        <w:pStyle w:val="TextBody"/>
        <w:bidi w:val="0"/>
        <w:spacing w:lineRule="auto" w:line="240" w:before="0" w:after="0"/>
        <w:ind w:left="0" w:right="0" w:hanging="359"/>
        <w:jc w:val="left"/>
        <w:rPr/>
      </w:pPr>
      <w:r>
        <w:rPr>
          <w:rFonts w:ascii="Arial;sans-serif" w:hAnsi="Arial;sans-serif"/>
          <w:b w:val="false"/>
          <w:color w:val="000000"/>
          <w:sz w:val="24"/>
        </w:rPr>
        <w:t>1.</w:t>
      </w:r>
      <w:r>
        <w:rPr>
          <w:rFonts w:ascii="Arial;sans-serif" w:hAnsi="Arial;sans-serif"/>
          <w:b w:val="false"/>
          <w:color w:val="000000"/>
          <w:sz w:val="24"/>
          <w:u w:val="single"/>
        </w:rPr>
        <w:t>401(k) Plan</w:t>
      </w:r>
      <w:r>
        <w:rPr>
          <w:rFonts w:ascii="Arial;sans-serif" w:hAnsi="Arial;sans-serif"/>
          <w:b w:val="false"/>
          <w:color w:val="000000"/>
          <w:sz w:val="24"/>
        </w:rPr>
        <w:t>. Investing 401(k) plan contributions in a Company stock fund in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8"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80" w:after="283"/>
        <w:jc w:val="both"/>
        <w:rPr>
          <w:rFonts w:ascii="Arial;sans-serif" w:hAnsi="Arial;sans-serif"/>
          <w:b w:val="false"/>
          <w:color w:val="000000"/>
          <w:sz w:val="24"/>
        </w:rPr>
      </w:pPr>
      <w:r>
        <w:rPr>
          <w:rFonts w:ascii="Arial;sans-serif" w:hAnsi="Arial;sans-serif"/>
          <w:b w:val="false"/>
          <w:color w:val="000000"/>
          <w:sz w:val="24"/>
        </w:rPr>
        <w:t>accordance with the terms of the Company's 401(k) plan. However, any changes in your investment election regarding the Company’s stock are subject to trading restrictions under this Policy.</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2.</w:t>
      </w:r>
      <w:r>
        <w:rPr>
          <w:rFonts w:ascii="Arial;sans-serif" w:hAnsi="Arial;sans-serif"/>
          <w:b w:val="false"/>
          <w:color w:val="000000"/>
          <w:sz w:val="24"/>
          <w:u w:val="single"/>
        </w:rPr>
        <w:t>Employee Stock Purchase Plan</w:t>
      </w:r>
      <w:r>
        <w:rPr>
          <w:rFonts w:ascii="Arial;sans-serif" w:hAnsi="Arial;sans-serif"/>
          <w:b w:val="false"/>
          <w:color w:val="000000"/>
          <w:sz w:val="24"/>
        </w:rPr>
        <w:t>. Purchasing Company stock through periodic, automatic payroll contributions to the Company's Employee Stock Purchase Plan ("ESPP"). However, electing to enroll in the ESPP, making any changes in your elections under the ESPP and selling any Company stock acquired under the ESPP are subject to trading restrictions under this Policy.</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3.</w:t>
      </w:r>
      <w:r>
        <w:rPr>
          <w:rFonts w:ascii="Arial;sans-serif" w:hAnsi="Arial;sans-serif"/>
          <w:b w:val="false"/>
          <w:color w:val="000000"/>
          <w:sz w:val="24"/>
          <w:u w:val="single"/>
        </w:rPr>
        <w:t>Options</w:t>
      </w:r>
      <w:r>
        <w:rPr>
          <w:rFonts w:ascii="Arial;sans-serif" w:hAnsi="Arial;sans-serif"/>
          <w:b w:val="false"/>
          <w:color w:val="000000"/>
          <w:sz w:val="24"/>
        </w:rPr>
        <w:t>. Exercising stock options for cash or the delivery of previously owned Company stock or through the Company withholding a portion of the Company stock underlying the options. Similarly, the Company may withhold underlying Company stock to satisfy tax withholding requirements. However, the sale of any shares issued on the exercise of Company-granted stock options and any cashless exercise of Company-granted stock options are subject to trading restrictions under this Policy.</w:t>
      </w:r>
    </w:p>
    <w:p>
      <w:pPr>
        <w:pStyle w:val="TextBody"/>
        <w:bidi w:val="0"/>
        <w:spacing w:before="0" w:after="0"/>
        <w:jc w:val="left"/>
        <w:rPr/>
      </w:pPr>
      <w:r>
        <w:rPr/>
      </w:r>
    </w:p>
    <w:p>
      <w:pPr>
        <w:pStyle w:val="TextBody"/>
        <w:bidi w:val="0"/>
        <w:spacing w:lineRule="auto" w:line="240" w:before="1" w:after="283"/>
        <w:ind w:left="0" w:right="0" w:hanging="360"/>
        <w:jc w:val="both"/>
        <w:rPr/>
      </w:pPr>
      <w:r>
        <w:rPr>
          <w:rFonts w:ascii="Arial;sans-serif" w:hAnsi="Arial;sans-serif"/>
          <w:b w:val="false"/>
          <w:color w:val="000000"/>
          <w:sz w:val="24"/>
        </w:rPr>
        <w:t>4.</w:t>
      </w:r>
      <w:r>
        <w:rPr>
          <w:rFonts w:ascii="Arial;sans-serif" w:hAnsi="Arial;sans-serif"/>
          <w:b w:val="false"/>
          <w:color w:val="000000"/>
          <w:sz w:val="24"/>
          <w:u w:val="single"/>
        </w:rPr>
        <w:t>Restricted Stock Units or Restricted Stock Awards</w:t>
      </w:r>
      <w:r>
        <w:rPr>
          <w:rFonts w:ascii="Arial;sans-serif" w:hAnsi="Arial;sans-serif"/>
          <w:b w:val="false"/>
          <w:color w:val="000000"/>
          <w:sz w:val="24"/>
        </w:rPr>
        <w:t>. This Policy’s trading restrictions generally do not apply to the vesting of restricted stock units or restricted stock awards or to the Company’s withholding of shares to satisfy tax withholding requirements upon the vesting of such awards (assuming such withholding is permitted by the Company). However, the trading restrictions do apply to any market sales of stock received upon vesting of such awards.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5.</w:t>
      </w:r>
      <w:r>
        <w:rPr>
          <w:rFonts w:ascii="Arial;sans-serif" w:hAnsi="Arial;sans-serif"/>
          <w:b w:val="false"/>
          <w:color w:val="000000"/>
          <w:sz w:val="24"/>
          <w:u w:val="single"/>
        </w:rPr>
        <w:t>Gifts</w:t>
      </w:r>
      <w:r>
        <w:rPr>
          <w:rFonts w:ascii="Arial;sans-serif" w:hAnsi="Arial;sans-serif"/>
          <w:b w:val="false"/>
          <w:color w:val="000000"/>
          <w:sz w:val="24"/>
        </w:rPr>
        <w:t>. Bona fide gifts of Company securities by Covered Persons to family members of Covered Persons, trusts established for family members, charities, etc., are exempt from this Policy, unless the person making the gift has reason to believe that the recipient intends to sell the Company securities while the donor is aware of MNPI. In addition, Section 16 Individuals and Designated Insiders must obtain pre-clearance by the General Counsel pursuant to the pre-clearance procedures outlined in the Addendum prior to making any gift of Company securities.</w:t>
      </w:r>
    </w:p>
    <w:p>
      <w:pPr>
        <w:pStyle w:val="TextBody"/>
        <w:bidi w:val="0"/>
        <w:spacing w:before="0" w:after="0"/>
        <w:jc w:val="left"/>
        <w:rPr/>
      </w:pPr>
      <w:r>
        <w:rPr/>
      </w:r>
    </w:p>
    <w:p>
      <w:pPr>
        <w:pStyle w:val="TextBody"/>
        <w:bidi w:val="0"/>
        <w:spacing w:lineRule="auto" w:line="240" w:before="0" w:after="0"/>
        <w:ind w:left="0" w:right="0" w:hanging="200"/>
        <w:jc w:val="left"/>
        <w:rPr>
          <w:rFonts w:ascii="Arial;sans-serif" w:hAnsi="Arial;sans-serif"/>
          <w:b/>
          <w:color w:val="000000"/>
          <w:sz w:val="24"/>
          <w:u w:val="single"/>
        </w:rPr>
      </w:pPr>
      <w:r>
        <w:rPr>
          <w:rFonts w:ascii="Arial;sans-serif" w:hAnsi="Arial;sans-serif"/>
          <w:b/>
          <w:color w:val="000000"/>
          <w:sz w:val="24"/>
          <w:u w:val="single"/>
        </w:rPr>
        <w:t>4. Determining Whether Information Is Material and Nonpublic</w:t>
      </w:r>
    </w:p>
    <w:p>
      <w:pPr>
        <w:pStyle w:val="TextBody"/>
        <w:bidi w:val="0"/>
        <w:spacing w:before="0" w:after="0"/>
        <w:jc w:val="left"/>
        <w:rPr/>
      </w:pPr>
      <w:r>
        <w:rPr/>
      </w:r>
    </w:p>
    <w:p>
      <w:pPr>
        <w:pStyle w:val="TextBody"/>
        <w:bidi w:val="0"/>
        <w:spacing w:lineRule="auto" w:line="240" w:before="0" w:after="0"/>
        <w:ind w:left="0" w:right="0" w:hanging="359"/>
        <w:jc w:val="left"/>
        <w:rPr>
          <w:rFonts w:ascii="Arial;sans-serif" w:hAnsi="Arial;sans-serif"/>
          <w:b/>
          <w:color w:val="000000"/>
          <w:sz w:val="24"/>
        </w:rPr>
      </w:pPr>
      <w:r>
        <w:rPr>
          <w:rFonts w:ascii="Arial;sans-serif" w:hAnsi="Arial;sans-serif"/>
          <w:b/>
          <w:color w:val="000000"/>
          <w:sz w:val="24"/>
        </w:rPr>
        <w:t>A.Examples of Material Information</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Some examples of material information may include:</w:t>
      </w:r>
    </w:p>
    <w:p>
      <w:pPr>
        <w:pStyle w:val="TextBody"/>
        <w:bidi w:val="0"/>
        <w:spacing w:before="0" w:after="0"/>
        <w:jc w:val="left"/>
        <w:rPr/>
      </w:pPr>
      <w:r>
        <w:rPr/>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Projections of future earnings or losses or changes in such projections.</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Financial results of a completed period.</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Actual changes in earnings.</w:t>
      </w:r>
    </w:p>
    <w:p>
      <w:pPr>
        <w:pStyle w:val="TextBody"/>
        <w:bidi w:val="0"/>
        <w:spacing w:lineRule="auto" w:line="240" w:before="0" w:after="0"/>
        <w:ind w:left="0" w:right="0" w:hanging="452"/>
        <w:jc w:val="left"/>
        <w:rPr/>
      </w:pPr>
      <w:r>
        <w:rPr>
          <w:color w:val="000000"/>
        </w:rPr>
        <w:t>•</w:t>
      </w:r>
      <w:r>
        <w:rPr>
          <w:rFonts w:ascii="Arial;sans-serif" w:hAnsi="Arial;sans-serif"/>
          <w:b w:val="false"/>
          <w:color w:val="000000"/>
          <w:sz w:val="24"/>
        </w:rPr>
        <w:t>Earnings that are inconsistent with the consensus expectations of the investment community.</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Significant changes in the Company’s prospects.</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Significant write-downs in assets or increases in reserves.</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89"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80" w:after="283"/>
        <w:ind w:left="0" w:right="0" w:hanging="452"/>
        <w:jc w:val="left"/>
        <w:rPr/>
      </w:pPr>
      <w:r>
        <w:rPr>
          <w:color w:val="000000"/>
        </w:rPr>
        <w:t>•</w:t>
      </w:r>
      <w:r>
        <w:rPr>
          <w:rFonts w:ascii="Arial;sans-serif" w:hAnsi="Arial;sans-serif"/>
          <w:b w:val="false"/>
          <w:color w:val="000000"/>
          <w:sz w:val="24"/>
        </w:rPr>
        <w:t>A pending or proposed merger, acquisition or tender offer or an acquisition or disposition of significant assets.</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Major changes in the Company’s management or the board of directors.</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Company sales information that has not been publicly released.</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The gain or loss of a material contract.</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Cybersecurity risks and incidents, including vulnerabilities or breaches.</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The development or initial distribution of a new product or service.</w:t>
      </w:r>
    </w:p>
    <w:p>
      <w:pPr>
        <w:pStyle w:val="TextBody"/>
        <w:bidi w:val="0"/>
        <w:spacing w:lineRule="auto" w:line="240" w:before="0" w:after="0"/>
        <w:ind w:left="0" w:right="0" w:hanging="452"/>
        <w:jc w:val="left"/>
        <w:rPr/>
      </w:pPr>
      <w:r>
        <w:rPr>
          <w:color w:val="000000"/>
        </w:rPr>
        <w:t>•</w:t>
      </w:r>
      <w:r>
        <w:rPr>
          <w:rFonts w:ascii="Arial;sans-serif" w:hAnsi="Arial;sans-serif"/>
          <w:b w:val="false"/>
          <w:color w:val="000000"/>
          <w:sz w:val="24"/>
        </w:rPr>
        <w:t>Significant changes in a previously announced schedule for the development or distribution of a new product or service.</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Extraordinary borrowings or changes in debt ratings.</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Major changes in accounting methods or policies.</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Declaration of a stock split or dividend.</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Labor negotiations.</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Significant increases or decreases in dividends.</w:t>
      </w:r>
    </w:p>
    <w:p>
      <w:pPr>
        <w:pStyle w:val="TextBody"/>
        <w:bidi w:val="0"/>
        <w:spacing w:lineRule="auto" w:line="240" w:before="1" w:after="283"/>
        <w:ind w:left="0" w:right="0" w:hanging="451"/>
        <w:jc w:val="left"/>
        <w:rPr/>
      </w:pPr>
      <w:r>
        <w:rPr>
          <w:color w:val="000000"/>
        </w:rPr>
        <w:t>•</w:t>
      </w:r>
      <w:r>
        <w:rPr>
          <w:rFonts w:ascii="Arial;sans-serif" w:hAnsi="Arial;sans-serif"/>
          <w:b w:val="false"/>
          <w:color w:val="000000"/>
          <w:sz w:val="24"/>
        </w:rPr>
        <w:t>The offering of additional securities.</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Financial liquidity problems.</w:t>
      </w:r>
    </w:p>
    <w:p>
      <w:pPr>
        <w:pStyle w:val="TextBody"/>
        <w:bidi w:val="0"/>
        <w:spacing w:lineRule="auto" w:line="240" w:before="0" w:after="0"/>
        <w:ind w:left="0" w:right="0" w:hanging="451"/>
        <w:jc w:val="left"/>
        <w:rPr/>
      </w:pPr>
      <w:r>
        <w:rPr>
          <w:color w:val="000000"/>
        </w:rPr>
        <w:t>•</w:t>
      </w:r>
      <w:r>
        <w:rPr>
          <w:rFonts w:ascii="Arial;sans-serif" w:hAnsi="Arial;sans-serif"/>
          <w:b w:val="false"/>
          <w:color w:val="000000"/>
          <w:sz w:val="24"/>
        </w:rPr>
        <w:t>Significant litigation or government agency investigations.</w:t>
      </w:r>
    </w:p>
    <w:p>
      <w:pPr>
        <w:pStyle w:val="TextBody"/>
        <w:bidi w:val="0"/>
        <w:spacing w:lineRule="auto" w:line="240" w:before="276" w:after="283"/>
        <w:jc w:val="left"/>
        <w:rPr>
          <w:rFonts w:ascii="Arial;sans-serif" w:hAnsi="Arial;sans-serif"/>
          <w:b w:val="false"/>
          <w:color w:val="000000"/>
          <w:sz w:val="24"/>
        </w:rPr>
      </w:pPr>
      <w:r>
        <w:rPr>
          <w:rFonts w:ascii="Arial;sans-serif" w:hAnsi="Arial;sans-serif"/>
          <w:b w:val="false"/>
          <w:color w:val="000000"/>
          <w:sz w:val="24"/>
        </w:rPr>
        <w:t>For additional information as to what constitutes “material” information, please refer to the Addendum.</w:t>
      </w:r>
    </w:p>
    <w:p>
      <w:pPr>
        <w:pStyle w:val="TextBody"/>
        <w:bidi w:val="0"/>
        <w:spacing w:lineRule="auto" w:line="240" w:before="276" w:after="283"/>
        <w:ind w:left="0" w:right="0" w:hanging="359"/>
        <w:jc w:val="left"/>
        <w:rPr>
          <w:rFonts w:ascii="Arial;sans-serif" w:hAnsi="Arial;sans-serif"/>
          <w:b/>
          <w:color w:val="000000"/>
          <w:sz w:val="24"/>
        </w:rPr>
      </w:pPr>
      <w:r>
        <w:rPr>
          <w:rFonts w:ascii="Arial;sans-serif" w:hAnsi="Arial;sans-serif"/>
          <w:b/>
          <w:color w:val="000000"/>
          <w:sz w:val="24"/>
        </w:rPr>
        <w:t>B.Examples of “Nonpublic” Information</w:t>
      </w:r>
    </w:p>
    <w:p>
      <w:pPr>
        <w:pStyle w:val="TextBody"/>
        <w:bidi w:val="0"/>
        <w:spacing w:lineRule="auto" w:line="240" w:before="276" w:after="283"/>
        <w:jc w:val="left"/>
        <w:rPr>
          <w:rFonts w:ascii="Arial;sans-serif" w:hAnsi="Arial;sans-serif"/>
          <w:b w:val="false"/>
          <w:color w:val="000000"/>
          <w:sz w:val="24"/>
        </w:rPr>
      </w:pPr>
      <w:r>
        <w:rPr>
          <w:rFonts w:ascii="Arial;sans-serif" w:hAnsi="Arial;sans-serif"/>
          <w:b w:val="false"/>
          <w:color w:val="000000"/>
          <w:sz w:val="24"/>
        </w:rPr>
        <w:t>Some examples of nonpublic information may include:</w:t>
      </w:r>
    </w:p>
    <w:p>
      <w:pPr>
        <w:pStyle w:val="TextBody"/>
        <w:bidi w:val="0"/>
        <w:spacing w:lineRule="auto" w:line="240" w:before="276" w:after="283"/>
        <w:ind w:left="0" w:right="0" w:hanging="452"/>
        <w:jc w:val="both"/>
        <w:rPr/>
      </w:pPr>
      <w:r>
        <w:rPr>
          <w:color w:val="000000"/>
        </w:rPr>
        <w:t>•</w:t>
      </w:r>
      <w:r>
        <w:rPr>
          <w:rFonts w:ascii="Arial;sans-serif" w:hAnsi="Arial;sans-serif"/>
          <w:b w:val="false"/>
          <w:color w:val="000000"/>
          <w:sz w:val="24"/>
        </w:rPr>
        <w:t>Information available to a select group of analysts or brokers or institutional investors.</w:t>
      </w:r>
    </w:p>
    <w:p>
      <w:pPr>
        <w:pStyle w:val="TextBody"/>
        <w:bidi w:val="0"/>
        <w:spacing w:lineRule="auto" w:line="240" w:before="0" w:after="0"/>
        <w:ind w:left="0" w:right="0" w:hanging="452"/>
        <w:jc w:val="both"/>
        <w:rPr/>
      </w:pPr>
      <w:r>
        <w:rPr>
          <w:color w:val="000000"/>
        </w:rPr>
        <w:t>•</w:t>
      </w:r>
      <w:r>
        <w:rPr>
          <w:rFonts w:ascii="Arial;sans-serif" w:hAnsi="Arial;sans-serif"/>
          <w:b w:val="false"/>
          <w:color w:val="000000"/>
          <w:sz w:val="24"/>
        </w:rPr>
        <w:t>Undisclosed facts that are the subject of rumors, even if the rumors are widely circulated</w:t>
      </w:r>
    </w:p>
    <w:p>
      <w:pPr>
        <w:pStyle w:val="TextBody"/>
        <w:bidi w:val="0"/>
        <w:spacing w:lineRule="auto" w:line="240" w:before="0" w:after="0"/>
        <w:ind w:left="0" w:right="0" w:hanging="452"/>
        <w:jc w:val="both"/>
        <w:rPr/>
      </w:pPr>
      <w:r>
        <w:rPr>
          <w:color w:val="000000"/>
        </w:rPr>
        <w:t>•</w:t>
      </w:r>
      <w:r>
        <w:rPr>
          <w:rFonts w:ascii="Arial;sans-serif" w:hAnsi="Arial;sans-serif"/>
          <w:b w:val="false"/>
          <w:color w:val="000000"/>
          <w:sz w:val="24"/>
        </w:rPr>
        <w:t>Information that has been entrusted to the Company on a confidential basis until a public announcement of the information has been made and enough time has elapsed for the market to respond to a public announcement of the information (normally two trading days).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For additional information as to what constitutes “nonpublic” information, please refer to the Addendum.</w:t>
      </w:r>
    </w:p>
    <w:p>
      <w:pPr>
        <w:pStyle w:val="TextBody"/>
        <w:bidi w:val="0"/>
        <w:spacing w:before="0" w:after="0"/>
        <w:jc w:val="left"/>
        <w:rPr/>
      </w:pPr>
      <w:r>
        <w:rPr/>
      </w:r>
    </w:p>
    <w:p>
      <w:pPr>
        <w:pStyle w:val="TextBody"/>
        <w:bidi w:val="0"/>
        <w:spacing w:lineRule="auto" w:line="240" w:before="0" w:after="0"/>
        <w:ind w:left="0" w:right="0" w:hanging="200"/>
        <w:jc w:val="left"/>
        <w:rPr>
          <w:rFonts w:ascii="Arial;sans-serif" w:hAnsi="Arial;sans-serif"/>
          <w:b/>
          <w:color w:val="000000"/>
          <w:sz w:val="24"/>
          <w:u w:val="single"/>
        </w:rPr>
      </w:pPr>
      <w:r>
        <w:rPr>
          <w:rFonts w:ascii="Arial;sans-serif" w:hAnsi="Arial;sans-serif"/>
          <w:b/>
          <w:color w:val="000000"/>
          <w:sz w:val="24"/>
          <w:u w:val="single"/>
        </w:rPr>
        <w:t>5. Additional Requirements for Section 16 Individuals and Designated Insiders</w:t>
      </w:r>
    </w:p>
    <w:p>
      <w:pPr>
        <w:pStyle w:val="TextBody"/>
        <w:bidi w:val="0"/>
        <w:spacing w:before="0" w:after="0"/>
        <w:jc w:val="left"/>
        <w:rPr/>
      </w:pPr>
      <w:r>
        <w:rPr/>
      </w:r>
    </w:p>
    <w:p>
      <w:pPr>
        <w:pStyle w:val="TextBody"/>
        <w:bidi w:val="0"/>
        <w:spacing w:lineRule="auto" w:line="240" w:before="0" w:after="0"/>
        <w:ind w:left="0" w:right="0" w:hanging="359"/>
        <w:jc w:val="left"/>
        <w:rPr>
          <w:rFonts w:ascii="Arial;sans-serif" w:hAnsi="Arial;sans-serif"/>
          <w:b/>
          <w:color w:val="000000"/>
          <w:sz w:val="24"/>
        </w:rPr>
      </w:pPr>
      <w:r>
        <w:rPr>
          <w:rFonts w:ascii="Arial;sans-serif" w:hAnsi="Arial;sans-serif"/>
          <w:b/>
          <w:color w:val="000000"/>
          <w:sz w:val="24"/>
        </w:rPr>
        <w:t>A.Definitions of Section 16 Individuals and Designated Insiders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1.</w:t>
      </w:r>
      <w:r>
        <w:rPr>
          <w:color w:val="000000"/>
        </w:rPr>
        <w:t>“</w:t>
      </w:r>
      <w:r>
        <w:rPr>
          <w:rFonts w:ascii="Arial;sans-serif" w:hAnsi="Arial;sans-serif"/>
          <w:b w:val="false"/>
          <w:color w:val="000000"/>
          <w:sz w:val="24"/>
          <w:u w:val="single"/>
        </w:rPr>
        <w:t>Section 16 Individual</w:t>
      </w:r>
      <w:r>
        <w:rPr>
          <w:color w:val="000000"/>
        </w:rPr>
        <w:t xml:space="preserve">” – </w:t>
      </w:r>
      <w:r>
        <w:rPr>
          <w:rFonts w:ascii="Arial;sans-serif" w:hAnsi="Arial;sans-serif"/>
          <w:b w:val="false"/>
          <w:color w:val="000000"/>
          <w:sz w:val="24"/>
        </w:rPr>
        <w:t>Each member of the Company’s Board of Directors (the “Board”), those officers of the Company designated by the Board as “Section 16 officers” of the Company, and their Immediate Family Members. Section 16 Individuals are also Designated Insiders.</w:t>
      </w:r>
    </w:p>
    <w:p>
      <w:pPr>
        <w:pStyle w:val="TextBody"/>
        <w:bidi w:val="0"/>
        <w:spacing w:before="0" w:after="0"/>
        <w:jc w:val="left"/>
        <w:rPr/>
      </w:pPr>
      <w:r>
        <w:rPr/>
      </w:r>
    </w:p>
    <w:p>
      <w:pPr>
        <w:pStyle w:val="TextBody"/>
        <w:bidi w:val="0"/>
        <w:spacing w:lineRule="auto" w:line="240" w:before="0" w:after="0"/>
        <w:ind w:left="0" w:right="0" w:hanging="359"/>
        <w:jc w:val="left"/>
        <w:rPr/>
      </w:pPr>
      <w:r>
        <w:rPr>
          <w:rFonts w:ascii="Arial;sans-serif" w:hAnsi="Arial;sans-serif"/>
          <w:b w:val="false"/>
          <w:color w:val="000000"/>
          <w:sz w:val="24"/>
        </w:rPr>
        <w:t>2.</w:t>
      </w:r>
      <w:r>
        <w:rPr>
          <w:color w:val="000000"/>
        </w:rPr>
        <w:t>“</w:t>
      </w:r>
      <w:r>
        <w:rPr>
          <w:rFonts w:ascii="Arial;sans-serif" w:hAnsi="Arial;sans-serif"/>
          <w:b w:val="false"/>
          <w:color w:val="000000"/>
          <w:sz w:val="24"/>
          <w:u w:val="single"/>
        </w:rPr>
        <w:t>Immediate Family Member</w:t>
      </w:r>
      <w:r>
        <w:rPr>
          <w:color w:val="000000"/>
        </w:rPr>
        <w:t xml:space="preserve">” – </w:t>
      </w:r>
      <w:r>
        <w:rPr>
          <w:rFonts w:ascii="Arial;sans-serif" w:hAnsi="Arial;sans-serif"/>
          <w:b w:val="false"/>
          <w:color w:val="000000"/>
          <w:sz w:val="24"/>
        </w:rPr>
        <w:t>The parent, spouse or child (by blood or</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90"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80" w:after="283"/>
        <w:jc w:val="both"/>
        <w:rPr>
          <w:rFonts w:ascii="Arial;sans-serif" w:hAnsi="Arial;sans-serif"/>
          <w:b w:val="false"/>
          <w:color w:val="000000"/>
          <w:sz w:val="24"/>
        </w:rPr>
      </w:pPr>
      <w:r>
        <w:rPr>
          <w:rFonts w:ascii="Arial;sans-serif" w:hAnsi="Arial;sans-serif"/>
          <w:b w:val="false"/>
          <w:color w:val="000000"/>
          <w:sz w:val="24"/>
        </w:rPr>
        <w:t>adoption) of a Covered Person, persons financially supported by the Covered Person, or any other individual(s) living in the primary residence of a Covered Person, regardless of whether such other individual(s) is related or unrelated to the Covered Person; provided, however, that with regard to persons who are receiving financial support from the Covered Person or living in the primary residence of a Covered Person, such persons will be considered an Immediate Family Member only for so long as such individual(s) is receiving financial support or living in the primary residence of the Covered Person.</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3.</w:t>
      </w:r>
      <w:r>
        <w:rPr>
          <w:color w:val="000000"/>
        </w:rPr>
        <w:t>“</w:t>
      </w:r>
      <w:r>
        <w:rPr>
          <w:rFonts w:ascii="Arial;sans-serif" w:hAnsi="Arial;sans-serif"/>
          <w:b w:val="false"/>
          <w:color w:val="000000"/>
          <w:sz w:val="24"/>
          <w:u w:val="single"/>
        </w:rPr>
        <w:t>Designated Insiders</w:t>
      </w:r>
      <w:r>
        <w:rPr>
          <w:color w:val="000000"/>
        </w:rPr>
        <w:t xml:space="preserve">” – </w:t>
      </w:r>
      <w:r>
        <w:rPr>
          <w:rFonts w:ascii="Arial;sans-serif" w:hAnsi="Arial;sans-serif"/>
          <w:b w:val="false"/>
          <w:color w:val="000000"/>
          <w:sz w:val="24"/>
        </w:rPr>
        <w:t>The following individuals are Designated Insiders because of their position with the Company and their possible access to MNPI:</w:t>
      </w:r>
    </w:p>
    <w:p>
      <w:pPr>
        <w:pStyle w:val="TextBody"/>
        <w:bidi w:val="0"/>
        <w:spacing w:before="1" w:after="283"/>
        <w:jc w:val="left"/>
        <w:rPr/>
      </w:pPr>
      <w:r>
        <w:rPr/>
      </w:r>
    </w:p>
    <w:p>
      <w:pPr>
        <w:pStyle w:val="TextBody"/>
        <w:bidi w:val="0"/>
        <w:spacing w:lineRule="auto" w:line="3504" w:before="0" w:after="0"/>
        <w:ind w:left="0" w:right="0" w:hanging="359"/>
        <w:jc w:val="left"/>
        <w:rPr/>
      </w:pPr>
      <w:r>
        <w:rPr>
          <w:color w:val="000000"/>
        </w:rPr>
        <w:t>•</w:t>
      </w:r>
      <w:r>
        <w:rPr>
          <w:rFonts w:ascii="Arial;sans-serif" w:hAnsi="Arial;sans-serif"/>
          <w:b w:val="false"/>
          <w:color w:val="000000"/>
          <w:sz w:val="24"/>
        </w:rPr>
        <w:t>Any Section 16 Individuals; and</w:t>
      </w:r>
    </w:p>
    <w:p>
      <w:pPr>
        <w:pStyle w:val="TextBody"/>
        <w:bidi w:val="0"/>
        <w:spacing w:lineRule="auto" w:line="240" w:before="0" w:after="0"/>
        <w:ind w:left="0" w:right="0" w:hanging="360"/>
        <w:jc w:val="left"/>
        <w:rPr/>
      </w:pPr>
      <w:r>
        <w:rPr>
          <w:color w:val="000000"/>
        </w:rPr>
        <w:t>•</w:t>
      </w:r>
      <w:r>
        <w:rPr>
          <w:rFonts w:ascii="Arial;sans-serif" w:hAnsi="Arial;sans-serif"/>
          <w:b w:val="false"/>
          <w:color w:val="000000"/>
          <w:sz w:val="24"/>
        </w:rPr>
        <w:t>Any other individual designated from time to time by the Company or the Board as a Designated Insider.</w:t>
      </w:r>
    </w:p>
    <w:p>
      <w:pPr>
        <w:pStyle w:val="TextBody"/>
        <w:bidi w:val="0"/>
        <w:spacing w:lineRule="auto" w:line="240" w:before="272" w:after="283"/>
        <w:ind w:left="0" w:right="0" w:hanging="359"/>
        <w:jc w:val="left"/>
        <w:rPr>
          <w:rFonts w:ascii="Arial;sans-serif" w:hAnsi="Arial;sans-serif"/>
          <w:b/>
          <w:color w:val="000000"/>
          <w:sz w:val="24"/>
        </w:rPr>
      </w:pPr>
      <w:r>
        <w:rPr>
          <w:rFonts w:ascii="Arial;sans-serif" w:hAnsi="Arial;sans-serif"/>
          <w:b/>
          <w:color w:val="000000"/>
          <w:sz w:val="24"/>
        </w:rPr>
        <w:t>B.Trading Windows</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1.</w:t>
      </w:r>
      <w:r>
        <w:rPr>
          <w:rFonts w:ascii="Arial;sans-serif" w:hAnsi="Arial;sans-serif"/>
          <w:b w:val="false"/>
          <w:color w:val="000000"/>
          <w:sz w:val="24"/>
          <w:u w:val="single"/>
        </w:rPr>
        <w:t>Trading Only While the Trading Window is Open</w:t>
      </w:r>
      <w:r>
        <w:rPr>
          <w:rFonts w:ascii="Arial;sans-serif" w:hAnsi="Arial;sans-serif"/>
          <w:b w:val="false"/>
          <w:color w:val="000000"/>
          <w:sz w:val="24"/>
        </w:rPr>
        <w:t>. Section 16 Individuals and Designated Insiders may engage in transactions in Nordstrom stock only during certain "window" periods which are scheduled and announced in advance by the General Counsel or other persons designated by the Board (unless under an approved Rule 10b5-1 Plan, as described in the Addendum). In establishing the “window” periods for each fiscal year, the Company will consider the timing of significant events including, but not limited to, the following:</w:t>
      </w:r>
    </w:p>
    <w:p>
      <w:pPr>
        <w:pStyle w:val="TextBody"/>
        <w:bidi w:val="0"/>
        <w:spacing w:before="1" w:after="283"/>
        <w:jc w:val="left"/>
        <w:rPr/>
      </w:pPr>
      <w:r>
        <w:rPr/>
      </w:r>
    </w:p>
    <w:p>
      <w:pPr>
        <w:pStyle w:val="TextBody"/>
        <w:bidi w:val="0"/>
        <w:spacing w:lineRule="auto" w:line="3516" w:before="0" w:after="0"/>
        <w:ind w:left="0" w:right="0" w:hanging="360"/>
        <w:jc w:val="left"/>
        <w:rPr/>
      </w:pPr>
      <w:r>
        <w:rPr>
          <w:color w:val="000000"/>
        </w:rPr>
        <w:t>•</w:t>
      </w:r>
      <w:r>
        <w:rPr>
          <w:rFonts w:ascii="Arial;sans-serif" w:hAnsi="Arial;sans-serif"/>
          <w:b w:val="false"/>
          <w:color w:val="000000"/>
          <w:sz w:val="24"/>
        </w:rPr>
        <w:t>The Company’s earnings and sales release dates.</w:t>
      </w:r>
    </w:p>
    <w:p>
      <w:pPr>
        <w:pStyle w:val="TextBody"/>
        <w:bidi w:val="0"/>
        <w:spacing w:lineRule="auto" w:line="3504" w:before="0" w:after="0"/>
        <w:ind w:left="0" w:right="0" w:hanging="360"/>
        <w:jc w:val="left"/>
        <w:rPr/>
      </w:pPr>
      <w:r>
        <w:rPr>
          <w:color w:val="000000"/>
        </w:rPr>
        <w:t>•</w:t>
      </w:r>
      <w:r>
        <w:rPr>
          <w:rFonts w:ascii="Arial;sans-serif" w:hAnsi="Arial;sans-serif"/>
          <w:b w:val="false"/>
          <w:color w:val="000000"/>
          <w:sz w:val="24"/>
        </w:rPr>
        <w:t>Board and Board Committee meeting dates.</w:t>
      </w:r>
    </w:p>
    <w:p>
      <w:pPr>
        <w:pStyle w:val="TextBody"/>
        <w:bidi w:val="0"/>
        <w:spacing w:lineRule="auto" w:line="3504" w:before="0" w:after="0"/>
        <w:ind w:left="0" w:right="0" w:hanging="360"/>
        <w:jc w:val="left"/>
        <w:rPr/>
      </w:pPr>
      <w:r>
        <w:rPr>
          <w:color w:val="000000"/>
        </w:rPr>
        <w:t>•</w:t>
      </w:r>
      <w:r>
        <w:rPr>
          <w:rFonts w:ascii="Arial;sans-serif" w:hAnsi="Arial;sans-serif"/>
          <w:b w:val="false"/>
          <w:color w:val="000000"/>
          <w:sz w:val="24"/>
        </w:rPr>
        <w:t>The Company’s special sales periods.</w:t>
      </w:r>
    </w:p>
    <w:p>
      <w:pPr>
        <w:pStyle w:val="TextBody"/>
        <w:bidi w:val="0"/>
        <w:spacing w:lineRule="auto" w:line="240" w:before="274" w:after="283"/>
        <w:jc w:val="both"/>
        <w:rPr>
          <w:rFonts w:ascii="Arial;sans-serif" w:hAnsi="Arial;sans-serif"/>
          <w:b w:val="false"/>
          <w:color w:val="000000"/>
          <w:sz w:val="24"/>
        </w:rPr>
      </w:pPr>
      <w:r>
        <w:rPr>
          <w:rFonts w:ascii="Arial;sans-serif" w:hAnsi="Arial;sans-serif"/>
          <w:b w:val="false"/>
          <w:color w:val="000000"/>
          <w:sz w:val="24"/>
        </w:rPr>
        <w:t>In general, the “window” period begins at 12:01 a.m. Eastern time on the date the window is scheduled to open and ends at 11:59 p.m. Eastern time on the date the window is scheduled to close. Other events or circumstances may alter the opening and/or closing dates of a scheduled “window”, so please refer to the published schedule for the current fiscal year.</w:t>
      </w:r>
    </w:p>
    <w:p>
      <w:pPr>
        <w:pStyle w:val="TextBody"/>
        <w:bidi w:val="0"/>
        <w:spacing w:before="0" w:after="0"/>
        <w:jc w:val="left"/>
        <w:rPr/>
      </w:pPr>
      <w:r>
        <w:rPr/>
      </w:r>
    </w:p>
    <w:p>
      <w:pPr>
        <w:pStyle w:val="TextBody"/>
        <w:bidi w:val="0"/>
        <w:spacing w:lineRule="auto" w:line="240" w:before="1" w:after="283"/>
        <w:ind w:left="0" w:right="0" w:hanging="360"/>
        <w:jc w:val="both"/>
        <w:rPr/>
      </w:pPr>
      <w:r>
        <w:rPr>
          <w:rFonts w:ascii="Arial;sans-serif" w:hAnsi="Arial;sans-serif"/>
          <w:b w:val="false"/>
          <w:color w:val="000000"/>
          <w:sz w:val="24"/>
        </w:rPr>
        <w:t>2.</w:t>
      </w:r>
      <w:r>
        <w:rPr>
          <w:rFonts w:ascii="Arial;sans-serif" w:hAnsi="Arial;sans-serif"/>
          <w:b w:val="false"/>
          <w:color w:val="000000"/>
          <w:sz w:val="24"/>
          <w:u w:val="single"/>
        </w:rPr>
        <w:t>No Trading While Aware of MNPI</w:t>
      </w:r>
      <w:r>
        <w:rPr>
          <w:rFonts w:ascii="Arial;sans-serif" w:hAnsi="Arial;sans-serif"/>
          <w:b w:val="false"/>
          <w:color w:val="000000"/>
          <w:sz w:val="24"/>
        </w:rPr>
        <w:t>. Even if the trading window is open, any Designated Insider who possesses MNPI regarding the Company may not trade in Company securities until the close of trading on the second full trading day following the Company’s widespread public release of the information.</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3.</w:t>
      </w:r>
      <w:r>
        <w:rPr>
          <w:rFonts w:ascii="Arial;sans-serif" w:hAnsi="Arial;sans-serif"/>
          <w:b w:val="false"/>
          <w:color w:val="000000"/>
          <w:sz w:val="24"/>
          <w:u w:val="single"/>
        </w:rPr>
        <w:t>Special Blackout Windows</w:t>
      </w:r>
      <w:r>
        <w:rPr>
          <w:rFonts w:ascii="Arial;sans-serif" w:hAnsi="Arial;sans-serif"/>
          <w:b w:val="false"/>
          <w:color w:val="000000"/>
          <w:sz w:val="24"/>
        </w:rPr>
        <w:t>. The Company reserves the right, in its sole discretion, to close any trading "window" by notifying Designated Insiders that transactions in Nordstrom stock may not be appropriate at that time. The status of the trading window and whether it is open or closed at any particular time is confidential Company information and should not be disclosed to anyone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1"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left"/>
        <w:rPr>
          <w:rFonts w:ascii="Arial;sans-serif" w:hAnsi="Arial;sans-serif"/>
          <w:b w:val="false"/>
          <w:color w:val="000000"/>
          <w:sz w:val="24"/>
        </w:rPr>
      </w:pPr>
      <w:r>
        <w:rPr>
          <w:rFonts w:ascii="Arial;sans-serif" w:hAnsi="Arial;sans-serif"/>
          <w:b w:val="false"/>
          <w:color w:val="000000"/>
          <w:sz w:val="24"/>
        </w:rPr>
        <w:t>outside the Company.</w:t>
      </w:r>
    </w:p>
    <w:p>
      <w:pPr>
        <w:pStyle w:val="TextBody"/>
        <w:bidi w:val="0"/>
        <w:spacing w:before="0" w:after="0"/>
        <w:jc w:val="left"/>
        <w:rPr/>
      </w:pPr>
      <w:r>
        <w:rPr/>
      </w:r>
    </w:p>
    <w:p>
      <w:pPr>
        <w:pStyle w:val="TextBody"/>
        <w:bidi w:val="0"/>
        <w:spacing w:lineRule="auto" w:line="240" w:before="0" w:after="0"/>
        <w:ind w:left="0" w:right="0" w:hanging="359"/>
        <w:jc w:val="left"/>
        <w:rPr/>
      </w:pPr>
      <w:r>
        <w:rPr>
          <w:rFonts w:ascii="Arial;sans-serif" w:hAnsi="Arial;sans-serif"/>
          <w:b/>
          <w:color w:val="000000"/>
          <w:sz w:val="24"/>
        </w:rPr>
        <w:t>C.</w:t>
      </w:r>
      <w:r>
        <w:rPr>
          <w:rFonts w:ascii="Arial;sans-serif" w:hAnsi="Arial;sans-serif"/>
          <w:b/>
          <w:color w:val="000000"/>
          <w:sz w:val="24"/>
          <w:u w:val="single"/>
        </w:rPr>
        <w:t>Pre-Clearance Required</w:t>
      </w:r>
    </w:p>
    <w:p>
      <w:pPr>
        <w:pStyle w:val="TextBody"/>
        <w:bidi w:val="0"/>
        <w:spacing w:before="120" w:after="283"/>
        <w:jc w:val="left"/>
        <w:rPr/>
      </w:pPr>
      <w:r>
        <w:rPr/>
      </w:r>
    </w:p>
    <w:p>
      <w:pPr>
        <w:pStyle w:val="TextBody"/>
        <w:bidi w:val="0"/>
        <w:spacing w:lineRule="auto" w:line="240" w:before="0" w:after="0"/>
        <w:jc w:val="both"/>
        <w:rPr>
          <w:rFonts w:ascii="Arial;sans-serif" w:hAnsi="Arial;sans-serif"/>
          <w:b w:val="false"/>
          <w:color w:val="000000"/>
          <w:sz w:val="24"/>
        </w:rPr>
      </w:pPr>
      <w:r>
        <w:rPr>
          <w:rFonts w:ascii="Arial;sans-serif" w:hAnsi="Arial;sans-serif"/>
          <w:b w:val="false"/>
          <w:color w:val="000000"/>
          <w:sz w:val="24"/>
        </w:rPr>
        <w:t>If you are a Section 16 Individual (or an Immediate Family Member of a Section 16 Individual), all of your transactions in Nordstrom stock (including a stock plan transaction such as an option exercise, or a gift, loan, or pledge), other than transactions pursuant to a pre-approved Rule 10b5-1 plan as described in the Addendum, must be pre-cleared by the General Counsel pursuant to the pre-clearance procedures described in the Addendum. The Company may also find it necessary, from time to time, to require compliance with the pre-clearance process from additional Designated Insiders.</w:t>
      </w:r>
    </w:p>
    <w:p>
      <w:pPr>
        <w:pStyle w:val="TextBody"/>
        <w:bidi w:val="0"/>
        <w:spacing w:before="120" w:after="283"/>
        <w:jc w:val="left"/>
        <w:rPr/>
      </w:pPr>
      <w:r>
        <w:rPr/>
      </w:r>
    </w:p>
    <w:p>
      <w:pPr>
        <w:pStyle w:val="TextBody"/>
        <w:bidi w:val="0"/>
        <w:spacing w:lineRule="auto" w:line="240" w:before="0" w:after="0"/>
        <w:ind w:left="0" w:right="0" w:hanging="200"/>
        <w:jc w:val="left"/>
        <w:rPr>
          <w:rFonts w:ascii="Arial;sans-serif" w:hAnsi="Arial;sans-serif"/>
          <w:b/>
          <w:color w:val="000000"/>
          <w:sz w:val="24"/>
          <w:u w:val="single"/>
        </w:rPr>
      </w:pPr>
      <w:r>
        <w:rPr>
          <w:rFonts w:ascii="Arial;sans-serif" w:hAnsi="Arial;sans-serif"/>
          <w:b/>
          <w:color w:val="000000"/>
          <w:sz w:val="24"/>
          <w:u w:val="single"/>
        </w:rPr>
        <w:t>6. Potential Penalties and Disciplinary Actions</w:t>
      </w:r>
    </w:p>
    <w:p>
      <w:pPr>
        <w:pStyle w:val="TextBody"/>
        <w:bidi w:val="0"/>
        <w:spacing w:before="0" w:after="0"/>
        <w:jc w:val="left"/>
        <w:rPr/>
      </w:pPr>
      <w:r>
        <w:rPr/>
      </w:r>
    </w:p>
    <w:p>
      <w:pPr>
        <w:pStyle w:val="TextBody"/>
        <w:bidi w:val="0"/>
        <w:spacing w:lineRule="auto" w:line="240" w:before="1" w:after="283"/>
        <w:jc w:val="both"/>
        <w:rPr>
          <w:rFonts w:ascii="Arial;sans-serif" w:hAnsi="Arial;sans-serif"/>
          <w:b w:val="false"/>
          <w:color w:val="000000"/>
          <w:sz w:val="24"/>
        </w:rPr>
      </w:pPr>
      <w:r>
        <w:rPr>
          <w:rFonts w:ascii="Arial;sans-serif" w:hAnsi="Arial;sans-serif"/>
          <w:b w:val="false"/>
          <w:color w:val="000000"/>
          <w:sz w:val="24"/>
        </w:rPr>
        <w:t>It is important that you understand the breadth of activities that constitute illegal insider trading and the consequences, which can be severe. Cases have been successfully prosecuted against trading by employees through foreign accounts, trading by family members and friends, and trading involving only a small number of shares.</w:t>
      </w:r>
    </w:p>
    <w:p>
      <w:pPr>
        <w:pStyle w:val="TextBody"/>
        <w:bidi w:val="0"/>
        <w:spacing w:lineRule="auto" w:line="240" w:before="276" w:after="283"/>
        <w:jc w:val="both"/>
        <w:rPr/>
      </w:pPr>
      <w:r>
        <w:rPr>
          <w:rFonts w:ascii="Arial;sans-serif" w:hAnsi="Arial;sans-serif"/>
          <w:b w:val="false"/>
          <w:color w:val="000000"/>
          <w:sz w:val="24"/>
        </w:rPr>
        <w:t xml:space="preserve">It does not matter that an individual may have a necessary or justifiable independent reason for a trade, </w:t>
      </w:r>
      <w:r>
        <w:rPr>
          <w:rFonts w:ascii="Arial;sans-serif" w:hAnsi="Arial;sans-serif"/>
          <w:b/>
          <w:color w:val="000000"/>
          <w:sz w:val="24"/>
        </w:rPr>
        <w:t xml:space="preserve">there are no exceptions to the Policy </w:t>
      </w:r>
      <w:r>
        <w:rPr>
          <w:rFonts w:ascii="Arial;sans-serif" w:hAnsi="Arial;sans-serif"/>
          <w:b w:val="false"/>
          <w:color w:val="000000"/>
          <w:sz w:val="24"/>
        </w:rPr>
        <w:t>and compliance with the Policy is absolutely mandatory. Violations of the insider trading laws can result in severe civil and criminal penalties imposed upon both individuals and the company, as well as disciplinary action imposed by the Company upon individuals, up to and including immediate dismissal for cause, whether or not your failure to comply with the Policy results in a violation of law.</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4"/>
        </w:rPr>
      </w:pPr>
      <w:r>
        <w:rPr>
          <w:rFonts w:ascii="Arial;sans-serif" w:hAnsi="Arial;sans-serif"/>
          <w:b w:val="false"/>
          <w:color w:val="000000"/>
          <w:sz w:val="24"/>
        </w:rPr>
        <w:t>Any Covered Person who violates the Policy or any federal or state law governing insider trading or tipping, or any Covered Person who knows of any such violation by any other Covered Person, must report the violation immediately to any of the following: (i) the Company’s General Counsel; (ii) the Company’s Chief Financial Officer or Chief Executive Officer; (iii) the Company’s ethics hotline; or (iv) any member of the Board. Upon determining that any such violation has occurred, the General Counsel, when required by applicable law, shall cause the Company to report the violation to the SEC or other appropriate governmental authority. No Covered Person will be subject to retaliation because of a good faith report of a suspected violation.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2"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drawing>
          <wp:inline distT="0" distB="0" distL="0" distR="0">
            <wp:extent cx="1857375" cy="257175"/>
            <wp:effectExtent l="0" t="0" r="0" b="0"/>
            <wp:docPr id="9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 descr=""/>
                    <pic:cNvPicPr>
                      <a:picLocks noChangeAspect="1" noChangeArrowheads="1"/>
                    </pic:cNvPicPr>
                  </pic:nvPicPr>
                  <pic:blipFill>
                    <a:blip r:embed="rId66"/>
                    <a:stretch>
                      <a:fillRect/>
                    </a:stretch>
                  </pic:blipFill>
                  <pic:spPr bwMode="auto">
                    <a:xfrm>
                      <a:off x="0" y="0"/>
                      <a:ext cx="1857375" cy="257175"/>
                    </a:xfrm>
                    <a:prstGeom prst="rect">
                      <a:avLst/>
                    </a:prstGeom>
                  </pic:spPr>
                </pic:pic>
              </a:graphicData>
            </a:graphic>
          </wp:inline>
        </w:drawing>
      </w:r>
    </w:p>
    <w:p>
      <w:pPr>
        <w:pStyle w:val="TextBody"/>
        <w:bidi w:val="0"/>
        <w:spacing w:lineRule="auto" w:line="240" w:before="239" w:after="283"/>
        <w:ind w:left="0" w:right="0" w:hanging="855"/>
        <w:jc w:val="center"/>
        <w:rPr>
          <w:rFonts w:ascii="Arial;sans-serif" w:hAnsi="Arial;sans-serif"/>
          <w:b/>
          <w:color w:val="000000"/>
          <w:sz w:val="24"/>
        </w:rPr>
      </w:pPr>
      <w:r>
        <w:rPr>
          <w:rFonts w:ascii="Arial;sans-serif" w:hAnsi="Arial;sans-serif"/>
          <w:b/>
          <w:color w:val="000000"/>
          <w:sz w:val="24"/>
        </w:rPr>
        <w:t>ADDENDUM TO THE AMENDED AND RESTATED NORDSTROM INSIDER TRADING POLICY (THE “ADDENDUM”)</w:t>
      </w:r>
    </w:p>
    <w:p>
      <w:pPr>
        <w:pStyle w:val="TextBody"/>
        <w:bidi w:val="0"/>
        <w:spacing w:before="0" w:after="0"/>
        <w:jc w:val="left"/>
        <w:rPr/>
      </w:pPr>
      <w:r>
        <w:rPr/>
      </w:r>
    </w:p>
    <w:p>
      <w:pPr>
        <w:pStyle w:val="TextBody"/>
        <w:bidi w:val="0"/>
        <w:spacing w:lineRule="auto" w:line="240" w:before="33" w:after="283"/>
        <w:jc w:val="left"/>
        <w:rPr>
          <w:rFonts w:ascii="Arial;sans-serif" w:hAnsi="Arial;sans-serif"/>
          <w:b w:val="false"/>
          <w:color w:val="000000"/>
          <w:sz w:val="24"/>
        </w:rPr>
      </w:pPr>
      <w:r>
        <w:rPr>
          <w:rFonts w:ascii="Arial;sans-serif" w:hAnsi="Arial;sans-serif"/>
          <w:b w:val="false"/>
          <w:color w:val="000000"/>
          <w:sz w:val="24"/>
        </w:rPr>
        <w:t>To help prevent inadvertent violations of the federal securities laws and to avoid even the appearance of trading on inside information, the Company has adopted this Addendum. This Addendum is in addition to and supplements the Company’s Amended and Restated Insider Trading Policy (the “Policy”). Capitalized terms not otherwise defined shall have the meanings set forth in the Policy.</w:t>
      </w:r>
    </w:p>
    <w:p>
      <w:pPr>
        <w:pStyle w:val="TextBody"/>
        <w:bidi w:val="0"/>
        <w:spacing w:lineRule="auto" w:line="240" w:before="240" w:after="283"/>
        <w:jc w:val="both"/>
        <w:rPr>
          <w:rFonts w:ascii="Arial;sans-serif" w:hAnsi="Arial;sans-serif"/>
          <w:b/>
          <w:color w:val="000000"/>
          <w:sz w:val="24"/>
          <w:u w:val="single"/>
        </w:rPr>
      </w:pPr>
      <w:r>
        <w:rPr>
          <w:rFonts w:ascii="Arial;sans-serif" w:hAnsi="Arial;sans-serif"/>
          <w:b/>
          <w:color w:val="000000"/>
          <w:sz w:val="24"/>
          <w:u w:val="single"/>
        </w:rPr>
        <w:t>Duties of the General Counsel</w:t>
      </w:r>
    </w:p>
    <w:p>
      <w:pPr>
        <w:pStyle w:val="TextBody"/>
        <w:bidi w:val="0"/>
        <w:spacing w:lineRule="auto" w:line="240" w:before="240" w:after="283"/>
        <w:jc w:val="both"/>
        <w:rPr>
          <w:rFonts w:ascii="Arial;sans-serif" w:hAnsi="Arial;sans-serif"/>
          <w:b w:val="false"/>
          <w:color w:val="000000"/>
          <w:sz w:val="24"/>
        </w:rPr>
      </w:pPr>
      <w:r>
        <w:rPr>
          <w:rFonts w:ascii="Arial;sans-serif" w:hAnsi="Arial;sans-serif"/>
          <w:b w:val="false"/>
          <w:color w:val="000000"/>
          <w:sz w:val="24"/>
        </w:rPr>
        <w:t>The Company has appointed the General Counsel to administer the Policy. The duties of the General Counsel include, but are not limited to, the following:</w:t>
      </w:r>
    </w:p>
    <w:p>
      <w:pPr>
        <w:pStyle w:val="TextBody"/>
        <w:bidi w:val="0"/>
        <w:spacing w:lineRule="auto" w:line="240" w:before="240" w:after="283"/>
        <w:ind w:left="0" w:right="0" w:hanging="359"/>
        <w:jc w:val="both"/>
        <w:rPr>
          <w:rFonts w:ascii="Arial;sans-serif" w:hAnsi="Arial;sans-serif"/>
          <w:b w:val="false"/>
          <w:color w:val="000000"/>
          <w:sz w:val="24"/>
        </w:rPr>
      </w:pPr>
      <w:r>
        <w:rPr>
          <w:rFonts w:ascii="Arial;sans-serif" w:hAnsi="Arial;sans-serif"/>
          <w:b w:val="false"/>
          <w:color w:val="000000"/>
          <w:sz w:val="24"/>
        </w:rPr>
        <w:t>1.Assisting with implementation and enforcement of the Policy;</w:t>
      </w:r>
    </w:p>
    <w:p>
      <w:pPr>
        <w:pStyle w:val="TextBody"/>
        <w:bidi w:val="0"/>
        <w:spacing w:lineRule="auto" w:line="240" w:before="0" w:after="0"/>
        <w:ind w:left="0" w:right="0" w:hanging="359"/>
        <w:jc w:val="both"/>
        <w:rPr>
          <w:rFonts w:ascii="Arial;sans-serif" w:hAnsi="Arial;sans-serif"/>
          <w:b w:val="false"/>
          <w:color w:val="000000"/>
          <w:sz w:val="24"/>
        </w:rPr>
      </w:pPr>
      <w:r>
        <w:rPr>
          <w:rFonts w:ascii="Arial;sans-serif" w:hAnsi="Arial;sans-serif"/>
          <w:b w:val="false"/>
          <w:color w:val="000000"/>
          <w:sz w:val="24"/>
        </w:rPr>
        <w:t>2.Responding to all inquiries relating to the Policy;</w:t>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3.Making the Policy available on the Company’s intranet, circulating the Policy to the Company’s executive leadership group and certain other Company leaders and ensuring that the Policy is amended as necessary to remain up to date with insider trading laws;</w:t>
      </w:r>
    </w:p>
    <w:p>
      <w:pPr>
        <w:pStyle w:val="TextBody"/>
        <w:bidi w:val="0"/>
        <w:spacing w:lineRule="auto" w:line="240" w:before="1" w:after="283"/>
        <w:ind w:left="0" w:right="0" w:hanging="360"/>
        <w:jc w:val="both"/>
        <w:rPr>
          <w:rFonts w:ascii="Arial;sans-serif" w:hAnsi="Arial;sans-serif"/>
          <w:b w:val="false"/>
          <w:color w:val="000000"/>
          <w:sz w:val="24"/>
        </w:rPr>
      </w:pPr>
      <w:r>
        <w:rPr>
          <w:rFonts w:ascii="Arial;sans-serif" w:hAnsi="Arial;sans-serif"/>
          <w:b w:val="false"/>
          <w:color w:val="000000"/>
          <w:sz w:val="24"/>
        </w:rPr>
        <w:t>4.Pre-clearing all trading in securities of the Company in accordance with the procedures set forth below; and</w:t>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5.Providing approval of any Rule 10b5-1 plans and any waivers or approved deviations from the Policy.</w:t>
      </w:r>
    </w:p>
    <w:p>
      <w:pPr>
        <w:pStyle w:val="TextBody"/>
        <w:bidi w:val="0"/>
        <w:spacing w:lineRule="auto" w:line="240" w:before="240" w:after="283"/>
        <w:jc w:val="both"/>
        <w:rPr>
          <w:rFonts w:ascii="Arial;sans-serif" w:hAnsi="Arial;sans-serif"/>
          <w:b w:val="false"/>
          <w:color w:val="000000"/>
          <w:sz w:val="24"/>
        </w:rPr>
      </w:pPr>
      <w:r>
        <w:rPr>
          <w:rFonts w:ascii="Arial;sans-serif" w:hAnsi="Arial;sans-serif"/>
          <w:b w:val="false"/>
          <w:color w:val="000000"/>
          <w:sz w:val="24"/>
        </w:rPr>
        <w:t>The General Counsel may delegate all or any of his or her duties under the Policy to one or more individuals whom the General Counsel has designated in the event that the General Counsel is unable or unavailable to perform such duties.</w:t>
      </w:r>
    </w:p>
    <w:p>
      <w:pPr>
        <w:pStyle w:val="TextBody"/>
        <w:bidi w:val="0"/>
        <w:spacing w:lineRule="auto" w:line="240" w:before="240" w:after="283"/>
        <w:jc w:val="both"/>
        <w:rPr>
          <w:rFonts w:ascii="Arial;sans-serif" w:hAnsi="Arial;sans-serif"/>
          <w:b/>
          <w:color w:val="000000"/>
          <w:sz w:val="24"/>
          <w:u w:val="single"/>
        </w:rPr>
      </w:pPr>
      <w:r>
        <w:rPr>
          <w:rFonts w:ascii="Arial;sans-serif" w:hAnsi="Arial;sans-serif"/>
          <w:b/>
          <w:color w:val="000000"/>
          <w:sz w:val="24"/>
          <w:u w:val="single"/>
        </w:rPr>
        <w:t>Definition of “Material” Information</w:t>
      </w:r>
    </w:p>
    <w:p>
      <w:pPr>
        <w:pStyle w:val="TextBody"/>
        <w:bidi w:val="0"/>
        <w:spacing w:lineRule="auto" w:line="240" w:before="273" w:after="283"/>
        <w:jc w:val="both"/>
        <w:rPr>
          <w:rFonts w:ascii="Arial;sans-serif" w:hAnsi="Arial;sans-serif"/>
          <w:b w:val="false"/>
          <w:color w:val="000000"/>
          <w:sz w:val="24"/>
        </w:rPr>
      </w:pPr>
      <w:r>
        <w:rPr>
          <w:rFonts w:ascii="Arial;sans-serif" w:hAnsi="Arial;sans-serif"/>
          <w:b w:val="false"/>
          <w:color w:val="000000"/>
          <w:sz w:val="24"/>
        </w:rPr>
        <w:t>Insider trading restrictions come into play only if the information you possess is "material." There is no bright line test under the federal securities laws for determining whether information regarding a publicly traded company is material. Such a determination depends on the facts and circumstances unique to each situation. In general, "material” information is either positive or negative information (i) relating to a company (in addition to Nordstrom and its subsidiaries, this could include any company with which Nordstrom does business) (ii) that has not been adequately disseminated to the investing public generally, and (iii) the disclosure of which would likely affect the market price of such company's stock, or which would likely be considered important by a reasonable investor in determining whether to buy, sell or hold such stock. Any information that could reasonably be expected to affect the price of the Company’s security is material. Financial information is frequently material, even if it covers only part of a fiscal period or less than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80" w:after="283"/>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4"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40" w:before="0" w:after="0"/>
        <w:jc w:val="both"/>
        <w:rPr>
          <w:rFonts w:ascii="Arial;sans-serif" w:hAnsi="Arial;sans-serif"/>
          <w:b w:val="false"/>
          <w:color w:val="000000"/>
          <w:sz w:val="24"/>
        </w:rPr>
      </w:pPr>
      <w:r>
        <w:rPr>
          <w:rFonts w:ascii="Arial;sans-serif" w:hAnsi="Arial;sans-serif"/>
          <w:b w:val="false"/>
          <w:color w:val="000000"/>
          <w:sz w:val="24"/>
        </w:rPr>
        <w:t>all of the Company’s operations, since either of these might convey enough information about the Company’s consolidated results to be considered material information. Both positive and negative information can be material. Because trading that receives scrutiny will be evaluated after the fact with the benefit of hindsight, questions concerning the materiality of information should be resolved in favor of materiality, and trading should be avoided. Please refer to Section 4.A for some examples of what may constitute material information.</w:t>
      </w:r>
    </w:p>
    <w:p>
      <w:pPr>
        <w:pStyle w:val="TextBody"/>
        <w:bidi w:val="0"/>
        <w:spacing w:before="0" w:after="0"/>
        <w:jc w:val="left"/>
        <w:rPr/>
      </w:pPr>
      <w:r>
        <w:rPr/>
      </w:r>
    </w:p>
    <w:p>
      <w:pPr>
        <w:pStyle w:val="TextBody"/>
        <w:bidi w:val="0"/>
        <w:spacing w:lineRule="auto" w:line="240" w:before="0" w:after="0"/>
        <w:jc w:val="both"/>
        <w:rPr/>
      </w:pPr>
      <w:r>
        <w:rPr>
          <w:rFonts w:ascii="Arial;sans-serif" w:hAnsi="Arial;sans-serif"/>
          <w:b/>
          <w:color w:val="000000"/>
          <w:sz w:val="24"/>
        </w:rPr>
        <w:t>If you are unsure whether information is material, you should either consult the General Counsel before making any decision to disclose such information (other than to persons who need to know it) or to trade in or recommend securities to which that information relates or assume that the information is material and treat it as confidential</w:t>
      </w:r>
      <w:r>
        <w:rPr>
          <w:rFonts w:ascii="Arial;sans-serif" w:hAnsi="Arial;sans-serif"/>
          <w:b w:val="false"/>
          <w:color w:val="000000"/>
          <w:sz w:val="24"/>
        </w:rPr>
        <w:t>.</w:t>
      </w:r>
    </w:p>
    <w:p>
      <w:pPr>
        <w:pStyle w:val="TextBody"/>
        <w:bidi w:val="0"/>
        <w:spacing w:lineRule="auto" w:line="240" w:before="240" w:after="283"/>
        <w:jc w:val="both"/>
        <w:rPr>
          <w:rFonts w:ascii="Arial;sans-serif" w:hAnsi="Arial;sans-serif"/>
          <w:b/>
          <w:color w:val="000000"/>
          <w:sz w:val="24"/>
          <w:u w:val="single"/>
        </w:rPr>
      </w:pPr>
      <w:r>
        <w:rPr>
          <w:rFonts w:ascii="Arial;sans-serif" w:hAnsi="Arial;sans-serif"/>
          <w:b/>
          <w:color w:val="000000"/>
          <w:sz w:val="24"/>
          <w:u w:val="single"/>
        </w:rPr>
        <w:t>Definition of “Nonpublic” Information</w:t>
      </w:r>
    </w:p>
    <w:p>
      <w:pPr>
        <w:pStyle w:val="TextBody"/>
        <w:bidi w:val="0"/>
        <w:spacing w:before="0" w:after="0"/>
        <w:jc w:val="left"/>
        <w:rPr/>
      </w:pPr>
      <w:r>
        <w:rPr/>
      </w:r>
    </w:p>
    <w:p>
      <w:pPr>
        <w:pStyle w:val="TextBody"/>
        <w:bidi w:val="0"/>
        <w:spacing w:lineRule="auto" w:line="240" w:before="1" w:after="283"/>
        <w:jc w:val="both"/>
        <w:rPr>
          <w:rFonts w:ascii="Arial;sans-serif" w:hAnsi="Arial;sans-serif"/>
          <w:b w:val="false"/>
          <w:color w:val="000000"/>
          <w:sz w:val="24"/>
        </w:rPr>
      </w:pPr>
      <w:r>
        <w:rPr>
          <w:rFonts w:ascii="Arial;sans-serif" w:hAnsi="Arial;sans-serif"/>
          <w:b w:val="false"/>
          <w:color w:val="000000"/>
          <w:sz w:val="24"/>
        </w:rPr>
        <w:t>Insider trading prohibitions come into play only when you possess information that is “material” and “nonpublic.”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Even after public disclosure of information about the Company, you must wait until the close of business on the second trading day after the information was publicly disclosed before you can treat the information as public. Please refer to Section 4.B for some examples of what may constitute nonpublic information.</w:t>
      </w:r>
    </w:p>
    <w:p>
      <w:pPr>
        <w:pStyle w:val="TextBody"/>
        <w:bidi w:val="0"/>
        <w:spacing w:before="0" w:after="0"/>
        <w:jc w:val="left"/>
        <w:rPr/>
      </w:pPr>
      <w:r>
        <w:rPr/>
      </w:r>
    </w:p>
    <w:p>
      <w:pPr>
        <w:pStyle w:val="TextBody"/>
        <w:bidi w:val="0"/>
        <w:spacing w:lineRule="auto" w:line="240" w:before="0" w:after="0"/>
        <w:jc w:val="both"/>
        <w:rPr>
          <w:rFonts w:ascii="Arial;sans-serif" w:hAnsi="Arial;sans-serif"/>
          <w:b/>
          <w:color w:val="000000"/>
          <w:sz w:val="24"/>
        </w:rPr>
      </w:pPr>
      <w:r>
        <w:rPr>
          <w:rFonts w:ascii="Arial;sans-serif" w:hAnsi="Arial;sans-serif"/>
          <w:b/>
          <w:color w:val="000000"/>
          <w:sz w:val="24"/>
        </w:rPr>
        <w:t>As with questions of materiality, if you are not sure whether information is considered public, you should either consult with the General Counsel or assume that the information is nonpublic and treat it as confidential.</w:t>
      </w:r>
    </w:p>
    <w:p>
      <w:pPr>
        <w:pStyle w:val="TextBody"/>
        <w:bidi w:val="0"/>
        <w:spacing w:lineRule="auto" w:line="240" w:before="240" w:after="283"/>
        <w:jc w:val="both"/>
        <w:rPr>
          <w:rFonts w:ascii="Arial;sans-serif" w:hAnsi="Arial;sans-serif"/>
          <w:b/>
          <w:color w:val="000000"/>
          <w:sz w:val="24"/>
          <w:u w:val="single"/>
        </w:rPr>
      </w:pPr>
      <w:r>
        <w:rPr>
          <w:rFonts w:ascii="Arial;sans-serif" w:hAnsi="Arial;sans-serif"/>
          <w:b/>
          <w:color w:val="000000"/>
          <w:sz w:val="24"/>
          <w:u w:val="single"/>
        </w:rPr>
        <w:t>Pre-clearance Procedures</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4"/>
        </w:rPr>
      </w:pPr>
      <w:r>
        <w:rPr>
          <w:rFonts w:ascii="Arial;sans-serif" w:hAnsi="Arial;sans-serif"/>
          <w:b w:val="false"/>
          <w:color w:val="000000"/>
          <w:sz w:val="24"/>
        </w:rPr>
        <w:t>The following provisions detail the procedures for pre-clearance for Section 16 Individuals, along with any additional Designated Insiders that may be required to comply with the pre-clearing process from time to time:</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 xml:space="preserve">1.A request for pre-clearance must be submitted to the General Counsel in advance of the proposed transaction at </w:t>
      </w:r>
      <w:r>
        <w:rPr>
          <w:rFonts w:ascii="Arial;sans-serif" w:hAnsi="Arial;sans-serif"/>
          <w:b w:val="false"/>
          <w:color w:val="000000"/>
          <w:sz w:val="24"/>
          <w:u w:val="single"/>
        </w:rPr>
        <w:t>corporatesecretary@nordstrom.com</w:t>
      </w:r>
      <w:r>
        <w:rPr>
          <w:rFonts w:ascii="Arial;sans-serif" w:hAnsi="Arial;sans-serif"/>
          <w:b w:val="false"/>
          <w:color w:val="000000"/>
          <w:sz w:val="24"/>
        </w:rPr>
        <w:t>. Until the General Counsel provides pre-clearance for the proposed transaction in an email, such Section 16 Individual shall not execute any transaction.</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2.If a request for pre-clearance is approved, a Section 16 Individual will have three (3) business days to affect the transaction (or until the Company’s open trading window closes, if sooner). Under no circumstance may any Section 16 Individual transact while aware of MNPI about the Company, even if pre- cleared. If for any reason the transaction is not completed within this time period, the Section 16 Individual must again request and obtain pre-clearance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5"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left"/>
        <w:rPr>
          <w:rFonts w:ascii="Arial;sans-serif" w:hAnsi="Arial;sans-serif"/>
          <w:b w:val="false"/>
          <w:color w:val="000000"/>
          <w:sz w:val="24"/>
        </w:rPr>
      </w:pPr>
      <w:r>
        <w:rPr>
          <w:rFonts w:ascii="Arial;sans-serif" w:hAnsi="Arial;sans-serif"/>
          <w:b w:val="false"/>
          <w:color w:val="000000"/>
          <w:sz w:val="24"/>
        </w:rPr>
        <w:t>from the General Counsel before engaging in any transactions in Company securities.</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3.The General Counsel’s approval of any particular transaction under this pre- clearance procedure does not insulate any Section 16 Individual from liability under the securities laws. Ultimate responsibility for determining whether an individual is aware of MNPI about the Company rests with the individual in all cases.</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4.If the General Counsel desires to complete any transactions involving Company securities, he or she must first obtain the written approval of the Chief Executive Officer or the Chief Financial Officer of the Company.</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5.The existence of these approval procedures does not in any way obligate the General Counsel (or in the case of any transaction by the General Counsel, the Chief Executive Officer or the Chief Financial Officer of the Company) to approve any transactions requested.</w:t>
      </w:r>
    </w:p>
    <w:p>
      <w:pPr>
        <w:pStyle w:val="TextBody"/>
        <w:bidi w:val="0"/>
        <w:spacing w:before="0" w:after="0"/>
        <w:jc w:val="left"/>
        <w:rPr/>
      </w:pPr>
      <w:r>
        <w:rPr/>
      </w:r>
    </w:p>
    <w:p>
      <w:pPr>
        <w:pStyle w:val="TextBody"/>
        <w:bidi w:val="0"/>
        <w:spacing w:lineRule="auto" w:line="240" w:before="1" w:after="283"/>
        <w:ind w:left="0" w:right="0" w:hanging="360"/>
        <w:jc w:val="both"/>
        <w:rPr>
          <w:rFonts w:ascii="Arial;sans-serif" w:hAnsi="Arial;sans-serif"/>
          <w:b w:val="false"/>
          <w:color w:val="000000"/>
          <w:sz w:val="24"/>
        </w:rPr>
      </w:pPr>
      <w:r>
        <w:rPr>
          <w:rFonts w:ascii="Arial;sans-serif" w:hAnsi="Arial;sans-serif"/>
          <w:b w:val="false"/>
          <w:color w:val="000000"/>
          <w:sz w:val="24"/>
        </w:rPr>
        <w:t>6.Pre-clearance is not required for purchases and sales of securities under an approved Rule 10b5-1 plan as described below. However, any Section 16 Individual who desires to establish, terminate, modify, alter, or suspend a Rule 10b5-1 plan which directs trading in Company securities must first receive pre- approval from the General Counsel.</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 xml:space="preserve">7.Any questions about the Policy and whether it applies to any given transaction should be discussed with the General Counsel at corporatesecretary@nordstrom.com </w:t>
      </w:r>
      <w:r>
        <w:rPr>
          <w:rFonts w:ascii="Arial;sans-serif" w:hAnsi="Arial;sans-serif"/>
          <w:b w:val="false"/>
          <w:i/>
          <w:color w:val="000000"/>
          <w:sz w:val="24"/>
        </w:rPr>
        <w:t xml:space="preserve">before </w:t>
      </w:r>
      <w:r>
        <w:rPr>
          <w:rFonts w:ascii="Arial;sans-serif" w:hAnsi="Arial;sans-serif"/>
          <w:b w:val="false"/>
          <w:color w:val="000000"/>
          <w:sz w:val="24"/>
        </w:rPr>
        <w:t>any transaction. Do not try to resolve uncertainties on your own, as the rules relating to insider trading are often complex, not always intuitive and carry severe consequences.</w:t>
      </w:r>
    </w:p>
    <w:p>
      <w:pPr>
        <w:pStyle w:val="TextBody"/>
        <w:bidi w:val="0"/>
        <w:spacing w:lineRule="auto" w:line="240" w:before="240" w:after="283"/>
        <w:jc w:val="left"/>
        <w:rPr>
          <w:rFonts w:ascii="Arial;sans-serif" w:hAnsi="Arial;sans-serif"/>
          <w:b/>
          <w:color w:val="000000"/>
          <w:sz w:val="24"/>
          <w:u w:val="single"/>
        </w:rPr>
      </w:pPr>
      <w:r>
        <w:rPr>
          <w:rFonts w:ascii="Arial;sans-serif" w:hAnsi="Arial;sans-serif"/>
          <w:b/>
          <w:color w:val="000000"/>
          <w:sz w:val="24"/>
          <w:u w:val="single"/>
        </w:rPr>
        <w:t>Exception for Approved Rule 10b5-1 Plans</w:t>
      </w:r>
    </w:p>
    <w:p>
      <w:pPr>
        <w:pStyle w:val="TextBody"/>
        <w:bidi w:val="0"/>
        <w:spacing w:before="0" w:after="0"/>
        <w:jc w:val="left"/>
        <w:rPr/>
      </w:pPr>
      <w:r>
        <w:rPr/>
      </w:r>
    </w:p>
    <w:p>
      <w:pPr>
        <w:pStyle w:val="TextBody"/>
        <w:bidi w:val="0"/>
        <w:spacing w:lineRule="auto" w:line="240" w:before="0" w:after="0"/>
        <w:ind w:left="0" w:right="0" w:hanging="359"/>
        <w:jc w:val="left"/>
        <w:rPr>
          <w:rFonts w:ascii="Arial;sans-serif" w:hAnsi="Arial;sans-serif"/>
          <w:b/>
          <w:color w:val="000000"/>
          <w:sz w:val="24"/>
        </w:rPr>
      </w:pPr>
      <w:r>
        <w:rPr>
          <w:rFonts w:ascii="Arial;sans-serif" w:hAnsi="Arial;sans-serif"/>
          <w:b/>
          <w:color w:val="000000"/>
          <w:sz w:val="24"/>
        </w:rPr>
        <w:t>A.General Information</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4"/>
        </w:rPr>
      </w:pPr>
      <w:r>
        <w:rPr>
          <w:rFonts w:ascii="Arial;sans-serif" w:hAnsi="Arial;sans-serif"/>
          <w:b w:val="false"/>
          <w:color w:val="000000"/>
          <w:sz w:val="24"/>
        </w:rPr>
        <w:t>Under Rule 10b5-1 of the Securities Exchange Act of 1934 (“Exchange Act”), an individual has an affirmative defense against an allegation of insider trading if he or she can demonstrate that the purchase, sale or trade in question took place pursuant to a binding contract, specific instruction or written plan that was put into place before he or she became aware of MNPI.</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4"/>
        </w:rPr>
      </w:pPr>
      <w:r>
        <w:rPr>
          <w:rFonts w:ascii="Arial;sans-serif" w:hAnsi="Arial;sans-serif"/>
          <w:b w:val="false"/>
          <w:color w:val="000000"/>
          <w:sz w:val="24"/>
        </w:rPr>
        <w:t>Rule 10b5-1 plans may provide protection against insider trading liability. However, they also require advance commitments regarding the amounts, process and timing of purchases or sales of Company securities, limiting flexibility and discretion. Section 16 Individuals and Designated Insiders may use Rule 10b5-1 trading plans when trading in Nordstrom stock but are not required to do so. Other Covered Persons may use Rule 10b5-1 plans as well so long as they comply with all requirements of SEC Rule 10b5-1.</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6"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both"/>
        <w:rPr>
          <w:rFonts w:ascii="Arial;sans-serif" w:hAnsi="Arial;sans-serif"/>
          <w:b w:val="false"/>
          <w:color w:val="000000"/>
          <w:sz w:val="24"/>
        </w:rPr>
      </w:pPr>
      <w:r>
        <w:rPr>
          <w:rFonts w:ascii="Arial;sans-serif" w:hAnsi="Arial;sans-serif"/>
          <w:b w:val="false"/>
          <w:color w:val="000000"/>
          <w:sz w:val="24"/>
        </w:rPr>
        <w:t>Beginning with the third fiscal quarter of 2023, the Company is required to disclose in each periodic report it files with the SEC:</w:t>
      </w:r>
    </w:p>
    <w:p>
      <w:pPr>
        <w:pStyle w:val="TextBody"/>
        <w:bidi w:val="0"/>
        <w:spacing w:before="1" w:after="283"/>
        <w:jc w:val="left"/>
        <w:rPr/>
      </w:pPr>
      <w:r>
        <w:rPr/>
      </w:r>
    </w:p>
    <w:p>
      <w:pPr>
        <w:pStyle w:val="TextBody"/>
        <w:bidi w:val="0"/>
        <w:spacing w:lineRule="auto" w:line="240" w:before="0" w:after="0"/>
        <w:ind w:left="0" w:right="0" w:hanging="360"/>
        <w:jc w:val="both"/>
        <w:rPr/>
      </w:pPr>
      <w:r>
        <w:rPr>
          <w:color w:val="000000"/>
        </w:rPr>
        <w:t>•</w:t>
      </w:r>
      <w:r>
        <w:rPr>
          <w:rFonts w:ascii="Arial;sans-serif" w:hAnsi="Arial;sans-serif"/>
          <w:b w:val="false"/>
          <w:color w:val="000000"/>
          <w:sz w:val="24"/>
        </w:rPr>
        <w:t>whether any director or officer has adopted, modified, or terminated a Rule 10b5-1 plan or non-Rule 10b5-1 trading arrangement; and</w:t>
      </w:r>
    </w:p>
    <w:p>
      <w:pPr>
        <w:pStyle w:val="TextBody"/>
        <w:bidi w:val="0"/>
        <w:spacing w:lineRule="auto" w:line="240" w:before="0" w:after="0"/>
        <w:ind w:left="0" w:right="0" w:hanging="360"/>
        <w:jc w:val="both"/>
        <w:rPr/>
      </w:pPr>
      <w:r>
        <w:rPr>
          <w:color w:val="000000"/>
        </w:rPr>
        <w:t>•</w:t>
      </w:r>
      <w:r>
        <w:rPr>
          <w:rFonts w:ascii="Arial;sans-serif" w:hAnsi="Arial;sans-serif"/>
          <w:b w:val="false"/>
          <w:color w:val="000000"/>
          <w:sz w:val="24"/>
        </w:rPr>
        <w:t>the material terms of each plan, including the name and title of the director or officer; the date the plan was adopted, modified, or terminated; the plan’s duration; and the total amount of securities to be purchased or sold under the plan. Note, however, that as of February 23, 2023 the Company will not be required to disclose pricing terms.</w:t>
      </w:r>
    </w:p>
    <w:p>
      <w:pPr>
        <w:pStyle w:val="TextBody"/>
        <w:bidi w:val="0"/>
        <w:spacing w:lineRule="auto" w:line="240" w:before="271" w:after="283"/>
        <w:ind w:left="0" w:right="0" w:hanging="359"/>
        <w:jc w:val="left"/>
        <w:rPr>
          <w:rFonts w:ascii="Arial;sans-serif" w:hAnsi="Arial;sans-serif"/>
          <w:b/>
          <w:color w:val="000000"/>
          <w:sz w:val="24"/>
        </w:rPr>
      </w:pPr>
      <w:r>
        <w:rPr>
          <w:rFonts w:ascii="Arial;sans-serif" w:hAnsi="Arial;sans-serif"/>
          <w:b/>
          <w:color w:val="000000"/>
          <w:sz w:val="24"/>
        </w:rPr>
        <w:t>B.Plan Rules and Requirements</w:t>
      </w:r>
    </w:p>
    <w:p>
      <w:pPr>
        <w:pStyle w:val="TextBody"/>
        <w:bidi w:val="0"/>
        <w:spacing w:lineRule="auto" w:line="240" w:before="276" w:after="283"/>
        <w:jc w:val="both"/>
        <w:rPr>
          <w:rFonts w:ascii="Arial;sans-serif" w:hAnsi="Arial;sans-serif"/>
          <w:b w:val="false"/>
          <w:color w:val="000000"/>
          <w:sz w:val="24"/>
        </w:rPr>
      </w:pPr>
      <w:r>
        <w:rPr>
          <w:rFonts w:ascii="Arial;sans-serif" w:hAnsi="Arial;sans-serif"/>
          <w:b w:val="false"/>
          <w:color w:val="000000"/>
          <w:sz w:val="24"/>
        </w:rPr>
        <w:t>The following are requirements for all Covered Persons, whether or not they are Section 16 Individuals or Designated Insiders (except where a requirement is expressly stated to apply to a certain subset of Covered Persons).</w:t>
      </w:r>
    </w:p>
    <w:p>
      <w:pPr>
        <w:pStyle w:val="TextBody"/>
        <w:bidi w:val="0"/>
        <w:spacing w:lineRule="auto" w:line="240" w:before="276" w:after="283"/>
        <w:ind w:left="0" w:right="0" w:hanging="360"/>
        <w:jc w:val="both"/>
        <w:rPr/>
      </w:pPr>
      <w:r>
        <w:rPr>
          <w:rFonts w:ascii="Arial;sans-serif" w:hAnsi="Arial;sans-serif"/>
          <w:b w:val="false"/>
          <w:color w:val="000000"/>
          <w:sz w:val="24"/>
        </w:rPr>
        <w:t>1.</w:t>
      </w:r>
      <w:r>
        <w:rPr>
          <w:rFonts w:ascii="Arial;sans-serif" w:hAnsi="Arial;sans-serif"/>
          <w:b w:val="false"/>
          <w:color w:val="000000"/>
          <w:sz w:val="24"/>
          <w:u w:val="single"/>
        </w:rPr>
        <w:t>Pre-Approval</w:t>
      </w:r>
      <w:r>
        <w:rPr>
          <w:rFonts w:ascii="Arial;sans-serif" w:hAnsi="Arial;sans-serif"/>
          <w:b w:val="false"/>
          <w:color w:val="000000"/>
          <w:sz w:val="24"/>
        </w:rPr>
        <w:t>. Any Section 16 Individual who desires to establish, terminate, modify, alter, or suspend a Rule 10b5-1 plan which directs trading in Company securities must first receive pre-approval from the General Counsel.</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2.</w:t>
      </w:r>
      <w:r>
        <w:rPr>
          <w:rFonts w:ascii="Arial;sans-serif" w:hAnsi="Arial;sans-serif"/>
          <w:b w:val="false"/>
          <w:color w:val="000000"/>
          <w:sz w:val="24"/>
          <w:u w:val="single"/>
        </w:rPr>
        <w:t>MNPI and Open Trading Window</w:t>
      </w:r>
      <w:r>
        <w:rPr>
          <w:rFonts w:ascii="Arial;sans-serif" w:hAnsi="Arial;sans-serif"/>
          <w:b w:val="false"/>
          <w:color w:val="000000"/>
          <w:sz w:val="24"/>
        </w:rPr>
        <w:t>. Any person desiring to enter into a Rule 10b5-1 plan must enter into that plan at a time when he or she is not aware of any MNPI about the Company and during a period when the Company’s trading window is open and not otherwise subject to a special trading blackout window.</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3.</w:t>
      </w:r>
      <w:r>
        <w:rPr>
          <w:rFonts w:ascii="Arial;sans-serif" w:hAnsi="Arial;sans-serif"/>
          <w:b w:val="false"/>
          <w:color w:val="000000"/>
          <w:sz w:val="24"/>
          <w:u w:val="single"/>
        </w:rPr>
        <w:t>Mandatory Waiting Period</w:t>
      </w:r>
      <w:r>
        <w:rPr>
          <w:rFonts w:ascii="Arial;sans-serif" w:hAnsi="Arial;sans-serif"/>
          <w:b w:val="false"/>
          <w:color w:val="000000"/>
          <w:sz w:val="24"/>
        </w:rPr>
        <w:t>. In accordance with Rule 10b5-1, the Company requires a mandatory waiting period for Section 16 Individuals extending until the later of (i) 90 days after adopting or modifying the Rule 10b5-1 plan; and (ii) two business days after the release of financial results on Form 10-Q or Form 10-K for the fiscal quarter in which the Rule 10b5-1 plan was adopted or modified before the date of the first possible transaction under the Rule 10b5- 1 plan. In any case, the mandatory waiting period shall not exceed 120 days after adopting or modifying the Rule 10b5-1 plan.</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4.</w:t>
      </w:r>
      <w:r>
        <w:rPr>
          <w:rFonts w:ascii="Arial;sans-serif" w:hAnsi="Arial;sans-serif"/>
          <w:b w:val="false"/>
          <w:color w:val="000000"/>
          <w:sz w:val="24"/>
          <w:u w:val="single"/>
        </w:rPr>
        <w:t>Plan Design</w:t>
      </w:r>
      <w:r>
        <w:rPr>
          <w:rFonts w:ascii="Arial;sans-serif" w:hAnsi="Arial;sans-serif"/>
          <w:b w:val="false"/>
          <w:color w:val="000000"/>
          <w:sz w:val="24"/>
        </w:rPr>
        <w:t>. As a general matter, all Rule 10b5-1 plans must meet the requirements of SEC Rule 10b5-1. All Rule 10b5-1 plans must:</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a)Specify the amount, price and specific dates of purchases or sales covered under the Rule 10b5-1 plan or include a formula or similar method for determining amount, price, and date;</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b)Include a certification at the time of adoption or modification that: (i) the person entering into the plan is not aware of any MNPI about the Company or its securities and (ii) such person is adopting or modifying the Rule 10b5-1 plan in good faith and not as part of a scheme to evade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7"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both"/>
        <w:rPr/>
      </w:pPr>
      <w:r>
        <w:rPr/>
      </w:r>
    </w:p>
    <w:p>
      <w:pPr>
        <w:pStyle w:val="TextBody"/>
        <w:bidi w:val="0"/>
        <w:spacing w:lineRule="auto" w:line="240" w:before="80" w:after="283"/>
        <w:jc w:val="left"/>
        <w:rPr>
          <w:rFonts w:ascii="Arial;sans-serif" w:hAnsi="Arial;sans-serif"/>
          <w:b w:val="false"/>
          <w:color w:val="000000"/>
          <w:sz w:val="24"/>
        </w:rPr>
      </w:pPr>
      <w:r>
        <w:rPr>
          <w:rFonts w:ascii="Arial;sans-serif" w:hAnsi="Arial;sans-serif"/>
          <w:b w:val="false"/>
          <w:color w:val="000000"/>
          <w:sz w:val="24"/>
        </w:rPr>
        <w:t>the prohibitions of Section 10(b) and Rule 10b-5 under the Exchange Act;</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c)Require anyone entering into a Rule 10b5-1 plan to act in good faith with respect to the Rule 10b5-1 plan; and</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d)Other than terminating the Rule 10b5-1 plan as permitted by law when such person is not aware of any MNPI about the Company and when the Company’s trading window is open and not otherwise subject to a special trading blackout window, Rule 10b5-1 plans must not permit such person to exercise subsequent influence over how, when or whether to effect any transactions specified under the plan.</w:t>
      </w:r>
    </w:p>
    <w:p>
      <w:pPr>
        <w:pStyle w:val="TextBody"/>
        <w:bidi w:val="0"/>
        <w:spacing w:before="0" w:after="0"/>
        <w:jc w:val="left"/>
        <w:rPr/>
      </w:pPr>
      <w:r>
        <w:rPr/>
      </w:r>
    </w:p>
    <w:p>
      <w:pPr>
        <w:pStyle w:val="TextBody"/>
        <w:bidi w:val="0"/>
        <w:spacing w:lineRule="auto" w:line="240" w:before="0" w:after="0"/>
        <w:ind w:left="0" w:right="0" w:hanging="359"/>
        <w:jc w:val="left"/>
        <w:rPr/>
      </w:pPr>
      <w:r>
        <w:rPr>
          <w:rFonts w:ascii="Arial;sans-serif" w:hAnsi="Arial;sans-serif"/>
          <w:b w:val="false"/>
          <w:color w:val="000000"/>
          <w:sz w:val="24"/>
        </w:rPr>
        <w:t>5.</w:t>
      </w:r>
      <w:r>
        <w:rPr>
          <w:rFonts w:ascii="Arial;sans-serif" w:hAnsi="Arial;sans-serif"/>
          <w:b w:val="false"/>
          <w:color w:val="000000"/>
          <w:sz w:val="24"/>
          <w:u w:val="single"/>
        </w:rPr>
        <w:t>Multiple Overlapping Rule 10b5-1 Plans Prohibited</w:t>
      </w:r>
      <w:r>
        <w:rPr>
          <w:rFonts w:ascii="Arial;sans-serif" w:hAnsi="Arial;sans-serif"/>
          <w:b w:val="false"/>
          <w:color w:val="000000"/>
          <w:sz w:val="24"/>
        </w:rPr>
        <w:t>.</w:t>
      </w:r>
    </w:p>
    <w:p>
      <w:pPr>
        <w:pStyle w:val="TextBody"/>
        <w:bidi w:val="0"/>
        <w:spacing w:before="0" w:after="0"/>
        <w:jc w:val="left"/>
        <w:rPr/>
      </w:pPr>
      <w:r>
        <w:rPr/>
      </w:r>
    </w:p>
    <w:p>
      <w:pPr>
        <w:pStyle w:val="TextBody"/>
        <w:bidi w:val="0"/>
        <w:spacing w:lineRule="auto" w:line="240" w:before="1" w:after="283"/>
        <w:ind w:left="0" w:right="0" w:hanging="360"/>
        <w:jc w:val="both"/>
        <w:rPr/>
      </w:pPr>
      <w:r>
        <w:rPr>
          <w:rFonts w:ascii="Arial;sans-serif" w:hAnsi="Arial;sans-serif"/>
          <w:b w:val="false"/>
          <w:color w:val="000000"/>
          <w:sz w:val="24"/>
        </w:rPr>
        <w:t>a)</w:t>
      </w:r>
      <w:r>
        <w:rPr>
          <w:rFonts w:ascii="Arial;sans-serif" w:hAnsi="Arial;sans-serif"/>
          <w:b w:val="false"/>
          <w:color w:val="000000"/>
          <w:sz w:val="24"/>
          <w:u w:val="single"/>
        </w:rPr>
        <w:t>General Rule</w:t>
      </w:r>
      <w:r>
        <w:rPr>
          <w:rFonts w:ascii="Arial;sans-serif" w:hAnsi="Arial;sans-serif"/>
          <w:b w:val="false"/>
          <w:color w:val="000000"/>
          <w:sz w:val="24"/>
        </w:rPr>
        <w:t>. Covered Persons are prohibited from adopting multiple or overlapping Rule 10b5-1 Plans and may have no more than one (1) Rule 10b5-1 plan outstanding at any time.</w:t>
      </w:r>
    </w:p>
    <w:p>
      <w:pPr>
        <w:pStyle w:val="TextBody"/>
        <w:bidi w:val="0"/>
        <w:spacing w:lineRule="auto" w:line="240" w:before="276" w:after="283"/>
        <w:ind w:left="0" w:right="0" w:hanging="360"/>
        <w:jc w:val="both"/>
        <w:rPr/>
      </w:pPr>
      <w:r>
        <w:rPr>
          <w:rFonts w:ascii="Arial;sans-serif" w:hAnsi="Arial;sans-serif"/>
          <w:b w:val="false"/>
          <w:color w:val="000000"/>
          <w:sz w:val="24"/>
        </w:rPr>
        <w:t>b)</w:t>
      </w:r>
      <w:r>
        <w:rPr>
          <w:rFonts w:ascii="Arial;sans-serif" w:hAnsi="Arial;sans-serif"/>
          <w:b w:val="false"/>
          <w:color w:val="000000"/>
          <w:sz w:val="24"/>
          <w:u w:val="single"/>
        </w:rPr>
        <w:t>Multiple Broker Exception</w:t>
      </w:r>
      <w:r>
        <w:rPr>
          <w:rFonts w:ascii="Arial;sans-serif" w:hAnsi="Arial;sans-serif"/>
          <w:b w:val="false"/>
          <w:color w:val="000000"/>
          <w:sz w:val="24"/>
        </w:rPr>
        <w:t>. The use of multiple brokers to execute trades in different accounts may be treated as a single “plan” so long as each of the contracts taken as a whole meet all the requirements applicable to Rule 10b5-1 plans, and any modification to one of the contracts would be deemed a modification of each other contract.</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c)</w:t>
      </w:r>
      <w:r>
        <w:rPr>
          <w:rFonts w:ascii="Arial;sans-serif" w:hAnsi="Arial;sans-serif"/>
          <w:b w:val="false"/>
          <w:color w:val="000000"/>
          <w:sz w:val="24"/>
          <w:u w:val="single"/>
        </w:rPr>
        <w:t>Subsequent Plan Exception</w:t>
      </w:r>
      <w:r>
        <w:rPr>
          <w:rFonts w:ascii="Arial;sans-serif" w:hAnsi="Arial;sans-serif"/>
          <w:b w:val="false"/>
          <w:color w:val="000000"/>
          <w:sz w:val="24"/>
        </w:rPr>
        <w:t>. A Covered Person may adopt a new Rule 10b5-1 trading plan while another Rule 10b5-1 trading plan is in operation, so long as the first trade under the new plan will not occur until the existing plan expires or terminates by its terms. However, if such person terminates the current plan early, and the first trade under the new plan was scheduled to occur in the mandatory waiting period, then the new plan would not receive the benefit of the affirmative defense. Conversely, if the first trade under the new plan was scheduled to occur only after the mandatory waiting period, then the new plan would receive the benefit of the affirmative defense.</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Arial;sans-serif" w:hAnsi="Arial;sans-serif"/>
          <w:b w:val="false"/>
          <w:color w:val="000000"/>
          <w:sz w:val="24"/>
        </w:rPr>
        <w:t>d)</w:t>
      </w:r>
      <w:r>
        <w:rPr>
          <w:rFonts w:ascii="Arial;sans-serif" w:hAnsi="Arial;sans-serif"/>
          <w:b w:val="false"/>
          <w:color w:val="000000"/>
          <w:sz w:val="24"/>
          <w:u w:val="single"/>
        </w:rPr>
        <w:t>Sell-to-Cover Exception</w:t>
      </w:r>
      <w:r>
        <w:rPr>
          <w:rFonts w:ascii="Arial;sans-serif" w:hAnsi="Arial;sans-serif"/>
          <w:b w:val="false"/>
          <w:color w:val="000000"/>
          <w:sz w:val="24"/>
        </w:rPr>
        <w:t>. An additional Rule 10b5-1 trading plan (or plans) may be used for certain sell-to-cover transactions, i.e., instructing the broker or agent to sell securities in order to satisfy tax withholding obligations at the time an equity award vests, so long as the additional plan or plans are only for authorized sell-to-cover transactions (and only for securities necessary to satisfy specific tax withholding obligations), and the Covered Person does not exercise any control over the timing of the sales.</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Arial;sans-serif" w:hAnsi="Arial;sans-serif"/>
          <w:b w:val="false"/>
          <w:color w:val="000000"/>
          <w:sz w:val="24"/>
        </w:rPr>
        <w:t>6.</w:t>
      </w:r>
      <w:r>
        <w:rPr>
          <w:rFonts w:ascii="Arial;sans-serif" w:hAnsi="Arial;sans-serif"/>
          <w:b w:val="false"/>
          <w:color w:val="000000"/>
          <w:sz w:val="24"/>
          <w:u w:val="single"/>
        </w:rPr>
        <w:t>Single Trade Plans</w:t>
      </w:r>
      <w:r>
        <w:rPr>
          <w:rFonts w:ascii="Arial;sans-serif" w:hAnsi="Arial;sans-serif"/>
          <w:b w:val="false"/>
          <w:color w:val="000000"/>
          <w:sz w:val="24"/>
        </w:rPr>
        <w:t>. The affirmative defense is only available for a single trade plan once every 12 months.</w:t>
      </w:r>
    </w:p>
    <w:p>
      <w:pPr>
        <w:pStyle w:val="TextBody"/>
        <w:bidi w:val="0"/>
        <w:spacing w:before="0" w:after="0"/>
        <w:ind w:left="0" w:right="0" w:firstLine="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ind w:left="0" w:right="0" w:hanging="3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8"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40" w:before="0" w:after="0"/>
        <w:ind w:left="0" w:right="0" w:hanging="360"/>
        <w:jc w:val="left"/>
        <w:rPr/>
      </w:pPr>
      <w:r>
        <w:rPr>
          <w:rFonts w:ascii="Arial;sans-serif" w:hAnsi="Arial;sans-serif"/>
          <w:b w:val="false"/>
          <w:color w:val="000000"/>
          <w:sz w:val="22"/>
        </w:rPr>
        <w:t>7.</w:t>
      </w:r>
      <w:r>
        <w:rPr>
          <w:rFonts w:ascii="Arial;sans-serif" w:hAnsi="Arial;sans-serif"/>
          <w:b w:val="false"/>
          <w:color w:val="000000"/>
          <w:sz w:val="24"/>
          <w:u w:val="single"/>
        </w:rPr>
        <w:t>Hedging Transactions</w:t>
      </w:r>
      <w:r>
        <w:rPr>
          <w:rFonts w:ascii="Arial;sans-serif" w:hAnsi="Arial;sans-serif"/>
          <w:b w:val="false"/>
          <w:color w:val="000000"/>
          <w:sz w:val="24"/>
        </w:rPr>
        <w:t>. The inclusion of hedging transactions in any Rule 10b5- 1 plan are prohibited.</w:t>
      </w:r>
    </w:p>
    <w:p>
      <w:pPr>
        <w:pStyle w:val="TextBody"/>
        <w:bidi w:val="0"/>
        <w:spacing w:before="0" w:after="0"/>
        <w:jc w:val="left"/>
        <w:rPr/>
      </w:pPr>
      <w:r>
        <w:rPr/>
      </w:r>
    </w:p>
    <w:p>
      <w:pPr>
        <w:pStyle w:val="TextBody"/>
        <w:bidi w:val="0"/>
        <w:spacing w:lineRule="auto" w:line="240" w:before="0" w:after="0"/>
        <w:ind w:left="0" w:right="0" w:hanging="359"/>
        <w:jc w:val="left"/>
        <w:rPr>
          <w:rFonts w:ascii="Arial;sans-serif" w:hAnsi="Arial;sans-serif"/>
          <w:b/>
          <w:color w:val="000000"/>
          <w:sz w:val="24"/>
        </w:rPr>
      </w:pPr>
      <w:r>
        <w:rPr>
          <w:rFonts w:ascii="Arial;sans-serif" w:hAnsi="Arial;sans-serif"/>
          <w:b/>
          <w:color w:val="000000"/>
          <w:sz w:val="24"/>
        </w:rPr>
        <w:t>C.Additional Rule 10b5-1 Plan Administration Guidelines</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4"/>
        </w:rPr>
      </w:pPr>
      <w:r>
        <w:rPr>
          <w:rFonts w:ascii="Arial;sans-serif" w:hAnsi="Arial;sans-serif"/>
          <w:b w:val="false"/>
          <w:color w:val="000000"/>
          <w:sz w:val="24"/>
        </w:rPr>
        <w:t>The following additional guidelines will apply to all Rule 10b5-1 plans entered into by Covered Persons:</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1.To reduce the perception that a Covered Person is inappropriately communicating with or influencing its broker, all Covered Persons are strongly encouraged to use the broker approved by the Company to implement Rule 10b5-1 plans, rather than their own broker.</w:t>
      </w:r>
    </w:p>
    <w:p>
      <w:pPr>
        <w:pStyle w:val="TextBody"/>
        <w:bidi w:val="0"/>
        <w:spacing w:before="0" w:after="0"/>
        <w:jc w:val="left"/>
        <w:rPr/>
      </w:pPr>
      <w:r>
        <w:rPr/>
      </w:r>
    </w:p>
    <w:p>
      <w:pPr>
        <w:pStyle w:val="TextBody"/>
        <w:bidi w:val="0"/>
        <w:spacing w:lineRule="auto" w:line="240" w:before="0" w:after="0"/>
        <w:ind w:left="0" w:right="0" w:hanging="360"/>
        <w:jc w:val="both"/>
        <w:rPr>
          <w:rFonts w:ascii="Arial;sans-serif" w:hAnsi="Arial;sans-serif"/>
          <w:b w:val="false"/>
          <w:color w:val="000000"/>
          <w:sz w:val="24"/>
        </w:rPr>
      </w:pPr>
      <w:r>
        <w:rPr>
          <w:rFonts w:ascii="Arial;sans-serif" w:hAnsi="Arial;sans-serif"/>
          <w:b w:val="false"/>
          <w:color w:val="000000"/>
          <w:sz w:val="24"/>
        </w:rPr>
        <w:t>2.Should a Section 16 Individual (with the permission of the General Counsel), or other Covered Persons that is not a Section 16 Individual, terminate or modify a Rule 10b5-1 plan, the requisite mandatory waiting period noted above will apply prior to any transaction being made pursuant to the modified Rule 10b5-1 plan or a new approved Rule 10b-5-1 plan.</w:t>
      </w:r>
    </w:p>
    <w:p>
      <w:pPr>
        <w:pStyle w:val="TextBody"/>
        <w:bidi w:val="0"/>
        <w:spacing w:before="0" w:after="0"/>
        <w:jc w:val="left"/>
        <w:rPr/>
      </w:pPr>
      <w:r>
        <w:rPr/>
      </w:r>
    </w:p>
    <w:p>
      <w:pPr>
        <w:pStyle w:val="TextBody"/>
        <w:bidi w:val="0"/>
        <w:spacing w:lineRule="auto" w:line="240" w:before="1" w:after="283"/>
        <w:ind w:left="0" w:right="0" w:hanging="360"/>
        <w:jc w:val="both"/>
        <w:rPr>
          <w:rFonts w:ascii="Arial;sans-serif" w:hAnsi="Arial;sans-serif"/>
          <w:b w:val="false"/>
          <w:color w:val="000000"/>
          <w:sz w:val="24"/>
        </w:rPr>
      </w:pPr>
      <w:r>
        <w:rPr>
          <w:rFonts w:ascii="Arial;sans-serif" w:hAnsi="Arial;sans-serif"/>
          <w:b w:val="false"/>
          <w:color w:val="000000"/>
          <w:sz w:val="24"/>
        </w:rPr>
        <w:t>3.Any third-party effecting any purchase or sale under a Rule 10b5-1 plan on behalf of the Section 16 Individual must be instructed to send duplicate confirmations of all such transactions to the General Counsel.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9"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Exhibit 21.1</w:t>
      </w:r>
    </w:p>
    <w:p>
      <w:pPr>
        <w:pStyle w:val="TextBody"/>
        <w:bidi w:val="0"/>
        <w:spacing w:lineRule="auto" w:line="288" w:before="160" w:after="283"/>
        <w:jc w:val="left"/>
        <w:rPr>
          <w:rFonts w:ascii="Arial Narrow;sans-serif" w:hAnsi="Arial Narrow;sans-serif"/>
          <w:b/>
          <w:color w:val="000000"/>
          <w:sz w:val="20"/>
        </w:rPr>
      </w:pPr>
      <w:r>
        <w:rPr>
          <w:rFonts w:ascii="Arial Narrow;sans-serif" w:hAnsi="Arial Narrow;sans-serif"/>
          <w:b/>
          <w:color w:val="000000"/>
          <w:sz w:val="20"/>
        </w:rPr>
        <w:t>Nordstrom, Inc. and Subsidiaries</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Significant Subsidiaries of the Registrant</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 xml:space="preserve">As of and for the fiscal year ended February 3, 2024 </w:t>
      </w:r>
    </w:p>
    <w:p>
      <w:pPr>
        <w:pStyle w:val="TextBody"/>
        <w:bidi w:val="0"/>
        <w:spacing w:before="0" w:after="0"/>
        <w:jc w:val="left"/>
        <w:rPr/>
      </w:pPr>
      <w:r>
        <w:rPr/>
      </w:r>
    </w:p>
    <w:tbl>
      <w:tblPr>
        <w:tblW w:w="4856" w:type="dxa"/>
        <w:jc w:val="left"/>
        <w:tblInd w:w="0" w:type="dxa"/>
        <w:tblLayout w:type="fixed"/>
        <w:tblCellMar>
          <w:top w:w="28" w:type="dxa"/>
          <w:left w:w="28" w:type="dxa"/>
          <w:bottom w:w="28" w:type="dxa"/>
          <w:right w:w="28" w:type="dxa"/>
        </w:tblCellMar>
      </w:tblPr>
      <w:tblGrid>
        <w:gridCol w:w="880"/>
        <w:gridCol w:w="771"/>
        <w:gridCol w:w="778"/>
        <w:gridCol w:w="109"/>
        <w:gridCol w:w="109"/>
        <w:gridCol w:w="109"/>
        <w:gridCol w:w="615"/>
        <w:gridCol w:w="615"/>
        <w:gridCol w:w="870"/>
      </w:tblGrid>
      <w:tr>
        <w:trPr/>
        <w:tc>
          <w:tcPr>
            <w:tcW w:w="8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Jurisdiction of Incorporation</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Nordstrom Card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2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Nordstrom International Limited</w:t>
            </w:r>
            <w:r>
              <w:rPr>
                <w:rFonts w:ascii="Arial Narrow;sans-serif" w:hAnsi="Arial Narrow;sans-serif"/>
                <w:b w:val="false"/>
                <w:color w:val="000000"/>
                <w:sz w:val="13"/>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Washington</w:t>
            </w:r>
          </w:p>
        </w:tc>
      </w:tr>
    </w:tbl>
    <w:p>
      <w:pPr>
        <w:pStyle w:val="TextBody"/>
        <w:bidi w:val="0"/>
        <w:spacing w:lineRule="auto" w:line="288"/>
        <w:ind w:left="0" w:right="0" w:hanging="90"/>
        <w:jc w:val="left"/>
        <w:rPr/>
      </w:pPr>
      <w:r>
        <w:rPr>
          <w:rFonts w:ascii="Arial Narrow;sans-serif" w:hAnsi="Arial Narrow;sans-serif"/>
          <w:b w:val="false"/>
          <w:color w:val="000000"/>
          <w:sz w:val="10"/>
        </w:rPr>
        <w:t>1</w:t>
      </w:r>
      <w:r>
        <w:rPr>
          <w:color w:val="000000"/>
        </w:rPr>
        <w:t xml:space="preserve"> </w:t>
      </w:r>
      <w:r>
        <w:rPr>
          <w:rFonts w:ascii="Arial Narrow;sans-serif" w:hAnsi="Arial Narrow;sans-serif"/>
          <w:b w:val="false"/>
          <w:color w:val="000000"/>
          <w:sz w:val="16"/>
        </w:rPr>
        <w:t>On March 2, 2023, Nordstrom Canada commenced a wind-down of its business operations (see Note 2: Canada Wind-down in Item 8 of the 2023 Annual Report on Form 10-K) and as of this date, Nordstrom Canada was deconsolidated from Nordstrom, Inc.’s financial statements. Prior to deconsolidation, Nordstrom International Limited included the Company's investment in Nordstrom Canada.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Exhibit 31.1</w:t>
      </w:r>
    </w:p>
    <w:p>
      <w:pPr>
        <w:pStyle w:val="TextBody"/>
        <w:bidi w:val="0"/>
        <w:spacing w:lineRule="auto" w:line="288" w:before="160" w:after="283"/>
        <w:jc w:val="left"/>
        <w:rPr>
          <w:rFonts w:ascii="Arial Narrow;sans-serif" w:hAnsi="Arial Narrow;sans-serif"/>
          <w:b/>
          <w:color w:val="000000"/>
          <w:sz w:val="20"/>
        </w:rPr>
      </w:pPr>
      <w:r>
        <w:rPr>
          <w:rFonts w:ascii="Arial Narrow;sans-serif" w:hAnsi="Arial Narrow;sans-serif"/>
          <w:b/>
          <w:color w:val="000000"/>
          <w:sz w:val="20"/>
        </w:rPr>
        <w:t>Certification required by Section 302(a) of the Sarbanes-Oxley Act of 2002</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I, Erik B. Nordstrom, certify that:</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1. I have reviewed this Annual Report on Form 10-K of Nordstrom, Inc.;</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104" w:type="dxa"/>
        <w:jc w:val="left"/>
        <w:tblInd w:w="0" w:type="dxa"/>
        <w:tblLayout w:type="fixed"/>
        <w:tblCellMar>
          <w:top w:w="28" w:type="dxa"/>
          <w:left w:w="28" w:type="dxa"/>
          <w:bottom w:w="28" w:type="dxa"/>
          <w:right w:w="28" w:type="dxa"/>
        </w:tblCellMar>
      </w:tblPr>
      <w:tblGrid>
        <w:gridCol w:w="320"/>
        <w:gridCol w:w="282"/>
        <w:gridCol w:w="285"/>
        <w:gridCol w:w="649"/>
        <w:gridCol w:w="649"/>
        <w:gridCol w:w="919"/>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19, 2024</w:t>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/s/ Erik B. Nordstrom</w:t>
            </w:r>
          </w:p>
        </w:tc>
      </w:tr>
      <w:tr>
        <w:trPr/>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Erik B. Nordstrom</w:t>
            </w:r>
          </w:p>
        </w:tc>
      </w:tr>
      <w:tr>
        <w:trPr/>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 of Nordstrom, Inc.</w:t>
            </w:r>
          </w:p>
        </w:tc>
      </w:tr>
    </w:tbl>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Exhibit 31.2</w:t>
      </w:r>
    </w:p>
    <w:p>
      <w:pPr>
        <w:pStyle w:val="TextBody"/>
        <w:bidi w:val="0"/>
        <w:spacing w:lineRule="auto" w:line="288" w:before="160" w:after="283"/>
        <w:jc w:val="left"/>
        <w:rPr>
          <w:rFonts w:ascii="Arial Narrow;sans-serif" w:hAnsi="Arial Narrow;sans-serif"/>
          <w:b/>
          <w:color w:val="000000"/>
          <w:sz w:val="20"/>
        </w:rPr>
      </w:pPr>
      <w:r>
        <w:rPr>
          <w:rFonts w:ascii="Arial Narrow;sans-serif" w:hAnsi="Arial Narrow;sans-serif"/>
          <w:b/>
          <w:color w:val="000000"/>
          <w:sz w:val="20"/>
        </w:rPr>
        <w:t>Certification required by Section 302(a) of the Sarbanes-Oxley Act of 2002</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I, Cathy R. Smith, certify that:</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1. I have reviewed this Annual Report on Form 10-K of Nordstrom, Inc.;</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jc w:val="left"/>
        <w:rPr>
          <w:rFonts w:ascii="Arial Narrow;sans-serif" w:hAnsi="Arial Narrow;sans-serif"/>
          <w:b w:val="false"/>
          <w:color w:val="000000"/>
          <w:sz w:val="20"/>
        </w:rPr>
      </w:pPr>
      <w:r>
        <w:rPr>
          <w:rFonts w:ascii="Arial Narrow;sans-serif" w:hAnsi="Arial Narrow;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3056" w:type="dxa"/>
        <w:jc w:val="left"/>
        <w:tblInd w:w="0" w:type="dxa"/>
        <w:tblLayout w:type="fixed"/>
        <w:tblCellMar>
          <w:top w:w="28" w:type="dxa"/>
          <w:left w:w="28" w:type="dxa"/>
          <w:bottom w:w="28" w:type="dxa"/>
          <w:right w:w="28" w:type="dxa"/>
        </w:tblCellMar>
      </w:tblPr>
      <w:tblGrid>
        <w:gridCol w:w="315"/>
        <w:gridCol w:w="277"/>
        <w:gridCol w:w="281"/>
        <w:gridCol w:w="639"/>
        <w:gridCol w:w="639"/>
        <w:gridCol w:w="905"/>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19, 2024</w:t>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/s/ Cathy R. Smith</w:t>
            </w:r>
          </w:p>
        </w:tc>
      </w:tr>
      <w:tr>
        <w:trPr/>
        <w:tc>
          <w:tcPr>
            <w:tcW w:w="30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Cathy R. Smith</w:t>
            </w:r>
          </w:p>
        </w:tc>
      </w:tr>
      <w:tr>
        <w:trPr/>
        <w:tc>
          <w:tcPr>
            <w:tcW w:w="30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 of Nordstrom, Inc.</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val="false"/>
          <w:color w:val="000000"/>
          <w:sz w:val="20"/>
        </w:rPr>
      </w:pPr>
      <w:r>
        <w:rPr>
          <w:rFonts w:ascii="Arial Narrow;sans-serif" w:hAnsi="Arial Narrow;sans-serif"/>
          <w:b w:val="false"/>
          <w:color w:val="000000"/>
          <w:sz w:val="20"/>
        </w:rPr>
        <w:t>Exhibit 32.1</w:t>
      </w:r>
    </w:p>
    <w:p>
      <w:pPr>
        <w:pStyle w:val="TextBody"/>
        <w:bidi w:val="0"/>
        <w:spacing w:lineRule="auto" w:line="288" w:before="360" w:after="283"/>
        <w:jc w:val="center"/>
        <w:rPr>
          <w:rFonts w:ascii="Arial Narrow;sans-serif" w:hAnsi="Arial Narrow;sans-serif"/>
          <w:b/>
          <w:color w:val="000000"/>
          <w:sz w:val="24"/>
        </w:rPr>
      </w:pPr>
      <w:r>
        <w:rPr>
          <w:rFonts w:ascii="Arial Narrow;sans-serif" w:hAnsi="Arial Narrow;sans-serif"/>
          <w:b/>
          <w:color w:val="000000"/>
          <w:sz w:val="24"/>
        </w:rPr>
        <w:t>NORDSTROM, INC.</w:t>
      </w:r>
    </w:p>
    <w:p>
      <w:pPr>
        <w:pStyle w:val="TextBody"/>
        <w:bidi w:val="0"/>
        <w:spacing w:lineRule="auto" w:line="288" w:before="180" w:after="283"/>
        <w:jc w:val="center"/>
        <w:rPr>
          <w:rFonts w:ascii="Arial Narrow;sans-serif" w:hAnsi="Arial Narrow;sans-serif"/>
          <w:b/>
          <w:color w:val="000000"/>
          <w:sz w:val="24"/>
        </w:rPr>
      </w:pPr>
      <w:r>
        <w:rPr>
          <w:rFonts w:ascii="Arial Narrow;sans-serif" w:hAnsi="Arial Narrow;sans-serif"/>
          <w:b/>
          <w:color w:val="000000"/>
          <w:sz w:val="24"/>
        </w:rPr>
        <w:t>1617 SIXTH AVENUE</w:t>
      </w:r>
    </w:p>
    <w:p>
      <w:pPr>
        <w:pStyle w:val="TextBody"/>
        <w:bidi w:val="0"/>
        <w:spacing w:lineRule="auto" w:line="288" w:before="180" w:after="283"/>
        <w:jc w:val="center"/>
        <w:rPr>
          <w:rFonts w:ascii="Arial Narrow;sans-serif" w:hAnsi="Arial Narrow;sans-serif"/>
          <w:b/>
          <w:color w:val="000000"/>
          <w:sz w:val="24"/>
        </w:rPr>
      </w:pPr>
      <w:r>
        <w:rPr>
          <w:rFonts w:ascii="Arial Narrow;sans-serif" w:hAnsi="Arial Narrow;sans-serif"/>
          <w:b/>
          <w:color w:val="000000"/>
          <w:sz w:val="24"/>
        </w:rPr>
        <w:t>SEATTLE, WASHINGTON 98101</w:t>
      </w:r>
    </w:p>
    <w:p>
      <w:pPr>
        <w:pStyle w:val="TextBody"/>
        <w:bidi w:val="0"/>
        <w:spacing w:lineRule="auto" w:line="288" w:before="180" w:after="283"/>
        <w:jc w:val="center"/>
        <w:rPr>
          <w:rFonts w:ascii="Arial Narrow;sans-serif" w:hAnsi="Arial Narrow;sans-serif"/>
          <w:b/>
          <w:color w:val="000000"/>
          <w:sz w:val="24"/>
        </w:rPr>
      </w:pPr>
      <w:r>
        <w:rPr>
          <w:rFonts w:ascii="Arial Narrow;sans-serif" w:hAnsi="Arial Narrow;sans-serif"/>
          <w:b/>
          <w:color w:val="000000"/>
          <w:sz w:val="24"/>
        </w:rPr>
        <w:t>CERTIFICATION PURSUANT TO</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18 U.S.C. SECTION 1350,</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AS ADOPTED PURSUANT TO</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SECTION 906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connection with the Annual Report of Nordstrom, Inc. (the “Company”) on Form 10-K for the period ended February 3, 2024, as filed with the Securities and Exchange Commission on the date hereof (the “Report”), we, Erik B. Nordstrom, Chief Executive Officer (Principal Executive Officer), and Cathy R. Smith, Chief Financial Officer (Principal Financial Officer and Principal Accounting Officer), of the Company, certify, pursuant to 18 U.S.C. Section 1350, as adopted pursuant to Section 906 of the Sarbanes-Oxley Act of 2002, that: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The Report fully complies with the requirements of Section 13(a) or 15(d) of the Securities Exchange Act of 1934; and</w:t>
      </w:r>
    </w:p>
    <w:p>
      <w:pPr>
        <w:pStyle w:val="TextBody"/>
        <w:bidi w:val="0"/>
        <w:spacing w:lineRule="auto" w:line="288" w:before="60" w:after="283"/>
        <w:ind w:left="0" w:right="0" w:hanging="360"/>
        <w:jc w:val="left"/>
        <w:rPr/>
      </w:pPr>
      <w:r>
        <w:rPr>
          <w:color w:val="000000"/>
        </w:rPr>
        <w:t>•</w:t>
      </w:r>
      <w:r>
        <w:rPr>
          <w:rFonts w:ascii="Arial Narrow;sans-serif" w:hAnsi="Arial Narrow;sans-serif"/>
          <w:b w:val="false"/>
          <w:color w:val="000000"/>
          <w:sz w:val="20"/>
        </w:rPr>
        <w:t>The information contained in the Report fairly presents, in all material respects, the financial condition and results of operations of the Company.</w:t>
      </w:r>
    </w:p>
    <w:tbl>
      <w:tblPr>
        <w:tblW w:w="3104" w:type="dxa"/>
        <w:jc w:val="right"/>
        <w:tblInd w:w="0" w:type="dxa"/>
        <w:tblLayout w:type="fixed"/>
        <w:tblCellMar>
          <w:top w:w="28" w:type="dxa"/>
          <w:left w:w="28" w:type="dxa"/>
          <w:bottom w:w="28" w:type="dxa"/>
          <w:right w:w="28" w:type="dxa"/>
        </w:tblCellMar>
      </w:tblPr>
      <w:tblGrid>
        <w:gridCol w:w="320"/>
        <w:gridCol w:w="282"/>
        <w:gridCol w:w="285"/>
        <w:gridCol w:w="649"/>
        <w:gridCol w:w="649"/>
        <w:gridCol w:w="919"/>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22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19, 2024</w:t>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/s/ Erik B. Nordstrom</w:t>
            </w:r>
          </w:p>
        </w:tc>
      </w:tr>
      <w:tr>
        <w:trPr/>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Erik B. Nordstrom</w:t>
            </w:r>
          </w:p>
        </w:tc>
      </w:tr>
      <w:tr>
        <w:trPr/>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 of Nordstrom, Inc.</w:t>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u w:val="single"/>
              </w:rPr>
            </w:pPr>
            <w:r>
              <w:rPr>
                <w:rFonts w:ascii="Arial Narrow;sans-serif" w:hAnsi="Arial Narrow;sans-serif"/>
                <w:b w:val="false"/>
                <w:color w:val="000000"/>
                <w:sz w:val="20"/>
                <w:u w:val="single"/>
              </w:rPr>
              <w:t>/s/ Cathy R. Smith</w:t>
            </w:r>
          </w:p>
        </w:tc>
      </w:tr>
      <w:tr>
        <w:trPr/>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Cathy R. Smith</w:t>
            </w:r>
          </w:p>
        </w:tc>
      </w:tr>
      <w:tr>
        <w:trPr/>
        <w:tc>
          <w:tcPr>
            <w:tcW w:w="31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Financial Officer of Nordstrom, Inc.</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has been provided to Nordstrom, Inc. and will be retained by Nordstrom,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79" w:after="283"/>
        <w:ind w:left="0" w:right="0" w:firstLine="720"/>
        <w:jc w:val="right"/>
        <w:rPr>
          <w:rFonts w:ascii="Times New Roman;sans-serif" w:hAnsi="Times New Roman;sans-serif"/>
          <w:b w:val="false"/>
          <w:color w:val="000000"/>
          <w:sz w:val="24"/>
        </w:rPr>
      </w:pPr>
      <w:r>
        <w:rPr>
          <w:rFonts w:ascii="Times New Roman;sans-serif" w:hAnsi="Times New Roman;sans-serif"/>
          <w:b w:val="false"/>
          <w:color w:val="000000"/>
          <w:sz w:val="24"/>
        </w:rPr>
        <w:t>Exhibit 97.1</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NORDSTROM, INC.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CORPORATE GOVERNANCE GUIDELINES</w:t>
      </w:r>
    </w:p>
    <w:p>
      <w:pPr>
        <w:pStyle w:val="TextBody"/>
        <w:bidi w:val="0"/>
        <w:spacing w:lineRule="auto" w:line="240" w:before="217"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(as amended on August 16, 2023)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Clawback Policy</w:t>
      </w:r>
    </w:p>
    <w:p>
      <w:pPr>
        <w:pStyle w:val="TextBody"/>
        <w:bidi w:val="0"/>
        <w:spacing w:before="5"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filed financial statements with the SEC that (i) is material to the previously filed financial statements, or (ii) would result in a material misstatement if the error were corrected in the current period or left uncorrected in the current period (a “</w:t>
      </w:r>
      <w:r>
        <w:rPr>
          <w:rFonts w:ascii="Times New Roman;sans-serif" w:hAnsi="Times New Roman;sans-serif"/>
          <w:b w:val="false"/>
          <w:color w:val="000000"/>
          <w:sz w:val="24"/>
          <w:u w:val="single"/>
        </w:rPr>
        <w:t>Restatement</w:t>
      </w:r>
      <w:r>
        <w:rPr>
          <w:color w:val="000000"/>
        </w:rPr>
        <w:t>”</w:t>
      </w:r>
      <w:r>
        <w:rPr>
          <w:rFonts w:ascii="Times New Roman;sans-serif" w:hAnsi="Times New Roman;sans-serif"/>
          <w:b w:val="false"/>
          <w:color w:val="000000"/>
          <w:sz w:val="24"/>
        </w:rPr>
        <w:t>), the independent members of the Board, upon the recommendation of the CPCC, will cause the Company to promptly recover, to the fullest extent permitted under applicable law (and subject to the exceptions described in the NYSE listing standards), any erroneously awarded Incentive Compensation (as defined below) received by an Executive Officer (as defined below) during the three completed fiscal years immediately before the date on which the Company is required to prepare such a Restatement (as defined below).</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policy:</w:t>
      </w:r>
    </w:p>
    <w:p>
      <w:pPr>
        <w:pStyle w:val="TextBody"/>
        <w:bidi w:val="0"/>
        <w:spacing w:before="0" w:after="0"/>
        <w:jc w:val="left"/>
        <w:rPr/>
      </w:pPr>
      <w:r>
        <w:rPr/>
      </w:r>
    </w:p>
    <w:p>
      <w:pPr>
        <w:pStyle w:val="TextBody"/>
        <w:bidi w:val="0"/>
        <w:spacing w:lineRule="auto" w:line="240" w:before="0" w:after="0"/>
        <w:ind w:left="0" w:right="0" w:hanging="524"/>
        <w:jc w:val="left"/>
        <w:rPr/>
      </w:pPr>
      <w:r>
        <w:rPr>
          <w:rFonts w:ascii="Times New Roman;sans-serif" w:hAnsi="Times New Roman;sans-serif"/>
          <w:b/>
          <w:color w:val="000000"/>
          <w:sz w:val="24"/>
        </w:rPr>
        <w:t>(i)</w:t>
      </w:r>
      <w:r>
        <w:rPr>
          <w:rFonts w:ascii="Times New Roman;sans-serif" w:hAnsi="Times New Roman;sans-serif"/>
          <w:b w:val="false"/>
          <w:color w:val="000000"/>
          <w:sz w:val="24"/>
        </w:rPr>
        <w:t xml:space="preserve">The date that the Company is required to prepare a Restatement will be the earlier of (a) the date that the Board or Board Committee (or if Board or Board Committee action is not required, the officer(s) of the Company authorized to take such action) concludes, or reasonably should have concluded, that the Company is required to prepare a Restatement; or (b) the date a court, regulator or other legally authorized body directs the Company to prepare a Restatement. </w:t>
      </w:r>
    </w:p>
    <w:p>
      <w:pPr>
        <w:pStyle w:val="TextBody"/>
        <w:bidi w:val="0"/>
        <w:spacing w:before="0" w:after="0"/>
        <w:jc w:val="left"/>
        <w:rPr/>
      </w:pPr>
      <w:r>
        <w:rPr/>
      </w:r>
    </w:p>
    <w:p>
      <w:pPr>
        <w:pStyle w:val="TextBody"/>
        <w:bidi w:val="0"/>
        <w:spacing w:lineRule="auto" w:line="240" w:before="0" w:after="0"/>
        <w:ind w:left="0" w:right="0" w:hanging="524"/>
        <w:jc w:val="left"/>
        <w:rPr/>
      </w:pPr>
      <w:r>
        <w:rPr>
          <w:rFonts w:ascii="Times New Roman;sans-serif" w:hAnsi="Times New Roman;sans-serif"/>
          <w:b/>
          <w:color w:val="000000"/>
          <w:sz w:val="24"/>
        </w:rPr>
        <w:t>(ii)</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Incentive Compensation</w:t>
      </w:r>
      <w:r>
        <w:rPr>
          <w:color w:val="000000"/>
        </w:rPr>
        <w:t xml:space="preserve">” </w:t>
      </w:r>
      <w:r>
        <w:rPr>
          <w:rFonts w:ascii="Times New Roman;sans-serif" w:hAnsi="Times New Roman;sans-serif"/>
          <w:b w:val="false"/>
          <w:color w:val="000000"/>
          <w:sz w:val="24"/>
        </w:rPr>
        <w:t>means any compensation that is granted, earned or vested based wholly or in part on the attainment of a Financial Reporting Measure (as defined below).</w:t>
      </w:r>
    </w:p>
    <w:p>
      <w:pPr>
        <w:pStyle w:val="TextBody"/>
        <w:bidi w:val="0"/>
        <w:spacing w:before="2" w:after="283"/>
        <w:jc w:val="left"/>
        <w:rPr/>
      </w:pPr>
      <w:r>
        <w:rPr/>
      </w:r>
    </w:p>
    <w:p>
      <w:pPr>
        <w:pStyle w:val="TextBody"/>
        <w:bidi w:val="0"/>
        <w:spacing w:lineRule="auto" w:line="240" w:before="0" w:after="0"/>
        <w:ind w:left="0" w:right="0" w:hanging="524"/>
        <w:jc w:val="left"/>
        <w:rPr/>
      </w:pPr>
      <w:r>
        <w:rPr>
          <w:rFonts w:ascii="Times New Roman;sans-serif" w:hAnsi="Times New Roman;sans-serif"/>
          <w:b/>
          <w:color w:val="000000"/>
          <w:sz w:val="24"/>
        </w:rPr>
        <w:t>(iii)</w:t>
      </w:r>
      <w:r>
        <w:rPr>
          <w:rFonts w:ascii="Times New Roman;sans-serif" w:hAnsi="Times New Roman;sans-serif"/>
          <w:b w:val="false"/>
          <w:color w:val="000000"/>
          <w:sz w:val="24"/>
        </w:rPr>
        <w:t>The term “Executive Officer” means the Company’s current and former Section 16 officers. This policy applies to Incentive Compensation received by an Executive Officer (a) after beginning services as an Executive Officer; and (b) if that person served as an Executive Officer at any time during the performance period for such Incentive Compensation.</w:t>
      </w:r>
    </w:p>
    <w:p>
      <w:pPr>
        <w:pStyle w:val="TextBody"/>
        <w:bidi w:val="0"/>
        <w:spacing w:before="3" w:after="283"/>
        <w:jc w:val="left"/>
        <w:rPr/>
      </w:pPr>
      <w:r>
        <w:rPr/>
      </w:r>
    </w:p>
    <w:p>
      <w:pPr>
        <w:pStyle w:val="TextBody"/>
        <w:bidi w:val="0"/>
        <w:spacing w:lineRule="auto" w:line="240" w:before="0" w:after="0"/>
        <w:ind w:left="0" w:right="0" w:hanging="524"/>
        <w:jc w:val="left"/>
        <w:rPr/>
      </w:pPr>
      <w:r>
        <w:rPr>
          <w:rFonts w:ascii="Times New Roman;sans-serif" w:hAnsi="Times New Roman;sans-serif"/>
          <w:b/>
          <w:color w:val="000000"/>
          <w:sz w:val="24"/>
        </w:rPr>
        <w:t>(iv)</w:t>
      </w:r>
      <w:r>
        <w:rPr>
          <w:rFonts w:ascii="Times New Roman;sans-serif" w:hAnsi="Times New Roman;sans-serif"/>
          <w:b w:val="false"/>
          <w:color w:val="000000"/>
          <w:sz w:val="24"/>
        </w:rPr>
        <w:t>Incentive Compensation will be deemed to be “received” by an Executive Officer in the Company’s fiscal period during which the applicable Financial Reporting Measure (as defined below) described in the Incentive Compensation award is attained, even if the payment or grant of the Incentive Compensation happens after the end of that period.</w:t>
      </w:r>
    </w:p>
    <w:p>
      <w:pPr>
        <w:pStyle w:val="TextBody"/>
        <w:bidi w:val="0"/>
        <w:ind w:left="0" w:right="0" w:hanging="524"/>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524"/>
        <w:jc w:val="left"/>
        <w:rPr/>
      </w:pPr>
      <w:r>
        <w:rPr/>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40" w:before="0" w:after="0"/>
        <w:ind w:left="0" w:right="0" w:hanging="524"/>
        <w:jc w:val="left"/>
        <w:rPr/>
      </w:pPr>
      <w:r>
        <w:rPr>
          <w:rFonts w:ascii="Times New Roman;sans-serif" w:hAnsi="Times New Roman;sans-serif"/>
          <w:b/>
          <w:color w:val="000000"/>
          <w:sz w:val="24"/>
        </w:rPr>
        <w:t>(v)</w:t>
      </w:r>
      <w:r>
        <w:rPr>
          <w:rFonts w:ascii="Times New Roman;sans-serif" w:hAnsi="Times New Roman;sans-serif"/>
          <w:b w:val="false"/>
          <w:color w:val="000000"/>
          <w:sz w:val="24"/>
        </w:rPr>
        <w:t>The term “</w:t>
      </w:r>
      <w:r>
        <w:rPr>
          <w:rFonts w:ascii="Times New Roman;sans-serif" w:hAnsi="Times New Roman;sans-serif"/>
          <w:b w:val="false"/>
          <w:color w:val="000000"/>
          <w:sz w:val="24"/>
          <w:u w:val="single"/>
        </w:rPr>
        <w:t>Financial Reporting Measures</w:t>
      </w:r>
      <w:r>
        <w:rPr>
          <w:color w:val="000000"/>
        </w:rPr>
        <w:t xml:space="preserve">” </w:t>
      </w:r>
      <w:r>
        <w:rPr>
          <w:rFonts w:ascii="Times New Roman;sans-serif" w:hAnsi="Times New Roman;sans-serif"/>
          <w:b w:val="false"/>
          <w:color w:val="000000"/>
          <w:sz w:val="24"/>
        </w:rPr>
        <w:t>means any measures that are determined and presented in accordance with the accounting principles used in preparing the Company’s financial statements, and any measures that are derived wholly or in part from such measures, regardless of whether such measures are presented within the Company’s financial statements or included in a filing with the SEC. Financial Reporting Measures may include GAAP and non-GAAP measures, including but not limited to stock price and total shareholder return.</w:t>
      </w:r>
    </w:p>
    <w:p>
      <w:pPr>
        <w:pStyle w:val="TextBody"/>
        <w:bidi w:val="0"/>
        <w:spacing w:before="0" w:after="0"/>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amount to be recovered from an Executive Officer pursuant to this policy in the event of a Restatement will be the amount of Incentive Compensation received by the Executive Officer that exceeds the amount of Incentive Compensation that otherwise would have been received had it been determined based on the restated amounts, calculated without regard to any taxes paid, plus, as determined by the Board in its discretion, interest or earnings. Where the amount of erroneously awarded Incentive Compensation is not subject to mathematical recalculation directly from the information in the Restatement (as with Incentive Compensation based on stock price or total shareholder return), the Board will determine such amount based on a reasonable estimate of the effect of the Restatement on the applicable Financial Reporting Measure, and the Board will document any such estimate and provide such documentation to NYSE upon request.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the extent this policy provides for recovery of Incentive Compensation that the Company has recovered from an Executive Officer pursuant to Section 304 of the Sarbanes-Oxley Act of 2002 or any other recovery obligation, the amount already recovered from such Executive Officer may be credited against the recovery required under this policy.</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independent members of the Board will determine, in their absolute discretion and considering the applicable facts and circumstances, the method(s) for recovering any erroneously awarded Incentive Compensation, which method(s) need not be applied consistently, so long as any such method provides for reasonably prompt recovery and otherwise complies with any requirements of the NYSE listing rules and applicable law.</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terms of any agreement, policy or governing document of the Company to the contrary, the Company will not indemnify any Executive Officer against (a) the loss of any erroneously awarded Incentive Compensation, or (b) any claim relating to the Company’s enforcement of its rights under this policy.</w:t>
      </w:r>
    </w:p>
    <w:p>
      <w:pPr>
        <w:pStyle w:val="TextBody"/>
        <w:bidi w:val="0"/>
        <w:spacing w:before="0" w:after="0"/>
        <w:jc w:val="left"/>
        <w:rPr/>
      </w:pPr>
      <w:r>
        <w:rPr/>
      </w:r>
    </w:p>
    <w:p>
      <w:pPr>
        <w:pStyle w:val="TextBody"/>
        <w:bidi w:val="0"/>
        <w:spacing w:lineRule="auto" w:line="240"/>
        <w:jc w:val="left"/>
        <w:rPr/>
      </w:pPr>
      <w:r>
        <w:rPr>
          <w:rFonts w:ascii="Times New Roman;sans-serif" w:hAnsi="Times New Roman;sans-serif"/>
          <w:b w:val="false"/>
          <w:color w:val="000000"/>
          <w:sz w:val="24"/>
        </w:rPr>
        <w:t>This policy will be effective as of the date the corporate governance guidelines are adopted by the Board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and will apply to any Incentive Compensation that is (a) approved, awarded or granted to an Executive Officer on or after the Effective Date, or (b) received by an Executive Officer on or after the Effective Date.</w:t>
      </w:r>
    </w:p>
    <w:p>
      <w:pPr>
        <w:pStyle w:val="TextBody"/>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72333/000007233323000037/jwn-20230128.htm" TargetMode="External"/><Relationship Id="rId5" Type="http://schemas.openxmlformats.org/officeDocument/2006/relationships/hyperlink" Target="http://www.sec.gov/Archives/edgar/data/72333/000007233323000037/jwn-20230128.htm" TargetMode="External"/><Relationship Id="rId6" Type="http://schemas.openxmlformats.org/officeDocument/2006/relationships/hyperlink" Target="http://www.sec.gov/Archives/edgar/data/72333/000121390022057166/ea165964ex4-1_nordstrom.htm" TargetMode="External"/><Relationship Id="rId7" Type="http://schemas.openxmlformats.org/officeDocument/2006/relationships/hyperlink" Target="http://www.sec.gov/Archives/edgar/data/72333/000007233305000134/ni053105ex31.txt" TargetMode="External"/><Relationship Id="rId8" Type="http://schemas.openxmlformats.org/officeDocument/2006/relationships/hyperlink" Target="http://www.sec.gov/Archives/edgar/data/72333/000007233323000158/jwn-09212023xex31.htm" TargetMode="External"/><Relationship Id="rId9" Type="http://schemas.openxmlformats.org/officeDocument/2006/relationships/hyperlink" Target="http://www.sec.gov/Archives/edgar/data/72333/000089102001500082/v71889ors-3.txt" TargetMode="External"/><Relationship Id="rId10" Type="http://schemas.openxmlformats.org/officeDocument/2006/relationships/hyperlink" Target="http://www.sec.gov/Archives/edgar/data/72333/0001047469-98-009311.txt" TargetMode="External"/><Relationship Id="rId11" Type="http://schemas.openxmlformats.org/officeDocument/2006/relationships/hyperlink" Target="http://www.sec.gov/Archives/edgar/data/72333/000119312514163621/d714242dex41.htm" TargetMode="External"/><Relationship Id="rId12" Type="http://schemas.openxmlformats.org/officeDocument/2006/relationships/hyperlink" Target="http://www.sec.gov/Archives/edgar/data/72333/000119312514121699/d698951dex42.htm" TargetMode="External"/><Relationship Id="rId13" Type="http://schemas.openxmlformats.org/officeDocument/2006/relationships/hyperlink" Target="http://www.sec.gov/Archives/edgar/data/72333/000119312514121699/d698951dex43.htm" TargetMode="External"/><Relationship Id="rId14" Type="http://schemas.openxmlformats.org/officeDocument/2006/relationships/hyperlink" Target="http://www.sec.gov/Archives/edgar/data/72333/000119312514121699/d698951dex44.htm" TargetMode="External"/><Relationship Id="rId15" Type="http://schemas.openxmlformats.org/officeDocument/2006/relationships/hyperlink" Target="http://www.sec.gov/Archives/edgar/data/72333/000095013407024845/v36128exv4w2.htm" TargetMode="External"/><Relationship Id="rId16" Type="http://schemas.openxmlformats.org/officeDocument/2006/relationships/hyperlink" Target="http://www.sec.gov/Archives/edgar/data/72333/000119312517076885/d356517dex41.htm" TargetMode="External"/><Relationship Id="rId17" Type="http://schemas.openxmlformats.org/officeDocument/2006/relationships/hyperlink" Target="http://www.sec.gov/Archives/edgar/data/72333/000119312517076885/d356517dex42.htm" TargetMode="External"/><Relationship Id="rId18" Type="http://schemas.openxmlformats.org/officeDocument/2006/relationships/hyperlink" Target="http://www.sec.gov/Archives/edgar/data/72333/000119312519285877/d830522dex41.htm" TargetMode="External"/><Relationship Id="rId19" Type="http://schemas.openxmlformats.org/officeDocument/2006/relationships/hyperlink" Target="http://www.sec.gov/Archives/edgar/data/72333/000007233321000212/jwn-20210903ex42.htm" TargetMode="External"/><Relationship Id="rId20" Type="http://schemas.openxmlformats.org/officeDocument/2006/relationships/hyperlink" Target="http://www.sec.gov/Archives/edgar/data/72333/000007233321000212/jwn-20210903ex43.htm" TargetMode="External"/><Relationship Id="rId21" Type="http://schemas.openxmlformats.org/officeDocument/2006/relationships/hyperlink" Target="http://www.sec.gov/Archives/edgar/data/72333/000119312514323853/d778746dex41.htm" TargetMode="External"/><Relationship Id="rId22" Type="http://schemas.openxmlformats.org/officeDocument/2006/relationships/hyperlink" Target="http://www.sec.gov/Archives/edgar/data/72333/000121390022057166/ea165964ex4-1_nordstrom.htm" TargetMode="External"/><Relationship Id="rId23" Type="http://schemas.openxmlformats.org/officeDocument/2006/relationships/hyperlink" Target="http://www.sec.gov/Archives/edgar/data/72333/000007233323000146/jwn-08212023xex41.htm" TargetMode="External"/><Relationship Id="rId24" Type="http://schemas.openxmlformats.org/officeDocument/2006/relationships/hyperlink" Target="http://www.sec.gov/Archives/edgar/data/72333/000007233320000097/jwn2020-def14a.htm" TargetMode="External"/><Relationship Id="rId25" Type="http://schemas.openxmlformats.org/officeDocument/2006/relationships/hyperlink" Target="http://www.sec.gov/Archives/edgar/data/72333/000121390023033898/def14a0423_nordstrom.htm" TargetMode="External"/><Relationship Id="rId26" Type="http://schemas.openxmlformats.org/officeDocument/2006/relationships/hyperlink" Target="http://www.sec.gov/Archives/edgar/data/72333/000121390023033898/def14a0423_nordstrom.htm" TargetMode="External"/><Relationship Id="rId27" Type="http://schemas.openxmlformats.org/officeDocument/2006/relationships/hyperlink" Target="http://www.sec.gov/Archives/edgar/data/72333/000121390023033898/def14a0423_nordstrom.htm" TargetMode="External"/><Relationship Id="rId28" Type="http://schemas.openxmlformats.org/officeDocument/2006/relationships/hyperlink" Target="http://www.sec.gov/Archives/edgar/data/72333/000121390023033898/def14a0423_nordstrom.htm" TargetMode="External"/><Relationship Id="rId29" Type="http://schemas.openxmlformats.org/officeDocument/2006/relationships/hyperlink" Target="http://www.sec.gov/Archives/edgar/data/72333/000007233321000185/jwn-20210604xex102.htm" TargetMode="External"/><Relationship Id="rId30" Type="http://schemas.openxmlformats.org/officeDocument/2006/relationships/hyperlink" Target="http://www.sec.gov/Archives/edgar/data/72333/000007233322000159/jwn-11kx2021xex993.htm" TargetMode="External"/><Relationship Id="rId31" Type="http://schemas.openxmlformats.org/officeDocument/2006/relationships/hyperlink" Target="http://www.sec.gov/Archives/edgar/data/72333/000007233323000037/jwn-q42022xex102.htm" TargetMode="External"/><Relationship Id="rId32" Type="http://schemas.openxmlformats.org/officeDocument/2006/relationships/hyperlink" Target="http://www.sec.gov/Archives/edgar/data/72333/000007233322000181/jwn-q22022xex102.htm" TargetMode="External"/><Relationship Id="rId33" Type="http://schemas.openxmlformats.org/officeDocument/2006/relationships/hyperlink" Target="http://www.sec.gov/Archives/edgar/data/72333/000119312514082506/d687665dex101.htm" TargetMode="External"/><Relationship Id="rId34" Type="http://schemas.openxmlformats.org/officeDocument/2006/relationships/hyperlink" Target="http://www.sec.gov/Archives/edgar/data/72333/000119312515054192/d875189dex101.htm" TargetMode="External"/><Relationship Id="rId35" Type="http://schemas.openxmlformats.org/officeDocument/2006/relationships/hyperlink" Target="http://www.sec.gov/Archives/edgar/data/72333/000119312516488320/d152147dex101.htm" TargetMode="External"/><Relationship Id="rId36" Type="http://schemas.openxmlformats.org/officeDocument/2006/relationships/hyperlink" Target="http://www.sec.gov/Archives/edgar/data/72333/000007233316000371/jwn-q22016xex102.htm" TargetMode="External"/><Relationship Id="rId37" Type="http://schemas.openxmlformats.org/officeDocument/2006/relationships/hyperlink" Target="http://www.sec.gov/Archives/edgar/data/72333/000119312517054213/d342375dex101.htm" TargetMode="External"/><Relationship Id="rId38" Type="http://schemas.openxmlformats.org/officeDocument/2006/relationships/hyperlink" Target="http://www.sec.gov/Archives/edgar/data/72333/000007233319000026/jwn-03042019ex101.htm" TargetMode="External"/><Relationship Id="rId39" Type="http://schemas.openxmlformats.org/officeDocument/2006/relationships/hyperlink" Target="http://www.sec.gov/Archives/edgar/data/72333/000007233319000026/jwn-03042019ex102.htm" TargetMode="External"/><Relationship Id="rId40" Type="http://schemas.openxmlformats.org/officeDocument/2006/relationships/hyperlink" Target="http://www.sec.gov/Archives/edgar/data/72333/000007233320000024/jwn-03032020xex101.htm" TargetMode="External"/><Relationship Id="rId41" Type="http://schemas.openxmlformats.org/officeDocument/2006/relationships/hyperlink" Target="http://www.sec.gov/Archives/edgar/data/72333/000007233320000142/jwn-q12020xex105.htm" TargetMode="External"/><Relationship Id="rId42" Type="http://schemas.openxmlformats.org/officeDocument/2006/relationships/hyperlink" Target="http://www.sec.gov/Archives/edgar/data/72333/000007233323000015/jwn-03062023xex101.htm" TargetMode="External"/><Relationship Id="rId43" Type="http://schemas.openxmlformats.org/officeDocument/2006/relationships/hyperlink" Target="http://www.sec.gov/Archives/edgar/data/72333/000119312510079583/ddef14a.htm" TargetMode="External"/><Relationship Id="rId44" Type="http://schemas.openxmlformats.org/officeDocument/2006/relationships/hyperlink" Target="http://www.sec.gov/Archives/edgar/data/72333/000130817913000145/lnordstrom2013_def14a.htm" TargetMode="External"/><Relationship Id="rId45" Type="http://schemas.openxmlformats.org/officeDocument/2006/relationships/hyperlink" Target="http://www.sec.gov/Archives/edgar/data/72333/000119312514082506/d687665dex104.htm" TargetMode="External"/><Relationship Id="rId46" Type="http://schemas.openxmlformats.org/officeDocument/2006/relationships/hyperlink" Target="http://www.sec.gov/Archives/edgar/data/72333/000130817917000102/ljwn2017_def14a.htm" TargetMode="External"/><Relationship Id="rId47" Type="http://schemas.openxmlformats.org/officeDocument/2006/relationships/hyperlink" Target="http://www.sec.gov/Archives/edgar/data/72333/000007233320000078/jwn-212020x10kex1023.htm" TargetMode="External"/><Relationship Id="rId48" Type="http://schemas.openxmlformats.org/officeDocument/2006/relationships/hyperlink" Target="http://www.sec.gov/Archives/edgar/data/72333/000007233322000004/jwn-02282022xex102.htm" TargetMode="External"/><Relationship Id="rId49" Type="http://schemas.openxmlformats.org/officeDocument/2006/relationships/hyperlink" Target="http://www.sec.gov/Archives/edgar/data/72333/000007233323000015/jwn-03062023xex102.htm" TargetMode="External"/><Relationship Id="rId50" Type="http://schemas.openxmlformats.org/officeDocument/2006/relationships/hyperlink" Target="http://www.sec.gov/Archives/edgar/data/72333/000007233324000002/jwn-03042024xex102.htm" TargetMode="External"/><Relationship Id="rId51" Type="http://schemas.openxmlformats.org/officeDocument/2006/relationships/hyperlink" Target="http://www.sec.gov/Archives/edgar/data/72333/000007233320000195/jwn-q22020xex101.htm" TargetMode="External"/><Relationship Id="rId52" Type="http://schemas.openxmlformats.org/officeDocument/2006/relationships/hyperlink" Target="http://www.sec.gov/Archives/edgar/data/72333/000007233318000049/jwn-232018x10kex1048.htm" TargetMode="External"/><Relationship Id="rId53" Type="http://schemas.openxmlformats.org/officeDocument/2006/relationships/hyperlink" Target="http://www.sec.gov/Archives/edgar/data/72333/000119312511071211/dex1078.htm" TargetMode="External"/><Relationship Id="rId54" Type="http://schemas.openxmlformats.org/officeDocument/2006/relationships/hyperlink" Target="http://www.sec.gov/Archives/edgar/data/72333/000007233323000186/jwnq32023-ex101.htm" TargetMode="External"/><Relationship Id="rId55" Type="http://schemas.openxmlformats.org/officeDocument/2006/relationships/hyperlink" Target="http://www.sec.gov/Archives/edgar/data/72333/000007233320000024/jwn-03032020xex102.htm" TargetMode="External"/><Relationship Id="rId56" Type="http://schemas.openxmlformats.org/officeDocument/2006/relationships/hyperlink" Target="http://www.sec.gov/Archives/edgar/data/72333/000007233322000124/jwn-05202022xex101.htm" TargetMode="External"/><Relationship Id="rId57" Type="http://schemas.openxmlformats.org/officeDocument/2006/relationships/hyperlink" Target="http://www.sec.gov/Archives/edgar/data/72333/000121390023038127/ea178161ex10-1_nordstrom.htm" TargetMode="External"/><Relationship Id="rId58" Type="http://schemas.openxmlformats.org/officeDocument/2006/relationships/hyperlink" Target="http://www.sec.gov/Archives/edgar/data/72333/000119312518075296/d638354dex102.htm" TargetMode="External"/><Relationship Id="rId59" Type="http://schemas.openxmlformats.org/officeDocument/2006/relationships/hyperlink" Target="http://www.sec.gov/Archives/edgar/data/72333/000121390023038127/ea178161ex10-1_nordstrom.htm" TargetMode="External"/><Relationship Id="rId60" Type="http://schemas.openxmlformats.org/officeDocument/2006/relationships/hyperlink" Target="http://www.sec.gov/Archives/edgar/data/72333/000007233324000002/jwn-03042024xex101.htm" TargetMode="External"/><Relationship Id="rId61" Type="http://schemas.openxmlformats.org/officeDocument/2006/relationships/hyperlink" Target="http://www.sec.gov/Archives/edgar/data/72333/000007233322000156/jwn-q12022xex102.htm" TargetMode="External"/><Relationship Id="rId62" Type="http://schemas.openxmlformats.org/officeDocument/2006/relationships/hyperlink" Target="http://www.sec.gov/Archives/edgar/data/72333/000007233323000037/jwn-q42022xex1030.htm" TargetMode="External"/><Relationship Id="rId63" Type="http://schemas.openxmlformats.org/officeDocument/2006/relationships/hyperlink" Target="http://www.sec.gov/Archives/edgar/data/72333/000007233315000182/jwn-q32015xex101.htm" TargetMode="External"/><Relationship Id="rId64" Type="http://schemas.openxmlformats.org/officeDocument/2006/relationships/hyperlink" Target="http://www.sec.gov/Archives/edgar/data/72333/000007233322000207/jwn-q32022xex101.htm" TargetMode="External"/><Relationship Id="rId65" Type="http://schemas.openxmlformats.org/officeDocument/2006/relationships/image" Target="media/image3.jpeg"/><Relationship Id="rId66" Type="http://schemas.openxmlformats.org/officeDocument/2006/relationships/image" Target="media/image3.jpeg"/><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46818</Words>
  <Characters>258608</Characters>
  <CharactersWithSpaces>302589</CharactersWithSpaces>
  <Paragraphs>4368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