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40"/>
        <w:spacing w:after="0"/>
        <w:rPr>
          <w:sz w:val="20"/>
          <w:szCs w:val="20"/>
          <w:color w:val="auto"/>
        </w:rPr>
      </w:pPr>
      <w:r>
        <w:rPr>
          <w:rFonts w:ascii="Arial" w:cs="Arial" w:eastAsia="Arial" w:hAnsi="Arial"/>
          <w:sz w:val="16"/>
          <w:szCs w:val="16"/>
          <w:b w:val="1"/>
          <w:bCs w:val="1"/>
          <w:color w:val="D2232A"/>
        </w:rPr>
        <w:t>PRELIMINARY PROXY STATEMENT SUBJECT TO COMPLETION—APRIL 17, 2023</w:t>
      </w:r>
    </w:p>
    <w:p>
      <w:pPr>
        <w:spacing w:after="0" w:line="383"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UNITED STATES</w:t>
      </w:r>
    </w:p>
    <w:p>
      <w:pPr>
        <w:spacing w:after="0" w:line="383"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SECURITIES AND EXCHANGE COMMISSION</w:t>
      </w:r>
    </w:p>
    <w:p>
      <w:pPr>
        <w:spacing w:after="0" w:line="113"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Washington, D.C. 20549</w:t>
      </w:r>
    </w:p>
    <w:p>
      <w:pPr>
        <w:spacing w:after="0" w:line="98" w:lineRule="exact"/>
        <w:rPr>
          <w:sz w:val="24"/>
          <w:szCs w:val="24"/>
          <w:color w:val="auto"/>
        </w:rPr>
      </w:pPr>
    </w:p>
    <w:p>
      <w:pPr>
        <w:jc w:val="center"/>
        <w:ind w:right="-840"/>
        <w:spacing w:after="0"/>
        <w:rPr>
          <w:sz w:val="20"/>
          <w:szCs w:val="20"/>
          <w:color w:val="auto"/>
        </w:rPr>
      </w:pPr>
      <w:r>
        <w:rPr>
          <w:rFonts w:ascii="Arial" w:cs="Arial" w:eastAsia="Arial" w:hAnsi="Arial"/>
          <w:sz w:val="27"/>
          <w:szCs w:val="27"/>
          <w:b w:val="1"/>
          <w:bCs w:val="1"/>
          <w:color w:val="auto"/>
        </w:rPr>
        <w:t>SCHEDULE 14A</w:t>
      </w:r>
    </w:p>
    <w:p>
      <w:pPr>
        <w:spacing w:after="0" w:line="204"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21"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Exchange Act of 1934 (Amendment No.__)</w:t>
      </w:r>
    </w:p>
    <w:p>
      <w:pPr>
        <w:spacing w:after="0" w:line="155" w:lineRule="exact"/>
        <w:rPr>
          <w:sz w:val="24"/>
          <w:szCs w:val="24"/>
          <w:color w:val="auto"/>
        </w:rPr>
      </w:pPr>
    </w:p>
    <w:p>
      <w:pPr>
        <w:jc w:val="right"/>
        <w:ind w:right="259"/>
        <w:spacing w:after="0" w:line="184" w:lineRule="exact"/>
        <w:tabs>
          <w:tab w:leader="none" w:pos="7340" w:val="left"/>
          <w:tab w:leader="none" w:pos="32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ab/>
        <w:t>Filed by the Registrant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165735</wp:posOffset>
            </wp:positionV>
            <wp:extent cx="6900545" cy="1174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174115"/>
                    </a:xfrm>
                    <a:prstGeom prst="rect">
                      <a:avLst/>
                    </a:prstGeom>
                    <a:noFill/>
                  </pic:spPr>
                </pic:pic>
              </a:graphicData>
            </a:graphic>
          </wp:anchor>
        </w:drawing>
      </w:r>
    </w:p>
    <w:p>
      <w:pPr>
        <w:spacing w:after="0" w:line="28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112" w:lineRule="exact"/>
        <w:rPr>
          <w:sz w:val="24"/>
          <w:szCs w:val="24"/>
          <w:color w:val="auto"/>
        </w:rPr>
      </w:pPr>
    </w:p>
    <w:p>
      <w:pPr>
        <w:ind w:left="760" w:hanging="515"/>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3" w:lineRule="exact"/>
        <w:rPr>
          <w:sz w:val="24"/>
          <w:szCs w:val="24"/>
          <w:color w:val="auto"/>
        </w:rPr>
      </w:pPr>
    </w:p>
    <w:p>
      <w:pPr>
        <w:ind w:left="760" w:hanging="51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13" w:lineRule="exact"/>
        <w:rPr>
          <w:rFonts w:ascii="MS PGothic" w:cs="MS PGothic" w:eastAsia="MS PGothic" w:hAnsi="MS PGothic"/>
          <w:sz w:val="16"/>
          <w:szCs w:val="16"/>
          <w:color w:val="auto"/>
        </w:rPr>
      </w:pPr>
    </w:p>
    <w:p>
      <w:pPr>
        <w:ind w:left="760" w:hanging="51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13" w:lineRule="exact"/>
        <w:rPr>
          <w:rFonts w:ascii="MS PGothic" w:cs="MS PGothic" w:eastAsia="MS PGothic" w:hAnsi="MS PGothic"/>
          <w:sz w:val="16"/>
          <w:szCs w:val="16"/>
          <w:color w:val="auto"/>
        </w:rPr>
      </w:pPr>
    </w:p>
    <w:p>
      <w:pPr>
        <w:ind w:left="760" w:hanging="51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13" w:lineRule="exact"/>
        <w:rPr>
          <w:rFonts w:ascii="MS PGothic" w:cs="MS PGothic" w:eastAsia="MS PGothic" w:hAnsi="MS PGothic"/>
          <w:sz w:val="16"/>
          <w:szCs w:val="16"/>
          <w:color w:val="auto"/>
        </w:rPr>
      </w:pPr>
    </w:p>
    <w:p>
      <w:pPr>
        <w:ind w:left="760" w:hanging="51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1459865</wp:posOffset>
            </wp:positionH>
            <wp:positionV relativeFrom="paragraph">
              <wp:posOffset>166370</wp:posOffset>
            </wp:positionV>
            <wp:extent cx="3891915"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91915"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Nordstrom, Inc.</w:t>
      </w:r>
    </w:p>
    <w:p>
      <w:pPr>
        <w:spacing w:after="0" w:line="223"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208" w:lineRule="exact"/>
        <w:rPr>
          <w:sz w:val="24"/>
          <w:szCs w:val="24"/>
          <w:color w:val="auto"/>
        </w:rPr>
      </w:pPr>
    </w:p>
    <w:p>
      <w:pPr>
        <w:ind w:left="280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122555</wp:posOffset>
            </wp:positionV>
            <wp:extent cx="6900545" cy="796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0545" cy="796925"/>
                    </a:xfrm>
                    <a:prstGeom prst="rect">
                      <a:avLst/>
                    </a:prstGeom>
                    <a:noFill/>
                  </pic:spPr>
                </pic:pic>
              </a:graphicData>
            </a:graphic>
          </wp:anchor>
        </w:drawing>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the appropriate box):</w:t>
      </w:r>
    </w:p>
    <w:p>
      <w:pPr>
        <w:spacing w:after="0" w:line="112" w:lineRule="exact"/>
        <w:rPr>
          <w:sz w:val="24"/>
          <w:szCs w:val="24"/>
          <w:color w:val="auto"/>
        </w:rPr>
      </w:pPr>
    </w:p>
    <w:p>
      <w:pPr>
        <w:ind w:left="960" w:hanging="614"/>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13" w:lineRule="exact"/>
        <w:rPr>
          <w:sz w:val="24"/>
          <w:szCs w:val="24"/>
          <w:color w:val="auto"/>
        </w:rPr>
      </w:pPr>
    </w:p>
    <w:p>
      <w:pPr>
        <w:ind w:left="960" w:hanging="614"/>
        <w:spacing w:after="0"/>
        <w:tabs>
          <w:tab w:leader="none" w:pos="9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13" w:lineRule="exact"/>
        <w:rPr>
          <w:rFonts w:ascii="MS PGothic" w:cs="MS PGothic" w:eastAsia="MS PGothic" w:hAnsi="MS PGothic"/>
          <w:sz w:val="16"/>
          <w:szCs w:val="16"/>
          <w:color w:val="auto"/>
        </w:rPr>
      </w:pPr>
    </w:p>
    <w:p>
      <w:pPr>
        <w:ind w:left="960" w:hanging="614"/>
        <w:spacing w:after="0"/>
        <w:tabs>
          <w:tab w:leader="none" w:pos="9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amount computed on table in exhibit as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286385</wp:posOffset>
            </wp:positionV>
            <wp:extent cx="6909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9879"/>
          </w:cols>
          <w:pgMar w:left="580" w:top="51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09435" cy="894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9435" cy="8949690"/>
                    </a:xfrm>
                    <a:prstGeom prst="rect">
                      <a:avLst/>
                    </a:prstGeom>
                    <a:noFill/>
                  </pic:spPr>
                </pic:pic>
              </a:graphicData>
            </a:graphic>
          </wp:anchor>
        </w:drawing>
      </w:r>
    </w:p>
    <w:p>
      <w:pPr>
        <w:sectPr>
          <w:pgSz w:w="11900" w:h="16838" w:orient="portrait"/>
          <w:cols w:equalWidth="0" w:num="1">
            <w:col w:w="9959"/>
          </w:cols>
          <w:pgMar w:left="500" w:top="27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2654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480060</wp:posOffset>
            </wp:positionV>
            <wp:extent cx="260604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60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1617 Sixth Avenue, Seattle, Washington 98101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2022, we marked 121 years since John W. Nordstrom opened the downtown Seattle shoe store that would become Nordstrom as we know it today.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121 years may seem like an arbitrary milestone, but in an industry that’s constantly reinventing itself, you learn not to take a single day for granted.</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company has navigated this ever-shifting landscape by focusing on a collective purpose: to help customers feel good and look their best. While we’ve continually sought out new ways to deliver on this promise, the commitment at its core has not wavered — our dedication to customer service unites teams across our business, informs the decisions we make and keeps us moving forward toward a common goal.</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focus has proven especially critical in the face of challenges or periods of rapid change, and 2022 was no exception. We started the year with a plan to improve inventory flow, increase the speed and efficiency of our supply chain and sharpen our focus on driving top- and bottom-line growth at Nordstrom Rack. Thanks to efforts from teams across our business, we did those things — even as we navigated a volatile macroeconomic environment and adjusted to changing consumer habits.</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While we’re proud of our people for the hard work they put in on behalf of our customers, our 2022 results fell short of our expectations. As leaders, we take accountability for that, and we are committed to driving more profitable long-term growth in the year ahead.</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entering 2023 with a clear understanding of how and where we must make progress and are acting with urgency to ensure we do. In addition to continuing to improve the customer experience, we are focused on three specific priorities to drive better financial performance: 1) improving Nordstrom Rack performance; 2) increasing our inventory productivity; and 3) continuing to advance our supply chain optimization initiatives.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also looking across our business and operations to ensure we are deploying our financial resources and talent against the opportunities where we are best positioned to win. With this in mind, we made the difficult decision to wind down our Canadian business to simplify our operations and increase our focus on our core U.S. business. Decisions like this are never easy, but we are confident this change will put us on stronger footing in the years ahead.</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know that nothing we do would be possible without our teams’ hard work and commitment to our customers. It’s because of our people that we’re able to look to the future with optimism about the health of our business, confidence in our ability to achieve our goals and excitement for the opportunity to continue serving our customers.</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With the support of our brand partners, our customers and you, our shareholders, we look forward to all we’ll accomplish in the year ahead. Thank you for your confidence, your trust and your commitment to our company’s future.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Bradley D. Tilden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295B"/>
        </w:rPr>
        <w:t>Chairman of the Board</w:t>
      </w:r>
    </w:p>
    <w:p>
      <w:pPr>
        <w:sectPr>
          <w:pgSz w:w="11900" w:h="16838" w:orient="portrait"/>
          <w:cols w:equalWidth="0" w:num="1">
            <w:col w:w="10880"/>
          </w:cols>
          <w:pgMar w:left="500" w:top="270" w:right="519"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Erik B. Nordstrom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295B"/>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101981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Peter E. Nordstrom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E295B"/>
        </w:rPr>
        <w:t>President &amp; Chief Brand Officer</w:t>
      </w:r>
    </w:p>
    <w:p>
      <w:pPr>
        <w:spacing w:after="0" w:line="200" w:lineRule="exact"/>
        <w:rPr>
          <w:sz w:val="20"/>
          <w:szCs w:val="20"/>
          <w:color w:val="auto"/>
        </w:rPr>
      </w:pPr>
    </w:p>
    <w:p>
      <w:pPr>
        <w:sectPr>
          <w:pgSz w:w="11900" w:h="16838" w:orient="portrait"/>
          <w:cols w:equalWidth="0" w:num="2">
            <w:col w:w="3060" w:space="720"/>
            <w:col w:w="7100"/>
          </w:cols>
          <w:pgMar w:left="500" w:top="270" w:right="51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6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393"/>
        </w:trPr>
        <w:tc>
          <w:tcPr>
            <w:tcW w:w="10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D2232A"/>
        </w:rPr>
        <w:t>PRELIMINARY PROXY STATEMENT SUBJECT TO COMPLETION—APRIL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260604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1617 Sixth Avenue, Seattle, Washington 98101</w:t>
      </w:r>
    </w:p>
    <w:p>
      <w:pPr>
        <w:spacing w:after="0" w:line="39" w:lineRule="exact"/>
        <w:rPr>
          <w:sz w:val="20"/>
          <w:szCs w:val="20"/>
          <w:color w:val="auto"/>
        </w:rPr>
      </w:pPr>
    </w:p>
    <w:p>
      <w:pPr>
        <w:ind w:right="5020"/>
        <w:spacing w:after="0" w:line="276" w:lineRule="auto"/>
        <w:rPr>
          <w:sz w:val="20"/>
          <w:szCs w:val="20"/>
          <w:color w:val="auto"/>
        </w:rPr>
      </w:pPr>
      <w:r>
        <w:rPr>
          <w:rFonts w:ascii="Arial" w:cs="Arial" w:eastAsia="Arial" w:hAnsi="Arial"/>
          <w:sz w:val="39"/>
          <w:szCs w:val="39"/>
          <w:b w:val="1"/>
          <w:bCs w:val="1"/>
          <w:color w:val="1E295B"/>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690054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146050"/>
                    </a:xfrm>
                    <a:prstGeom prst="rect">
                      <a:avLst/>
                    </a:prstGeom>
                    <a:noFill/>
                  </pic:spPr>
                </pic:pic>
              </a:graphicData>
            </a:graphic>
          </wp:anchor>
        </w:drawing>
        <w:drawing>
          <wp:anchor simplePos="0" relativeHeight="251657728" behindDoc="1" locked="0" layoutInCell="0" allowOverlap="1">
            <wp:simplePos x="0" y="0"/>
            <wp:positionH relativeFrom="column">
              <wp:posOffset>5617210</wp:posOffset>
            </wp:positionH>
            <wp:positionV relativeFrom="paragraph">
              <wp:posOffset>258445</wp:posOffset>
            </wp:positionV>
            <wp:extent cx="31750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0" cy="325755"/>
                    </a:xfrm>
                    <a:prstGeom prst="rect">
                      <a:avLst/>
                    </a:prstGeom>
                    <a:noFill/>
                  </pic:spPr>
                </pic:pic>
              </a:graphicData>
            </a:graphic>
          </wp:anchor>
        </w:drawing>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978"/>
        </w:trPr>
        <w:tc>
          <w:tcPr>
            <w:tcW w:w="3580" w:type="dxa"/>
            <w:vAlign w:val="bottom"/>
            <w:tcBorders>
              <w:right w:val="single" w:sz="8" w:color="2A296B"/>
            </w:tcBorders>
          </w:tcPr>
          <w:p>
            <w:pPr>
              <w:spacing w:after="0"/>
              <w:rPr>
                <w:sz w:val="20"/>
                <w:szCs w:val="20"/>
                <w:color w:val="auto"/>
              </w:rPr>
            </w:pPr>
            <w:r>
              <w:rPr>
                <w:rFonts w:ascii="Arial" w:cs="Arial" w:eastAsia="Arial" w:hAnsi="Arial"/>
                <w:sz w:val="16"/>
                <w:szCs w:val="16"/>
                <w:b w:val="1"/>
                <w:bCs w:val="1"/>
                <w:color w:val="auto"/>
              </w:rPr>
              <w:t>WHEN</w:t>
            </w:r>
          </w:p>
        </w:tc>
        <w:tc>
          <w:tcPr>
            <w:tcW w:w="3620" w:type="dxa"/>
            <w:vAlign w:val="bottom"/>
            <w:tcBorders>
              <w:right w:val="single" w:sz="8" w:color="2A296B"/>
            </w:tcBorders>
          </w:tcPr>
          <w:p>
            <w:pPr>
              <w:ind w:left="60"/>
              <w:spacing w:after="0"/>
              <w:rPr>
                <w:sz w:val="20"/>
                <w:szCs w:val="20"/>
                <w:color w:val="auto"/>
              </w:rPr>
            </w:pPr>
            <w:r>
              <w:rPr>
                <w:rFonts w:ascii="Arial" w:cs="Arial" w:eastAsia="Arial" w:hAnsi="Arial"/>
                <w:sz w:val="16"/>
                <w:szCs w:val="16"/>
                <w:b w:val="1"/>
                <w:bCs w:val="1"/>
                <w:color w:val="auto"/>
              </w:rPr>
              <w:t>WHERE</w:t>
            </w:r>
          </w:p>
        </w:tc>
        <w:tc>
          <w:tcPr>
            <w:tcW w:w="1240" w:type="dxa"/>
            <w:vAlign w:val="bottom"/>
          </w:tcPr>
          <w:p>
            <w:pPr>
              <w:ind w:left="60"/>
              <w:spacing w:after="0"/>
              <w:rPr>
                <w:sz w:val="20"/>
                <w:szCs w:val="20"/>
                <w:color w:val="auto"/>
              </w:rPr>
            </w:pPr>
            <w:r>
              <w:rPr>
                <w:rFonts w:ascii="Arial" w:cs="Arial" w:eastAsia="Arial" w:hAnsi="Arial"/>
                <w:sz w:val="16"/>
                <w:szCs w:val="16"/>
                <w:b w:val="1"/>
                <w:bCs w:val="1"/>
                <w:color w:val="auto"/>
                <w:w w:val="98"/>
              </w:rPr>
              <w:t>RECORD DATE</w:t>
            </w:r>
          </w:p>
        </w:tc>
      </w:tr>
      <w:tr>
        <w:trPr>
          <w:trHeight w:val="221"/>
        </w:trPr>
        <w:tc>
          <w:tcPr>
            <w:tcW w:w="3580" w:type="dxa"/>
            <w:vAlign w:val="bottom"/>
            <w:tcBorders>
              <w:right w:val="single" w:sz="8" w:color="2A296B"/>
            </w:tcBorders>
          </w:tcPr>
          <w:p>
            <w:pPr>
              <w:spacing w:after="0"/>
              <w:rPr>
                <w:sz w:val="20"/>
                <w:szCs w:val="20"/>
                <w:color w:val="auto"/>
              </w:rPr>
            </w:pPr>
            <w:r>
              <w:rPr>
                <w:rFonts w:ascii="Arial" w:cs="Arial" w:eastAsia="Arial" w:hAnsi="Arial"/>
                <w:sz w:val="16"/>
                <w:szCs w:val="16"/>
                <w:color w:val="auto"/>
              </w:rPr>
              <w:t>[●], 2023</w:t>
            </w:r>
          </w:p>
        </w:tc>
        <w:tc>
          <w:tcPr>
            <w:tcW w:w="3620" w:type="dxa"/>
            <w:vAlign w:val="bottom"/>
            <w:tcBorders>
              <w:right w:val="single" w:sz="8" w:color="2A296B"/>
            </w:tcBorders>
          </w:tcPr>
          <w:p>
            <w:pPr>
              <w:ind w:left="60"/>
              <w:spacing w:after="0"/>
              <w:rPr>
                <w:sz w:val="20"/>
                <w:szCs w:val="20"/>
                <w:color w:val="auto"/>
              </w:rPr>
            </w:pPr>
            <w:r>
              <w:rPr>
                <w:rFonts w:ascii="Arial" w:cs="Arial" w:eastAsia="Arial" w:hAnsi="Arial"/>
                <w:sz w:val="16"/>
                <w:szCs w:val="16"/>
                <w:color w:val="auto"/>
              </w:rPr>
              <w:t>[●]</w:t>
            </w:r>
          </w:p>
        </w:tc>
        <w:tc>
          <w:tcPr>
            <w:tcW w:w="1240" w:type="dxa"/>
            <w:vAlign w:val="bottom"/>
          </w:tcPr>
          <w:p>
            <w:pPr>
              <w:ind w:left="60"/>
              <w:spacing w:after="0"/>
              <w:rPr>
                <w:sz w:val="20"/>
                <w:szCs w:val="20"/>
                <w:color w:val="auto"/>
              </w:rPr>
            </w:pPr>
            <w:r>
              <w:rPr>
                <w:rFonts w:ascii="Arial" w:cs="Arial" w:eastAsia="Arial" w:hAnsi="Arial"/>
                <w:sz w:val="16"/>
                <w:szCs w:val="16"/>
                <w:color w:val="auto"/>
              </w:rPr>
              <w:t>April 10, 2023</w:t>
            </w:r>
          </w:p>
        </w:tc>
      </w:tr>
      <w:tr>
        <w:trPr>
          <w:trHeight w:val="283"/>
        </w:trPr>
        <w:tc>
          <w:tcPr>
            <w:tcW w:w="3580" w:type="dxa"/>
            <w:vAlign w:val="bottom"/>
            <w:tcBorders>
              <w:right w:val="single" w:sz="8" w:color="2A296B"/>
            </w:tcBorders>
          </w:tcPr>
          <w:p>
            <w:pPr>
              <w:spacing w:after="0"/>
              <w:rPr>
                <w:sz w:val="20"/>
                <w:szCs w:val="20"/>
                <w:color w:val="auto"/>
              </w:rPr>
            </w:pPr>
            <w:r>
              <w:rPr>
                <w:rFonts w:ascii="Arial" w:cs="Arial" w:eastAsia="Arial" w:hAnsi="Arial"/>
                <w:sz w:val="16"/>
                <w:szCs w:val="16"/>
                <w:color w:val="auto"/>
              </w:rPr>
              <w:t>[●] [a/p].m. Pacific Daylight Time</w:t>
            </w:r>
          </w:p>
        </w:tc>
        <w:tc>
          <w:tcPr>
            <w:tcW w:w="3620" w:type="dxa"/>
            <w:vAlign w:val="bottom"/>
            <w:tcBorders>
              <w:right w:val="single" w:sz="8" w:color="2A296B"/>
            </w:tcBorders>
          </w:tcPr>
          <w:p>
            <w:pPr>
              <w:spacing w:after="0"/>
              <w:rPr>
                <w:sz w:val="24"/>
                <w:szCs w:val="24"/>
                <w:color w:val="auto"/>
              </w:rPr>
            </w:pPr>
          </w:p>
        </w:tc>
        <w:tc>
          <w:tcPr>
            <w:tcW w:w="1240" w:type="dxa"/>
            <w:vAlign w:val="bottom"/>
          </w:tcPr>
          <w:p>
            <w:pPr>
              <w:spacing w:after="0"/>
              <w:rPr>
                <w:sz w:val="24"/>
                <w:szCs w:val="24"/>
                <w:color w:val="auto"/>
              </w:rPr>
            </w:pPr>
          </w:p>
        </w:tc>
      </w:tr>
      <w:tr>
        <w:trPr>
          <w:trHeight w:val="29"/>
        </w:trPr>
        <w:tc>
          <w:tcPr>
            <w:tcW w:w="3580" w:type="dxa"/>
            <w:vAlign w:val="bottom"/>
            <w:tcBorders>
              <w:right w:val="single" w:sz="8" w:color="2A296B"/>
            </w:tcBorders>
          </w:tcPr>
          <w:p>
            <w:pPr>
              <w:spacing w:after="0"/>
              <w:rPr>
                <w:sz w:val="2"/>
                <w:szCs w:val="2"/>
                <w:color w:val="auto"/>
              </w:rPr>
            </w:pPr>
          </w:p>
        </w:tc>
        <w:tc>
          <w:tcPr>
            <w:tcW w:w="3620" w:type="dxa"/>
            <w:vAlign w:val="bottom"/>
            <w:tcBorders>
              <w:right w:val="single" w:sz="8" w:color="2A296B"/>
            </w:tcBorders>
          </w:tcPr>
          <w:p>
            <w:pPr>
              <w:spacing w:after="0"/>
              <w:rPr>
                <w:sz w:val="2"/>
                <w:szCs w:val="2"/>
                <w:color w:val="auto"/>
              </w:rPr>
            </w:pPr>
          </w:p>
        </w:tc>
        <w:tc>
          <w:tcPr>
            <w:tcW w:w="12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-942340</wp:posOffset>
            </wp:positionV>
            <wp:extent cx="30861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-916940</wp:posOffset>
            </wp:positionV>
            <wp:extent cx="50609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095" cy="27432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Items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 vote on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6900545" cy="1577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0545" cy="1577340"/>
                    </a:xfrm>
                    <a:prstGeom prst="rect">
                      <a:avLst/>
                    </a:prstGeom>
                    <a:noFill/>
                  </pic:spPr>
                </pic:pic>
              </a:graphicData>
            </a:graphic>
          </wp:anchor>
        </w:drawing>
      </w:r>
    </w:p>
    <w:p>
      <w:pPr>
        <w:spacing w:after="0" w:line="215" w:lineRule="exact"/>
        <w:rPr>
          <w:sz w:val="20"/>
          <w:szCs w:val="20"/>
          <w:color w:val="auto"/>
        </w:rPr>
      </w:pPr>
    </w:p>
    <w:p>
      <w:pPr>
        <w:ind w:left="540" w:hanging="307"/>
        <w:spacing w:after="0"/>
        <w:tabs>
          <w:tab w:leader="none" w:pos="5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To elect eleven directors to serve until the 2024 Annual Meeting of Shareholders and until their successors have been duly elected and qualified</w:t>
      </w:r>
    </w:p>
    <w:p>
      <w:pPr>
        <w:spacing w:after="0" w:line="127" w:lineRule="exact"/>
        <w:rPr>
          <w:sz w:val="20"/>
          <w:szCs w:val="20"/>
          <w:color w:val="auto"/>
        </w:rPr>
      </w:pPr>
    </w:p>
    <w:p>
      <w:pPr>
        <w:ind w:left="540" w:hanging="307"/>
        <w:spacing w:after="0"/>
        <w:tabs>
          <w:tab w:leader="none" w:pos="54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To ratify the appointment of Deloitte as our Independent Registered Public Accounting Firm to serve for the fiscal year ending February 3, 2024</w:t>
      </w:r>
    </w:p>
    <w:p>
      <w:pPr>
        <w:spacing w:after="0" w:line="127" w:lineRule="exact"/>
        <w:rPr>
          <w:sz w:val="20"/>
          <w:szCs w:val="20"/>
          <w:color w:val="auto"/>
        </w:rPr>
      </w:pPr>
    </w:p>
    <w:p>
      <w:pPr>
        <w:ind w:left="540" w:hanging="307"/>
        <w:spacing w:after="0"/>
        <w:tabs>
          <w:tab w:leader="none" w:pos="5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To conduct an advisory vote regarding the compensation of our Named Executive Officers</w:t>
      </w:r>
    </w:p>
    <w:p>
      <w:pPr>
        <w:spacing w:after="0" w:line="127" w:lineRule="exact"/>
        <w:rPr>
          <w:sz w:val="20"/>
          <w:szCs w:val="20"/>
          <w:color w:val="auto"/>
        </w:rPr>
      </w:pPr>
    </w:p>
    <w:p>
      <w:pPr>
        <w:ind w:left="540" w:hanging="307"/>
        <w:spacing w:after="0"/>
        <w:tabs>
          <w:tab w:leader="none" w:pos="5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To conduct an advisory vote regarding the frequency of future advisory votes on the compensation of our Named Executive Officers</w:t>
      </w:r>
    </w:p>
    <w:p>
      <w:pPr>
        <w:spacing w:after="0" w:line="127" w:lineRule="exact"/>
        <w:rPr>
          <w:sz w:val="20"/>
          <w:szCs w:val="20"/>
          <w:color w:val="auto"/>
        </w:rPr>
      </w:pPr>
    </w:p>
    <w:p>
      <w:pPr>
        <w:ind w:left="540" w:hanging="307"/>
        <w:spacing w:after="0"/>
        <w:tabs>
          <w:tab w:leader="none" w:pos="5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To approve the Nordstrom, Inc. Amended and Restated 2019 Equity Incentive Plan</w:t>
      </w:r>
    </w:p>
    <w:p>
      <w:pPr>
        <w:spacing w:after="0" w:line="127" w:lineRule="exact"/>
        <w:rPr>
          <w:sz w:val="20"/>
          <w:szCs w:val="20"/>
          <w:color w:val="auto"/>
        </w:rPr>
      </w:pPr>
    </w:p>
    <w:p>
      <w:pPr>
        <w:ind w:left="540" w:hanging="307"/>
        <w:spacing w:after="0"/>
        <w:tabs>
          <w:tab w:leader="none" w:pos="54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To approve the Nordstrom, Inc. Amended and Restated Employee Stock Purchase Plan</w:t>
      </w:r>
    </w:p>
    <w:p>
      <w:pPr>
        <w:spacing w:after="0" w:line="127" w:lineRule="exact"/>
        <w:rPr>
          <w:sz w:val="20"/>
          <w:szCs w:val="20"/>
          <w:color w:val="auto"/>
        </w:rPr>
      </w:pPr>
    </w:p>
    <w:p>
      <w:pPr>
        <w:ind w:left="540" w:hanging="307"/>
        <w:spacing w:after="0"/>
        <w:tabs>
          <w:tab w:leader="none" w:pos="54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To conduct an advisory vote on the extension of the Company’s shareholder rights plan until September 19, 2025</w:t>
      </w:r>
    </w:p>
    <w:p>
      <w:pPr>
        <w:spacing w:after="0" w:line="127" w:lineRule="exact"/>
        <w:rPr>
          <w:sz w:val="20"/>
          <w:szCs w:val="20"/>
          <w:color w:val="auto"/>
        </w:rPr>
      </w:pPr>
    </w:p>
    <w:p>
      <w:pPr>
        <w:ind w:left="540" w:hanging="307"/>
        <w:spacing w:after="0"/>
        <w:tabs>
          <w:tab w:leader="none" w:pos="54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To transact any other business that may properly come before the Annual Meeting and any adjournment or postponement thereof</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You are eligible to vote before the Annual Meeting, during the live webcast of the Annual Meeting and any adjournment or postponement thereof, if you were a shareholder of record at the close of business on April 10, 2023. There were 161,423,792 shares of our Common Stock issued and outstanding as of the Record Date. Holders of our Common Stock are entitled to cast one vote per share on each proposal. For further information on how to participate in the meeting, please see Frequently Asked Questions and Answers About the Annual Meeting beginning on page </w:t>
      </w:r>
      <w:r>
        <w:rPr>
          <w:rFonts w:ascii="Arial" w:cs="Arial" w:eastAsia="Arial" w:hAnsi="Arial"/>
          <w:sz w:val="16"/>
          <w:szCs w:val="16"/>
          <w:u w:val="single" w:color="auto"/>
          <w:color w:val="0000EE"/>
        </w:rPr>
        <w:t>88</w:t>
      </w:r>
      <w:r>
        <w:rPr>
          <w:rFonts w:ascii="Arial" w:cs="Arial" w:eastAsia="Arial" w:hAnsi="Arial"/>
          <w:sz w:val="16"/>
          <w:szCs w:val="16"/>
          <w:color w:val="auto"/>
        </w:rPr>
        <w:t xml:space="preserve"> in the Proxy Statement accompanying this Notice.</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Whether or not you intend to participate virtually in the Annual Meeting via remote communication, you are</w:t>
      </w:r>
      <w:r>
        <w:rPr>
          <w:rFonts w:ascii="Arial" w:cs="Arial" w:eastAsia="Arial" w:hAnsi="Arial"/>
          <w:sz w:val="16"/>
          <w:szCs w:val="16"/>
          <w:b w:val="1"/>
          <w:bCs w:val="1"/>
          <w:color w:val="auto"/>
        </w:rPr>
        <w:t xml:space="preserve"> </w:t>
      </w:r>
      <w:r>
        <w:rPr>
          <w:rFonts w:ascii="Arial" w:cs="Arial" w:eastAsia="Arial" w:hAnsi="Arial"/>
          <w:sz w:val="16"/>
          <w:szCs w:val="16"/>
          <w:color w:val="auto"/>
        </w:rPr>
        <w:t>encouraged to vote in advance of the meeting. Submitting your proxy now will not prevent you from voting your shares during the meeting, as your proxy is revocable at your option. When you vote, please have available the 16-digit control number found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323215</wp:posOffset>
            </wp:positionV>
            <wp:extent cx="102044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NOTICE OF ANNUAL MEETING OF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You may vote in advance of the meeting by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0054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0545" cy="48895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p>
      <w:pPr>
        <w:spacing w:after="0" w:line="34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Online</w:t>
      </w:r>
    </w:p>
    <w:p>
      <w:pPr>
        <w:spacing w:after="0" w:line="21" w:lineRule="exact"/>
        <w:rPr>
          <w:sz w:val="20"/>
          <w:szCs w:val="20"/>
          <w:color w:val="auto"/>
        </w:rPr>
      </w:pPr>
    </w:p>
    <w:p>
      <w:pPr>
        <w:ind w:left="1080" w:right="780"/>
        <w:spacing w:after="0" w:line="265" w:lineRule="auto"/>
        <w:rPr>
          <w:sz w:val="20"/>
          <w:szCs w:val="20"/>
          <w:color w:val="auto"/>
        </w:rPr>
      </w:pPr>
      <w:r>
        <w:rPr>
          <w:rFonts w:ascii="Arial" w:cs="Arial" w:eastAsia="Arial" w:hAnsi="Arial"/>
          <w:sz w:val="16"/>
          <w:szCs w:val="16"/>
          <w:color w:val="auto"/>
        </w:rPr>
        <w:t>Access the website shown on your proxy card or voting instruction form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005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w:t>
      </w:r>
    </w:p>
    <w:p>
      <w:pPr>
        <w:spacing w:after="0" w:line="2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Sign, date and return your proxy card or voting instruction form to the mailing address shown on your proxy card.</w:t>
      </w:r>
    </w:p>
    <w:p>
      <w:pPr>
        <w:spacing w:after="0" w:line="158" w:lineRule="exact"/>
        <w:rPr>
          <w:sz w:val="20"/>
          <w:szCs w:val="20"/>
          <w:color w:val="auto"/>
        </w:rPr>
      </w:pPr>
    </w:p>
    <w:p>
      <w:pPr>
        <w:sectPr>
          <w:pgSz w:w="11900" w:h="16838" w:orient="portrait"/>
          <w:cols w:equalWidth="0" w:num="2">
            <w:col w:w="5800" w:space="720"/>
            <w:col w:w="4360"/>
          </w:cols>
          <w:pgMar w:left="500" w:top="270" w:right="519" w:bottom="1440" w:gutter="0" w:footer="0" w:header="0"/>
          <w:type w:val="continuous"/>
        </w:sectPr>
      </w:pPr>
    </w:p>
    <w:p>
      <w:pPr>
        <w:ind w:left="1080"/>
        <w:spacing w:after="0"/>
        <w:rPr>
          <w:sz w:val="20"/>
          <w:szCs w:val="20"/>
          <w:color w:val="auto"/>
        </w:rPr>
      </w:pPr>
      <w:r>
        <w:rPr>
          <w:rFonts w:ascii="Arial" w:cs="Arial" w:eastAsia="Arial" w:hAnsi="Arial"/>
          <w:sz w:val="16"/>
          <w:szCs w:val="16"/>
          <w:b w:val="1"/>
          <w:bCs w:val="1"/>
          <w:color w:val="auto"/>
        </w:rPr>
        <w:t>Toll-free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-55880</wp:posOffset>
            </wp:positionV>
            <wp:extent cx="13716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257175"/>
                    </a:xfrm>
                    <a:prstGeom prst="rect">
                      <a:avLst/>
                    </a:prstGeom>
                    <a:noFill/>
                  </pic:spPr>
                </pic:pic>
              </a:graphicData>
            </a:graphic>
          </wp:anchor>
        </w:drawing>
      </w:r>
    </w:p>
    <w:p>
      <w:pPr>
        <w:spacing w:after="0" w:line="1" w:lineRule="exact"/>
        <w:rPr>
          <w:sz w:val="20"/>
          <w:szCs w:val="20"/>
          <w:color w:val="auto"/>
        </w:rPr>
      </w:pPr>
    </w:p>
    <w:p>
      <w:pPr>
        <w:ind w:left="1080" w:right="640"/>
        <w:spacing w:after="0" w:line="265" w:lineRule="auto"/>
        <w:rPr>
          <w:sz w:val="20"/>
          <w:szCs w:val="20"/>
          <w:color w:val="auto"/>
        </w:rPr>
      </w:pPr>
      <w:r>
        <w:rPr>
          <w:rFonts w:ascii="Arial" w:cs="Arial" w:eastAsia="Arial" w:hAnsi="Arial"/>
          <w:sz w:val="16"/>
          <w:szCs w:val="16"/>
          <w:color w:val="auto"/>
        </w:rPr>
        <w:t>Call the toll-free telephone number shown on your proxy card or voting instruction form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00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Scanned 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-90170</wp:posOffset>
            </wp:positionV>
            <wp:extent cx="325755"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755" cy="334645"/>
                    </a:xfrm>
                    <a:prstGeom prst="rect">
                      <a:avLst/>
                    </a:prstGeom>
                    <a:noFill/>
                  </pic:spPr>
                </pic:pic>
              </a:graphicData>
            </a:graphic>
          </wp:anchor>
        </w:drawing>
      </w:r>
    </w:p>
    <w:p>
      <w:pPr>
        <w:spacing w:after="0" w:line="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Your proxy card or voting instruction form may contain a QR code that will allow you to vote using your mobile phone.</w:t>
      </w:r>
    </w:p>
    <w:p>
      <w:pPr>
        <w:spacing w:after="0" w:line="199" w:lineRule="exact"/>
        <w:rPr>
          <w:sz w:val="20"/>
          <w:szCs w:val="20"/>
          <w:color w:val="auto"/>
        </w:rPr>
      </w:pPr>
    </w:p>
    <w:p>
      <w:pPr>
        <w:sectPr>
          <w:pgSz w:w="11900" w:h="16838" w:orient="portrait"/>
          <w:cols w:equalWidth="0" w:num="2">
            <w:col w:w="5800" w:space="720"/>
            <w:col w:w="4360"/>
          </w:cols>
          <w:pgMar w:left="500" w:top="270" w:right="519" w:bottom="1440" w:gutter="0" w:footer="0" w:header="0"/>
          <w:type w:val="continuous"/>
        </w:sectPr>
      </w:pPr>
    </w:p>
    <w:p>
      <w:pPr>
        <w:spacing w:after="0"/>
        <w:rPr>
          <w:sz w:val="20"/>
          <w:szCs w:val="20"/>
          <w:color w:val="auto"/>
        </w:rPr>
      </w:pPr>
      <w:r>
        <w:rPr>
          <w:rFonts w:ascii="Arial" w:cs="Arial" w:eastAsia="Arial" w:hAnsi="Arial"/>
          <w:sz w:val="16"/>
          <w:szCs w:val="16"/>
          <w:color w:val="auto"/>
        </w:rPr>
        <w:t>Seattle, Washington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2023</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 Munson Steines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113665</wp:posOffset>
            </wp:positionV>
            <wp:extent cx="5006340" cy="129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06340" cy="129413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you have any questions or require any assistance regarding our Annual Meeting, please contact our proxy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solicitor: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Innisfree M&amp;A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Shareholders may call toll-free +1 (877) 750-8312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Banks and Brokers may call collect +1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6900545"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0545" cy="514350"/>
                    </a:xfrm>
                    <a:prstGeom prst="rect">
                      <a:avLst/>
                    </a:prstGeom>
                    <a:noFill/>
                  </pic:spPr>
                </pic:pic>
              </a:graphicData>
            </a:graphic>
          </wp:anchor>
        </w:drawing>
      </w:r>
    </w:p>
    <w:p>
      <w:pPr>
        <w:spacing w:after="0" w:line="307" w:lineRule="exact"/>
        <w:rPr>
          <w:sz w:val="20"/>
          <w:szCs w:val="20"/>
          <w:color w:val="auto"/>
        </w:rPr>
      </w:pPr>
    </w:p>
    <w:p>
      <w:pPr>
        <w:jc w:val="center"/>
        <w:spacing w:after="0" w:line="290" w:lineRule="auto"/>
        <w:rPr>
          <w:sz w:val="20"/>
          <w:szCs w:val="20"/>
          <w:color w:val="auto"/>
        </w:rPr>
      </w:pPr>
      <w:r>
        <w:rPr>
          <w:rFonts w:ascii="Arial" w:cs="Arial" w:eastAsia="Arial" w:hAnsi="Arial"/>
          <w:sz w:val="16"/>
          <w:szCs w:val="16"/>
          <w:b w:val="1"/>
          <w:bCs w:val="1"/>
          <w:color w:val="auto"/>
        </w:rPr>
        <w:t>IMPORTANT NOTICE REGARDING THE AVAILABILITY OF PROXY MATERIALS FOR THE 2023 ANNUAL MEETING OF SHAREHOLDERS TO BE HELD ON [●],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Proxy Statement and the 2022 Annual Report are available at the Investor Relations Website.</w:t>
      </w:r>
    </w:p>
    <w:p>
      <w:pPr>
        <w:spacing w:after="0" w:line="262" w:lineRule="exact"/>
        <w:rPr>
          <w:sz w:val="20"/>
          <w:szCs w:val="20"/>
          <w:color w:val="auto"/>
        </w:rPr>
      </w:pPr>
    </w:p>
    <w:p>
      <w:pPr>
        <w:jc w:val="both"/>
        <w:spacing w:after="0" w:line="235" w:lineRule="auto"/>
        <w:rPr>
          <w:sz w:val="20"/>
          <w:szCs w:val="20"/>
          <w:color w:val="auto"/>
        </w:rPr>
      </w:pPr>
      <w:r>
        <w:rPr>
          <w:rFonts w:ascii="Arial" w:cs="Arial" w:eastAsia="Arial" w:hAnsi="Arial"/>
          <w:sz w:val="11"/>
          <w:szCs w:val="11"/>
          <w:i w:val="1"/>
          <w:iCs w:val="1"/>
          <w:color w:val="auto"/>
        </w:rPr>
        <w:t>This proxy statement contains forward-looking statements within the meaning of the Private Securities Litigation Reform Act of 1995. Forward-looking statements are statements regarding matters that are not historical facts, and are based on our management’s beliefs and assumptions and on information currently available to our management. A forward-looking statement is neither a prediction nor a guarantee of future events or circumstances, and those future events or circumstances may not occur. In some cases, forward-looking statements can be identified by terms such as “may,” “will,” “should,” “could,” “goal,” “would,” “expect,” “plan,” “anticipate,” “believe,” “estimate,” “project,” “predict,” “potential,” “pursue,” “going forward”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Important factors that could cause actual results to differ materially from these forward-looking statements are detailed in the Company’s 2022 Annual Report and in subsequent filings. These forward-looking statements are not guarantees of future performance and speak only as of the date made, and, except as required by law, the Company undertakes no obligation to update or revise any forward-looking statements to reflect subsequent events, new information or future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101981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6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407"/>
        </w:trPr>
        <w:tc>
          <w:tcPr>
            <w:tcW w:w="10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INDEX OF KEY TERMS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ind w:left="60"/>
              <w:spacing w:after="0"/>
              <w:rPr>
                <w:sz w:val="20"/>
                <w:szCs w:val="20"/>
                <w:color w:val="auto"/>
              </w:rPr>
            </w:pPr>
            <w:r>
              <w:rPr>
                <w:rFonts w:ascii="Arial" w:cs="Arial" w:eastAsia="Arial" w:hAnsi="Arial"/>
                <w:sz w:val="16"/>
                <w:szCs w:val="16"/>
                <w:b w:val="1"/>
                <w:bCs w:val="1"/>
                <w:color w:val="auto"/>
              </w:rPr>
              <w:t>Term</w:t>
            </w:r>
          </w:p>
        </w:tc>
        <w:tc>
          <w:tcPr>
            <w:tcW w:w="1700" w:type="dxa"/>
            <w:vAlign w:val="bottom"/>
          </w:tcPr>
          <w:p>
            <w:pPr>
              <w:spacing w:after="0"/>
              <w:rPr>
                <w:sz w:val="19"/>
                <w:szCs w:val="19"/>
                <w:color w:val="auto"/>
              </w:rPr>
            </w:pPr>
          </w:p>
        </w:tc>
        <w:tc>
          <w:tcPr>
            <w:tcW w:w="8540" w:type="dxa"/>
            <w:vAlign w:val="bottom"/>
          </w:tcPr>
          <w:p>
            <w:pPr>
              <w:ind w:left="240"/>
              <w:spacing w:after="0"/>
              <w:rPr>
                <w:sz w:val="20"/>
                <w:szCs w:val="20"/>
                <w:color w:val="auto"/>
              </w:rPr>
            </w:pPr>
            <w:r>
              <w:rPr>
                <w:rFonts w:ascii="Arial" w:cs="Arial" w:eastAsia="Arial" w:hAnsi="Arial"/>
                <w:sz w:val="16"/>
                <w:szCs w:val="16"/>
                <w:b w:val="1"/>
                <w:bCs w:val="1"/>
                <w:color w:val="auto"/>
              </w:rPr>
              <w:t>Definition</w:t>
            </w:r>
          </w:p>
        </w:tc>
      </w:tr>
      <w:tr>
        <w:trPr>
          <w:trHeight w:val="21"/>
        </w:trPr>
        <w:tc>
          <w:tcPr>
            <w:tcW w:w="2340" w:type="dxa"/>
            <w:vAlign w:val="bottom"/>
            <w:tcBorders>
              <w:bottom w:val="single" w:sz="8" w:color="auto"/>
            </w:tcBorders>
            <w:gridSpan w:val="2"/>
          </w:tcPr>
          <w:p>
            <w:pPr>
              <w:spacing w:after="0" w:line="20" w:lineRule="exact"/>
              <w:rPr>
                <w:sz w:val="1"/>
                <w:szCs w:val="1"/>
                <w:color w:val="auto"/>
              </w:rPr>
            </w:pPr>
          </w:p>
        </w:tc>
        <w:tc>
          <w:tcPr>
            <w:tcW w:w="8540" w:type="dxa"/>
            <w:vAlign w:val="bottom"/>
            <w:tcBorders>
              <w:bottom w:val="single" w:sz="8" w:color="auto"/>
            </w:tcBorders>
          </w:tcPr>
          <w:p>
            <w:pPr>
              <w:spacing w:after="0" w:line="20" w:lineRule="exact"/>
              <w:rPr>
                <w:sz w:val="1"/>
                <w:szCs w:val="1"/>
                <w:color w:val="auto"/>
              </w:rPr>
            </w:pPr>
          </w:p>
        </w:tc>
      </w:tr>
      <w:tr>
        <w:trPr>
          <w:trHeight w:val="243"/>
        </w:trPr>
        <w:tc>
          <w:tcPr>
            <w:tcW w:w="234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color w:val="auto"/>
              </w:rPr>
              <w:t>2022 Annual Report</w:t>
            </w: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Company’s Annual Report on Form 10-K filed with the SEC for the fiscal year ended January 28, 2023</w:t>
            </w:r>
          </w:p>
        </w:tc>
      </w:tr>
      <w:tr>
        <w:trPr>
          <w:trHeight w:val="215"/>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2025 Corporate Social</w:t>
            </w:r>
          </w:p>
        </w:tc>
        <w:tc>
          <w:tcPr>
            <w:tcW w:w="8540" w:type="dxa"/>
            <w:vAlign w:val="bottom"/>
          </w:tcPr>
          <w:p>
            <w:pPr>
              <w:ind w:left="200"/>
              <w:spacing w:after="0"/>
              <w:rPr>
                <w:sz w:val="20"/>
                <w:szCs w:val="20"/>
                <w:color w:val="auto"/>
              </w:rPr>
            </w:pPr>
            <w:r>
              <w:rPr>
                <w:rFonts w:ascii="Arial" w:cs="Arial" w:eastAsia="Arial" w:hAnsi="Arial"/>
                <w:sz w:val="16"/>
                <w:szCs w:val="16"/>
                <w:color w:val="auto"/>
              </w:rPr>
              <w:t>Our 2025 Corporate Social Responsibility goals at nordstromcares.com</w:t>
            </w:r>
          </w:p>
        </w:tc>
      </w:tr>
      <w:tr>
        <w:trPr>
          <w:trHeight w:val="215"/>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Responsibility Goals</w:t>
            </w:r>
          </w:p>
        </w:tc>
        <w:tc>
          <w:tcPr>
            <w:tcW w:w="8540" w:type="dxa"/>
            <w:vAlign w:val="bottom"/>
          </w:tcPr>
          <w:p>
            <w:pPr>
              <w:spacing w:after="0"/>
              <w:rPr>
                <w:sz w:val="18"/>
                <w:szCs w:val="18"/>
                <w:color w:val="auto"/>
              </w:rPr>
            </w:pP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AFC</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Audit and Finance Committee of the Board</w:t>
            </w:r>
          </w:p>
        </w:tc>
      </w:tr>
      <w:tr>
        <w:trPr>
          <w:trHeight w:val="241"/>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ASC 718</w:t>
            </w:r>
          </w:p>
        </w:tc>
        <w:tc>
          <w:tcPr>
            <w:tcW w:w="8540" w:type="dxa"/>
            <w:vAlign w:val="bottom"/>
          </w:tcPr>
          <w:p>
            <w:pPr>
              <w:ind w:left="200"/>
              <w:spacing w:after="0"/>
              <w:rPr>
                <w:sz w:val="20"/>
                <w:szCs w:val="20"/>
                <w:color w:val="auto"/>
              </w:rPr>
            </w:pPr>
            <w:r>
              <w:rPr>
                <w:rFonts w:ascii="Arial" w:cs="Arial" w:eastAsia="Arial" w:hAnsi="Arial"/>
                <w:sz w:val="16"/>
                <w:szCs w:val="16"/>
                <w:color w:val="auto"/>
              </w:rPr>
              <w:t>Accounting Standards Codification 718, Stock Compensation</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Board</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The Board of Directors</w:t>
            </w:r>
          </w:p>
        </w:tc>
      </w:tr>
      <w:tr>
        <w:trPr>
          <w:trHeight w:val="241"/>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Broadridge</w:t>
            </w:r>
          </w:p>
        </w:tc>
        <w:tc>
          <w:tcPr>
            <w:tcW w:w="8540" w:type="dxa"/>
            <w:vAlign w:val="bottom"/>
          </w:tcPr>
          <w:p>
            <w:pPr>
              <w:ind w:left="200"/>
              <w:spacing w:after="0"/>
              <w:rPr>
                <w:sz w:val="20"/>
                <w:szCs w:val="20"/>
                <w:color w:val="auto"/>
              </w:rPr>
            </w:pPr>
            <w:r>
              <w:rPr>
                <w:rFonts w:ascii="Arial" w:cs="Arial" w:eastAsia="Arial" w:hAnsi="Arial"/>
                <w:sz w:val="16"/>
                <w:szCs w:val="16"/>
                <w:color w:val="auto"/>
              </w:rPr>
              <w:t>Broadridge Investor Communication Services</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CD&amp;A</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Compensation Discussion &amp; Analysis</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CAO</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Chief Accounting Officer</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CEO</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Chief Executive Officer</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CFO</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Chief Financial Officer</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CGNC</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Corporate Governance and Nominating Committee of the Board</w:t>
            </w:r>
          </w:p>
        </w:tc>
      </w:tr>
      <w:tr>
        <w:trPr>
          <w:trHeight w:val="241"/>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Chairman</w:t>
            </w:r>
          </w:p>
        </w:tc>
        <w:tc>
          <w:tcPr>
            <w:tcW w:w="8540" w:type="dxa"/>
            <w:vAlign w:val="bottom"/>
          </w:tcPr>
          <w:p>
            <w:pPr>
              <w:ind w:left="200"/>
              <w:spacing w:after="0"/>
              <w:rPr>
                <w:sz w:val="20"/>
                <w:szCs w:val="20"/>
                <w:color w:val="auto"/>
              </w:rPr>
            </w:pPr>
            <w:r>
              <w:rPr>
                <w:rFonts w:ascii="Arial" w:cs="Arial" w:eastAsia="Arial" w:hAnsi="Arial"/>
                <w:sz w:val="16"/>
                <w:szCs w:val="16"/>
                <w:color w:val="auto"/>
              </w:rPr>
              <w:t>Our Board Chairman, a non-Executive position</w:t>
            </w:r>
          </w:p>
        </w:tc>
      </w:tr>
      <w:tr>
        <w:trPr>
          <w:trHeight w:val="29"/>
        </w:trPr>
        <w:tc>
          <w:tcPr>
            <w:tcW w:w="2340" w:type="dxa"/>
            <w:vAlign w:val="bottom"/>
            <w:gridSpan w:val="2"/>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234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color w:val="auto"/>
              </w:rPr>
              <w:t>Common Stock</w:t>
            </w: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Nordstrom common stock</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CPCC</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Compensation, People and Culture Committee of the Board</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DDCP</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Nordstrom Directors Deferred Compensation Plan</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Deloitte</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Deloitte &amp; Touche LLP</w:t>
            </w:r>
          </w:p>
        </w:tc>
      </w:tr>
      <w:tr>
        <w:trPr>
          <w:trHeight w:val="29"/>
        </w:trPr>
        <w:tc>
          <w:tcPr>
            <w:tcW w:w="2340" w:type="dxa"/>
            <w:vAlign w:val="bottom"/>
            <w:gridSpan w:val="2"/>
          </w:tcPr>
          <w:p>
            <w:pPr>
              <w:spacing w:after="0"/>
              <w:rPr>
                <w:sz w:val="2"/>
                <w:szCs w:val="2"/>
                <w:color w:val="auto"/>
              </w:rPr>
            </w:pPr>
          </w:p>
        </w:tc>
        <w:tc>
          <w:tcPr>
            <w:tcW w:w="8540" w:type="dxa"/>
            <w:vAlign w:val="bottom"/>
          </w:tcPr>
          <w:p>
            <w:pPr>
              <w:spacing w:after="0"/>
              <w:rPr>
                <w:sz w:val="2"/>
                <w:szCs w:val="2"/>
                <w:color w:val="auto"/>
              </w:rPr>
            </w:pPr>
          </w:p>
        </w:tc>
      </w:tr>
      <w:tr>
        <w:trPr>
          <w:trHeight w:val="215"/>
        </w:trPr>
        <w:tc>
          <w:tcPr>
            <w:tcW w:w="234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Diversity, Inclusion and</w:t>
            </w:r>
          </w:p>
        </w:tc>
        <w:tc>
          <w:tcPr>
            <w:tcW w:w="8540" w:type="dxa"/>
            <w:vAlign w:val="bottom"/>
            <w:shd w:val="clear" w:color="auto" w:fill="DCDDDE"/>
          </w:tcPr>
          <w:p>
            <w:pPr>
              <w:ind w:left="200"/>
              <w:spacing w:after="0"/>
              <w:rPr>
                <w:sz w:val="20"/>
                <w:szCs w:val="20"/>
                <w:color w:val="auto"/>
              </w:rPr>
            </w:pPr>
            <w:r>
              <w:rPr>
                <w:rFonts w:ascii="Arial" w:cs="Arial" w:eastAsia="Arial" w:hAnsi="Arial"/>
                <w:sz w:val="16"/>
                <w:szCs w:val="16"/>
                <w:color w:val="auto"/>
              </w:rPr>
              <w:t>Our Diversity, Inclusion and Belonging goals at nordstrom.com/diversity</w:t>
            </w:r>
          </w:p>
        </w:tc>
      </w:tr>
      <w:tr>
        <w:trPr>
          <w:trHeight w:val="224"/>
        </w:trPr>
        <w:tc>
          <w:tcPr>
            <w:tcW w:w="234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color w:val="auto"/>
              </w:rPr>
              <w:t>Belonging Goals</w:t>
            </w:r>
          </w:p>
        </w:tc>
        <w:tc>
          <w:tcPr>
            <w:tcW w:w="8540" w:type="dxa"/>
            <w:vAlign w:val="bottom"/>
            <w:tcBorders>
              <w:bottom w:val="single" w:sz="8" w:color="DCDDDE"/>
            </w:tcBorders>
            <w:shd w:val="clear" w:color="auto" w:fill="DCDDDE"/>
          </w:tcPr>
          <w:p>
            <w:pPr>
              <w:spacing w:after="0"/>
              <w:rPr>
                <w:sz w:val="19"/>
                <w:szCs w:val="19"/>
                <w:color w:val="auto"/>
              </w:rPr>
            </w:pP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EBIT</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Earnings (Loss) Before Interest and Income Taxes</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EIP</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Equity Incentive Plan</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EMBP</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Executive Management Bonus Plan</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ERG</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Employee Resource Group</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ESG</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Environmental, Social and Governance</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ESPP</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Employee Stock Purchase Plan</w:t>
            </w:r>
          </w:p>
        </w:tc>
      </w:tr>
      <w:tr>
        <w:trPr>
          <w:trHeight w:val="241"/>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Exchange Act</w:t>
            </w:r>
          </w:p>
        </w:tc>
        <w:tc>
          <w:tcPr>
            <w:tcW w:w="8540" w:type="dxa"/>
            <w:vAlign w:val="bottom"/>
          </w:tcPr>
          <w:p>
            <w:pPr>
              <w:ind w:left="200"/>
              <w:spacing w:after="0"/>
              <w:rPr>
                <w:sz w:val="20"/>
                <w:szCs w:val="20"/>
                <w:color w:val="auto"/>
              </w:rPr>
            </w:pPr>
            <w:r>
              <w:rPr>
                <w:rFonts w:ascii="Arial" w:cs="Arial" w:eastAsia="Arial" w:hAnsi="Arial"/>
                <w:sz w:val="16"/>
                <w:szCs w:val="16"/>
                <w:color w:val="auto"/>
              </w:rPr>
              <w:t>Securities Exchange Act of 1934</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FASB</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Financial Accounting Standards Board</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GAAP</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U.S. Generally Accepted Accounting Principles</w:t>
            </w:r>
          </w:p>
        </w:tc>
      </w:tr>
      <w:tr>
        <w:trPr>
          <w:trHeight w:val="29"/>
        </w:trPr>
        <w:tc>
          <w:tcPr>
            <w:tcW w:w="2340" w:type="dxa"/>
            <w:vAlign w:val="bottom"/>
            <w:gridSpan w:val="2"/>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234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color w:val="auto"/>
              </w:rPr>
              <w:t>Incentive Adjusted EBIT</w:t>
            </w: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Incentive Adjusted Earnings (Loss) Before Interest and Income Taxes (a non-GAAP financial measure)</w:t>
            </w:r>
          </w:p>
        </w:tc>
      </w:tr>
      <w:tr>
        <w:trPr>
          <w:trHeight w:val="241"/>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Incentive Adjusted ROIC</w:t>
            </w:r>
          </w:p>
        </w:tc>
        <w:tc>
          <w:tcPr>
            <w:tcW w:w="8540" w:type="dxa"/>
            <w:vAlign w:val="bottom"/>
          </w:tcPr>
          <w:p>
            <w:pPr>
              <w:ind w:left="200"/>
              <w:spacing w:after="0"/>
              <w:rPr>
                <w:sz w:val="20"/>
                <w:szCs w:val="20"/>
                <w:color w:val="auto"/>
              </w:rPr>
            </w:pPr>
            <w:r>
              <w:rPr>
                <w:rFonts w:ascii="Arial" w:cs="Arial" w:eastAsia="Arial" w:hAnsi="Arial"/>
                <w:sz w:val="16"/>
                <w:szCs w:val="16"/>
                <w:color w:val="auto"/>
              </w:rPr>
              <w:t>Incentive Adjusted Return on Invested Capital (a non-GAAP financial measure)</w:t>
            </w:r>
          </w:p>
        </w:tc>
      </w:tr>
      <w:tr>
        <w:trPr>
          <w:trHeight w:val="29"/>
        </w:trPr>
        <w:tc>
          <w:tcPr>
            <w:tcW w:w="2340" w:type="dxa"/>
            <w:vAlign w:val="bottom"/>
            <w:gridSpan w:val="2"/>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234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color w:val="auto"/>
              </w:rPr>
              <w:t>Investor Relations Website</w:t>
            </w: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Our investor relations website, found at investor.nordstrom.com</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IRC</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Internal Revenue Code</w:t>
            </w:r>
          </w:p>
        </w:tc>
      </w:tr>
      <w:tr>
        <w:trPr>
          <w:trHeight w:val="29"/>
        </w:trPr>
        <w:tc>
          <w:tcPr>
            <w:tcW w:w="2340" w:type="dxa"/>
            <w:vAlign w:val="bottom"/>
            <w:gridSpan w:val="2"/>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234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color w:val="auto"/>
              </w:rPr>
              <w:t>Lease Standard</w:t>
            </w: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Accounting Standards Update 2018-11, Leases</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LTI</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Long-Term Incentives</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NDCP</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Nordstrom Deferred Compensation Plan</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NEO</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Named Executive Officer</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Notice</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Notice of Annual Meeting of Shareholders</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NYSE</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New York Stock Exchange</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PEO</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Principal Executive Officer</w:t>
            </w:r>
          </w:p>
        </w:tc>
      </w:tr>
      <w:tr>
        <w:trPr>
          <w:trHeight w:val="241"/>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Plan Trustee</w:t>
            </w:r>
          </w:p>
        </w:tc>
        <w:tc>
          <w:tcPr>
            <w:tcW w:w="8540" w:type="dxa"/>
            <w:vAlign w:val="bottom"/>
          </w:tcPr>
          <w:p>
            <w:pPr>
              <w:ind w:left="200"/>
              <w:spacing w:after="0"/>
              <w:rPr>
                <w:sz w:val="20"/>
                <w:szCs w:val="20"/>
                <w:color w:val="auto"/>
              </w:rPr>
            </w:pPr>
            <w:r>
              <w:rPr>
                <w:rFonts w:ascii="Arial" w:cs="Arial" w:eastAsia="Arial" w:hAnsi="Arial"/>
                <w:sz w:val="16"/>
                <w:szCs w:val="16"/>
                <w:color w:val="auto"/>
              </w:rPr>
              <w:t>Bank of New York Mellon, as trustee of the Nordstrom 401(k) Plan</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PSU</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Performance Share Unit</w:t>
            </w:r>
          </w:p>
        </w:tc>
      </w:tr>
      <w:tr>
        <w:trPr>
          <w:trHeight w:val="241"/>
        </w:trPr>
        <w:tc>
          <w:tcPr>
            <w:tcW w:w="2340" w:type="dxa"/>
            <w:vAlign w:val="bottom"/>
            <w:gridSpan w:val="2"/>
          </w:tcPr>
          <w:p>
            <w:pPr>
              <w:ind w:left="60"/>
              <w:spacing w:after="0"/>
              <w:rPr>
                <w:sz w:val="20"/>
                <w:szCs w:val="20"/>
                <w:color w:val="auto"/>
              </w:rPr>
            </w:pPr>
            <w:r>
              <w:rPr>
                <w:rFonts w:ascii="Arial" w:cs="Arial" w:eastAsia="Arial" w:hAnsi="Arial"/>
                <w:sz w:val="16"/>
                <w:szCs w:val="16"/>
                <w:color w:val="auto"/>
              </w:rPr>
              <w:t>Record Date</w:t>
            </w:r>
          </w:p>
        </w:tc>
        <w:tc>
          <w:tcPr>
            <w:tcW w:w="8540" w:type="dxa"/>
            <w:vAlign w:val="bottom"/>
          </w:tcPr>
          <w:p>
            <w:pPr>
              <w:ind w:left="200"/>
              <w:spacing w:after="0"/>
              <w:rPr>
                <w:sz w:val="20"/>
                <w:szCs w:val="20"/>
                <w:color w:val="auto"/>
              </w:rPr>
            </w:pPr>
            <w:r>
              <w:rPr>
                <w:rFonts w:ascii="Arial" w:cs="Arial" w:eastAsia="Arial" w:hAnsi="Arial"/>
                <w:sz w:val="16"/>
                <w:szCs w:val="16"/>
                <w:color w:val="auto"/>
              </w:rPr>
              <w:t>April 10, 2023</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RSU</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Restricted Stock Unit</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SEC</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Securities and Exchange Commission</w:t>
            </w:r>
          </w:p>
        </w:tc>
      </w:tr>
      <w:tr>
        <w:trPr>
          <w:trHeight w:val="29"/>
        </w:trPr>
        <w:tc>
          <w:tcPr>
            <w:tcW w:w="2340" w:type="dxa"/>
            <w:vAlign w:val="bottom"/>
            <w:gridSpan w:val="2"/>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234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color w:val="auto"/>
              </w:rPr>
              <w:t>Semler Brossy</w:t>
            </w: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Semler Brossy Consulting Group, LLC</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SERP</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Supplemental Executive Retirement Plan</w:t>
            </w:r>
          </w:p>
        </w:tc>
      </w:tr>
      <w:tr>
        <w:trPr>
          <w:trHeight w:val="29"/>
        </w:trPr>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50"/>
        </w:trPr>
        <w:tc>
          <w:tcPr>
            <w:tcW w:w="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TC</w:t>
            </w:r>
          </w:p>
        </w:tc>
        <w:tc>
          <w:tcPr>
            <w:tcW w:w="1700" w:type="dxa"/>
            <w:vAlign w:val="bottom"/>
            <w:tcBorders>
              <w:bottom w:val="single" w:sz="8" w:color="DCDDDE"/>
            </w:tcBorders>
            <w:shd w:val="clear" w:color="auto" w:fill="DCDDDE"/>
          </w:tcPr>
          <w:p>
            <w:pPr>
              <w:spacing w:after="0"/>
              <w:rPr>
                <w:sz w:val="21"/>
                <w:szCs w:val="21"/>
                <w:color w:val="auto"/>
              </w:rPr>
            </w:pPr>
          </w:p>
        </w:tc>
        <w:tc>
          <w:tcPr>
            <w:tcW w:w="8540" w:type="dxa"/>
            <w:vAlign w:val="bottom"/>
            <w:tcBorders>
              <w:bottom w:val="single" w:sz="8" w:color="DCDDDE"/>
            </w:tcBorders>
            <w:shd w:val="clear" w:color="auto" w:fill="DCDDDE"/>
          </w:tcPr>
          <w:p>
            <w:pPr>
              <w:ind w:left="200"/>
              <w:spacing w:after="0"/>
              <w:rPr>
                <w:sz w:val="20"/>
                <w:szCs w:val="20"/>
                <w:color w:val="auto"/>
              </w:rPr>
            </w:pPr>
            <w:r>
              <w:rPr>
                <w:rFonts w:ascii="Arial" w:cs="Arial" w:eastAsia="Arial" w:hAnsi="Arial"/>
                <w:sz w:val="16"/>
                <w:szCs w:val="16"/>
                <w:color w:val="auto"/>
              </w:rPr>
              <w:t>Technology Committee of the Board</w:t>
            </w:r>
          </w:p>
        </w:tc>
      </w:tr>
      <w:tr>
        <w:trPr>
          <w:trHeight w:val="241"/>
        </w:trPr>
        <w:tc>
          <w:tcPr>
            <w:tcW w:w="640" w:type="dxa"/>
            <w:vAlign w:val="bottom"/>
          </w:tcPr>
          <w:p>
            <w:pPr>
              <w:ind w:left="60"/>
              <w:spacing w:after="0"/>
              <w:rPr>
                <w:sz w:val="20"/>
                <w:szCs w:val="20"/>
                <w:color w:val="auto"/>
              </w:rPr>
            </w:pPr>
            <w:r>
              <w:rPr>
                <w:rFonts w:ascii="Arial" w:cs="Arial" w:eastAsia="Arial" w:hAnsi="Arial"/>
                <w:sz w:val="16"/>
                <w:szCs w:val="16"/>
                <w:color w:val="auto"/>
              </w:rPr>
              <w:t>TSR</w:t>
            </w:r>
          </w:p>
        </w:tc>
        <w:tc>
          <w:tcPr>
            <w:tcW w:w="1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Total Shareholder Return</w:t>
            </w:r>
          </w:p>
        </w:tc>
      </w:tr>
      <w:tr>
        <w:trPr>
          <w:trHeight w:val="29"/>
        </w:trPr>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747"/>
        </w:trPr>
        <w:tc>
          <w:tcPr>
            <w:tcW w:w="640" w:type="dxa"/>
            <w:vAlign w:val="bottom"/>
          </w:tcPr>
          <w:p>
            <w:pPr>
              <w:spacing w:after="0"/>
              <w:rPr>
                <w:sz w:val="20"/>
                <w:szCs w:val="20"/>
                <w:color w:val="auto"/>
              </w:rPr>
            </w:pPr>
            <w:r>
              <w:rPr>
                <w:rFonts w:ascii="Arial" w:cs="Arial" w:eastAsia="Arial" w:hAnsi="Arial"/>
                <w:sz w:val="14"/>
                <w:szCs w:val="14"/>
                <w:b w:val="1"/>
                <w:bCs w:val="1"/>
                <w:color w:val="auto"/>
              </w:rPr>
              <w:t>5</w:t>
            </w: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2023 Proxy Statement</w:t>
            </w:r>
          </w:p>
        </w:tc>
        <w:tc>
          <w:tcPr>
            <w:tcW w:w="8540" w:type="dxa"/>
            <w:vAlign w:val="bottom"/>
          </w:tcPr>
          <w:p>
            <w:pPr>
              <w:spacing w:after="0"/>
              <w:rPr>
                <w:sz w:val="24"/>
                <w:szCs w:val="24"/>
                <w:color w:val="auto"/>
              </w:rPr>
            </w:pPr>
          </w:p>
        </w:tc>
      </w:tr>
      <w:tr>
        <w:trPr>
          <w:trHeight w:val="407"/>
        </w:trPr>
        <w:tc>
          <w:tcPr>
            <w:tcW w:w="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-402590</wp:posOffset>
            </wp:positionV>
            <wp:extent cx="102044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ectPr>
          <w:pgSz w:w="11900" w:h="16838" w:orient="portrait"/>
          <w:cols w:equalWidth="0" w:num="1">
            <w:col w:w="10880"/>
          </w:cols>
          <w:pgMar w:left="500" w:top="270" w:right="519" w:bottom="136"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PROXY SUMMARY</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You have received these proxy materials because the Board is soliciting your proxy to vote your shares during the 2023 Annual Meeting of Shareholders. This summary highlights information contained elsewhere in this Proxy Statement. This summary does not contain all the information that you should consider in deciding how to vote your shares, and you should read the entire Proxy Statement carefully before voting. Page references are supplied to help you find further information in this Proxy Statement. Please refer to our Index of Key Terms on page </w:t>
      </w:r>
      <w:r>
        <w:rPr>
          <w:rFonts w:ascii="Arial" w:cs="Arial" w:eastAsia="Arial" w:hAnsi="Arial"/>
          <w:sz w:val="16"/>
          <w:szCs w:val="16"/>
          <w:u w:val="single" w:color="auto"/>
          <w:color w:val="0000EE"/>
        </w:rPr>
        <w:t>5</w:t>
      </w:r>
      <w:r>
        <w:rPr>
          <w:rFonts w:ascii="Arial" w:cs="Arial" w:eastAsia="Arial" w:hAnsi="Arial"/>
          <w:sz w:val="16"/>
          <w:szCs w:val="16"/>
          <w:color w:val="auto"/>
        </w:rPr>
        <w:t xml:space="preserve"> for the meaning of certain terms used in this Proxy Statement.</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Proxy Statement and the related proxy materials were first released to shareholders and made available on the internet on [●], 2023. Shareholders who held shares as of the close of business on the Record Date may attend the virtual meeting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9005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 xml:space="preserve">Proposal No. 1 – Election of Directors (page </w:t>
      </w:r>
      <w:r>
        <w:rPr>
          <w:rFonts w:ascii="Arial" w:cs="Arial" w:eastAsia="Arial" w:hAnsi="Arial"/>
          <w:sz w:val="32"/>
          <w:szCs w:val="32"/>
          <w:b w:val="1"/>
          <w:bCs w:val="1"/>
          <w:u w:val="single" w:color="auto"/>
          <w:color w:val="0000EE"/>
        </w:rPr>
        <w:t>25</w:t>
      </w:r>
      <w:r>
        <w:rPr>
          <w:rFonts w:ascii="Arial" w:cs="Arial" w:eastAsia="Arial" w:hAnsi="Arial"/>
          <w:sz w:val="32"/>
          <w:szCs w:val="32"/>
          <w:b w:val="1"/>
          <w:bCs w:val="1"/>
          <w:color w:val="67686B"/>
        </w:rPr>
        <w:t>)</w:t>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2060"/>
        </w:rPr>
        <w:t>Nominee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900545" cy="4157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0545"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6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407"/>
        </w:trPr>
        <w:tc>
          <w:tcPr>
            <w:tcW w:w="10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PROXY SUMMARY</w:t>
      </w:r>
    </w:p>
    <w:p>
      <w:pPr>
        <w:spacing w:after="0" w:line="200" w:lineRule="exact"/>
        <w:rPr>
          <w:sz w:val="20"/>
          <w:szCs w:val="20"/>
          <w:color w:val="auto"/>
        </w:rPr>
      </w:pPr>
    </w:p>
    <w:p>
      <w:pPr>
        <w:spacing w:after="0" w:line="295" w:lineRule="exact"/>
        <w:rPr>
          <w:sz w:val="20"/>
          <w:szCs w:val="20"/>
          <w:color w:val="auto"/>
        </w:rPr>
      </w:pPr>
    </w:p>
    <w:p>
      <w:pPr>
        <w:ind w:left="1640"/>
        <w:spacing w:after="0"/>
        <w:tabs>
          <w:tab w:leader="none" w:pos="6340" w:val="left"/>
        </w:tabs>
        <w:rPr>
          <w:sz w:val="20"/>
          <w:szCs w:val="20"/>
          <w:color w:val="auto"/>
        </w:rPr>
      </w:pPr>
      <w:r>
        <w:rPr>
          <w:rFonts w:ascii="Arial" w:cs="Arial" w:eastAsia="Arial" w:hAnsi="Arial"/>
          <w:sz w:val="22"/>
          <w:szCs w:val="22"/>
          <w:b w:val="1"/>
          <w:bCs w:val="1"/>
          <w:i w:val="1"/>
          <w:iCs w:val="1"/>
          <w:color w:val="1E295B"/>
        </w:rPr>
        <w:t>Board Attendance</w:t>
      </w:r>
      <w:r>
        <w:rPr>
          <w:sz w:val="20"/>
          <w:szCs w:val="20"/>
          <w:color w:val="auto"/>
        </w:rPr>
        <w:tab/>
      </w:r>
      <w:r>
        <w:rPr>
          <w:rFonts w:ascii="Arial" w:cs="Arial" w:eastAsia="Arial" w:hAnsi="Arial"/>
          <w:sz w:val="21"/>
          <w:szCs w:val="21"/>
          <w:b w:val="1"/>
          <w:bCs w:val="1"/>
          <w:i w:val="1"/>
          <w:iCs w:val="1"/>
          <w:color w:val="1E295B"/>
        </w:rPr>
        <w:t>Board Committees Chaired by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121920</wp:posOffset>
            </wp:positionV>
            <wp:extent cx="1414145" cy="1414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121920</wp:posOffset>
            </wp:positionV>
            <wp:extent cx="1851660" cy="15690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166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40"/>
        <w:spacing w:after="0"/>
        <w:tabs>
          <w:tab w:leader="none" w:pos="7400" w:val="left"/>
        </w:tabs>
        <w:rPr>
          <w:sz w:val="20"/>
          <w:szCs w:val="20"/>
          <w:color w:val="auto"/>
        </w:rPr>
      </w:pPr>
      <w:r>
        <w:rPr>
          <w:rFonts w:ascii="Arial" w:cs="Arial" w:eastAsia="Arial" w:hAnsi="Arial"/>
          <w:sz w:val="22"/>
          <w:szCs w:val="22"/>
          <w:b w:val="1"/>
          <w:bCs w:val="1"/>
          <w:i w:val="1"/>
          <w:iCs w:val="1"/>
          <w:color w:val="1E295B"/>
        </w:rPr>
        <w:t>Board Refreshment</w:t>
      </w:r>
      <w:r>
        <w:rPr>
          <w:sz w:val="20"/>
          <w:szCs w:val="20"/>
          <w:color w:val="auto"/>
        </w:rPr>
        <w:tab/>
      </w:r>
      <w:r>
        <w:rPr>
          <w:rFonts w:ascii="Arial" w:cs="Arial" w:eastAsia="Arial" w:hAnsi="Arial"/>
          <w:sz w:val="21"/>
          <w:szCs w:val="21"/>
          <w:b w:val="1"/>
          <w:bCs w:val="1"/>
          <w:i w:val="1"/>
          <w:iCs w:val="1"/>
          <w:color w:val="1E295B"/>
        </w:rPr>
        <w:t>Nominee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130810</wp:posOffset>
            </wp:positionV>
            <wp:extent cx="891540" cy="1234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91540" cy="123444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130810</wp:posOffset>
            </wp:positionV>
            <wp:extent cx="2828925" cy="1242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892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Relevant Skills and Experience</w:t>
      </w:r>
    </w:p>
    <w:p>
      <w:pPr>
        <w:spacing w:after="0" w:line="1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nominees possess a balance of leadership experiences, diverse perspectives, strategic skill sets and professional expertise that are essential in furthering our business strategy and objectives,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90805</wp:posOffset>
            </wp:positionV>
            <wp:extent cx="14541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415" cy="188595"/>
                    </a:xfrm>
                    <a:prstGeom prst="rect">
                      <a:avLst/>
                    </a:prstGeom>
                    <a:noFill/>
                  </pic:spPr>
                </pic:pic>
              </a:graphicData>
            </a:graphic>
          </wp:anchor>
        </w:drawing>
        <w:drawing>
          <wp:anchor simplePos="0" relativeHeight="251657728" behindDoc="1" locked="0" layoutInCell="0" allowOverlap="1">
            <wp:simplePos x="0" y="0"/>
            <wp:positionH relativeFrom="column">
              <wp:posOffset>6568440</wp:posOffset>
            </wp:positionH>
            <wp:positionV relativeFrom="paragraph">
              <wp:posOffset>116205</wp:posOffset>
            </wp:positionV>
            <wp:extent cx="17970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705" cy="17145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gridSpan w:val="5"/>
          </w:tcPr>
          <w:p>
            <w:pPr>
              <w:ind w:left="60"/>
              <w:spacing w:after="0"/>
              <w:rPr>
                <w:sz w:val="20"/>
                <w:szCs w:val="20"/>
                <w:color w:val="auto"/>
              </w:rPr>
            </w:pPr>
            <w:r>
              <w:rPr>
                <w:rFonts w:ascii="Arial" w:cs="Arial" w:eastAsia="Arial" w:hAnsi="Arial"/>
                <w:sz w:val="16"/>
                <w:szCs w:val="16"/>
                <w:b w:val="1"/>
                <w:bCs w:val="1"/>
                <w:color w:val="auto"/>
              </w:rPr>
              <w:t>Retail Industry</w:t>
            </w:r>
          </w:p>
        </w:tc>
        <w:tc>
          <w:tcPr>
            <w:tcW w:w="180" w:type="dxa"/>
            <w:vAlign w:val="bottom"/>
          </w:tcPr>
          <w:p>
            <w:pPr>
              <w:spacing w:after="0"/>
              <w:rPr>
                <w:sz w:val="19"/>
                <w:szCs w:val="19"/>
                <w:color w:val="auto"/>
              </w:rPr>
            </w:pPr>
          </w:p>
        </w:tc>
        <w:tc>
          <w:tcPr>
            <w:tcW w:w="5220" w:type="dxa"/>
            <w:vAlign w:val="bottom"/>
            <w:gridSpan w:val="4"/>
          </w:tcPr>
          <w:p>
            <w:pPr>
              <w:ind w:left="60"/>
              <w:spacing w:after="0"/>
              <w:rPr>
                <w:sz w:val="20"/>
                <w:szCs w:val="20"/>
                <w:color w:val="auto"/>
              </w:rPr>
            </w:pPr>
            <w:r>
              <w:rPr>
                <w:rFonts w:ascii="Arial" w:cs="Arial" w:eastAsia="Arial" w:hAnsi="Arial"/>
                <w:sz w:val="16"/>
                <w:szCs w:val="16"/>
                <w:b w:val="1"/>
                <w:bCs w:val="1"/>
                <w:color w:val="auto"/>
              </w:rPr>
              <w:t>CEO Experience</w:t>
            </w:r>
          </w:p>
        </w:tc>
      </w:tr>
      <w:tr>
        <w:trPr>
          <w:trHeight w:val="21"/>
        </w:trPr>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3"/>
        </w:trPr>
        <w:tc>
          <w:tcPr>
            <w:tcW w:w="3480" w:type="dxa"/>
            <w:vAlign w:val="bottom"/>
            <w:tcBorders>
              <w:bottom w:val="single" w:sz="8" w:color="1E295B"/>
            </w:tcBorders>
            <w:shd w:val="clear" w:color="auto" w:fill="1E295B"/>
          </w:tcPr>
          <w:p>
            <w:pPr>
              <w:ind w:left="3300"/>
              <w:spacing w:after="0"/>
              <w:rPr>
                <w:sz w:val="20"/>
                <w:szCs w:val="20"/>
                <w:color w:val="auto"/>
              </w:rPr>
            </w:pPr>
            <w:r>
              <w:rPr>
                <w:rFonts w:ascii="Arial" w:cs="Arial" w:eastAsia="Arial" w:hAnsi="Arial"/>
                <w:sz w:val="16"/>
                <w:szCs w:val="16"/>
                <w:color w:val="FFFFFF"/>
              </w:rPr>
              <w:t>7</w:t>
            </w:r>
          </w:p>
        </w:tc>
        <w:tc>
          <w:tcPr>
            <w:tcW w:w="500" w:type="dxa"/>
            <w:vAlign w:val="bottom"/>
            <w:tcBorders>
              <w:bottom w:val="single" w:sz="8" w:color="DCDDDE"/>
            </w:tcBorders>
            <w:shd w:val="clear" w:color="auto" w:fill="DCDDDE"/>
          </w:tcPr>
          <w:p>
            <w:pPr>
              <w:spacing w:after="0"/>
              <w:rPr>
                <w:sz w:val="22"/>
                <w:szCs w:val="22"/>
                <w:color w:val="auto"/>
              </w:rPr>
            </w:pPr>
          </w:p>
        </w:tc>
        <w:tc>
          <w:tcPr>
            <w:tcW w:w="500" w:type="dxa"/>
            <w:vAlign w:val="bottom"/>
            <w:tcBorders>
              <w:bottom w:val="single" w:sz="8" w:color="DCDDDE"/>
            </w:tcBorders>
            <w:shd w:val="clear" w:color="auto" w:fill="DCDDDE"/>
          </w:tcPr>
          <w:p>
            <w:pPr>
              <w:spacing w:after="0"/>
              <w:rPr>
                <w:sz w:val="22"/>
                <w:szCs w:val="22"/>
                <w:color w:val="auto"/>
              </w:rPr>
            </w:pPr>
          </w:p>
        </w:tc>
        <w:tc>
          <w:tcPr>
            <w:tcW w:w="500" w:type="dxa"/>
            <w:vAlign w:val="bottom"/>
            <w:tcBorders>
              <w:bottom w:val="single" w:sz="8" w:color="DCDDDE"/>
            </w:tcBorders>
            <w:shd w:val="clear" w:color="auto" w:fill="DCDDDE"/>
          </w:tcPr>
          <w:p>
            <w:pPr>
              <w:spacing w:after="0"/>
              <w:rPr>
                <w:sz w:val="22"/>
                <w:szCs w:val="22"/>
                <w:color w:val="auto"/>
              </w:rPr>
            </w:pPr>
          </w:p>
        </w:tc>
        <w:tc>
          <w:tcPr>
            <w:tcW w:w="500" w:type="dxa"/>
            <w:vAlign w:val="bottom"/>
            <w:tcBorders>
              <w:bottom w:val="single" w:sz="8" w:color="DCDDDE"/>
            </w:tcBorders>
            <w:shd w:val="clear" w:color="auto" w:fill="DCDDDE"/>
          </w:tcPr>
          <w:p>
            <w:pPr>
              <w:spacing w:after="0"/>
              <w:rPr>
                <w:sz w:val="22"/>
                <w:szCs w:val="22"/>
                <w:color w:val="auto"/>
              </w:rPr>
            </w:pPr>
          </w:p>
        </w:tc>
        <w:tc>
          <w:tcPr>
            <w:tcW w:w="180" w:type="dxa"/>
            <w:vAlign w:val="bottom"/>
          </w:tcPr>
          <w:p>
            <w:pPr>
              <w:spacing w:after="0"/>
              <w:rPr>
                <w:sz w:val="22"/>
                <w:szCs w:val="22"/>
                <w:color w:val="auto"/>
              </w:rPr>
            </w:pPr>
          </w:p>
        </w:tc>
        <w:tc>
          <w:tcPr>
            <w:tcW w:w="2580" w:type="dxa"/>
            <w:vAlign w:val="bottom"/>
            <w:tcBorders>
              <w:bottom w:val="single" w:sz="8" w:color="1E295B"/>
            </w:tcBorders>
            <w:shd w:val="clear" w:color="auto" w:fill="1E295B"/>
          </w:tcPr>
          <w:p>
            <w:pPr>
              <w:ind w:left="2460"/>
              <w:spacing w:after="0"/>
              <w:rPr>
                <w:sz w:val="20"/>
                <w:szCs w:val="20"/>
                <w:color w:val="auto"/>
              </w:rPr>
            </w:pPr>
            <w:r>
              <w:rPr>
                <w:rFonts w:ascii="Arial" w:cs="Arial" w:eastAsia="Arial" w:hAnsi="Arial"/>
                <w:sz w:val="16"/>
                <w:szCs w:val="16"/>
                <w:color w:val="FFFFFF"/>
              </w:rPr>
              <w:t>5</w:t>
            </w:r>
          </w:p>
        </w:tc>
        <w:tc>
          <w:tcPr>
            <w:tcW w:w="520" w:type="dxa"/>
            <w:vAlign w:val="bottom"/>
            <w:tcBorders>
              <w:bottom w:val="single" w:sz="8" w:color="DCDDDE"/>
            </w:tcBorders>
            <w:shd w:val="clear" w:color="auto" w:fill="DCDDDE"/>
          </w:tcPr>
          <w:p>
            <w:pPr>
              <w:spacing w:after="0"/>
              <w:rPr>
                <w:sz w:val="22"/>
                <w:szCs w:val="22"/>
                <w:color w:val="auto"/>
              </w:rPr>
            </w:pPr>
          </w:p>
        </w:tc>
        <w:tc>
          <w:tcPr>
            <w:tcW w:w="1060" w:type="dxa"/>
            <w:vAlign w:val="bottom"/>
            <w:tcBorders>
              <w:bottom w:val="single" w:sz="8" w:color="DCDDDE"/>
            </w:tcBorders>
            <w:shd w:val="clear" w:color="auto" w:fill="DCDDDE"/>
          </w:tcPr>
          <w:p>
            <w:pPr>
              <w:spacing w:after="0"/>
              <w:rPr>
                <w:sz w:val="22"/>
                <w:szCs w:val="22"/>
                <w:color w:val="auto"/>
              </w:rPr>
            </w:pPr>
          </w:p>
        </w:tc>
        <w:tc>
          <w:tcPr>
            <w:tcW w:w="1060" w:type="dxa"/>
            <w:vAlign w:val="bottom"/>
            <w:tcBorders>
              <w:bottom w:val="single" w:sz="8" w:color="DCDDDE"/>
            </w:tcBorders>
            <w:shd w:val="clear" w:color="auto" w:fill="DCDDDE"/>
          </w:tcPr>
          <w:p>
            <w:pPr>
              <w:spacing w:after="0"/>
              <w:rPr>
                <w:sz w:val="22"/>
                <w:szCs w:val="22"/>
                <w:color w:val="auto"/>
              </w:rPr>
            </w:pPr>
          </w:p>
        </w:tc>
      </w:tr>
      <w:tr>
        <w:trPr>
          <w:trHeight w:val="492"/>
        </w:trPr>
        <w:tc>
          <w:tcPr>
            <w:tcW w:w="5480" w:type="dxa"/>
            <w:vAlign w:val="bottom"/>
            <w:gridSpan w:val="5"/>
          </w:tcPr>
          <w:p>
            <w:pPr>
              <w:ind w:left="60"/>
              <w:spacing w:after="0"/>
              <w:rPr>
                <w:sz w:val="20"/>
                <w:szCs w:val="20"/>
                <w:color w:val="auto"/>
              </w:rPr>
            </w:pPr>
            <w:r>
              <w:rPr>
                <w:rFonts w:ascii="Arial" w:cs="Arial" w:eastAsia="Arial" w:hAnsi="Arial"/>
                <w:sz w:val="16"/>
                <w:szCs w:val="16"/>
                <w:b w:val="1"/>
                <w:bCs w:val="1"/>
                <w:color w:val="auto"/>
              </w:rPr>
              <w:t>Marketing &amp; Customer Experience</w:t>
            </w:r>
          </w:p>
        </w:tc>
        <w:tc>
          <w:tcPr>
            <w:tcW w:w="180" w:type="dxa"/>
            <w:vAlign w:val="bottom"/>
          </w:tcPr>
          <w:p>
            <w:pPr>
              <w:spacing w:after="0"/>
              <w:rPr>
                <w:sz w:val="24"/>
                <w:szCs w:val="24"/>
                <w:color w:val="auto"/>
              </w:rPr>
            </w:pPr>
          </w:p>
        </w:tc>
        <w:tc>
          <w:tcPr>
            <w:tcW w:w="5220" w:type="dxa"/>
            <w:vAlign w:val="bottom"/>
            <w:gridSpan w:val="4"/>
          </w:tcPr>
          <w:p>
            <w:pPr>
              <w:ind w:left="60"/>
              <w:spacing w:after="0"/>
              <w:rPr>
                <w:sz w:val="20"/>
                <w:szCs w:val="20"/>
                <w:color w:val="auto"/>
              </w:rPr>
            </w:pPr>
            <w:r>
              <w:rPr>
                <w:rFonts w:ascii="Arial" w:cs="Arial" w:eastAsia="Arial" w:hAnsi="Arial"/>
                <w:sz w:val="16"/>
                <w:szCs w:val="16"/>
                <w:b w:val="1"/>
                <w:bCs w:val="1"/>
                <w:color w:val="auto"/>
              </w:rPr>
              <w:t>Financial Expertise</w:t>
            </w:r>
          </w:p>
        </w:tc>
      </w:tr>
      <w:tr>
        <w:trPr>
          <w:trHeight w:val="21"/>
        </w:trPr>
        <w:tc>
          <w:tcPr>
            <w:tcW w:w="3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4480" w:type="dxa"/>
            <w:vAlign w:val="bottom"/>
            <w:tcBorders>
              <w:bottom w:val="single" w:sz="8" w:color="1E295B"/>
            </w:tcBorders>
            <w:gridSpan w:val="3"/>
            <w:shd w:val="clear" w:color="auto" w:fill="1E295B"/>
          </w:tcPr>
          <w:p>
            <w:pPr>
              <w:ind w:left="4300"/>
              <w:spacing w:after="0"/>
              <w:rPr>
                <w:sz w:val="20"/>
                <w:szCs w:val="20"/>
                <w:color w:val="auto"/>
              </w:rPr>
            </w:pPr>
            <w:r>
              <w:rPr>
                <w:rFonts w:ascii="Arial" w:cs="Arial" w:eastAsia="Arial" w:hAnsi="Arial"/>
                <w:sz w:val="16"/>
                <w:szCs w:val="16"/>
                <w:color w:val="FFFFFF"/>
              </w:rPr>
              <w:t>9</w:t>
            </w:r>
          </w:p>
        </w:tc>
        <w:tc>
          <w:tcPr>
            <w:tcW w:w="500" w:type="dxa"/>
            <w:vAlign w:val="bottom"/>
            <w:tcBorders>
              <w:bottom w:val="single" w:sz="8" w:color="DCDDDE"/>
            </w:tcBorders>
            <w:shd w:val="clear" w:color="auto" w:fill="DCDDDE"/>
          </w:tcPr>
          <w:p>
            <w:pPr>
              <w:spacing w:after="0"/>
              <w:rPr>
                <w:sz w:val="22"/>
                <w:szCs w:val="22"/>
                <w:color w:val="auto"/>
              </w:rPr>
            </w:pPr>
          </w:p>
        </w:tc>
        <w:tc>
          <w:tcPr>
            <w:tcW w:w="500" w:type="dxa"/>
            <w:vAlign w:val="bottom"/>
            <w:tcBorders>
              <w:bottom w:val="single" w:sz="8" w:color="DCDDDE"/>
            </w:tcBorders>
            <w:shd w:val="clear" w:color="auto" w:fill="DCDDD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tcBorders>
              <w:bottom w:val="single" w:sz="8" w:color="1E295B"/>
            </w:tcBorders>
            <w:gridSpan w:val="3"/>
            <w:shd w:val="clear" w:color="auto" w:fill="1E295B"/>
          </w:tcPr>
          <w:p>
            <w:pPr>
              <w:ind w:left="4080"/>
              <w:spacing w:after="0"/>
              <w:rPr>
                <w:sz w:val="20"/>
                <w:szCs w:val="20"/>
                <w:color w:val="auto"/>
              </w:rPr>
            </w:pPr>
            <w:r>
              <w:rPr>
                <w:rFonts w:ascii="Arial" w:cs="Arial" w:eastAsia="Arial" w:hAnsi="Arial"/>
                <w:sz w:val="15"/>
                <w:szCs w:val="15"/>
                <w:color w:val="FFFFFF"/>
                <w:w w:val="71"/>
              </w:rPr>
              <w:t>9</w:t>
            </w:r>
          </w:p>
        </w:tc>
        <w:tc>
          <w:tcPr>
            <w:tcW w:w="1060" w:type="dxa"/>
            <w:vAlign w:val="bottom"/>
            <w:tcBorders>
              <w:bottom w:val="single" w:sz="8" w:color="DCDDDE"/>
            </w:tcBorders>
            <w:shd w:val="clear" w:color="auto" w:fill="DCDDDE"/>
          </w:tcPr>
          <w:p>
            <w:pPr>
              <w:spacing w:after="0"/>
              <w:rPr>
                <w:sz w:val="22"/>
                <w:szCs w:val="22"/>
                <w:color w:val="auto"/>
              </w:rPr>
            </w:pPr>
          </w:p>
        </w:tc>
      </w:tr>
      <w:tr>
        <w:trPr>
          <w:trHeight w:val="438"/>
        </w:trPr>
        <w:tc>
          <w:tcPr>
            <w:tcW w:w="5480" w:type="dxa"/>
            <w:vAlign w:val="bottom"/>
            <w:gridSpan w:val="5"/>
          </w:tcPr>
          <w:p>
            <w:pPr>
              <w:ind w:left="60"/>
              <w:spacing w:after="0"/>
              <w:rPr>
                <w:sz w:val="20"/>
                <w:szCs w:val="20"/>
                <w:color w:val="auto"/>
              </w:rPr>
            </w:pPr>
            <w:r>
              <w:rPr>
                <w:rFonts w:ascii="Arial" w:cs="Arial" w:eastAsia="Arial" w:hAnsi="Arial"/>
                <w:sz w:val="16"/>
                <w:szCs w:val="16"/>
                <w:b w:val="1"/>
                <w:bCs w:val="1"/>
                <w:color w:val="auto"/>
              </w:rPr>
              <w:t>Online Scale &amp; Growth</w:t>
            </w:r>
          </w:p>
        </w:tc>
        <w:tc>
          <w:tcPr>
            <w:tcW w:w="180" w:type="dxa"/>
            <w:vAlign w:val="bottom"/>
          </w:tcPr>
          <w:p>
            <w:pPr>
              <w:spacing w:after="0"/>
              <w:rPr>
                <w:sz w:val="24"/>
                <w:szCs w:val="24"/>
                <w:color w:val="auto"/>
              </w:rPr>
            </w:pPr>
          </w:p>
        </w:tc>
        <w:tc>
          <w:tcPr>
            <w:tcW w:w="5220" w:type="dxa"/>
            <w:vAlign w:val="bottom"/>
            <w:gridSpan w:val="4"/>
          </w:tcPr>
          <w:p>
            <w:pPr>
              <w:ind w:left="60"/>
              <w:spacing w:after="0"/>
              <w:rPr>
                <w:sz w:val="20"/>
                <w:szCs w:val="20"/>
                <w:color w:val="auto"/>
              </w:rPr>
            </w:pPr>
            <w:r>
              <w:rPr>
                <w:rFonts w:ascii="Arial" w:cs="Arial" w:eastAsia="Arial" w:hAnsi="Arial"/>
                <w:sz w:val="16"/>
                <w:szCs w:val="16"/>
                <w:b w:val="1"/>
                <w:bCs w:val="1"/>
                <w:color w:val="auto"/>
              </w:rPr>
              <w:t>Technology Expertise</w:t>
            </w:r>
          </w:p>
        </w:tc>
      </w:tr>
      <w:tr>
        <w:trPr>
          <w:trHeight w:val="21"/>
        </w:trPr>
        <w:tc>
          <w:tcPr>
            <w:tcW w:w="39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4980" w:type="dxa"/>
            <w:vAlign w:val="bottom"/>
            <w:tcBorders>
              <w:bottom w:val="single" w:sz="8" w:color="1E295B"/>
            </w:tcBorders>
            <w:gridSpan w:val="4"/>
            <w:shd w:val="clear" w:color="auto" w:fill="1E295B"/>
          </w:tcPr>
          <w:p>
            <w:pPr>
              <w:ind w:left="4700"/>
              <w:spacing w:after="0"/>
              <w:rPr>
                <w:sz w:val="20"/>
                <w:szCs w:val="20"/>
                <w:color w:val="auto"/>
              </w:rPr>
            </w:pPr>
            <w:r>
              <w:rPr>
                <w:rFonts w:ascii="Arial" w:cs="Arial" w:eastAsia="Arial" w:hAnsi="Arial"/>
                <w:sz w:val="16"/>
                <w:szCs w:val="16"/>
                <w:color w:val="FFFFFF"/>
              </w:rPr>
              <w:t>10</w:t>
            </w:r>
          </w:p>
        </w:tc>
        <w:tc>
          <w:tcPr>
            <w:tcW w:w="500" w:type="dxa"/>
            <w:vAlign w:val="bottom"/>
            <w:tcBorders>
              <w:bottom w:val="single" w:sz="8" w:color="DCDDDE"/>
            </w:tcBorders>
            <w:shd w:val="clear" w:color="auto" w:fill="DCDDDE"/>
          </w:tcPr>
          <w:p>
            <w:pPr>
              <w:spacing w:after="0"/>
              <w:rPr>
                <w:sz w:val="22"/>
                <w:szCs w:val="22"/>
                <w:color w:val="auto"/>
              </w:rPr>
            </w:pPr>
          </w:p>
        </w:tc>
        <w:tc>
          <w:tcPr>
            <w:tcW w:w="180" w:type="dxa"/>
            <w:vAlign w:val="bottom"/>
          </w:tcPr>
          <w:p>
            <w:pPr>
              <w:spacing w:after="0"/>
              <w:rPr>
                <w:sz w:val="22"/>
                <w:szCs w:val="22"/>
                <w:color w:val="auto"/>
              </w:rPr>
            </w:pPr>
          </w:p>
        </w:tc>
        <w:tc>
          <w:tcPr>
            <w:tcW w:w="3100" w:type="dxa"/>
            <w:vAlign w:val="bottom"/>
            <w:tcBorders>
              <w:bottom w:val="single" w:sz="8" w:color="1E295B"/>
            </w:tcBorders>
            <w:gridSpan w:val="2"/>
            <w:shd w:val="clear" w:color="auto" w:fill="1E295B"/>
          </w:tcPr>
          <w:p>
            <w:pPr>
              <w:ind w:left="2980"/>
              <w:spacing w:after="0"/>
              <w:rPr>
                <w:sz w:val="20"/>
                <w:szCs w:val="20"/>
                <w:color w:val="auto"/>
              </w:rPr>
            </w:pPr>
            <w:r>
              <w:rPr>
                <w:rFonts w:ascii="Arial" w:cs="Arial" w:eastAsia="Arial" w:hAnsi="Arial"/>
                <w:sz w:val="16"/>
                <w:szCs w:val="16"/>
                <w:color w:val="FFFFFF"/>
              </w:rPr>
              <w:t>6</w:t>
            </w:r>
          </w:p>
        </w:tc>
        <w:tc>
          <w:tcPr>
            <w:tcW w:w="1060" w:type="dxa"/>
            <w:vAlign w:val="bottom"/>
            <w:tcBorders>
              <w:bottom w:val="single" w:sz="8" w:color="DCDDDE"/>
            </w:tcBorders>
            <w:shd w:val="clear" w:color="auto" w:fill="DCDDDE"/>
          </w:tcPr>
          <w:p>
            <w:pPr>
              <w:spacing w:after="0"/>
              <w:rPr>
                <w:sz w:val="22"/>
                <w:szCs w:val="22"/>
                <w:color w:val="auto"/>
              </w:rPr>
            </w:pPr>
          </w:p>
        </w:tc>
        <w:tc>
          <w:tcPr>
            <w:tcW w:w="1060" w:type="dxa"/>
            <w:vAlign w:val="bottom"/>
            <w:tcBorders>
              <w:bottom w:val="single" w:sz="8" w:color="DCDDDE"/>
            </w:tcBorders>
            <w:shd w:val="clear" w:color="auto" w:fill="DCDDDE"/>
          </w:tcPr>
          <w:p>
            <w:pPr>
              <w:spacing w:after="0"/>
              <w:rPr>
                <w:sz w:val="22"/>
                <w:szCs w:val="22"/>
                <w:color w:val="auto"/>
              </w:rPr>
            </w:pPr>
          </w:p>
        </w:tc>
      </w:tr>
      <w:tr>
        <w:trPr>
          <w:trHeight w:val="478"/>
        </w:trPr>
        <w:tc>
          <w:tcPr>
            <w:tcW w:w="5480" w:type="dxa"/>
            <w:vAlign w:val="bottom"/>
            <w:gridSpan w:val="5"/>
          </w:tcPr>
          <w:p>
            <w:pPr>
              <w:ind w:left="60"/>
              <w:spacing w:after="0"/>
              <w:rPr>
                <w:sz w:val="20"/>
                <w:szCs w:val="20"/>
                <w:color w:val="auto"/>
              </w:rPr>
            </w:pPr>
            <w:r>
              <w:rPr>
                <w:rFonts w:ascii="Arial" w:cs="Arial" w:eastAsia="Arial" w:hAnsi="Arial"/>
                <w:sz w:val="16"/>
                <w:szCs w:val="16"/>
                <w:b w:val="1"/>
                <w:bCs w:val="1"/>
                <w:color w:val="auto"/>
              </w:rPr>
              <w:t>Risk &amp; Crisis Management</w:t>
            </w:r>
          </w:p>
        </w:tc>
        <w:tc>
          <w:tcPr>
            <w:tcW w:w="180" w:type="dxa"/>
            <w:vAlign w:val="bottom"/>
          </w:tcPr>
          <w:p>
            <w:pPr>
              <w:spacing w:after="0"/>
              <w:rPr>
                <w:sz w:val="24"/>
                <w:szCs w:val="24"/>
                <w:color w:val="auto"/>
              </w:rPr>
            </w:pPr>
          </w:p>
        </w:tc>
        <w:tc>
          <w:tcPr>
            <w:tcW w:w="5220" w:type="dxa"/>
            <w:vAlign w:val="bottom"/>
            <w:gridSpan w:val="4"/>
          </w:tcPr>
          <w:p>
            <w:pPr>
              <w:ind w:left="60"/>
              <w:spacing w:after="0"/>
              <w:rPr>
                <w:sz w:val="20"/>
                <w:szCs w:val="20"/>
                <w:color w:val="auto"/>
              </w:rPr>
            </w:pPr>
            <w:r>
              <w:rPr>
                <w:rFonts w:ascii="Arial" w:cs="Arial" w:eastAsia="Arial" w:hAnsi="Arial"/>
                <w:sz w:val="16"/>
                <w:szCs w:val="16"/>
                <w:b w:val="1"/>
                <w:bCs w:val="1"/>
                <w:color w:val="auto"/>
              </w:rPr>
              <w:t>Diversity, Equity, Inclusion &amp; Belonging</w:t>
            </w:r>
          </w:p>
        </w:tc>
      </w:tr>
      <w:tr>
        <w:trPr>
          <w:trHeight w:val="21"/>
        </w:trPr>
        <w:tc>
          <w:tcPr>
            <w:tcW w:w="3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3980" w:type="dxa"/>
            <w:vAlign w:val="bottom"/>
            <w:tcBorders>
              <w:bottom w:val="single" w:sz="8" w:color="1E295B"/>
            </w:tcBorders>
            <w:gridSpan w:val="2"/>
            <w:shd w:val="clear" w:color="auto" w:fill="1E295B"/>
          </w:tcPr>
          <w:p>
            <w:pPr>
              <w:ind w:left="3800"/>
              <w:spacing w:after="0"/>
              <w:rPr>
                <w:sz w:val="20"/>
                <w:szCs w:val="20"/>
                <w:color w:val="auto"/>
              </w:rPr>
            </w:pPr>
            <w:r>
              <w:rPr>
                <w:rFonts w:ascii="Arial" w:cs="Arial" w:eastAsia="Arial" w:hAnsi="Arial"/>
                <w:sz w:val="16"/>
                <w:szCs w:val="16"/>
                <w:color w:val="FFFFFF"/>
              </w:rPr>
              <w:t>8</w:t>
            </w:r>
          </w:p>
        </w:tc>
        <w:tc>
          <w:tcPr>
            <w:tcW w:w="500" w:type="dxa"/>
            <w:vAlign w:val="bottom"/>
            <w:tcBorders>
              <w:bottom w:val="single" w:sz="8" w:color="DCDDDE"/>
            </w:tcBorders>
            <w:shd w:val="clear" w:color="auto" w:fill="DCDDDE"/>
          </w:tcPr>
          <w:p>
            <w:pPr>
              <w:spacing w:after="0"/>
              <w:rPr>
                <w:sz w:val="22"/>
                <w:szCs w:val="22"/>
                <w:color w:val="auto"/>
              </w:rPr>
            </w:pPr>
          </w:p>
        </w:tc>
        <w:tc>
          <w:tcPr>
            <w:tcW w:w="500" w:type="dxa"/>
            <w:vAlign w:val="bottom"/>
            <w:tcBorders>
              <w:bottom w:val="single" w:sz="8" w:color="DCDDDE"/>
            </w:tcBorders>
            <w:shd w:val="clear" w:color="auto" w:fill="DCDDDE"/>
          </w:tcPr>
          <w:p>
            <w:pPr>
              <w:spacing w:after="0"/>
              <w:rPr>
                <w:sz w:val="22"/>
                <w:szCs w:val="22"/>
                <w:color w:val="auto"/>
              </w:rPr>
            </w:pPr>
          </w:p>
        </w:tc>
        <w:tc>
          <w:tcPr>
            <w:tcW w:w="500" w:type="dxa"/>
            <w:vAlign w:val="bottom"/>
            <w:tcBorders>
              <w:bottom w:val="single" w:sz="8" w:color="DCDDDE"/>
            </w:tcBorders>
            <w:shd w:val="clear" w:color="auto" w:fill="DCDDDE"/>
          </w:tcPr>
          <w:p>
            <w:pPr>
              <w:spacing w:after="0"/>
              <w:rPr>
                <w:sz w:val="22"/>
                <w:szCs w:val="22"/>
                <w:color w:val="auto"/>
              </w:rPr>
            </w:pPr>
          </w:p>
        </w:tc>
        <w:tc>
          <w:tcPr>
            <w:tcW w:w="180" w:type="dxa"/>
            <w:vAlign w:val="bottom"/>
          </w:tcPr>
          <w:p>
            <w:pPr>
              <w:spacing w:after="0"/>
              <w:rPr>
                <w:sz w:val="22"/>
                <w:szCs w:val="22"/>
                <w:color w:val="auto"/>
              </w:rPr>
            </w:pPr>
          </w:p>
        </w:tc>
        <w:tc>
          <w:tcPr>
            <w:tcW w:w="3100" w:type="dxa"/>
            <w:vAlign w:val="bottom"/>
            <w:tcBorders>
              <w:bottom w:val="single" w:sz="8" w:color="1E295B"/>
            </w:tcBorders>
            <w:gridSpan w:val="2"/>
            <w:shd w:val="clear" w:color="auto" w:fill="1E295B"/>
          </w:tcPr>
          <w:p>
            <w:pPr>
              <w:ind w:left="2980"/>
              <w:spacing w:after="0"/>
              <w:rPr>
                <w:sz w:val="20"/>
                <w:szCs w:val="20"/>
                <w:color w:val="auto"/>
              </w:rPr>
            </w:pPr>
            <w:r>
              <w:rPr>
                <w:rFonts w:ascii="Arial" w:cs="Arial" w:eastAsia="Arial" w:hAnsi="Arial"/>
                <w:sz w:val="16"/>
                <w:szCs w:val="16"/>
                <w:color w:val="FFFFFF"/>
              </w:rPr>
              <w:t>6</w:t>
            </w:r>
          </w:p>
        </w:tc>
        <w:tc>
          <w:tcPr>
            <w:tcW w:w="1060" w:type="dxa"/>
            <w:vAlign w:val="bottom"/>
            <w:tcBorders>
              <w:bottom w:val="single" w:sz="8" w:color="DCDDDE"/>
            </w:tcBorders>
            <w:shd w:val="clear" w:color="auto" w:fill="DCDDDE"/>
          </w:tcPr>
          <w:p>
            <w:pPr>
              <w:spacing w:after="0"/>
              <w:rPr>
                <w:sz w:val="22"/>
                <w:szCs w:val="22"/>
                <w:color w:val="auto"/>
              </w:rPr>
            </w:pPr>
          </w:p>
        </w:tc>
        <w:tc>
          <w:tcPr>
            <w:tcW w:w="1060" w:type="dxa"/>
            <w:vAlign w:val="bottom"/>
            <w:tcBorders>
              <w:bottom w:val="single" w:sz="8" w:color="DCDDDE"/>
            </w:tcBorders>
            <w:shd w:val="clear" w:color="auto" w:fill="DCDDDE"/>
          </w:tcPr>
          <w:p>
            <w:pPr>
              <w:spacing w:after="0"/>
              <w:rPr>
                <w:sz w:val="22"/>
                <w:szCs w:val="22"/>
                <w:color w:val="auto"/>
              </w:rPr>
            </w:pPr>
          </w:p>
        </w:tc>
      </w:tr>
      <w:tr>
        <w:trPr>
          <w:trHeight w:val="438"/>
        </w:trPr>
        <w:tc>
          <w:tcPr>
            <w:tcW w:w="5480" w:type="dxa"/>
            <w:vAlign w:val="bottom"/>
            <w:gridSpan w:val="5"/>
          </w:tcPr>
          <w:p>
            <w:pPr>
              <w:ind w:left="60"/>
              <w:spacing w:after="0"/>
              <w:rPr>
                <w:sz w:val="20"/>
                <w:szCs w:val="20"/>
                <w:color w:val="auto"/>
              </w:rPr>
            </w:pPr>
            <w:r>
              <w:rPr>
                <w:rFonts w:ascii="Arial" w:cs="Arial" w:eastAsia="Arial" w:hAnsi="Arial"/>
                <w:sz w:val="16"/>
                <w:szCs w:val="16"/>
                <w:b w:val="1"/>
                <w:bCs w:val="1"/>
                <w:color w:val="auto"/>
              </w:rPr>
              <w:t>Business Transformation</w:t>
            </w: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
        </w:trPr>
        <w:tc>
          <w:tcPr>
            <w:tcW w:w="49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5"/>
        </w:trPr>
        <w:tc>
          <w:tcPr>
            <w:tcW w:w="4980" w:type="dxa"/>
            <w:vAlign w:val="bottom"/>
            <w:gridSpan w:val="4"/>
            <w:shd w:val="clear" w:color="auto" w:fill="1E295B"/>
          </w:tcPr>
          <w:p>
            <w:pPr>
              <w:ind w:left="4700"/>
              <w:spacing w:after="0"/>
              <w:rPr>
                <w:sz w:val="20"/>
                <w:szCs w:val="20"/>
                <w:color w:val="auto"/>
              </w:rPr>
            </w:pPr>
            <w:r>
              <w:rPr>
                <w:rFonts w:ascii="Arial" w:cs="Arial" w:eastAsia="Arial" w:hAnsi="Arial"/>
                <w:sz w:val="16"/>
                <w:szCs w:val="16"/>
                <w:color w:val="FFFFFF"/>
              </w:rPr>
              <w:t>10</w:t>
            </w:r>
          </w:p>
        </w:tc>
        <w:tc>
          <w:tcPr>
            <w:tcW w:w="500" w:type="dxa"/>
            <w:vAlign w:val="bottom"/>
            <w:shd w:val="clear" w:color="auto" w:fill="DCDDDE"/>
          </w:tcPr>
          <w:p>
            <w:pPr>
              <w:spacing w:after="0"/>
              <w:rPr>
                <w:sz w:val="22"/>
                <w:szCs w:val="22"/>
                <w:color w:val="auto"/>
              </w:rPr>
            </w:pPr>
          </w:p>
        </w:tc>
        <w:tc>
          <w:tcPr>
            <w:tcW w:w="1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9"/>
        </w:trPr>
        <w:tc>
          <w:tcPr>
            <w:tcW w:w="3480" w:type="dxa"/>
            <w:vAlign w:val="bottom"/>
            <w:shd w:val="clear" w:color="auto" w:fill="1E295B"/>
          </w:tcPr>
          <w:p>
            <w:pPr>
              <w:spacing w:after="0"/>
              <w:rPr>
                <w:sz w:val="2"/>
                <w:szCs w:val="2"/>
                <w:color w:val="auto"/>
              </w:rPr>
            </w:pPr>
          </w:p>
        </w:tc>
        <w:tc>
          <w:tcPr>
            <w:tcW w:w="500" w:type="dxa"/>
            <w:vAlign w:val="bottom"/>
            <w:shd w:val="clear" w:color="auto" w:fill="1E295B"/>
          </w:tcPr>
          <w:p>
            <w:pPr>
              <w:spacing w:after="0"/>
              <w:rPr>
                <w:sz w:val="2"/>
                <w:szCs w:val="2"/>
                <w:color w:val="auto"/>
              </w:rPr>
            </w:pPr>
          </w:p>
        </w:tc>
        <w:tc>
          <w:tcPr>
            <w:tcW w:w="500" w:type="dxa"/>
            <w:vAlign w:val="bottom"/>
            <w:shd w:val="clear" w:color="auto" w:fill="1E295B"/>
          </w:tcPr>
          <w:p>
            <w:pPr>
              <w:spacing w:after="0"/>
              <w:rPr>
                <w:sz w:val="2"/>
                <w:szCs w:val="2"/>
                <w:color w:val="auto"/>
              </w:rPr>
            </w:pPr>
          </w:p>
        </w:tc>
        <w:tc>
          <w:tcPr>
            <w:tcW w:w="500" w:type="dxa"/>
            <w:vAlign w:val="bottom"/>
            <w:shd w:val="clear" w:color="auto" w:fill="1E295B"/>
          </w:tcPr>
          <w:p>
            <w:pPr>
              <w:spacing w:after="0"/>
              <w:rPr>
                <w:sz w:val="2"/>
                <w:szCs w:val="2"/>
                <w:color w:val="auto"/>
              </w:rPr>
            </w:pPr>
          </w:p>
        </w:tc>
        <w:tc>
          <w:tcPr>
            <w:tcW w:w="500" w:type="dxa"/>
            <w:vAlign w:val="bottom"/>
            <w:shd w:val="clear" w:color="auto" w:fill="DCDDDE"/>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-1765300</wp:posOffset>
            </wp:positionV>
            <wp:extent cx="17145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20015"/>
                    </a:xfrm>
                    <a:prstGeom prst="rect">
                      <a:avLst/>
                    </a:prstGeom>
                    <a:noFill/>
                  </pic:spPr>
                </pic:pic>
              </a:graphicData>
            </a:graphic>
          </wp:anchor>
        </w:drawing>
        <w:drawing>
          <wp:anchor simplePos="0" relativeHeight="251657728" behindDoc="1" locked="0" layoutInCell="0" allowOverlap="1">
            <wp:simplePos x="0" y="0"/>
            <wp:positionH relativeFrom="column">
              <wp:posOffset>6568440</wp:posOffset>
            </wp:positionH>
            <wp:positionV relativeFrom="paragraph">
              <wp:posOffset>-1833880</wp:posOffset>
            </wp:positionV>
            <wp:extent cx="14541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415" cy="18034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-1328420</wp:posOffset>
            </wp:positionV>
            <wp:extent cx="14541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6568440</wp:posOffset>
            </wp:positionH>
            <wp:positionV relativeFrom="paragraph">
              <wp:posOffset>-1294130</wp:posOffset>
            </wp:positionV>
            <wp:extent cx="222885"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885" cy="120015"/>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-856615</wp:posOffset>
            </wp:positionV>
            <wp:extent cx="17970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6568440</wp:posOffset>
            </wp:positionH>
            <wp:positionV relativeFrom="paragraph">
              <wp:posOffset>-779780</wp:posOffset>
            </wp:positionV>
            <wp:extent cx="21463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4630" cy="94615"/>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-359410</wp:posOffset>
            </wp:positionV>
            <wp:extent cx="19685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850" cy="1454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351790</wp:posOffset>
            </wp:positionV>
            <wp:extent cx="102044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00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 xml:space="preserve">Proposal No. 2 – Ratification of Independent Accountants (page </w:t>
      </w:r>
      <w:r>
        <w:rPr>
          <w:rFonts w:ascii="Arial" w:cs="Arial" w:eastAsia="Arial" w:hAnsi="Arial"/>
          <w:sz w:val="32"/>
          <w:szCs w:val="32"/>
          <w:b w:val="1"/>
          <w:bCs w:val="1"/>
          <w:u w:val="single" w:color="auto"/>
          <w:color w:val="0000EE"/>
        </w:rPr>
        <w:t>34</w:t>
      </w:r>
      <w:r>
        <w:rPr>
          <w:rFonts w:ascii="Arial" w:cs="Arial" w:eastAsia="Arial" w:hAnsi="Arial"/>
          <w:sz w:val="32"/>
          <w:szCs w:val="32"/>
          <w:b w:val="1"/>
          <w:bCs w:val="1"/>
          <w:color w:val="67686B"/>
        </w:rPr>
        <w:t>)</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Qualified and Experienced Independent Auditors</w:t>
      </w:r>
    </w:p>
    <w:p>
      <w:pPr>
        <w:spacing w:after="0" w:line="7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Deloitte is an independent registered accounting firm that has served Nordstrom for more than 50 years.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firm’s expertise and fees are appropriate for the scope of the Company’s needs.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00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48" w:lineRule="exact"/>
        <w:rPr>
          <w:sz w:val="20"/>
          <w:szCs w:val="20"/>
          <w:color w:val="auto"/>
        </w:rPr>
      </w:pPr>
    </w:p>
    <w:p>
      <w:pPr>
        <w:ind w:right="460"/>
        <w:spacing w:after="0" w:line="298" w:lineRule="auto"/>
        <w:rPr>
          <w:sz w:val="20"/>
          <w:szCs w:val="20"/>
          <w:color w:val="auto"/>
        </w:rPr>
      </w:pPr>
      <w:r>
        <w:rPr>
          <w:rFonts w:ascii="Arial" w:cs="Arial" w:eastAsia="Arial" w:hAnsi="Arial"/>
          <w:sz w:val="32"/>
          <w:szCs w:val="32"/>
          <w:b w:val="1"/>
          <w:bCs w:val="1"/>
          <w:color w:val="67686B"/>
        </w:rPr>
        <w:t xml:space="preserve">Proposal No. 3 – Advisory Vote Regarding Executive Compensation (page </w:t>
      </w:r>
      <w:r>
        <w:rPr>
          <w:rFonts w:ascii="Arial" w:cs="Arial" w:eastAsia="Arial" w:hAnsi="Arial"/>
          <w:sz w:val="32"/>
          <w:szCs w:val="32"/>
          <w:b w:val="1"/>
          <w:bCs w:val="1"/>
          <w:u w:val="single" w:color="auto"/>
          <w:color w:val="0000EE"/>
        </w:rPr>
        <w:t>70</w:t>
      </w:r>
      <w:r>
        <w:rPr>
          <w:rFonts w:ascii="Arial" w:cs="Arial" w:eastAsia="Arial" w:hAnsi="Arial"/>
          <w:sz w:val="32"/>
          <w:szCs w:val="32"/>
          <w:b w:val="1"/>
          <w:bCs w:val="1"/>
          <w:color w:val="67686B"/>
        </w:rPr>
        <w: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Compensation Aligned with Performance</w:t>
      </w:r>
    </w:p>
    <w:p>
      <w:pPr>
        <w:spacing w:after="0" w:line="86"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executive compensation program aligns with our strategy and our pay-for-performance philosophy.</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deliver the majority of compensation through a pay-for-performance framework where incentives are based on achieving results. Approximately 85% of our CEO’s fiscal 2022 target compensation was variable or linked to our financial or market results.</w:t>
      </w:r>
    </w:p>
    <w:p>
      <w:pPr>
        <w:spacing w:after="0" w:line="7"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Incentive Adjusted EBIT achievement missed our threshold of $906 million and Incentive Adjusted ROIC missed the threshold of 11.0%, resulting in a 0% bonus payout.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Target Compensation</w:t>
      </w:r>
    </w:p>
    <w:p>
      <w:pPr>
        <w:sectPr>
          <w:pgSz w:w="11900" w:h="16838" w:orient="portrait"/>
          <w:cols w:equalWidth="0" w:num="1">
            <w:col w:w="10880"/>
          </w:cols>
          <w:pgMar w:left="500" w:top="270" w:right="519" w:bottom="1440" w:gutter="0" w:footer="0" w:header="0"/>
        </w:sectPr>
      </w:pPr>
    </w:p>
    <w:p>
      <w:pPr>
        <w:spacing w:after="0" w:line="189" w:lineRule="exact"/>
        <w:rPr>
          <w:sz w:val="20"/>
          <w:szCs w:val="20"/>
          <w:color w:val="auto"/>
        </w:rPr>
      </w:pPr>
    </w:p>
    <w:p>
      <w:pPr>
        <w:jc w:val="center"/>
        <w:ind w:left="2620"/>
        <w:spacing w:after="0"/>
        <w:rPr>
          <w:sz w:val="20"/>
          <w:szCs w:val="20"/>
          <w:color w:val="auto"/>
        </w:rPr>
      </w:pPr>
      <w:r>
        <w:rPr>
          <w:rFonts w:ascii="Arial" w:cs="Arial" w:eastAsia="Arial" w:hAnsi="Arial"/>
          <w:sz w:val="16"/>
          <w:szCs w:val="16"/>
          <w:b w:val="1"/>
          <w:bCs w:val="1"/>
          <w:color w:val="1E295B"/>
        </w:rPr>
        <w:t>CEO and</w:t>
      </w:r>
    </w:p>
    <w:p>
      <w:pPr>
        <w:spacing w:after="0" w:line="21" w:lineRule="exact"/>
        <w:rPr>
          <w:sz w:val="20"/>
          <w:szCs w:val="20"/>
          <w:color w:val="auto"/>
        </w:rPr>
      </w:pPr>
    </w:p>
    <w:p>
      <w:pPr>
        <w:jc w:val="center"/>
        <w:ind w:left="2620"/>
        <w:spacing w:after="0"/>
        <w:rPr>
          <w:sz w:val="20"/>
          <w:szCs w:val="20"/>
          <w:color w:val="auto"/>
        </w:rPr>
      </w:pPr>
      <w:r>
        <w:rPr>
          <w:rFonts w:ascii="Arial" w:cs="Arial" w:eastAsia="Arial" w:hAnsi="Arial"/>
          <w:sz w:val="16"/>
          <w:szCs w:val="16"/>
          <w:b w:val="1"/>
          <w:bCs w:val="1"/>
          <w:color w:val="1E295B"/>
        </w:rPr>
        <w:t>President &amp; Chief Brand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113665</wp:posOffset>
            </wp:positionV>
            <wp:extent cx="1405890" cy="1405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05890" cy="140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123825</wp:posOffset>
            </wp:positionV>
            <wp:extent cx="1397000" cy="1405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7000" cy="1405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240" w:space="720"/>
            <w:col w:w="4920"/>
          </w:cols>
          <w:pgMar w:left="500" w:top="27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740"/>
        <w:spacing w:after="0"/>
        <w:rPr>
          <w:sz w:val="20"/>
          <w:szCs w:val="20"/>
          <w:color w:val="auto"/>
        </w:rPr>
      </w:pPr>
      <w:r>
        <w:rPr>
          <w:rFonts w:ascii="Arial" w:cs="Arial" w:eastAsia="Arial" w:hAnsi="Arial"/>
          <w:sz w:val="17"/>
          <w:szCs w:val="17"/>
          <w:color w:val="1E295B"/>
        </w:rPr>
        <w:t>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1E295B"/>
        </w:rPr>
        <w:t>73%</w:t>
      </w:r>
    </w:p>
    <w:p>
      <w:pPr>
        <w:spacing w:after="0" w:line="66" w:lineRule="exact"/>
        <w:rPr>
          <w:sz w:val="20"/>
          <w:szCs w:val="20"/>
          <w:color w:val="auto"/>
        </w:rPr>
      </w:pPr>
    </w:p>
    <w:p>
      <w:pPr>
        <w:sectPr>
          <w:pgSz w:w="11900" w:h="16838" w:orient="portrait"/>
          <w:cols w:equalWidth="0" w:num="2">
            <w:col w:w="6060" w:space="720"/>
            <w:col w:w="4100"/>
          </w:cols>
          <w:pgMar w:left="500" w:top="270" w:right="519" w:bottom="1440" w:gutter="0" w:footer="0" w:header="0"/>
          <w:type w:val="continuous"/>
        </w:sectPr>
      </w:pPr>
    </w:p>
    <w:p>
      <w:pPr>
        <w:ind w:left="3220"/>
        <w:spacing w:after="0"/>
        <w:rPr>
          <w:sz w:val="20"/>
          <w:szCs w:val="20"/>
          <w:color w:val="auto"/>
        </w:rPr>
      </w:pPr>
      <w:r>
        <w:rPr>
          <w:rFonts w:ascii="Arial" w:cs="Arial" w:eastAsia="Arial" w:hAnsi="Arial"/>
          <w:sz w:val="16"/>
          <w:szCs w:val="16"/>
          <w:color w:val="auto"/>
        </w:rPr>
        <w:t>Performance Based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Performance Based</w:t>
      </w:r>
    </w:p>
    <w:p>
      <w:pPr>
        <w:spacing w:after="0" w:line="200" w:lineRule="exact"/>
        <w:rPr>
          <w:sz w:val="20"/>
          <w:szCs w:val="20"/>
          <w:color w:val="auto"/>
        </w:rPr>
      </w:pPr>
    </w:p>
    <w:p>
      <w:pPr>
        <w:sectPr>
          <w:pgSz w:w="11900" w:h="16838" w:orient="portrait"/>
          <w:cols w:equalWidth="0" w:num="2">
            <w:col w:w="5520" w:space="720"/>
            <w:col w:w="4640"/>
          </w:cols>
          <w:pgMar w:left="500" w:top="270" w:right="51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101981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6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393"/>
        </w:trPr>
        <w:tc>
          <w:tcPr>
            <w:tcW w:w="10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00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42" w:lineRule="exact"/>
        <w:rPr>
          <w:sz w:val="20"/>
          <w:szCs w:val="20"/>
          <w:color w:val="auto"/>
        </w:rPr>
      </w:pPr>
    </w:p>
    <w:p>
      <w:pPr>
        <w:ind w:right="600"/>
        <w:spacing w:after="0" w:line="298" w:lineRule="auto"/>
        <w:rPr>
          <w:sz w:val="20"/>
          <w:szCs w:val="20"/>
          <w:color w:val="auto"/>
        </w:rPr>
      </w:pPr>
      <w:r>
        <w:rPr>
          <w:rFonts w:ascii="Arial" w:cs="Arial" w:eastAsia="Arial" w:hAnsi="Arial"/>
          <w:sz w:val="32"/>
          <w:szCs w:val="32"/>
          <w:b w:val="1"/>
          <w:bCs w:val="1"/>
          <w:color w:val="67686B"/>
        </w:rPr>
        <w:t xml:space="preserve">Proposal No. 4 – Advisory Vote Regarding the Frequency of Future Advisory Votes on Executive Compensation (page </w:t>
      </w:r>
      <w:r>
        <w:rPr>
          <w:rFonts w:ascii="Arial" w:cs="Arial" w:eastAsia="Arial" w:hAnsi="Arial"/>
          <w:sz w:val="32"/>
          <w:szCs w:val="32"/>
          <w:b w:val="1"/>
          <w:bCs w:val="1"/>
          <w:u w:val="single" w:color="auto"/>
          <w:color w:val="0000EE"/>
        </w:rPr>
        <w:t>71</w:t>
      </w:r>
      <w:r>
        <w:rPr>
          <w:rFonts w:ascii="Arial" w:cs="Arial" w:eastAsia="Arial" w:hAnsi="Arial"/>
          <w:sz w:val="32"/>
          <w:szCs w:val="32"/>
          <w:b w:val="1"/>
          <w:bCs w:val="1"/>
          <w:color w:val="67686B"/>
        </w:rPr>
        <w: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has determined that holding an advisory vote on executive compensation every year is the most appropriate policy for the Company at this time, and recommends that shareholders vote for future advisory votes on executive compensation to occur every year. At the 2017 Annual Meeting of Shareholders, over 95% of the votes cast approved our Board’s recommendation to hold advisory votes on an annual basis. Furthermore, many elements of our executive compensation program are reviewed and determined annually, including:</w:t>
      </w:r>
    </w:p>
    <w:p>
      <w:pPr>
        <w:spacing w:after="0" w:line="29"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performance-based cash awards under the Company’s Executive Management Bonus Plan; and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long-term incentive grants under the 2019 Equity Incentive Plan.</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Holding an annual advisory vote on executive compensation would continue to closely coincide with these decisions, promote corporate transparency and shareholder awareness of the Company’s compensation policies and practices and also provides the Company with more direct and immediate feedback on our compensation disclosures and practices.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“1 YEAR”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00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48" w:lineRule="exact"/>
        <w:rPr>
          <w:sz w:val="20"/>
          <w:szCs w:val="20"/>
          <w:color w:val="auto"/>
        </w:rPr>
      </w:pPr>
    </w:p>
    <w:p>
      <w:pPr>
        <w:ind w:right="880"/>
        <w:spacing w:after="0" w:line="298" w:lineRule="auto"/>
        <w:rPr>
          <w:sz w:val="20"/>
          <w:szCs w:val="20"/>
          <w:color w:val="auto"/>
        </w:rPr>
      </w:pPr>
      <w:r>
        <w:rPr>
          <w:rFonts w:ascii="Arial" w:cs="Arial" w:eastAsia="Arial" w:hAnsi="Arial"/>
          <w:sz w:val="32"/>
          <w:szCs w:val="32"/>
          <w:b w:val="1"/>
          <w:bCs w:val="1"/>
          <w:color w:val="67686B"/>
        </w:rPr>
        <w:t xml:space="preserve">Proposal No. 5 – Approval of Amended and Restated 2019 Equity Incentive Plan (page </w:t>
      </w:r>
      <w:r>
        <w:rPr>
          <w:rFonts w:ascii="Arial" w:cs="Arial" w:eastAsia="Arial" w:hAnsi="Arial"/>
          <w:sz w:val="32"/>
          <w:szCs w:val="32"/>
          <w:b w:val="1"/>
          <w:bCs w:val="1"/>
          <w:u w:val="single" w:color="auto"/>
          <w:color w:val="0000EE"/>
        </w:rPr>
        <w:t>72</w:t>
      </w:r>
      <w:r>
        <w:rPr>
          <w:rFonts w:ascii="Arial" w:cs="Arial" w:eastAsia="Arial" w:hAnsi="Arial"/>
          <w:sz w:val="32"/>
          <w:szCs w:val="32"/>
          <w:b w:val="1"/>
          <w:bCs w:val="1"/>
          <w:color w:val="67686B"/>
        </w:rPr>
        <w: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Shareholders are being asked to approve the Nordstrom, Inc. Amended and Restated 2019 Equity Incentive Plan.</w:t>
      </w:r>
    </w:p>
    <w:p>
      <w:pPr>
        <w:spacing w:after="0" w:line="73" w:lineRule="exact"/>
        <w:rPr>
          <w:sz w:val="20"/>
          <w:szCs w:val="20"/>
          <w:color w:val="auto"/>
        </w:rPr>
      </w:pPr>
    </w:p>
    <w:p>
      <w:pPr>
        <w:jc w:val="both"/>
        <w:ind w:left="200" w:hanging="192"/>
        <w:spacing w:after="0" w:line="266" w:lineRule="auto"/>
        <w:tabs>
          <w:tab w:leader="none" w:pos="2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granted equity awards to its employees and directors under Nordstrom equity compensation plans since 1977 as part of a long-held approach to pay-for-performance. We believe it is important the Company have the ability to use stock-based compensation to attract and retain key talent, provide employees with a stake in the Company’s success, and align our team with long-term shareholder outcomes.</w:t>
      </w:r>
    </w:p>
    <w:p>
      <w:pPr>
        <w:spacing w:after="0" w:line="22" w:lineRule="exact"/>
        <w:rPr>
          <w:rFonts w:ascii="Arial" w:cs="Arial" w:eastAsia="Arial" w:hAnsi="Arial"/>
          <w:sz w:val="16"/>
          <w:szCs w:val="16"/>
          <w:color w:val="auto"/>
        </w:rPr>
      </w:pPr>
    </w:p>
    <w:p>
      <w:pPr>
        <w:jc w:val="both"/>
        <w:ind w:left="200" w:hanging="192"/>
        <w:spacing w:after="0" w:line="256" w:lineRule="auto"/>
        <w:tabs>
          <w:tab w:leader="none" w:pos="2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Equity compensation is also fundamental to our compensation philosophy and core objectives of paying for performance and aligning the interests of employees with those of shareholders. We believe that equity awards, and the potential they hold for appreciation through an increase in our stock price, support our pay-for-performance philosophy, provide further incentive to our employees to focus on creating long-term shareholder value and create an ownership culture that links employees’ interests with those of our shareholders and our long-term results, performance, and financial condition.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Absent shareholder approval, as a result of the volatility of the price of the Company’s Common Stock, the number of shares remaining available for grant under the EIP may become insufficient to meet the Company’s anticipated needs in 2024 – both with respect to its annual compensatory awards, as well as any potential need to address employee retention concerns. Therefore, we are asking the Company’s shareholders to approve this amendment to the EIP to increase the reserves for issuance by 15,000,000 shares, which we expect to last 2-3 years.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005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48" w:lineRule="exact"/>
        <w:rPr>
          <w:sz w:val="20"/>
          <w:szCs w:val="20"/>
          <w:color w:val="auto"/>
        </w:rPr>
      </w:pPr>
    </w:p>
    <w:p>
      <w:pPr>
        <w:ind w:right="180"/>
        <w:spacing w:after="0" w:line="298" w:lineRule="auto"/>
        <w:rPr>
          <w:sz w:val="20"/>
          <w:szCs w:val="20"/>
          <w:color w:val="auto"/>
        </w:rPr>
      </w:pPr>
      <w:r>
        <w:rPr>
          <w:rFonts w:ascii="Arial" w:cs="Arial" w:eastAsia="Arial" w:hAnsi="Arial"/>
          <w:sz w:val="32"/>
          <w:szCs w:val="32"/>
          <w:b w:val="1"/>
          <w:bCs w:val="1"/>
          <w:color w:val="67686B"/>
        </w:rPr>
        <w:t xml:space="preserve">Proposal No. 6 – Approval of Amended and Restated Employee Stock Purchase Plan (page </w:t>
      </w:r>
      <w:r>
        <w:rPr>
          <w:rFonts w:ascii="Arial" w:cs="Arial" w:eastAsia="Arial" w:hAnsi="Arial"/>
          <w:sz w:val="32"/>
          <w:szCs w:val="32"/>
          <w:b w:val="1"/>
          <w:bCs w:val="1"/>
          <w:u w:val="single" w:color="auto"/>
          <w:color w:val="0000EE"/>
        </w:rPr>
        <w:t>77</w:t>
      </w:r>
      <w:r>
        <w:rPr>
          <w:rFonts w:ascii="Arial" w:cs="Arial" w:eastAsia="Arial" w:hAnsi="Arial"/>
          <w:sz w:val="32"/>
          <w:szCs w:val="32"/>
          <w:b w:val="1"/>
          <w:bCs w:val="1"/>
          <w:color w:val="67686B"/>
        </w:rPr>
        <w: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Shareholders are being asked to approve the Nordstrom, Inc. Amended and Restated Employee Stock Purchase Plan. The Board believes that it is in the best interests of the Company and its shareholders to approve the amendment to the ESPP in order to provide current and prospective employees of the Company and participating subsidiaries with the continuing opportunity to acquire equity interests in the Company through the ESPP. Therefore, the Board believes that this amendment to the ESPP will advance the interests of the Company’s shareholders.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Absent shareholder approval, it is anticipated that the reserve of Common Stock available for purchase under the ESPP may be exhausted as soon as 2024, depending on fluctuations in the Company’s stock price. Therefore, we are asking the Company’s shareholders to approve this amendment to the ESPP which will increase the maximum number of shares of Common Stock authorized for issuance under the ESPP by 3,500,000 shares.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351790</wp:posOffset>
            </wp:positionV>
            <wp:extent cx="1020445"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0445" cy="12827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005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42" w:lineRule="exact"/>
        <w:rPr>
          <w:sz w:val="20"/>
          <w:szCs w:val="20"/>
          <w:color w:val="auto"/>
        </w:rPr>
      </w:pPr>
    </w:p>
    <w:p>
      <w:pPr>
        <w:ind w:right="600"/>
        <w:spacing w:after="0" w:line="298" w:lineRule="auto"/>
        <w:rPr>
          <w:sz w:val="20"/>
          <w:szCs w:val="20"/>
          <w:color w:val="auto"/>
        </w:rPr>
      </w:pPr>
      <w:r>
        <w:rPr>
          <w:rFonts w:ascii="Arial" w:cs="Arial" w:eastAsia="Arial" w:hAnsi="Arial"/>
          <w:sz w:val="32"/>
          <w:szCs w:val="32"/>
          <w:b w:val="1"/>
          <w:bCs w:val="1"/>
          <w:color w:val="67686B"/>
        </w:rPr>
        <w:t xml:space="preserve">Proposal No. 7 – Advisory Vote on the Extension of the Company’s Shareholder Rights Plan Until September 19, 2025 (page </w:t>
      </w:r>
      <w:r>
        <w:rPr>
          <w:rFonts w:ascii="Arial" w:cs="Arial" w:eastAsia="Arial" w:hAnsi="Arial"/>
          <w:sz w:val="32"/>
          <w:szCs w:val="32"/>
          <w:b w:val="1"/>
          <w:bCs w:val="1"/>
          <w:u w:val="single" w:color="auto"/>
          <w:color w:val="0000EE"/>
        </w:rPr>
        <w:t>79</w:t>
      </w:r>
      <w:r>
        <w:rPr>
          <w:rFonts w:ascii="Arial" w:cs="Arial" w:eastAsia="Arial" w:hAnsi="Arial"/>
          <w:sz w:val="32"/>
          <w:szCs w:val="32"/>
          <w:b w:val="1"/>
          <w:bCs w:val="1"/>
          <w:color w:val="67686B"/>
        </w:rPr>
        <w: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adopted a limited duration shareholder rights plan on September 19, 2022 (the “Rights Plan”) to protect the interests of the Company and all shareholders from the likelihood that any entity, person or group gains control of Nordstrom through open-market accumulation or other means without payment of an adequate control premium. The Board believes that it is in the best interests of the Company and all shareholders to extend the Rights Plan until September 19, 2025, with the Board retaining the ability to terminate the Rights Plan prior to such date if warranted.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As announced at the time of its adoption, the Rights Plan:</w:t>
      </w:r>
    </w:p>
    <w:p>
      <w:pPr>
        <w:spacing w:after="0" w:line="73" w:lineRule="exact"/>
        <w:rPr>
          <w:sz w:val="20"/>
          <w:szCs w:val="20"/>
          <w:color w:val="auto"/>
        </w:rPr>
      </w:pPr>
    </w:p>
    <w:p>
      <w:pPr>
        <w:ind w:left="200" w:hanging="192"/>
        <w:spacing w:after="0" w:line="286" w:lineRule="auto"/>
        <w:tabs>
          <w:tab w:leader="none" w:pos="2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Reduces the likelihood that any entity, person or group gains control of the Company through open-market accumulation or other means without payment of an adequate control premium;</w:t>
      </w:r>
    </w:p>
    <w:p>
      <w:pPr>
        <w:spacing w:after="0" w:line="20"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Helps ensure that the Board has sufficient time to make informed, deliberate decisions that are in the best interests of the Company and all Nordstrom shareholders;</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Applies equally to all current and future shareholders of the Company;</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Was not adopted in response to any specific takeover bid or other proposal to acquire control of the Company;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 not intended to deter offers that are fair and otherwise in the best interests of all of the Company’s shareholders.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While shareholder approval is not required to extend the Rights Plan, the Board is asking shareholders to approve this advisory vote on the extension of the Rights Plan as part of the Board’s commitment to good corporate governance and to ensure that shareholders have an opportunity to voice their feedback on this important matter.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101981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583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8318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INDEX OF 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1125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9163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630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154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Our Corporate Governance Framework</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Board Responsibilities, Leadership Structure and Role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in Risk Oversight</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Board Oversight of ESG Issues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Director Independence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Chairman of the Board and Presiding Director</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Director Elections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Management Succession Planning</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Board Committees and Charters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Board Meetings and Attendance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Director Compensation and Stock Ownership Guidelines</w:t>
      </w:r>
    </w:p>
    <w:p>
      <w:pPr>
        <w:spacing w:after="0" w:line="140" w:lineRule="exact"/>
        <w:rPr>
          <w:sz w:val="20"/>
          <w:szCs w:val="20"/>
          <w:color w:val="auto"/>
        </w:rPr>
      </w:pPr>
    </w:p>
    <w:p>
      <w:pPr>
        <w:ind w:left="220" w:right="640"/>
        <w:spacing w:after="0" w:line="294" w:lineRule="auto"/>
        <w:rPr>
          <w:sz w:val="20"/>
          <w:szCs w:val="20"/>
          <w:color w:val="auto"/>
        </w:rPr>
      </w:pPr>
      <w:r>
        <w:rPr>
          <w:rFonts w:ascii="Arial" w:cs="Arial" w:eastAsia="Arial" w:hAnsi="Arial"/>
          <w:sz w:val="16"/>
          <w:szCs w:val="16"/>
          <w:b w:val="1"/>
          <w:bCs w:val="1"/>
          <w:i w:val="1"/>
          <w:iCs w:val="1"/>
          <w:u w:val="single" w:color="auto"/>
          <w:color w:val="0000EE"/>
        </w:rPr>
        <w:t>Compensation Committee Interlocks and Insider Participation</w:t>
      </w:r>
    </w:p>
    <w:p>
      <w:pPr>
        <w:spacing w:after="0" w:line="22" w:lineRule="exact"/>
        <w:rPr>
          <w:sz w:val="20"/>
          <w:szCs w:val="20"/>
          <w:color w:val="auto"/>
        </w:rPr>
      </w:pPr>
    </w:p>
    <w:p>
      <w:pPr>
        <w:ind w:left="220" w:right="1360"/>
        <w:spacing w:after="0" w:line="369" w:lineRule="auto"/>
        <w:rPr>
          <w:sz w:val="20"/>
          <w:szCs w:val="20"/>
          <w:color w:val="auto"/>
        </w:rPr>
      </w:pPr>
      <w:r>
        <w:rPr>
          <w:rFonts w:ascii="Arial" w:cs="Arial" w:eastAsia="Arial" w:hAnsi="Arial"/>
          <w:sz w:val="16"/>
          <w:szCs w:val="16"/>
          <w:b w:val="1"/>
          <w:bCs w:val="1"/>
          <w:i w:val="1"/>
          <w:iCs w:val="1"/>
          <w:u w:val="single" w:color="auto"/>
          <w:color w:val="0000EE"/>
        </w:rPr>
        <w:t>Codes of Business Conduct and Ethics Hedging and Pledging Policies Shareholder Engagement</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Website Access to Corporate Governance Documents</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ESG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29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82" w:lineRule="exact"/>
        <w:rPr>
          <w:sz w:val="20"/>
          <w:szCs w:val="20"/>
          <w:color w:val="auto"/>
        </w:rPr>
      </w:pPr>
    </w:p>
    <w:p>
      <w:pPr>
        <w:ind w:left="220" w:right="1140"/>
        <w:spacing w:after="0" w:line="417" w:lineRule="auto"/>
        <w:rPr>
          <w:sz w:val="20"/>
          <w:szCs w:val="20"/>
          <w:color w:val="auto"/>
        </w:rPr>
      </w:pPr>
      <w:r>
        <w:rPr>
          <w:rFonts w:ascii="Arial" w:cs="Arial" w:eastAsia="Arial" w:hAnsi="Arial"/>
          <w:sz w:val="16"/>
          <w:szCs w:val="16"/>
          <w:b w:val="1"/>
          <w:bCs w:val="1"/>
          <w:i w:val="1"/>
          <w:iCs w:val="1"/>
          <w:u w:val="single" w:color="auto"/>
          <w:color w:val="0000EE"/>
        </w:rPr>
        <w:t>Diversity, Equity, Inclusion and Belonging Corporate Social Responsibility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0478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4787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AUDIT AND FINANCE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1545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4555" cy="8255"/>
                    </a:xfrm>
                    <a:prstGeom prst="rect">
                      <a:avLst/>
                    </a:prstGeom>
                    <a:noFill/>
                  </pic:spPr>
                </pic:pic>
              </a:graphicData>
            </a:graphic>
          </wp:anchor>
        </w:drawing>
      </w:r>
    </w:p>
    <w:p>
      <w:pPr>
        <w:spacing w:after="0" w:line="30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1E295B"/>
        </w:rPr>
        <w:t>PROPOSAL 2: RATIFICATION OF THE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27889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889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28517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1315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363" w:lineRule="exact"/>
        <w:rPr>
          <w:sz w:val="20"/>
          <w:szCs w:val="20"/>
          <w:color w:val="auto"/>
        </w:rPr>
      </w:pPr>
    </w:p>
    <w:p>
      <w:pPr>
        <w:ind w:left="220" w:right="240" w:hanging="215"/>
        <w:spacing w:after="0" w:line="370" w:lineRule="auto"/>
        <w:rPr>
          <w:sz w:val="20"/>
          <w:szCs w:val="20"/>
          <w:color w:val="auto"/>
        </w:rPr>
      </w:pPr>
      <w:r>
        <w:rPr>
          <w:rFonts w:ascii="Arial" w:cs="Arial" w:eastAsia="Arial" w:hAnsi="Arial"/>
          <w:sz w:val="16"/>
          <w:szCs w:val="16"/>
          <w:b w:val="1"/>
          <w:bCs w:val="1"/>
          <w:color w:val="1E295B"/>
        </w:rPr>
        <w:t xml:space="preserve">COMPENSATION OF EXECUTIVE OFFICERS </w:t>
      </w:r>
      <w:r>
        <w:rPr>
          <w:rFonts w:ascii="Arial" w:cs="Arial" w:eastAsia="Arial" w:hAnsi="Arial"/>
          <w:sz w:val="16"/>
          <w:szCs w:val="16"/>
          <w:b w:val="1"/>
          <w:bCs w:val="1"/>
          <w:i w:val="1"/>
          <w:iCs w:val="1"/>
          <w:u w:val="single" w:color="auto"/>
          <w:color w:val="0000EE"/>
        </w:rPr>
        <w:t>Compensation, People and Culture Committee Report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2164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408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b w:val="1"/>
          <w:bCs w:val="1"/>
          <w:i w:val="1"/>
          <w:iCs w:val="1"/>
          <w:u w:val="single" w:color="auto"/>
          <w:color w:val="0000EE"/>
        </w:rPr>
        <w:t>Summary Compensation Table</w:t>
      </w:r>
    </w:p>
    <w:p>
      <w:pPr>
        <w:spacing w:after="0" w:line="100" w:lineRule="exact"/>
        <w:rPr>
          <w:sz w:val="20"/>
          <w:szCs w:val="20"/>
          <w:color w:val="auto"/>
        </w:rPr>
      </w:pPr>
    </w:p>
    <w:p>
      <w:pPr>
        <w:ind w:left="220" w:right="180"/>
        <w:spacing w:after="0" w:line="369" w:lineRule="auto"/>
        <w:rPr>
          <w:sz w:val="20"/>
          <w:szCs w:val="20"/>
          <w:color w:val="auto"/>
        </w:rPr>
      </w:pPr>
      <w:r>
        <w:rPr>
          <w:rFonts w:ascii="Arial" w:cs="Arial" w:eastAsia="Arial" w:hAnsi="Arial"/>
          <w:sz w:val="16"/>
          <w:szCs w:val="16"/>
          <w:b w:val="1"/>
          <w:bCs w:val="1"/>
          <w:i w:val="1"/>
          <w:iCs w:val="1"/>
          <w:u w:val="single" w:color="auto"/>
          <w:color w:val="0000EE"/>
        </w:rPr>
        <w:t>Grants of Plan-Based Awards in Fiscal Year 2022 Outstanding Equity Awards at Fiscal Year End 2022 Option Exercises and Stock Vested in Fiscal Year 2022 Pension Benefits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u w:val="single" w:color="auto"/>
          <w:color w:val="0000EE"/>
        </w:rPr>
        <w:t>Fiscal Year 2022 Pension Benefits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81" w:type="dxa"/>
        <w:tblCellMar>
          <w:top w:w="0" w:type="dxa"/>
          <w:left w:w="0" w:type="dxa"/>
          <w:bottom w:w="0" w:type="dxa"/>
          <w:right w:w="0" w:type="dxa"/>
        </w:tblCellMar>
      </w:tblPr>
      <w:tr>
        <w:trPr>
          <w:trHeight w:val="184"/>
        </w:trPr>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3</w:t>
            </w:r>
          </w:p>
        </w:tc>
        <w:tc>
          <w:tcPr>
            <w:tcW w:w="2860" w:type="dxa"/>
            <w:vAlign w:val="bottom"/>
            <w:tcBorders>
              <w:bottom w:val="single" w:sz="8" w:color="0000EE"/>
            </w:tcBorders>
          </w:tcPr>
          <w:p>
            <w:pPr>
              <w:spacing w:after="0"/>
              <w:rPr>
                <w:sz w:val="20"/>
                <w:szCs w:val="20"/>
                <w:color w:val="auto"/>
              </w:rPr>
            </w:pPr>
            <w:r>
              <w:rPr>
                <w:rFonts w:ascii="Arial" w:cs="Arial" w:eastAsia="Arial" w:hAnsi="Arial"/>
                <w:sz w:val="16"/>
                <w:szCs w:val="16"/>
                <w:b w:val="1"/>
                <w:bCs w:val="1"/>
                <w:i w:val="1"/>
                <w:iCs w:val="1"/>
                <w:color w:val="0000EE"/>
              </w:rPr>
              <w:t>Nonqualified Deferred Compensation</w:t>
            </w:r>
          </w:p>
        </w:tc>
        <w:tc>
          <w:tcPr>
            <w:tcW w:w="1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i w:val="1"/>
                <w:iCs w:val="1"/>
                <w:color w:val="0000EE"/>
              </w:rPr>
              <w:t>Fiscal Year 2022 Nonqualified Deferred Compensation</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4160" w:type="dxa"/>
            <w:vAlign w:val="bottom"/>
            <w:gridSpan w:val="2"/>
          </w:tcPr>
          <w:p>
            <w:pPr>
              <w:spacing w:after="0" w:line="158" w:lineRule="exact"/>
              <w:rPr>
                <w:sz w:val="20"/>
                <w:szCs w:val="20"/>
                <w:color w:val="auto"/>
              </w:rPr>
            </w:pPr>
            <w:r>
              <w:rPr>
                <w:rFonts w:ascii="Arial" w:cs="Arial" w:eastAsia="Arial" w:hAnsi="Arial"/>
                <w:sz w:val="16"/>
                <w:szCs w:val="16"/>
                <w:b w:val="1"/>
                <w:bCs w:val="1"/>
                <w:i w:val="1"/>
                <w:iCs w:val="1"/>
                <w:u w:val="single" w:color="auto"/>
                <w:color w:val="0000EE"/>
              </w:rPr>
              <w:t>Table</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-1269365</wp:posOffset>
            </wp:positionV>
            <wp:extent cx="128905"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ind w:left="841" w:hanging="751"/>
        <w:spacing w:after="0" w:line="186" w:lineRule="auto"/>
        <w:tabs>
          <w:tab w:leader="none" w:pos="841" w:val="left"/>
        </w:tabs>
        <w:numPr>
          <w:ilvl w:val="0"/>
          <w:numId w:val="18"/>
        </w:numPr>
        <w:rPr>
          <w:rFonts w:ascii="Arial" w:cs="Arial" w:eastAsia="Arial" w:hAnsi="Arial"/>
          <w:sz w:val="27"/>
          <w:szCs w:val="27"/>
          <w:color w:val="auto"/>
          <w:vertAlign w:val="superscript"/>
        </w:rPr>
      </w:pPr>
      <w:r>
        <w:rPr>
          <w:rFonts w:ascii="Arial" w:cs="Arial" w:eastAsia="Arial" w:hAnsi="Arial"/>
          <w:sz w:val="14"/>
          <w:szCs w:val="14"/>
          <w:b w:val="1"/>
          <w:bCs w:val="1"/>
          <w:i w:val="1"/>
          <w:iCs w:val="1"/>
          <w:color w:val="0000EE"/>
        </w:rPr>
        <w:t>Potential Payments Upon Termination or Change in</w:t>
      </w:r>
    </w:p>
    <w:tbl>
      <w:tblPr>
        <w:tblLayout w:type="fixed"/>
        <w:tblInd w:w="1" w:type="dxa"/>
        <w:tblCellMar>
          <w:top w:w="0" w:type="dxa"/>
          <w:left w:w="0" w:type="dxa"/>
          <w:bottom w:w="0" w:type="dxa"/>
          <w:right w:w="0" w:type="dxa"/>
        </w:tblCellMar>
      </w:tblPr>
      <w:tr>
        <w:trPr>
          <w:trHeight w:val="169"/>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6"/>
                <w:szCs w:val="16"/>
                <w:b w:val="1"/>
                <w:bCs w:val="1"/>
                <w:i w:val="1"/>
                <w:iCs w:val="1"/>
                <w:color w:val="0000EE"/>
                <w:w w:val="98"/>
              </w:rPr>
              <w:t>Control</w:t>
            </w:r>
          </w:p>
        </w:tc>
        <w:tc>
          <w:tcPr>
            <w:tcW w:w="3380" w:type="dxa"/>
            <w:vAlign w:val="bottom"/>
            <w:tcBorders>
              <w:top w:val="single" w:sz="8" w:color="0000EE"/>
            </w:tcBorders>
            <w:gridSpan w:val="4"/>
          </w:tcPr>
          <w:p>
            <w:pPr>
              <w:spacing w:after="0"/>
              <w:rPr>
                <w:sz w:val="14"/>
                <w:szCs w:val="14"/>
                <w:color w:val="auto"/>
              </w:rPr>
            </w:pPr>
          </w:p>
        </w:tc>
        <w:tc>
          <w:tcPr>
            <w:tcW w:w="560" w:type="dxa"/>
            <w:vAlign w:val="bottom"/>
            <w:gridSpan w:val="2"/>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63"/>
        </w:trPr>
        <w:tc>
          <w:tcPr>
            <w:tcW w:w="620" w:type="dxa"/>
            <w:vAlign w:val="bottom"/>
          </w:tcPr>
          <w:p>
            <w:pPr>
              <w:jc w:val="right"/>
              <w:ind w:right="35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2"/>
                <w:szCs w:val="22"/>
                <w:color w:val="auto"/>
              </w:rPr>
            </w:pPr>
          </w:p>
        </w:tc>
        <w:tc>
          <w:tcPr>
            <w:tcW w:w="4520" w:type="dxa"/>
            <w:vAlign w:val="bottom"/>
            <w:gridSpan w:val="7"/>
          </w:tcPr>
          <w:p>
            <w:pPr>
              <w:spacing w:after="0"/>
              <w:rPr>
                <w:sz w:val="20"/>
                <w:szCs w:val="20"/>
                <w:color w:val="auto"/>
              </w:rPr>
            </w:pPr>
            <w:r>
              <w:rPr>
                <w:rFonts w:ascii="Arial" w:cs="Arial" w:eastAsia="Arial" w:hAnsi="Arial"/>
                <w:sz w:val="16"/>
                <w:szCs w:val="16"/>
                <w:b w:val="1"/>
                <w:bCs w:val="1"/>
                <w:i w:val="1"/>
                <w:iCs w:val="1"/>
                <w:color w:val="0000EE"/>
              </w:rPr>
              <w:t>Pay Ratio Disclosure</w:t>
            </w:r>
          </w:p>
        </w:tc>
        <w:tc>
          <w:tcPr>
            <w:tcW w:w="4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20" w:type="dxa"/>
            <w:vAlign w:val="bottom"/>
          </w:tcPr>
          <w:p>
            <w:pPr>
              <w:jc w:val="right"/>
              <w:ind w:right="359"/>
              <w:spacing w:after="0"/>
              <w:rPr>
                <w:sz w:val="20"/>
                <w:szCs w:val="20"/>
                <w:color w:val="auto"/>
              </w:rPr>
            </w:pPr>
            <w:r>
              <w:rPr>
                <w:rFonts w:ascii="Arial" w:cs="Arial" w:eastAsia="Arial" w:hAnsi="Arial"/>
                <w:sz w:val="16"/>
                <w:szCs w:val="16"/>
                <w:color w:val="auto"/>
                <w:w w:val="89"/>
              </w:rPr>
              <w:t>12</w:t>
            </w:r>
          </w:p>
        </w:tc>
        <w:tc>
          <w:tcPr>
            <w:tcW w:w="4740" w:type="dxa"/>
            <w:vAlign w:val="bottom"/>
            <w:gridSpan w:val="8"/>
          </w:tcPr>
          <w:p>
            <w:pPr>
              <w:spacing w:after="0"/>
              <w:rPr>
                <w:sz w:val="20"/>
                <w:szCs w:val="20"/>
                <w:color w:val="auto"/>
              </w:rPr>
            </w:pPr>
            <w:r>
              <w:rPr>
                <w:rFonts w:ascii="Arial" w:cs="Arial" w:eastAsia="Arial" w:hAnsi="Arial"/>
                <w:sz w:val="16"/>
                <w:szCs w:val="16"/>
                <w:b w:val="1"/>
                <w:bCs w:val="1"/>
                <w:color w:val="1E295B"/>
              </w:rPr>
              <w:t>PAY VERSUS PERFORMANCE DISCLOSURE</w:t>
            </w: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15"/>
        </w:trPr>
        <w:tc>
          <w:tcPr>
            <w:tcW w:w="620" w:type="dxa"/>
            <w:vAlign w:val="bottom"/>
          </w:tcPr>
          <w:p>
            <w:pPr>
              <w:jc w:val="right"/>
              <w:ind w:right="359"/>
              <w:spacing w:after="0"/>
              <w:rPr>
                <w:sz w:val="20"/>
                <w:szCs w:val="20"/>
                <w:color w:val="auto"/>
              </w:rPr>
            </w:pPr>
            <w:r>
              <w:rPr>
                <w:rFonts w:ascii="Arial" w:cs="Arial" w:eastAsia="Arial" w:hAnsi="Arial"/>
                <w:sz w:val="16"/>
                <w:szCs w:val="16"/>
                <w:color w:val="auto"/>
                <w:w w:val="89"/>
              </w:rPr>
              <w:t>12</w:t>
            </w:r>
          </w:p>
        </w:tc>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4740" w:type="dxa"/>
            <w:vAlign w:val="bottom"/>
            <w:gridSpan w:val="8"/>
          </w:tcPr>
          <w:p>
            <w:pPr>
              <w:spacing w:after="0" w:line="178" w:lineRule="exact"/>
              <w:rPr>
                <w:sz w:val="20"/>
                <w:szCs w:val="20"/>
                <w:color w:val="auto"/>
              </w:rPr>
            </w:pPr>
            <w:r>
              <w:rPr>
                <w:rFonts w:ascii="Arial" w:cs="Arial" w:eastAsia="Arial" w:hAnsi="Arial"/>
                <w:sz w:val="16"/>
                <w:szCs w:val="16"/>
                <w:b w:val="1"/>
                <w:bCs w:val="1"/>
                <w:color w:val="1E295B"/>
              </w:rPr>
              <w:t>PROPOSAL 3: ADVISORY VOTE REGARDING EXECUTIVE</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12</w:t>
            </w:r>
          </w:p>
        </w:tc>
        <w:tc>
          <w:tcPr>
            <w:tcW w:w="446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b w:val="1"/>
                <w:bCs w:val="1"/>
                <w:color w:val="1E295B"/>
              </w:rPr>
              <w:t>COMPENSATION</w:t>
            </w: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20" w:type="dxa"/>
            <w:vAlign w:val="bottom"/>
            <w:vMerge w:val="continue"/>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
        <w:spacing w:after="0"/>
        <w:rPr>
          <w:sz w:val="20"/>
          <w:szCs w:val="20"/>
          <w:color w:val="auto"/>
        </w:rPr>
      </w:pPr>
      <w:r>
        <w:rPr>
          <w:rFonts w:ascii="Arial" w:cs="Arial" w:eastAsia="Arial" w:hAnsi="Arial"/>
          <w:sz w:val="16"/>
          <w:szCs w:val="16"/>
          <w:color w:val="auto"/>
        </w:rPr>
        <w:t>13</w:t>
      </w:r>
    </w:p>
    <w:p>
      <w:pPr>
        <w:ind w:left="621"/>
        <w:spacing w:after="0" w:line="211" w:lineRule="auto"/>
        <w:rPr>
          <w:sz w:val="20"/>
          <w:szCs w:val="20"/>
          <w:color w:val="auto"/>
        </w:rPr>
      </w:pPr>
      <w:r>
        <w:rPr>
          <w:rFonts w:ascii="Arial" w:cs="Arial" w:eastAsia="Arial" w:hAnsi="Arial"/>
          <w:sz w:val="16"/>
          <w:szCs w:val="16"/>
          <w:b w:val="1"/>
          <w:bCs w:val="1"/>
          <w:color w:val="1E295B"/>
        </w:rPr>
        <w:t>PROPOSAL 4: ADVISORY VOTE REGARDING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-635</wp:posOffset>
            </wp:positionV>
            <wp:extent cx="24574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ind w:left="621" w:hanging="621"/>
        <w:spacing w:after="0"/>
        <w:tabs>
          <w:tab w:leader="none" w:pos="621"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1E295B"/>
        </w:rPr>
        <w:t>FREQUENCY OF FUTURE ADVISORY VOTES ON</w:t>
      </w:r>
    </w:p>
    <w:tbl>
      <w:tblPr>
        <w:tblLayout w:type="fixed"/>
        <w:tblInd w:w="1" w:type="dxa"/>
        <w:tblCellMar>
          <w:top w:w="0" w:type="dxa"/>
          <w:left w:w="0" w:type="dxa"/>
          <w:bottom w:w="0" w:type="dxa"/>
          <w:right w:w="0" w:type="dxa"/>
        </w:tblCellMar>
      </w:tblPr>
      <w:tr>
        <w:trPr>
          <w:trHeight w:val="169"/>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14</w:t>
            </w:r>
          </w:p>
        </w:tc>
        <w:tc>
          <w:tcPr>
            <w:tcW w:w="376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1E295B"/>
              </w:rPr>
              <w:t>EXECUTIVE COMPENSATION</w:t>
            </w:r>
          </w:p>
        </w:tc>
        <w:tc>
          <w:tcPr>
            <w:tcW w:w="780" w:type="dxa"/>
            <w:vAlign w:val="bottom"/>
            <w:gridSpan w:val="3"/>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86"/>
        </w:trPr>
        <w:tc>
          <w:tcPr>
            <w:tcW w:w="620" w:type="dxa"/>
            <w:vAlign w:val="bottom"/>
            <w:vMerge w:val="continue"/>
          </w:tcPr>
          <w:p>
            <w:pPr>
              <w:spacing w:after="0"/>
              <w:rPr>
                <w:sz w:val="7"/>
                <w:szCs w:val="7"/>
                <w:color w:val="auto"/>
              </w:rPr>
            </w:pPr>
          </w:p>
        </w:tc>
        <w:tc>
          <w:tcPr>
            <w:tcW w:w="2280" w:type="dxa"/>
            <w:vAlign w:val="bottom"/>
            <w:tcBorders>
              <w:top w:val="single" w:sz="8" w:color="0000EE"/>
            </w:tcBorders>
          </w:tcPr>
          <w:p>
            <w:pPr>
              <w:spacing w:after="0"/>
              <w:rPr>
                <w:sz w:val="7"/>
                <w:szCs w:val="7"/>
                <w:color w:val="auto"/>
              </w:rPr>
            </w:pPr>
          </w:p>
        </w:tc>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20" w:type="dxa"/>
            <w:vAlign w:val="bottom"/>
          </w:tcPr>
          <w:p>
            <w:pPr>
              <w:jc w:val="right"/>
              <w:ind w:right="359"/>
              <w:spacing w:after="0"/>
              <w:rPr>
                <w:sz w:val="20"/>
                <w:szCs w:val="20"/>
                <w:color w:val="auto"/>
              </w:rPr>
            </w:pPr>
            <w:r>
              <w:rPr>
                <w:rFonts w:ascii="Arial" w:cs="Arial" w:eastAsia="Arial" w:hAnsi="Arial"/>
                <w:sz w:val="16"/>
                <w:szCs w:val="16"/>
                <w:color w:val="auto"/>
                <w:w w:val="89"/>
              </w:rPr>
              <w:t>14</w:t>
            </w:r>
          </w:p>
        </w:tc>
        <w:tc>
          <w:tcPr>
            <w:tcW w:w="4040" w:type="dxa"/>
            <w:vAlign w:val="bottom"/>
            <w:gridSpan w:val="4"/>
            <w:vMerge w:val="restart"/>
          </w:tcPr>
          <w:p>
            <w:pPr>
              <w:spacing w:after="0"/>
              <w:rPr>
                <w:sz w:val="20"/>
                <w:szCs w:val="20"/>
                <w:color w:val="auto"/>
              </w:rPr>
            </w:pPr>
            <w:r>
              <w:rPr>
                <w:rFonts w:ascii="Arial" w:cs="Arial" w:eastAsia="Arial" w:hAnsi="Arial"/>
                <w:sz w:val="16"/>
                <w:szCs w:val="16"/>
                <w:b w:val="1"/>
                <w:bCs w:val="1"/>
                <w:color w:val="1E295B"/>
              </w:rPr>
              <w:t>PROPOSAL 5: APPROVAL OF AMENDMENT TO THE</w:t>
            </w:r>
          </w:p>
        </w:tc>
        <w:tc>
          <w:tcPr>
            <w:tcW w:w="50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15</w:t>
            </w:r>
          </w:p>
        </w:tc>
        <w:tc>
          <w:tcPr>
            <w:tcW w:w="4040" w:type="dxa"/>
            <w:vAlign w:val="bottom"/>
            <w:tcBorders>
              <w:bottom w:val="single" w:sz="8" w:color="0000EE"/>
            </w:tcBorders>
            <w:gridSpan w:val="4"/>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20" w:type="dxa"/>
            <w:vAlign w:val="bottom"/>
            <w:vMerge w:val="continue"/>
          </w:tcPr>
          <w:p>
            <w:pPr>
              <w:spacing w:after="0"/>
              <w:rPr>
                <w:sz w:val="12"/>
                <w:szCs w:val="12"/>
                <w:color w:val="auto"/>
              </w:rPr>
            </w:pPr>
          </w:p>
        </w:tc>
        <w:tc>
          <w:tcPr>
            <w:tcW w:w="4540" w:type="dxa"/>
            <w:vAlign w:val="bottom"/>
            <w:gridSpan w:val="5"/>
            <w:vMerge w:val="restart"/>
          </w:tcPr>
          <w:p>
            <w:pPr>
              <w:spacing w:after="0" w:line="169" w:lineRule="exact"/>
              <w:rPr>
                <w:sz w:val="20"/>
                <w:szCs w:val="20"/>
                <w:color w:val="auto"/>
              </w:rPr>
            </w:pPr>
            <w:r>
              <w:rPr>
                <w:rFonts w:ascii="Arial" w:cs="Arial" w:eastAsia="Arial" w:hAnsi="Arial"/>
                <w:sz w:val="16"/>
                <w:szCs w:val="16"/>
                <w:b w:val="1"/>
                <w:bCs w:val="1"/>
                <w:color w:val="1E295B"/>
              </w:rPr>
              <w:t>NORDSTROM, INC. 2019 EQUITY INCENTIVE PLAN</w:t>
            </w:r>
          </w:p>
        </w:tc>
        <w:tc>
          <w:tcPr>
            <w:tcW w:w="68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9"/>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15</w:t>
            </w:r>
          </w:p>
        </w:tc>
        <w:tc>
          <w:tcPr>
            <w:tcW w:w="4540" w:type="dxa"/>
            <w:vAlign w:val="bottom"/>
            <w:gridSpan w:val="5"/>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620" w:type="dxa"/>
            <w:vAlign w:val="bottom"/>
            <w:vMerge w:val="continue"/>
          </w:tcPr>
          <w:p>
            <w:pPr>
              <w:spacing w:after="0"/>
              <w:rPr>
                <w:sz w:val="20"/>
                <w:szCs w:val="20"/>
                <w:color w:val="auto"/>
              </w:rPr>
            </w:pPr>
          </w:p>
        </w:tc>
        <w:tc>
          <w:tcPr>
            <w:tcW w:w="2280" w:type="dxa"/>
            <w:vAlign w:val="bottom"/>
            <w:tcBorders>
              <w:top w:val="single" w:sz="8" w:color="0000EE"/>
            </w:tcBorders>
          </w:tcPr>
          <w:p>
            <w:pPr>
              <w:spacing w:after="0"/>
              <w:rPr>
                <w:sz w:val="20"/>
                <w:szCs w:val="20"/>
                <w:color w:val="auto"/>
              </w:rPr>
            </w:pPr>
          </w:p>
        </w:tc>
        <w:tc>
          <w:tcPr>
            <w:tcW w:w="14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21" w:hanging="621"/>
        <w:spacing w:after="0"/>
        <w:tabs>
          <w:tab w:leader="none" w:pos="621"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1E295B"/>
        </w:rPr>
        <w:t>PROPOSAL 6: APPROVAL OF THE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-4445</wp:posOffset>
            </wp:positionV>
            <wp:extent cx="24250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25065" cy="8255"/>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184"/>
        </w:trPr>
        <w:tc>
          <w:tcPr>
            <w:tcW w:w="40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18</w:t>
            </w:r>
          </w:p>
        </w:tc>
        <w:tc>
          <w:tcPr>
            <w:tcW w:w="4760" w:type="dxa"/>
            <w:vAlign w:val="bottom"/>
          </w:tcPr>
          <w:p>
            <w:pPr>
              <w:ind w:left="220"/>
              <w:spacing w:after="0"/>
              <w:rPr>
                <w:sz w:val="20"/>
                <w:szCs w:val="20"/>
                <w:color w:val="auto"/>
              </w:rPr>
            </w:pPr>
            <w:r>
              <w:rPr>
                <w:rFonts w:ascii="Arial" w:cs="Arial" w:eastAsia="Arial" w:hAnsi="Arial"/>
                <w:sz w:val="16"/>
                <w:szCs w:val="16"/>
                <w:b w:val="1"/>
                <w:bCs w:val="1"/>
                <w:color w:val="1E295B"/>
              </w:rPr>
              <w:t>INC. AMENDED AND RESTATED EMPLOYEE STOCK</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0" w:type="dxa"/>
            <w:vAlign w:val="bottom"/>
            <w:vMerge w:val="continue"/>
          </w:tcPr>
          <w:p>
            <w:pPr>
              <w:spacing w:after="0"/>
              <w:rPr>
                <w:sz w:val="9"/>
                <w:szCs w:val="9"/>
                <w:color w:val="auto"/>
              </w:rPr>
            </w:pPr>
          </w:p>
        </w:tc>
        <w:tc>
          <w:tcPr>
            <w:tcW w:w="4760" w:type="dxa"/>
            <w:vAlign w:val="bottom"/>
            <w:vMerge w:val="restart"/>
          </w:tcPr>
          <w:p>
            <w:pPr>
              <w:ind w:left="220"/>
              <w:spacing w:after="0"/>
              <w:rPr>
                <w:sz w:val="20"/>
                <w:szCs w:val="20"/>
                <w:color w:val="auto"/>
              </w:rPr>
            </w:pPr>
            <w:r>
              <w:rPr>
                <w:rFonts w:ascii="Arial" w:cs="Arial" w:eastAsia="Arial" w:hAnsi="Arial"/>
                <w:sz w:val="16"/>
                <w:szCs w:val="16"/>
                <w:b w:val="1"/>
                <w:bCs w:val="1"/>
                <w:color w:val="1E295B"/>
              </w:rPr>
              <w:t>PURCHASE PLAN</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16"/>
        </w:trPr>
        <w:tc>
          <w:tcPr>
            <w:tcW w:w="400" w:type="dxa"/>
            <w:vAlign w:val="bottom"/>
          </w:tcPr>
          <w:p>
            <w:pPr>
              <w:spacing w:after="0"/>
              <w:rPr>
                <w:sz w:val="10"/>
                <w:szCs w:val="10"/>
                <w:color w:val="auto"/>
              </w:rPr>
            </w:pPr>
          </w:p>
        </w:tc>
        <w:tc>
          <w:tcPr>
            <w:tcW w:w="4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-148590</wp:posOffset>
            </wp:positionV>
            <wp:extent cx="25565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56510" cy="889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-28575</wp:posOffset>
            </wp:positionV>
            <wp:extent cx="8858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107" w:lineRule="exact"/>
        <w:rPr>
          <w:sz w:val="20"/>
          <w:szCs w:val="20"/>
          <w:color w:val="auto"/>
        </w:rPr>
      </w:pPr>
    </w:p>
    <w:p>
      <w:pPr>
        <w:ind w:left="621" w:hanging="621"/>
        <w:spacing w:after="0"/>
        <w:tabs>
          <w:tab w:leader="none" w:pos="621" w:val="left"/>
        </w:tabs>
        <w:numPr>
          <w:ilvl w:val="0"/>
          <w:numId w:val="21"/>
        </w:numPr>
        <w:rPr>
          <w:rFonts w:ascii="Arial" w:cs="Arial" w:eastAsia="Arial" w:hAnsi="Arial"/>
          <w:sz w:val="32"/>
          <w:szCs w:val="32"/>
          <w:color w:val="auto"/>
          <w:vertAlign w:val="superscript"/>
        </w:rPr>
      </w:pPr>
      <w:r>
        <w:rPr>
          <w:rFonts w:ascii="Arial" w:cs="Arial" w:eastAsia="Arial" w:hAnsi="Arial"/>
          <w:sz w:val="16"/>
          <w:szCs w:val="16"/>
          <w:b w:val="1"/>
          <w:bCs w:val="1"/>
          <w:color w:val="1E295B"/>
        </w:rPr>
        <w:t>PROPOSAL 7: ADVISORY VOTE ON THE EXTENSION OF</w:t>
      </w:r>
    </w:p>
    <w:p>
      <w:pPr>
        <w:ind w:left="621" w:hanging="621"/>
        <w:spacing w:after="0" w:line="208" w:lineRule="auto"/>
        <w:tabs>
          <w:tab w:leader="none" w:pos="621"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1E295B"/>
        </w:rPr>
        <w:t>THE COMPANY’S SHAREHOLDER RIGHTS PLAN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-118745</wp:posOffset>
            </wp:positionV>
            <wp:extent cx="2778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169"/>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20</w:t>
            </w:r>
          </w:p>
        </w:tc>
        <w:tc>
          <w:tcPr>
            <w:tcW w:w="4300" w:type="dxa"/>
            <w:vAlign w:val="bottom"/>
            <w:tcBorders>
              <w:top w:val="single" w:sz="8" w:color="0000EE"/>
            </w:tcBorders>
            <w:gridSpan w:val="12"/>
          </w:tcPr>
          <w:p>
            <w:pPr>
              <w:spacing w:after="0" w:line="169" w:lineRule="exact"/>
              <w:rPr>
                <w:sz w:val="20"/>
                <w:szCs w:val="20"/>
                <w:color w:val="auto"/>
              </w:rPr>
            </w:pPr>
            <w:r>
              <w:rPr>
                <w:rFonts w:ascii="Arial" w:cs="Arial" w:eastAsia="Arial" w:hAnsi="Arial"/>
                <w:sz w:val="16"/>
                <w:szCs w:val="16"/>
                <w:b w:val="1"/>
                <w:bCs w:val="1"/>
                <w:color w:val="1E295B"/>
              </w:rPr>
              <w:t>SEPTEMBER 19, 2025</w:t>
            </w:r>
          </w:p>
        </w:tc>
        <w:tc>
          <w:tcPr>
            <w:tcW w:w="28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00"/>
        </w:trPr>
        <w:tc>
          <w:tcPr>
            <w:tcW w:w="620" w:type="dxa"/>
            <w:vAlign w:val="bottom"/>
            <w:vMerge w:val="continue"/>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620" w:type="dxa"/>
            <w:vAlign w:val="bottom"/>
          </w:tcPr>
          <w:p>
            <w:pPr>
              <w:jc w:val="right"/>
              <w:ind w:right="359"/>
              <w:spacing w:after="0"/>
              <w:rPr>
                <w:sz w:val="20"/>
                <w:szCs w:val="20"/>
                <w:color w:val="auto"/>
              </w:rPr>
            </w:pPr>
            <w:r>
              <w:rPr>
                <w:rFonts w:ascii="Arial" w:cs="Arial" w:eastAsia="Arial" w:hAnsi="Arial"/>
                <w:sz w:val="16"/>
                <w:szCs w:val="16"/>
                <w:color w:val="auto"/>
                <w:w w:val="89"/>
              </w:rPr>
              <w:t>20</w:t>
            </w:r>
          </w:p>
        </w:tc>
        <w:tc>
          <w:tcPr>
            <w:tcW w:w="2560" w:type="dxa"/>
            <w:vAlign w:val="bottom"/>
            <w:gridSpan w:val="8"/>
            <w:vMerge w:val="restart"/>
          </w:tcPr>
          <w:p>
            <w:pPr>
              <w:spacing w:after="0"/>
              <w:rPr>
                <w:sz w:val="20"/>
                <w:szCs w:val="20"/>
                <w:color w:val="auto"/>
              </w:rPr>
            </w:pPr>
            <w:r>
              <w:rPr>
                <w:rFonts w:ascii="Arial" w:cs="Arial" w:eastAsia="Arial" w:hAnsi="Arial"/>
                <w:sz w:val="16"/>
                <w:szCs w:val="16"/>
                <w:b w:val="1"/>
                <w:bCs w:val="1"/>
                <w:color w:val="1E295B"/>
              </w:rPr>
              <w:t>EQUITY COMPENSATION PLANS</w:t>
            </w:r>
          </w:p>
        </w:tc>
        <w:tc>
          <w:tcPr>
            <w:tcW w:w="2020" w:type="dxa"/>
            <w:vAlign w:val="bottom"/>
            <w:gridSpan w:val="5"/>
            <w:vMerge w:val="restart"/>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9"/>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20</w:t>
            </w:r>
          </w:p>
        </w:tc>
        <w:tc>
          <w:tcPr>
            <w:tcW w:w="2560" w:type="dxa"/>
            <w:vAlign w:val="bottom"/>
            <w:tcBorders>
              <w:bottom w:val="single" w:sz="8" w:color="0000EE"/>
            </w:tcBorders>
            <w:gridSpan w:val="8"/>
            <w:vMerge w:val="continue"/>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620" w:type="dxa"/>
            <w:vAlign w:val="bottom"/>
            <w:vMerge w:val="continue"/>
          </w:tcPr>
          <w:p>
            <w:pPr>
              <w:spacing w:after="0"/>
              <w:rPr>
                <w:sz w:val="8"/>
                <w:szCs w:val="8"/>
                <w:color w:val="auto"/>
              </w:rPr>
            </w:pPr>
          </w:p>
        </w:tc>
        <w:tc>
          <w:tcPr>
            <w:tcW w:w="4580" w:type="dxa"/>
            <w:vAlign w:val="bottom"/>
            <w:gridSpan w:val="13"/>
            <w:vMerge w:val="restart"/>
          </w:tcPr>
          <w:p>
            <w:pPr>
              <w:spacing w:after="0"/>
              <w:rPr>
                <w:sz w:val="20"/>
                <w:szCs w:val="20"/>
                <w:color w:val="auto"/>
              </w:rPr>
            </w:pPr>
            <w:r>
              <w:rPr>
                <w:rFonts w:ascii="Arial" w:cs="Arial" w:eastAsia="Arial" w:hAnsi="Arial"/>
                <w:sz w:val="16"/>
                <w:szCs w:val="16"/>
                <w:b w:val="1"/>
                <w:bCs w:val="1"/>
                <w:color w:val="1E295B"/>
              </w:rPr>
              <w:t>SECURITY OWNERSHIP OF CERTAIN BENEFICIAL</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3"/>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21</w:t>
            </w:r>
          </w:p>
        </w:tc>
        <w:tc>
          <w:tcPr>
            <w:tcW w:w="4580" w:type="dxa"/>
            <w:vAlign w:val="bottom"/>
            <w:gridSpan w:val="13"/>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2360" w:type="dxa"/>
            <w:vAlign w:val="bottom"/>
            <w:tcBorders>
              <w:top w:val="single" w:sz="8" w:color="0000EE"/>
              <w:bottom w:val="single" w:sz="8" w:color="0000EE"/>
            </w:tcBorders>
            <w:gridSpan w:val="6"/>
          </w:tcPr>
          <w:p>
            <w:pPr>
              <w:spacing w:after="0" w:line="169" w:lineRule="exact"/>
              <w:rPr>
                <w:sz w:val="20"/>
                <w:szCs w:val="20"/>
                <w:color w:val="auto"/>
              </w:rPr>
            </w:pPr>
            <w:r>
              <w:rPr>
                <w:rFonts w:ascii="Arial" w:cs="Arial" w:eastAsia="Arial" w:hAnsi="Arial"/>
                <w:sz w:val="16"/>
                <w:szCs w:val="16"/>
                <w:b w:val="1"/>
                <w:bCs w:val="1"/>
                <w:color w:val="1E295B"/>
              </w:rPr>
              <w:t>OWNERS AND MANAGEMENT</w:t>
            </w:r>
          </w:p>
        </w:tc>
        <w:tc>
          <w:tcPr>
            <w:tcW w:w="1540" w:type="dxa"/>
            <w:vAlign w:val="bottom"/>
            <w:tcBorders>
              <w:top w:val="single" w:sz="8" w:color="0000EE"/>
            </w:tcBorders>
            <w:gridSpan w:val="5"/>
          </w:tcPr>
          <w:p>
            <w:pPr>
              <w:spacing w:after="0"/>
              <w:rPr>
                <w:sz w:val="14"/>
                <w:szCs w:val="14"/>
                <w:color w:val="auto"/>
              </w:rPr>
            </w:pPr>
          </w:p>
        </w:tc>
        <w:tc>
          <w:tcPr>
            <w:tcW w:w="680" w:type="dxa"/>
            <w:vAlign w:val="bottom"/>
            <w:gridSpan w:val="2"/>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64"/>
        </w:trPr>
        <w:tc>
          <w:tcPr>
            <w:tcW w:w="620" w:type="dxa"/>
            <w:vAlign w:val="bottom"/>
          </w:tcPr>
          <w:p>
            <w:pPr>
              <w:jc w:val="right"/>
              <w:ind w:right="359"/>
              <w:spacing w:after="0"/>
              <w:rPr>
                <w:sz w:val="20"/>
                <w:szCs w:val="20"/>
                <w:color w:val="auto"/>
              </w:rPr>
            </w:pPr>
            <w:r>
              <w:rPr>
                <w:rFonts w:ascii="Arial" w:cs="Arial" w:eastAsia="Arial" w:hAnsi="Arial"/>
                <w:sz w:val="16"/>
                <w:szCs w:val="16"/>
                <w:color w:val="auto"/>
                <w:w w:val="89"/>
              </w:rPr>
              <w:t>21</w:t>
            </w:r>
          </w:p>
        </w:tc>
        <w:tc>
          <w:tcPr>
            <w:tcW w:w="220" w:type="dxa"/>
            <w:vAlign w:val="bottom"/>
          </w:tcPr>
          <w:p>
            <w:pPr>
              <w:spacing w:after="0"/>
              <w:rPr>
                <w:sz w:val="22"/>
                <w:szCs w:val="22"/>
                <w:color w:val="auto"/>
              </w:rPr>
            </w:pPr>
          </w:p>
        </w:tc>
        <w:tc>
          <w:tcPr>
            <w:tcW w:w="4360" w:type="dxa"/>
            <w:vAlign w:val="bottom"/>
            <w:gridSpan w:val="12"/>
          </w:tcPr>
          <w:p>
            <w:pPr>
              <w:spacing w:after="0"/>
              <w:rPr>
                <w:sz w:val="20"/>
                <w:szCs w:val="20"/>
                <w:color w:val="auto"/>
              </w:rPr>
            </w:pPr>
            <w:r>
              <w:rPr>
                <w:rFonts w:ascii="Arial" w:cs="Arial" w:eastAsia="Arial" w:hAnsi="Arial"/>
                <w:sz w:val="16"/>
                <w:szCs w:val="16"/>
                <w:b w:val="1"/>
                <w:bCs w:val="1"/>
                <w:i w:val="1"/>
                <w:iCs w:val="1"/>
                <w:color w:val="0000EE"/>
              </w:rPr>
              <w:t>Beneficial Ownership Table</w:t>
            </w:r>
          </w:p>
        </w:tc>
        <w:tc>
          <w:tcPr>
            <w:tcW w:w="6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22</w:t>
            </w: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line="20" w:lineRule="exact"/>
              <w:rPr>
                <w:sz w:val="1"/>
                <w:szCs w:val="1"/>
                <w:color w:val="auto"/>
              </w:rPr>
            </w:pPr>
          </w:p>
        </w:tc>
      </w:tr>
      <w:tr>
        <w:trPr>
          <w:trHeight w:val="263"/>
        </w:trPr>
        <w:tc>
          <w:tcPr>
            <w:tcW w:w="6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4360" w:type="dxa"/>
            <w:vAlign w:val="bottom"/>
            <w:gridSpan w:val="12"/>
          </w:tcPr>
          <w:p>
            <w:pPr>
              <w:spacing w:after="0"/>
              <w:rPr>
                <w:sz w:val="20"/>
                <w:szCs w:val="20"/>
                <w:color w:val="auto"/>
              </w:rPr>
            </w:pPr>
            <w:r>
              <w:rPr>
                <w:rFonts w:ascii="Arial" w:cs="Arial" w:eastAsia="Arial" w:hAnsi="Arial"/>
                <w:sz w:val="16"/>
                <w:szCs w:val="16"/>
                <w:b w:val="1"/>
                <w:bCs w:val="1"/>
                <w:i w:val="1"/>
                <w:iCs w:val="1"/>
                <w:color w:val="0000EE"/>
              </w:rPr>
              <w:t>Delinquent Section 16(a) Reports</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25</w:t>
            </w: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20" w:type="dxa"/>
            <w:vAlign w:val="bottom"/>
            <w:vMerge w:val="continue"/>
          </w:tcPr>
          <w:p>
            <w:pPr>
              <w:spacing w:after="0"/>
              <w:rPr>
                <w:sz w:val="24"/>
                <w:szCs w:val="24"/>
                <w:color w:val="auto"/>
              </w:rPr>
            </w:pPr>
          </w:p>
        </w:tc>
        <w:tc>
          <w:tcPr>
            <w:tcW w:w="458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b w:val="1"/>
                <w:bCs w:val="1"/>
                <w:color w:val="1E295B"/>
                <w:w w:val="99"/>
              </w:rPr>
              <w:t>CERTAIN RELATIONSHIPS AND RELATED TRANSACTIONS</w:t>
            </w:r>
          </w:p>
        </w:tc>
        <w:tc>
          <w:tcPr>
            <w:tcW w:w="6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i w:val="1"/>
                <w:iCs w:val="1"/>
                <w:color w:val="0000EE"/>
              </w:rPr>
              <w:t>Review and Approval Process</w:t>
            </w:r>
          </w:p>
        </w:tc>
        <w:tc>
          <w:tcPr>
            <w:tcW w:w="2040" w:type="dxa"/>
            <w:vAlign w:val="bottom"/>
            <w:gridSpan w:val="6"/>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4"/>
        </w:trPr>
        <w:tc>
          <w:tcPr>
            <w:tcW w:w="620" w:type="dxa"/>
            <w:vAlign w:val="bottom"/>
          </w:tcPr>
          <w:p>
            <w:pPr>
              <w:jc w:val="right"/>
              <w:ind w:right="359"/>
              <w:spacing w:after="0"/>
              <w:rPr>
                <w:sz w:val="20"/>
                <w:szCs w:val="20"/>
                <w:color w:val="auto"/>
              </w:rPr>
            </w:pPr>
            <w:r>
              <w:rPr>
                <w:rFonts w:ascii="Arial" w:cs="Arial" w:eastAsia="Arial" w:hAnsi="Arial"/>
                <w:sz w:val="16"/>
                <w:szCs w:val="16"/>
                <w:color w:val="auto"/>
                <w:w w:val="89"/>
              </w:rPr>
              <w:t>33</w:t>
            </w:r>
          </w:p>
        </w:tc>
        <w:tc>
          <w:tcPr>
            <w:tcW w:w="220" w:type="dxa"/>
            <w:vAlign w:val="bottom"/>
          </w:tcPr>
          <w:p>
            <w:pPr>
              <w:spacing w:after="0"/>
              <w:rPr>
                <w:sz w:val="22"/>
                <w:szCs w:val="22"/>
                <w:color w:val="auto"/>
              </w:rPr>
            </w:pPr>
          </w:p>
        </w:tc>
        <w:tc>
          <w:tcPr>
            <w:tcW w:w="4360" w:type="dxa"/>
            <w:vAlign w:val="bottom"/>
            <w:gridSpan w:val="12"/>
          </w:tcPr>
          <w:p>
            <w:pPr>
              <w:spacing w:after="0"/>
              <w:rPr>
                <w:sz w:val="20"/>
                <w:szCs w:val="20"/>
                <w:color w:val="auto"/>
              </w:rPr>
            </w:pPr>
            <w:r>
              <w:rPr>
                <w:rFonts w:ascii="Arial" w:cs="Arial" w:eastAsia="Arial" w:hAnsi="Arial"/>
                <w:sz w:val="16"/>
                <w:szCs w:val="16"/>
                <w:b w:val="1"/>
                <w:bCs w:val="1"/>
                <w:i w:val="1"/>
                <w:iCs w:val="1"/>
                <w:color w:val="0000EE"/>
              </w:rPr>
              <w:t>Related Party Transactions</w:t>
            </w:r>
          </w:p>
        </w:tc>
        <w:tc>
          <w:tcPr>
            <w:tcW w:w="64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34</w:t>
            </w:r>
          </w:p>
        </w:tc>
        <w:tc>
          <w:tcPr>
            <w:tcW w:w="4580" w:type="dxa"/>
            <w:vAlign w:val="bottom"/>
            <w:gridSpan w:val="13"/>
          </w:tcPr>
          <w:p>
            <w:pPr>
              <w:spacing w:after="0"/>
              <w:rPr>
                <w:sz w:val="20"/>
                <w:szCs w:val="20"/>
                <w:color w:val="auto"/>
              </w:rPr>
            </w:pPr>
            <w:r>
              <w:rPr>
                <w:rFonts w:ascii="Arial" w:cs="Arial" w:eastAsia="Arial" w:hAnsi="Arial"/>
                <w:sz w:val="16"/>
                <w:szCs w:val="16"/>
                <w:b w:val="1"/>
                <w:bCs w:val="1"/>
                <w:color w:val="1E295B"/>
              </w:rPr>
              <w:t>OTHER MATTERS</w:t>
            </w:r>
          </w:p>
        </w:tc>
        <w:tc>
          <w:tcPr>
            <w:tcW w:w="64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20" w:type="dxa"/>
            <w:vAlign w:val="bottom"/>
            <w:vMerge w:val="continue"/>
          </w:tcPr>
          <w:p>
            <w:pPr>
              <w:spacing w:after="0"/>
              <w:rPr>
                <w:sz w:val="8"/>
                <w:szCs w:val="8"/>
                <w:color w:val="auto"/>
              </w:rPr>
            </w:pPr>
          </w:p>
        </w:tc>
        <w:tc>
          <w:tcPr>
            <w:tcW w:w="4580" w:type="dxa"/>
            <w:vAlign w:val="bottom"/>
            <w:gridSpan w:val="13"/>
            <w:vMerge w:val="restart"/>
          </w:tcPr>
          <w:p>
            <w:pPr>
              <w:spacing w:after="0"/>
              <w:rPr>
                <w:sz w:val="20"/>
                <w:szCs w:val="20"/>
                <w:color w:val="auto"/>
              </w:rPr>
            </w:pPr>
            <w:r>
              <w:rPr>
                <w:rFonts w:ascii="Arial" w:cs="Arial" w:eastAsia="Arial" w:hAnsi="Arial"/>
                <w:sz w:val="16"/>
                <w:szCs w:val="16"/>
                <w:b w:val="1"/>
                <w:bCs w:val="1"/>
                <w:color w:val="1E295B"/>
              </w:rPr>
              <w:t>2024 ANNUAL MEETING OF SHAREHOLDERS</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4"/>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35</w:t>
            </w:r>
          </w:p>
        </w:tc>
        <w:tc>
          <w:tcPr>
            <w:tcW w:w="4580" w:type="dxa"/>
            <w:vAlign w:val="bottom"/>
            <w:gridSpan w:val="13"/>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114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1E295B"/>
                <w:w w:val="99"/>
              </w:rPr>
              <w:t>INFORMATION</w:t>
            </w:r>
          </w:p>
        </w:tc>
        <w:tc>
          <w:tcPr>
            <w:tcW w:w="2400" w:type="dxa"/>
            <w:vAlign w:val="bottom"/>
            <w:tcBorders>
              <w:top w:val="single" w:sz="8" w:color="0000EE"/>
            </w:tcBorders>
            <w:gridSpan w:val="8"/>
          </w:tcPr>
          <w:p>
            <w:pPr>
              <w:spacing w:after="0"/>
              <w:rPr>
                <w:sz w:val="14"/>
                <w:szCs w:val="14"/>
                <w:color w:val="auto"/>
              </w:rPr>
            </w:pPr>
          </w:p>
        </w:tc>
        <w:tc>
          <w:tcPr>
            <w:tcW w:w="1040" w:type="dxa"/>
            <w:vAlign w:val="bottom"/>
            <w:gridSpan w:val="3"/>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841"/>
        <w:spacing w:after="0"/>
        <w:rPr>
          <w:sz w:val="20"/>
          <w:szCs w:val="20"/>
          <w:color w:val="auto"/>
        </w:rPr>
      </w:pPr>
      <w:r>
        <w:rPr>
          <w:rFonts w:ascii="Arial" w:cs="Arial" w:eastAsia="Arial" w:hAnsi="Arial"/>
          <w:sz w:val="16"/>
          <w:szCs w:val="16"/>
          <w:b w:val="1"/>
          <w:bCs w:val="1"/>
          <w:i w:val="1"/>
          <w:iCs w:val="1"/>
          <w:u w:val="single" w:color="auto"/>
          <w:color w:val="0000EE"/>
        </w:rPr>
        <w:t>Requirements and Deadlines for Submission of Proxy</w:t>
      </w:r>
    </w:p>
    <w:p>
      <w:pPr>
        <w:spacing w:after="0" w:line="3" w:lineRule="exact"/>
        <w:rPr>
          <w:sz w:val="20"/>
          <w:szCs w:val="20"/>
          <w:color w:val="auto"/>
        </w:rPr>
      </w:pPr>
    </w:p>
    <w:p>
      <w:pPr>
        <w:ind w:left="841" w:hanging="841"/>
        <w:spacing w:after="0"/>
        <w:tabs>
          <w:tab w:leader="none" w:pos="841"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0000EE"/>
        </w:rPr>
        <w:t>Proposals, Nomination of Directors, and Other Business</w:t>
      </w:r>
    </w:p>
    <w:tbl>
      <w:tblPr>
        <w:tblLayout w:type="fixed"/>
        <w:tblInd w:w="1" w:type="dxa"/>
        <w:tblCellMar>
          <w:top w:w="0" w:type="dxa"/>
          <w:left w:w="0" w:type="dxa"/>
          <w:bottom w:w="0" w:type="dxa"/>
          <w:right w:w="0" w:type="dxa"/>
        </w:tblCellMar>
      </w:tblPr>
      <w:tr>
        <w:trPr>
          <w:trHeight w:val="169"/>
        </w:trPr>
        <w:tc>
          <w:tcPr>
            <w:tcW w:w="40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37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4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b w:val="1"/>
                <w:bCs w:val="1"/>
                <w:i w:val="1"/>
                <w:iCs w:val="1"/>
                <w:color w:val="0000EE"/>
              </w:rPr>
              <w:t>of Shareholders</w:t>
            </w:r>
          </w:p>
        </w:tc>
        <w:tc>
          <w:tcPr>
            <w:tcW w:w="240" w:type="dxa"/>
            <w:vAlign w:val="bottom"/>
            <w:gridSpan w:val="2"/>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86"/>
        </w:trPr>
        <w:tc>
          <w:tcPr>
            <w:tcW w:w="4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Borders>
              <w:top w:val="single" w:sz="8" w:color="0000EE"/>
            </w:tcBorders>
          </w:tcPr>
          <w:p>
            <w:pPr>
              <w:spacing w:after="0"/>
              <w:rPr>
                <w:sz w:val="7"/>
                <w:szCs w:val="7"/>
                <w:color w:val="auto"/>
              </w:rPr>
            </w:pPr>
          </w:p>
        </w:tc>
        <w:tc>
          <w:tcPr>
            <w:tcW w:w="3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400" w:type="dxa"/>
            <w:vAlign w:val="bottom"/>
          </w:tcPr>
          <w:p>
            <w:pPr>
              <w:jc w:val="right"/>
              <w:ind w:right="139"/>
              <w:spacing w:after="0"/>
              <w:rPr>
                <w:sz w:val="20"/>
                <w:szCs w:val="20"/>
                <w:color w:val="auto"/>
              </w:rPr>
            </w:pPr>
            <w:r>
              <w:rPr>
                <w:rFonts w:ascii="Arial" w:cs="Arial" w:eastAsia="Arial" w:hAnsi="Arial"/>
                <w:sz w:val="16"/>
                <w:szCs w:val="16"/>
                <w:color w:val="auto"/>
                <w:w w:val="89"/>
              </w:rPr>
              <w:t>37</w:t>
            </w:r>
          </w:p>
        </w:tc>
        <w:tc>
          <w:tcPr>
            <w:tcW w:w="220" w:type="dxa"/>
            <w:vAlign w:val="bottom"/>
            <w:vMerge w:val="restart"/>
          </w:tcPr>
          <w:p>
            <w:pPr>
              <w:spacing w:after="0"/>
              <w:rPr>
                <w:sz w:val="24"/>
                <w:szCs w:val="24"/>
                <w:color w:val="auto"/>
              </w:rPr>
            </w:pPr>
          </w:p>
        </w:tc>
        <w:tc>
          <w:tcPr>
            <w:tcW w:w="4800" w:type="dxa"/>
            <w:vAlign w:val="bottom"/>
            <w:gridSpan w:val="6"/>
            <w:vMerge w:val="restart"/>
          </w:tcPr>
          <w:p>
            <w:pPr>
              <w:spacing w:after="0"/>
              <w:rPr>
                <w:sz w:val="20"/>
                <w:szCs w:val="20"/>
                <w:color w:val="auto"/>
              </w:rPr>
            </w:pPr>
            <w:r>
              <w:rPr>
                <w:rFonts w:ascii="Arial" w:cs="Arial" w:eastAsia="Arial" w:hAnsi="Arial"/>
                <w:sz w:val="16"/>
                <w:szCs w:val="16"/>
                <w:b w:val="1"/>
                <w:bCs w:val="1"/>
                <w:color w:val="1E295B"/>
              </w:rPr>
              <w:t>FREQUENTLY ASKED QUESTIONS AND ANSWERS ABOUT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48</w:t>
            </w:r>
          </w:p>
        </w:tc>
        <w:tc>
          <w:tcPr>
            <w:tcW w:w="220" w:type="dxa"/>
            <w:vAlign w:val="bottom"/>
            <w:vMerge w:val="continue"/>
          </w:tcPr>
          <w:p>
            <w:pPr>
              <w:spacing w:after="0"/>
              <w:rPr>
                <w:sz w:val="10"/>
                <w:szCs w:val="10"/>
                <w:color w:val="auto"/>
              </w:rPr>
            </w:pPr>
          </w:p>
        </w:tc>
        <w:tc>
          <w:tcPr>
            <w:tcW w:w="4800" w:type="dxa"/>
            <w:vAlign w:val="bottom"/>
            <w:gridSpan w:val="6"/>
            <w:vMerge w:val="continue"/>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0" w:type="dxa"/>
            <w:vAlign w:val="bottom"/>
            <w:vMerge w:val="continue"/>
          </w:tcPr>
          <w:p>
            <w:pPr>
              <w:spacing w:after="0"/>
              <w:rPr>
                <w:sz w:val="12"/>
                <w:szCs w:val="12"/>
                <w:color w:val="auto"/>
              </w:rPr>
            </w:pPr>
          </w:p>
        </w:tc>
        <w:tc>
          <w:tcPr>
            <w:tcW w:w="220" w:type="dxa"/>
            <w:vAlign w:val="bottom"/>
            <w:vMerge w:val="restart"/>
          </w:tcPr>
          <w:p>
            <w:pPr>
              <w:spacing w:after="0"/>
              <w:rPr>
                <w:sz w:val="12"/>
                <w:szCs w:val="12"/>
                <w:color w:val="auto"/>
              </w:rPr>
            </w:pPr>
          </w:p>
        </w:tc>
        <w:tc>
          <w:tcPr>
            <w:tcW w:w="4580" w:type="dxa"/>
            <w:vAlign w:val="bottom"/>
            <w:tcBorders>
              <w:top w:val="single" w:sz="8" w:color="0000EE"/>
            </w:tcBorders>
            <w:gridSpan w:val="5"/>
            <w:vMerge w:val="restart"/>
          </w:tcPr>
          <w:p>
            <w:pPr>
              <w:spacing w:after="0" w:line="169" w:lineRule="exact"/>
              <w:rPr>
                <w:sz w:val="20"/>
                <w:szCs w:val="20"/>
                <w:color w:val="auto"/>
              </w:rPr>
            </w:pPr>
            <w:r>
              <w:rPr>
                <w:rFonts w:ascii="Arial" w:cs="Arial" w:eastAsia="Arial" w:hAnsi="Arial"/>
                <w:sz w:val="16"/>
                <w:szCs w:val="16"/>
                <w:b w:val="1"/>
                <w:bCs w:val="1"/>
                <w:color w:val="1E295B"/>
              </w:rPr>
              <w:t>THE ANNUAL MEETING</w:t>
            </w:r>
          </w:p>
        </w:tc>
        <w:tc>
          <w:tcPr>
            <w:tcW w:w="220" w:type="dxa"/>
            <w:vAlign w:val="bottom"/>
            <w:vMerge w:val="restart"/>
          </w:tcPr>
          <w:p>
            <w:pPr>
              <w:spacing w:after="0"/>
              <w:rPr>
                <w:sz w:val="12"/>
                <w:szCs w:val="12"/>
                <w:color w:val="auto"/>
              </w:rPr>
            </w:pPr>
          </w:p>
        </w:tc>
        <w:tc>
          <w:tcPr>
            <w:tcW w:w="42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9"/>
        </w:trPr>
        <w:tc>
          <w:tcPr>
            <w:tcW w:w="40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50</w:t>
            </w:r>
          </w:p>
        </w:tc>
        <w:tc>
          <w:tcPr>
            <w:tcW w:w="220" w:type="dxa"/>
            <w:vAlign w:val="bottom"/>
            <w:vMerge w:val="continue"/>
          </w:tcPr>
          <w:p>
            <w:pPr>
              <w:spacing w:after="0"/>
              <w:rPr>
                <w:sz w:val="2"/>
                <w:szCs w:val="2"/>
                <w:color w:val="auto"/>
              </w:rPr>
            </w:pPr>
          </w:p>
        </w:tc>
        <w:tc>
          <w:tcPr>
            <w:tcW w:w="4580" w:type="dxa"/>
            <w:vAlign w:val="bottom"/>
            <w:gridSpan w:val="5"/>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21" w:hanging="621"/>
        <w:spacing w:after="0"/>
        <w:tabs>
          <w:tab w:leader="none" w:pos="621"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1E295B"/>
        </w:rPr>
        <w:t>APPENDIX A: RECONCILIATION OF GAAP AND NON-GAAP</w:t>
      </w:r>
    </w:p>
    <w:tbl>
      <w:tblPr>
        <w:tblLayout w:type="fixed"/>
        <w:tblInd w:w="1" w:type="dxa"/>
        <w:tblCellMar>
          <w:top w:w="0" w:type="dxa"/>
          <w:left w:w="0" w:type="dxa"/>
          <w:bottom w:w="0" w:type="dxa"/>
          <w:right w:w="0" w:type="dxa"/>
        </w:tblCellMar>
      </w:tblPr>
      <w:tr>
        <w:trPr>
          <w:trHeight w:val="169"/>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56</w:t>
            </w:r>
          </w:p>
        </w:tc>
        <w:tc>
          <w:tcPr>
            <w:tcW w:w="458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b w:val="1"/>
                <w:bCs w:val="1"/>
                <w:color w:val="1E295B"/>
              </w:rPr>
              <w:t>FINANCIAL MEASURES</w:t>
            </w: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99"/>
        </w:trPr>
        <w:tc>
          <w:tcPr>
            <w:tcW w:w="620" w:type="dxa"/>
            <w:vAlign w:val="bottom"/>
            <w:vMerge w:val="continue"/>
          </w:tcPr>
          <w:p>
            <w:pPr>
              <w:spacing w:after="0"/>
              <w:rPr>
                <w:sz w:val="8"/>
                <w:szCs w:val="8"/>
                <w:color w:val="auto"/>
              </w:rPr>
            </w:pPr>
          </w:p>
        </w:tc>
        <w:tc>
          <w:tcPr>
            <w:tcW w:w="1840" w:type="dxa"/>
            <w:vAlign w:val="bottom"/>
            <w:tcBorders>
              <w:top w:val="single" w:sz="8" w:color="0000EE"/>
            </w:tcBorders>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620" w:type="dxa"/>
            <w:vAlign w:val="bottom"/>
          </w:tcPr>
          <w:p>
            <w:pPr>
              <w:jc w:val="right"/>
              <w:ind w:right="359"/>
              <w:spacing w:after="0"/>
              <w:rPr>
                <w:sz w:val="20"/>
                <w:szCs w:val="20"/>
                <w:color w:val="auto"/>
              </w:rPr>
            </w:pPr>
            <w:r>
              <w:rPr>
                <w:rFonts w:ascii="Arial" w:cs="Arial" w:eastAsia="Arial" w:hAnsi="Arial"/>
                <w:sz w:val="16"/>
                <w:szCs w:val="16"/>
                <w:color w:val="auto"/>
                <w:w w:val="89"/>
              </w:rPr>
              <w:t>56</w:t>
            </w:r>
          </w:p>
        </w:tc>
        <w:tc>
          <w:tcPr>
            <w:tcW w:w="4580" w:type="dxa"/>
            <w:vAlign w:val="bottom"/>
            <w:gridSpan w:val="5"/>
            <w:vMerge w:val="restart"/>
          </w:tcPr>
          <w:p>
            <w:pPr>
              <w:spacing w:after="0"/>
              <w:rPr>
                <w:sz w:val="20"/>
                <w:szCs w:val="20"/>
                <w:color w:val="auto"/>
              </w:rPr>
            </w:pPr>
            <w:r>
              <w:rPr>
                <w:rFonts w:ascii="Arial" w:cs="Arial" w:eastAsia="Arial" w:hAnsi="Arial"/>
                <w:sz w:val="16"/>
                <w:szCs w:val="16"/>
                <w:b w:val="1"/>
                <w:bCs w:val="1"/>
                <w:color w:val="1E295B"/>
              </w:rPr>
              <w:t>APPENDIX B: NORDSTROM, INC. AMENDED &amp;</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57</w:t>
            </w:r>
          </w:p>
        </w:tc>
        <w:tc>
          <w:tcPr>
            <w:tcW w:w="458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30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1E295B"/>
                <w:w w:val="99"/>
              </w:rPr>
              <w:t>RESTATED 2019 EQUITY INCENTIVE PLAN</w:t>
            </w:r>
          </w:p>
        </w:tc>
        <w:tc>
          <w:tcPr>
            <w:tcW w:w="280" w:type="dxa"/>
            <w:vAlign w:val="bottom"/>
            <w:tcBorders>
              <w:top w:val="single" w:sz="8" w:color="0000EE"/>
            </w:tcBorders>
          </w:tcPr>
          <w:p>
            <w:pPr>
              <w:spacing w:after="0"/>
              <w:rPr>
                <w:sz w:val="14"/>
                <w:szCs w:val="14"/>
                <w:color w:val="auto"/>
              </w:rPr>
            </w:pPr>
          </w:p>
        </w:tc>
        <w:tc>
          <w:tcPr>
            <w:tcW w:w="1000" w:type="dxa"/>
            <w:vAlign w:val="bottom"/>
            <w:gridSpan w:val="2"/>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B-1</w:t>
            </w:r>
          </w:p>
        </w:tc>
        <w:tc>
          <w:tcPr>
            <w:tcW w:w="0" w:type="dxa"/>
            <w:vAlign w:val="bottom"/>
          </w:tcPr>
          <w:p>
            <w:pPr>
              <w:spacing w:after="0"/>
              <w:rPr>
                <w:sz w:val="1"/>
                <w:szCs w:val="1"/>
                <w:color w:val="auto"/>
              </w:rPr>
            </w:pPr>
          </w:p>
        </w:tc>
      </w:tr>
      <w:tr>
        <w:trPr>
          <w:trHeight w:val="493"/>
        </w:trPr>
        <w:tc>
          <w:tcPr>
            <w:tcW w:w="62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6"/>
                <w:szCs w:val="16"/>
                <w:b w:val="1"/>
                <w:bCs w:val="1"/>
                <w:color w:val="1E295B"/>
              </w:rPr>
              <w:t>APPENDIX C: NORDSTROM, INC. AMENDED &amp;</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C-1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tcPr>
          <w:p>
            <w:pPr>
              <w:spacing w:after="0"/>
              <w:rPr>
                <w:sz w:val="14"/>
                <w:szCs w:val="14"/>
                <w:color w:val="auto"/>
              </w:rPr>
            </w:pPr>
          </w:p>
        </w:tc>
        <w:tc>
          <w:tcPr>
            <w:tcW w:w="4580" w:type="dxa"/>
            <w:vAlign w:val="bottom"/>
            <w:gridSpan w:val="5"/>
          </w:tcPr>
          <w:p>
            <w:pPr>
              <w:spacing w:after="0" w:line="169" w:lineRule="exact"/>
              <w:rPr>
                <w:sz w:val="20"/>
                <w:szCs w:val="20"/>
                <w:color w:val="auto"/>
              </w:rPr>
            </w:pPr>
            <w:r>
              <w:rPr>
                <w:rFonts w:ascii="Arial" w:cs="Arial" w:eastAsia="Arial" w:hAnsi="Arial"/>
                <w:sz w:val="16"/>
                <w:szCs w:val="16"/>
                <w:b w:val="1"/>
                <w:bCs w:val="1"/>
                <w:color w:val="1E295B"/>
              </w:rPr>
              <w:t>RESTATED EMPLOYEE STOCK PURCHASE PLAN</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4600" w:space="439"/>
            <w:col w:w="5841"/>
          </w:cols>
          <w:pgMar w:left="500" w:top="270" w:right="519" w:bottom="487" w:gutter="0" w:footer="0" w:header="0"/>
        </w:sectPr>
      </w:pPr>
    </w:p>
    <w:bookmarkStart w:id="12" w:name="page13"/>
    <w:bookmarkEnd w:id="12"/>
    <w:p>
      <w:pPr>
        <w:spacing w:after="0"/>
        <w:tabs>
          <w:tab w:leader="none" w:pos="64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6909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5882640</wp:posOffset>
            </wp:positionH>
            <wp:positionV relativeFrom="paragraph">
              <wp:posOffset>-95885</wp:posOffset>
            </wp:positionV>
            <wp:extent cx="102044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ectPr>
          <w:pgSz w:w="11900" w:h="16838" w:orient="portrait"/>
          <w:cols w:equalWidth="0" w:num="1">
            <w:col w:w="9959"/>
          </w:cols>
          <w:pgMar w:left="500" w:top="13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CORPORATE GOVERNANCE</w:t>
      </w:r>
    </w:p>
    <w:p>
      <w:pPr>
        <w:spacing w:after="0" w:line="111"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Our Corporate Governance Framework</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Since its founding, our Company’s leaders and employees have always sought to maintain the highest ethical standards in every aspect of our business. Our corporate governance framework is designed to support this tradition of integrity, trust and unyielding commitment to doing the right thing, which has served our customers and shareholders well over the years. Our corporate governance framework, more fully discussed on the following pages, includes the following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005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257"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4080" w:type="dxa"/>
            <w:vAlign w:val="bottom"/>
          </w:tcPr>
          <w:p>
            <w:pPr>
              <w:ind w:left="420"/>
              <w:spacing w:after="0"/>
              <w:rPr>
                <w:sz w:val="20"/>
                <w:szCs w:val="20"/>
                <w:color w:val="auto"/>
              </w:rPr>
            </w:pPr>
            <w:r>
              <w:rPr>
                <w:rFonts w:ascii="Arial" w:cs="Arial" w:eastAsia="Arial" w:hAnsi="Arial"/>
                <w:sz w:val="14"/>
                <w:szCs w:val="14"/>
                <w:color w:val="auto"/>
              </w:rPr>
              <w:t>9 of 11 Director Nominees are Independent</w:t>
            </w:r>
          </w:p>
        </w:tc>
        <w:tc>
          <w:tcPr>
            <w:tcW w:w="3060" w:type="dxa"/>
            <w:vAlign w:val="bottom"/>
          </w:tcPr>
          <w:p>
            <w:pPr>
              <w:ind w:left="200"/>
              <w:spacing w:after="0"/>
              <w:rPr>
                <w:sz w:val="20"/>
                <w:szCs w:val="20"/>
                <w:color w:val="auto"/>
              </w:rPr>
            </w:pPr>
            <w:r>
              <w:rPr>
                <w:rFonts w:ascii="Arial" w:cs="Arial" w:eastAsia="Arial" w:hAnsi="Arial"/>
                <w:sz w:val="14"/>
                <w:szCs w:val="14"/>
                <w:color w:val="auto"/>
              </w:rPr>
              <w:t>Independent Chairman</w:t>
            </w: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4080" w:type="dxa"/>
            <w:vAlign w:val="bottom"/>
            <w:tcBorders>
              <w:bottom w:val="single" w:sz="8" w:color="1E295B"/>
            </w:tcBorders>
          </w:tcPr>
          <w:p>
            <w:pPr>
              <w:spacing w:after="0"/>
              <w:rPr>
                <w:sz w:val="11"/>
                <w:szCs w:val="11"/>
                <w:color w:val="auto"/>
              </w:rPr>
            </w:pPr>
          </w:p>
        </w:tc>
        <w:tc>
          <w:tcPr>
            <w:tcW w:w="3060" w:type="dxa"/>
            <w:vAlign w:val="bottom"/>
            <w:tcBorders>
              <w:bottom w:val="single" w:sz="8" w:color="1E295B"/>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600" w:type="dxa"/>
            <w:vAlign w:val="bottom"/>
          </w:tcPr>
          <w:p>
            <w:pPr>
              <w:spacing w:after="0"/>
              <w:rPr>
                <w:sz w:val="22"/>
                <w:szCs w:val="22"/>
                <w:color w:val="auto"/>
              </w:rPr>
            </w:pPr>
          </w:p>
        </w:tc>
        <w:tc>
          <w:tcPr>
            <w:tcW w:w="4080" w:type="dxa"/>
            <w:vAlign w:val="bottom"/>
          </w:tcPr>
          <w:p>
            <w:pPr>
              <w:ind w:left="420"/>
              <w:spacing w:after="0"/>
              <w:rPr>
                <w:sz w:val="20"/>
                <w:szCs w:val="20"/>
                <w:color w:val="auto"/>
              </w:rPr>
            </w:pPr>
            <w:r>
              <w:rPr>
                <w:rFonts w:ascii="Arial" w:cs="Arial" w:eastAsia="Arial" w:hAnsi="Arial"/>
                <w:sz w:val="14"/>
                <w:szCs w:val="14"/>
                <w:color w:val="auto"/>
              </w:rPr>
              <w:t>Regular Executive Session of</w:t>
            </w:r>
          </w:p>
        </w:tc>
        <w:tc>
          <w:tcPr>
            <w:tcW w:w="3060" w:type="dxa"/>
            <w:vAlign w:val="bottom"/>
          </w:tcPr>
          <w:p>
            <w:pPr>
              <w:ind w:left="200"/>
              <w:spacing w:after="0"/>
              <w:rPr>
                <w:sz w:val="20"/>
                <w:szCs w:val="20"/>
                <w:color w:val="auto"/>
              </w:rPr>
            </w:pPr>
            <w:r>
              <w:rPr>
                <w:rFonts w:ascii="Arial" w:cs="Arial" w:eastAsia="Arial" w:hAnsi="Arial"/>
                <w:sz w:val="14"/>
                <w:szCs w:val="14"/>
                <w:color w:val="auto"/>
              </w:rPr>
              <w:t>Committees Comprised Only of Independent</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4080" w:type="dxa"/>
            <w:vAlign w:val="bottom"/>
          </w:tcPr>
          <w:p>
            <w:pPr>
              <w:ind w:left="420"/>
              <w:spacing w:after="0"/>
              <w:rPr>
                <w:sz w:val="20"/>
                <w:szCs w:val="20"/>
                <w:color w:val="auto"/>
              </w:rPr>
            </w:pPr>
            <w:r>
              <w:rPr>
                <w:rFonts w:ascii="Arial" w:cs="Arial" w:eastAsia="Arial" w:hAnsi="Arial"/>
                <w:sz w:val="14"/>
                <w:szCs w:val="14"/>
                <w:color w:val="auto"/>
              </w:rPr>
              <w:t>Independent Directors</w:t>
            </w:r>
          </w:p>
        </w:tc>
        <w:tc>
          <w:tcPr>
            <w:tcW w:w="3060" w:type="dxa"/>
            <w:vAlign w:val="bottom"/>
          </w:tcPr>
          <w:p>
            <w:pPr>
              <w:ind w:left="200"/>
              <w:spacing w:after="0"/>
              <w:rPr>
                <w:sz w:val="20"/>
                <w:szCs w:val="20"/>
                <w:color w:val="auto"/>
              </w:rPr>
            </w:pPr>
            <w:r>
              <w:rPr>
                <w:rFonts w:ascii="Arial" w:cs="Arial" w:eastAsia="Arial" w:hAnsi="Arial"/>
                <w:sz w:val="14"/>
                <w:szCs w:val="14"/>
                <w:color w:val="auto"/>
              </w:rPr>
              <w:t>Directors</w:t>
            </w:r>
          </w:p>
        </w:tc>
        <w:tc>
          <w:tcPr>
            <w:tcW w:w="0" w:type="dxa"/>
            <w:vAlign w:val="bottom"/>
          </w:tcPr>
          <w:p>
            <w:pPr>
              <w:spacing w:after="0"/>
              <w:rPr>
                <w:sz w:val="1"/>
                <w:szCs w:val="1"/>
                <w:color w:val="auto"/>
              </w:rPr>
            </w:pPr>
          </w:p>
        </w:tc>
      </w:tr>
      <w:tr>
        <w:trPr>
          <w:trHeight w:val="130"/>
        </w:trPr>
        <w:tc>
          <w:tcPr>
            <w:tcW w:w="3600" w:type="dxa"/>
            <w:vAlign w:val="bottom"/>
            <w:vMerge w:val="restart"/>
          </w:tcPr>
          <w:p>
            <w:pPr>
              <w:spacing w:after="0"/>
              <w:rPr>
                <w:sz w:val="20"/>
                <w:szCs w:val="20"/>
                <w:color w:val="auto"/>
              </w:rPr>
            </w:pPr>
            <w:r>
              <w:rPr>
                <w:rFonts w:ascii="Arial" w:cs="Arial" w:eastAsia="Arial" w:hAnsi="Arial"/>
                <w:sz w:val="27"/>
                <w:szCs w:val="27"/>
                <w:color w:val="1E295B"/>
              </w:rPr>
              <w:t>Corporate Governance</w:t>
            </w:r>
          </w:p>
        </w:tc>
        <w:tc>
          <w:tcPr>
            <w:tcW w:w="4080" w:type="dxa"/>
            <w:vAlign w:val="bottom"/>
            <w:tcBorders>
              <w:bottom w:val="single" w:sz="8" w:color="1E295B"/>
            </w:tcBorders>
          </w:tcPr>
          <w:p>
            <w:pPr>
              <w:spacing w:after="0"/>
              <w:rPr>
                <w:sz w:val="11"/>
                <w:szCs w:val="11"/>
                <w:color w:val="auto"/>
              </w:rPr>
            </w:pPr>
          </w:p>
        </w:tc>
        <w:tc>
          <w:tcPr>
            <w:tcW w:w="3060" w:type="dxa"/>
            <w:vAlign w:val="bottom"/>
            <w:tcBorders>
              <w:bottom w:val="single" w:sz="8" w:color="1E295B"/>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4080" w:type="dxa"/>
            <w:vAlign w:val="bottom"/>
            <w:vMerge w:val="restart"/>
          </w:tcPr>
          <w:p>
            <w:pPr>
              <w:ind w:left="420"/>
              <w:spacing w:after="0"/>
              <w:rPr>
                <w:sz w:val="20"/>
                <w:szCs w:val="20"/>
                <w:color w:val="auto"/>
              </w:rPr>
            </w:pPr>
            <w:r>
              <w:rPr>
                <w:rFonts w:ascii="Arial" w:cs="Arial" w:eastAsia="Arial" w:hAnsi="Arial"/>
                <w:sz w:val="14"/>
                <w:szCs w:val="14"/>
                <w:color w:val="auto"/>
              </w:rPr>
              <w:t>All Audit &amp; Finance Committee</w:t>
            </w:r>
          </w:p>
        </w:tc>
        <w:tc>
          <w:tcPr>
            <w:tcW w:w="3060" w:type="dxa"/>
            <w:vAlign w:val="bottom"/>
            <w:vMerge w:val="restart"/>
          </w:tcPr>
          <w:p>
            <w:pPr>
              <w:ind w:left="200"/>
              <w:spacing w:after="0"/>
              <w:rPr>
                <w:sz w:val="20"/>
                <w:szCs w:val="20"/>
                <w:color w:val="auto"/>
              </w:rPr>
            </w:pPr>
            <w:r>
              <w:rPr>
                <w:rFonts w:ascii="Arial" w:cs="Arial" w:eastAsia="Arial" w:hAnsi="Arial"/>
                <w:sz w:val="14"/>
                <w:szCs w:val="14"/>
                <w:color w:val="auto"/>
              </w:rPr>
              <w:t>Annual Evaluations of Board, Committees</w:t>
            </w:r>
          </w:p>
        </w:tc>
        <w:tc>
          <w:tcPr>
            <w:tcW w:w="0" w:type="dxa"/>
            <w:vAlign w:val="bottom"/>
          </w:tcPr>
          <w:p>
            <w:pPr>
              <w:spacing w:after="0"/>
              <w:rPr>
                <w:sz w:val="1"/>
                <w:szCs w:val="1"/>
                <w:color w:val="auto"/>
              </w:rPr>
            </w:pPr>
          </w:p>
        </w:tc>
      </w:tr>
      <w:tr>
        <w:trPr>
          <w:trHeight w:val="40"/>
        </w:trPr>
        <w:tc>
          <w:tcPr>
            <w:tcW w:w="360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3600" w:type="dxa"/>
            <w:vAlign w:val="bottom"/>
          </w:tcPr>
          <w:p>
            <w:pPr>
              <w:spacing w:after="0"/>
              <w:rPr>
                <w:sz w:val="7"/>
                <w:szCs w:val="7"/>
                <w:color w:val="auto"/>
              </w:rPr>
            </w:pPr>
          </w:p>
        </w:tc>
        <w:tc>
          <w:tcPr>
            <w:tcW w:w="4080" w:type="dxa"/>
            <w:vAlign w:val="bottom"/>
            <w:vMerge w:val="restart"/>
          </w:tcPr>
          <w:p>
            <w:pPr>
              <w:ind w:left="420"/>
              <w:spacing w:after="0"/>
              <w:rPr>
                <w:sz w:val="20"/>
                <w:szCs w:val="20"/>
                <w:color w:val="auto"/>
              </w:rPr>
            </w:pPr>
            <w:r>
              <w:rPr>
                <w:rFonts w:ascii="Arial" w:cs="Arial" w:eastAsia="Arial" w:hAnsi="Arial"/>
                <w:sz w:val="14"/>
                <w:szCs w:val="14"/>
                <w:color w:val="auto"/>
              </w:rPr>
              <w:t>Members are SEC “Audit</w:t>
            </w:r>
          </w:p>
        </w:tc>
        <w:tc>
          <w:tcPr>
            <w:tcW w:w="3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3060" w:type="dxa"/>
            <w:vAlign w:val="bottom"/>
            <w:vMerge w:val="restart"/>
          </w:tcPr>
          <w:p>
            <w:pPr>
              <w:ind w:left="200"/>
              <w:spacing w:after="0"/>
              <w:rPr>
                <w:sz w:val="20"/>
                <w:szCs w:val="20"/>
                <w:color w:val="auto"/>
              </w:rPr>
            </w:pPr>
            <w:r>
              <w:rPr>
                <w:rFonts w:ascii="Arial" w:cs="Arial" w:eastAsia="Arial" w:hAnsi="Arial"/>
                <w:sz w:val="14"/>
                <w:szCs w:val="14"/>
                <w:color w:val="auto"/>
              </w:rPr>
              <w:t>and Directors</w:t>
            </w: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4080" w:type="dxa"/>
            <w:vAlign w:val="bottom"/>
            <w:vMerge w:val="restart"/>
          </w:tcPr>
          <w:p>
            <w:pPr>
              <w:ind w:left="420"/>
              <w:spacing w:after="0"/>
              <w:rPr>
                <w:sz w:val="20"/>
                <w:szCs w:val="20"/>
                <w:color w:val="auto"/>
              </w:rPr>
            </w:pPr>
            <w:r>
              <w:rPr>
                <w:rFonts w:ascii="Arial" w:cs="Arial" w:eastAsia="Arial" w:hAnsi="Arial"/>
                <w:sz w:val="14"/>
                <w:szCs w:val="14"/>
                <w:color w:val="auto"/>
              </w:rPr>
              <w:t>Committee Financial Experts”</w:t>
            </w: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60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4080" w:type="dxa"/>
            <w:vAlign w:val="bottom"/>
            <w:tcBorders>
              <w:bottom w:val="single" w:sz="8" w:color="1E295B"/>
            </w:tcBorders>
          </w:tcPr>
          <w:p>
            <w:pPr>
              <w:spacing w:after="0"/>
              <w:rPr>
                <w:sz w:val="11"/>
                <w:szCs w:val="11"/>
                <w:color w:val="auto"/>
              </w:rPr>
            </w:pPr>
          </w:p>
        </w:tc>
        <w:tc>
          <w:tcPr>
            <w:tcW w:w="3060" w:type="dxa"/>
            <w:vAlign w:val="bottom"/>
            <w:tcBorders>
              <w:bottom w:val="single" w:sz="8" w:color="1E295B"/>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3600" w:type="dxa"/>
            <w:vAlign w:val="bottom"/>
          </w:tcPr>
          <w:p>
            <w:pPr>
              <w:spacing w:after="0"/>
              <w:rPr>
                <w:sz w:val="24"/>
                <w:szCs w:val="24"/>
                <w:color w:val="auto"/>
              </w:rPr>
            </w:pPr>
          </w:p>
        </w:tc>
        <w:tc>
          <w:tcPr>
            <w:tcW w:w="4080" w:type="dxa"/>
            <w:vAlign w:val="bottom"/>
          </w:tcPr>
          <w:p>
            <w:pPr>
              <w:ind w:left="420"/>
              <w:spacing w:after="0"/>
              <w:rPr>
                <w:sz w:val="20"/>
                <w:szCs w:val="20"/>
                <w:color w:val="auto"/>
              </w:rPr>
            </w:pPr>
            <w:r>
              <w:rPr>
                <w:rFonts w:ascii="Arial" w:cs="Arial" w:eastAsia="Arial" w:hAnsi="Arial"/>
                <w:sz w:val="14"/>
                <w:szCs w:val="14"/>
                <w:color w:val="auto"/>
              </w:rPr>
              <w:t>Authority to Hire Independent Consultants and Experts</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69005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-1228725</wp:posOffset>
            </wp:positionV>
            <wp:extent cx="94615" cy="774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-1228725</wp:posOffset>
            </wp:positionV>
            <wp:extent cx="93980" cy="774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-902970</wp:posOffset>
            </wp:positionV>
            <wp:extent cx="94615" cy="76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-902970</wp:posOffset>
            </wp:positionV>
            <wp:extent cx="93980" cy="768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-474345</wp:posOffset>
            </wp:positionV>
            <wp:extent cx="94615" cy="768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-474345</wp:posOffset>
            </wp:positionV>
            <wp:extent cx="93980" cy="768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-97155</wp:posOffset>
            </wp:positionV>
            <wp:extent cx="94615"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615" cy="77470"/>
                    </a:xfrm>
                    <a:prstGeom prst="rect">
                      <a:avLst/>
                    </a:prstGeom>
                    <a:noFill/>
                  </pic:spPr>
                </pic:pic>
              </a:graphicData>
            </a:graphic>
          </wp:anchor>
        </w:drawing>
      </w:r>
    </w:p>
    <w:p>
      <w:pPr>
        <w:sectPr>
          <w:pgSz w:w="11900" w:h="16838" w:orient="portrait"/>
          <w:cols w:equalWidth="0" w:num="1">
            <w:col w:w="10880"/>
          </w:cols>
          <w:pgMar w:left="500" w:top="270" w:right="51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0"/>
        <w:spacing w:after="0"/>
        <w:rPr>
          <w:sz w:val="20"/>
          <w:szCs w:val="20"/>
          <w:color w:val="auto"/>
        </w:rPr>
      </w:pPr>
      <w:r>
        <w:rPr>
          <w:rFonts w:ascii="Arial" w:cs="Arial" w:eastAsia="Arial" w:hAnsi="Arial"/>
          <w:sz w:val="26"/>
          <w:szCs w:val="26"/>
          <w:color w:val="1E295B"/>
        </w:rPr>
        <w:t>Shareholder Rights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ind w:left="420"/>
              <w:spacing w:after="0"/>
              <w:rPr>
                <w:sz w:val="20"/>
                <w:szCs w:val="20"/>
                <w:color w:val="auto"/>
              </w:rPr>
            </w:pPr>
            <w:r>
              <w:rPr>
                <w:rFonts w:ascii="Arial" w:cs="Arial" w:eastAsia="Arial" w:hAnsi="Arial"/>
                <w:sz w:val="14"/>
                <w:szCs w:val="14"/>
                <w:color w:val="auto"/>
              </w:rPr>
              <w:t>Annual Election of all Directors</w:t>
            </w:r>
          </w:p>
        </w:tc>
        <w:tc>
          <w:tcPr>
            <w:tcW w:w="3120" w:type="dxa"/>
            <w:vAlign w:val="bottom"/>
          </w:tcPr>
          <w:p>
            <w:pPr>
              <w:ind w:left="260"/>
              <w:spacing w:after="0"/>
              <w:rPr>
                <w:sz w:val="20"/>
                <w:szCs w:val="20"/>
                <w:color w:val="auto"/>
              </w:rPr>
            </w:pPr>
            <w:r>
              <w:rPr>
                <w:rFonts w:ascii="Arial" w:cs="Arial" w:eastAsia="Arial" w:hAnsi="Arial"/>
                <w:sz w:val="14"/>
                <w:szCs w:val="14"/>
                <w:color w:val="auto"/>
              </w:rPr>
              <w:t>Majority Vote Standard for Director Elections</w:t>
            </w:r>
          </w:p>
        </w:tc>
        <w:tc>
          <w:tcPr>
            <w:tcW w:w="0" w:type="dxa"/>
            <w:vAlign w:val="bottom"/>
          </w:tcPr>
          <w:p>
            <w:pPr>
              <w:spacing w:after="0"/>
              <w:rPr>
                <w:sz w:val="1"/>
                <w:szCs w:val="1"/>
                <w:color w:val="auto"/>
              </w:rPr>
            </w:pPr>
          </w:p>
        </w:tc>
      </w:tr>
      <w:tr>
        <w:trPr>
          <w:trHeight w:val="129"/>
        </w:trPr>
        <w:tc>
          <w:tcPr>
            <w:tcW w:w="4020" w:type="dxa"/>
            <w:vAlign w:val="bottom"/>
            <w:tcBorders>
              <w:bottom w:val="single" w:sz="8" w:color="1E295B"/>
            </w:tcBorders>
          </w:tcPr>
          <w:p>
            <w:pPr>
              <w:spacing w:after="0"/>
              <w:rPr>
                <w:sz w:val="11"/>
                <w:szCs w:val="11"/>
                <w:color w:val="auto"/>
              </w:rPr>
            </w:pPr>
          </w:p>
        </w:tc>
        <w:tc>
          <w:tcPr>
            <w:tcW w:w="3120" w:type="dxa"/>
            <w:vAlign w:val="bottom"/>
            <w:tcBorders>
              <w:bottom w:val="single" w:sz="8" w:color="1E295B"/>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4020" w:type="dxa"/>
            <w:vAlign w:val="bottom"/>
          </w:tcPr>
          <w:p>
            <w:pPr>
              <w:ind w:left="420"/>
              <w:spacing w:after="0"/>
              <w:rPr>
                <w:sz w:val="20"/>
                <w:szCs w:val="20"/>
                <w:color w:val="auto"/>
              </w:rPr>
            </w:pPr>
            <w:r>
              <w:rPr>
                <w:rFonts w:ascii="Arial" w:cs="Arial" w:eastAsia="Arial" w:hAnsi="Arial"/>
                <w:sz w:val="14"/>
                <w:szCs w:val="14"/>
                <w:color w:val="auto"/>
              </w:rPr>
              <w:t>Each Share of Common Stock is Entitled</w:t>
            </w:r>
          </w:p>
        </w:tc>
        <w:tc>
          <w:tcPr>
            <w:tcW w:w="3120" w:type="dxa"/>
            <w:vAlign w:val="bottom"/>
          </w:tcPr>
          <w:p>
            <w:pPr>
              <w:ind w:left="260"/>
              <w:spacing w:after="0"/>
              <w:rPr>
                <w:sz w:val="20"/>
                <w:szCs w:val="20"/>
                <w:color w:val="auto"/>
              </w:rPr>
            </w:pPr>
            <w:r>
              <w:rPr>
                <w:rFonts w:ascii="Arial" w:cs="Arial" w:eastAsia="Arial" w:hAnsi="Arial"/>
                <w:sz w:val="14"/>
                <w:szCs w:val="14"/>
                <w:color w:val="auto"/>
              </w:rPr>
              <w:t>Shareholders of 10%+ Entitled to Call</w:t>
            </w:r>
          </w:p>
        </w:tc>
        <w:tc>
          <w:tcPr>
            <w:tcW w:w="0" w:type="dxa"/>
            <w:vAlign w:val="bottom"/>
          </w:tcPr>
          <w:p>
            <w:pPr>
              <w:spacing w:after="0"/>
              <w:rPr>
                <w:sz w:val="1"/>
                <w:szCs w:val="1"/>
                <w:color w:val="auto"/>
              </w:rPr>
            </w:pPr>
          </w:p>
        </w:tc>
      </w:tr>
      <w:tr>
        <w:trPr>
          <w:trHeight w:val="190"/>
        </w:trPr>
        <w:tc>
          <w:tcPr>
            <w:tcW w:w="4020" w:type="dxa"/>
            <w:vAlign w:val="bottom"/>
          </w:tcPr>
          <w:p>
            <w:pPr>
              <w:ind w:left="420"/>
              <w:spacing w:after="0"/>
              <w:rPr>
                <w:sz w:val="20"/>
                <w:szCs w:val="20"/>
                <w:color w:val="auto"/>
              </w:rPr>
            </w:pPr>
            <w:r>
              <w:rPr>
                <w:rFonts w:ascii="Arial" w:cs="Arial" w:eastAsia="Arial" w:hAnsi="Arial"/>
                <w:sz w:val="14"/>
                <w:szCs w:val="14"/>
                <w:color w:val="auto"/>
              </w:rPr>
              <w:t>to One Vote</w:t>
            </w:r>
          </w:p>
        </w:tc>
        <w:tc>
          <w:tcPr>
            <w:tcW w:w="3120" w:type="dxa"/>
            <w:vAlign w:val="bottom"/>
          </w:tcPr>
          <w:p>
            <w:pPr>
              <w:ind w:left="260"/>
              <w:spacing w:after="0"/>
              <w:rPr>
                <w:sz w:val="20"/>
                <w:szCs w:val="20"/>
                <w:color w:val="auto"/>
              </w:rPr>
            </w:pPr>
            <w:r>
              <w:rPr>
                <w:rFonts w:ascii="Arial" w:cs="Arial" w:eastAsia="Arial" w:hAnsi="Arial"/>
                <w:sz w:val="14"/>
                <w:szCs w:val="14"/>
                <w:color w:val="auto"/>
              </w:rPr>
              <w:t>Special Meetings</w:t>
            </w:r>
          </w:p>
        </w:tc>
        <w:tc>
          <w:tcPr>
            <w:tcW w:w="0" w:type="dxa"/>
            <w:vAlign w:val="bottom"/>
          </w:tcPr>
          <w:p>
            <w:pPr>
              <w:spacing w:after="0"/>
              <w:rPr>
                <w:sz w:val="1"/>
                <w:szCs w:val="1"/>
                <w:color w:val="auto"/>
              </w:rPr>
            </w:pPr>
          </w:p>
        </w:tc>
      </w:tr>
      <w:tr>
        <w:trPr>
          <w:trHeight w:val="130"/>
        </w:trPr>
        <w:tc>
          <w:tcPr>
            <w:tcW w:w="4020" w:type="dxa"/>
            <w:vAlign w:val="bottom"/>
            <w:tcBorders>
              <w:bottom w:val="single" w:sz="8" w:color="1E295B"/>
            </w:tcBorders>
          </w:tcPr>
          <w:p>
            <w:pPr>
              <w:spacing w:after="0"/>
              <w:rPr>
                <w:sz w:val="11"/>
                <w:szCs w:val="11"/>
                <w:color w:val="auto"/>
              </w:rPr>
            </w:pPr>
          </w:p>
        </w:tc>
        <w:tc>
          <w:tcPr>
            <w:tcW w:w="3120" w:type="dxa"/>
            <w:vAlign w:val="bottom"/>
            <w:tcBorders>
              <w:bottom w:val="single" w:sz="8" w:color="1E295B"/>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4020" w:type="dxa"/>
            <w:vAlign w:val="bottom"/>
          </w:tcPr>
          <w:p>
            <w:pPr>
              <w:ind w:left="420"/>
              <w:spacing w:after="0"/>
              <w:rPr>
                <w:sz w:val="20"/>
                <w:szCs w:val="20"/>
                <w:color w:val="auto"/>
              </w:rPr>
            </w:pPr>
            <w:r>
              <w:rPr>
                <w:rFonts w:ascii="Arial" w:cs="Arial" w:eastAsia="Arial" w:hAnsi="Arial"/>
                <w:sz w:val="14"/>
                <w:szCs w:val="14"/>
                <w:color w:val="auto"/>
              </w:rPr>
              <w:t>Annual Say-on-Pay Advisory</w:t>
            </w:r>
          </w:p>
        </w:tc>
        <w:tc>
          <w:tcPr>
            <w:tcW w:w="3120" w:type="dxa"/>
            <w:vAlign w:val="bottom"/>
            <w:vMerge w:val="restart"/>
          </w:tcPr>
          <w:p>
            <w:pPr>
              <w:ind w:left="260"/>
              <w:spacing w:after="0"/>
              <w:rPr>
                <w:sz w:val="20"/>
                <w:szCs w:val="20"/>
                <w:color w:val="auto"/>
              </w:rPr>
            </w:pPr>
            <w:r>
              <w:rPr>
                <w:rFonts w:ascii="Arial" w:cs="Arial" w:eastAsia="Arial" w:hAnsi="Arial"/>
                <w:sz w:val="14"/>
                <w:szCs w:val="14"/>
                <w:color w:val="auto"/>
              </w:rPr>
              <w:t>Open Communications with Directors</w:t>
            </w:r>
          </w:p>
        </w:tc>
        <w:tc>
          <w:tcPr>
            <w:tcW w:w="0" w:type="dxa"/>
            <w:vAlign w:val="bottom"/>
          </w:tcPr>
          <w:p>
            <w:pPr>
              <w:spacing w:after="0"/>
              <w:rPr>
                <w:sz w:val="1"/>
                <w:szCs w:val="1"/>
                <w:color w:val="auto"/>
              </w:rPr>
            </w:pPr>
          </w:p>
        </w:tc>
      </w:tr>
      <w:tr>
        <w:trPr>
          <w:trHeight w:val="109"/>
        </w:trPr>
        <w:tc>
          <w:tcPr>
            <w:tcW w:w="4020" w:type="dxa"/>
            <w:vAlign w:val="bottom"/>
            <w:vMerge w:val="restart"/>
          </w:tcPr>
          <w:p>
            <w:pPr>
              <w:ind w:left="420"/>
              <w:spacing w:after="0"/>
              <w:rPr>
                <w:sz w:val="20"/>
                <w:szCs w:val="20"/>
                <w:color w:val="auto"/>
              </w:rPr>
            </w:pPr>
            <w:r>
              <w:rPr>
                <w:rFonts w:ascii="Arial" w:cs="Arial" w:eastAsia="Arial" w:hAnsi="Arial"/>
                <w:sz w:val="14"/>
                <w:szCs w:val="14"/>
                <w:color w:val="auto"/>
              </w:rPr>
              <w:t>Vote</w:t>
            </w: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20" w:type="dxa"/>
            <w:vAlign w:val="bottom"/>
            <w:vMerge w:val="continue"/>
          </w:tcPr>
          <w:p>
            <w:pPr>
              <w:spacing w:after="0"/>
              <w:rPr>
                <w:sz w:val="7"/>
                <w:szCs w:val="7"/>
                <w:color w:val="auto"/>
              </w:rPr>
            </w:pP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20" w:type="dxa"/>
            <w:vAlign w:val="bottom"/>
            <w:tcBorders>
              <w:bottom w:val="single" w:sz="8" w:color="1E295B"/>
            </w:tcBorders>
          </w:tcPr>
          <w:p>
            <w:pPr>
              <w:spacing w:after="0"/>
              <w:rPr>
                <w:sz w:val="11"/>
                <w:szCs w:val="11"/>
                <w:color w:val="auto"/>
              </w:rPr>
            </w:pPr>
          </w:p>
        </w:tc>
        <w:tc>
          <w:tcPr>
            <w:tcW w:w="3120" w:type="dxa"/>
            <w:vAlign w:val="bottom"/>
            <w:tcBorders>
              <w:bottom w:val="single" w:sz="8" w:color="1E295B"/>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20" w:type="dxa"/>
            <w:vAlign w:val="bottom"/>
          </w:tcPr>
          <w:p>
            <w:pPr>
              <w:ind w:left="420"/>
              <w:spacing w:after="0"/>
              <w:rPr>
                <w:sz w:val="20"/>
                <w:szCs w:val="20"/>
                <w:color w:val="auto"/>
              </w:rPr>
            </w:pPr>
            <w:r>
              <w:rPr>
                <w:rFonts w:ascii="Arial" w:cs="Arial" w:eastAsia="Arial" w:hAnsi="Arial"/>
                <w:sz w:val="14"/>
                <w:szCs w:val="14"/>
                <w:color w:val="auto"/>
              </w:rPr>
              <w:t>Regular Outreach and Engagement of Shareholders</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82550</wp:posOffset>
            </wp:positionV>
            <wp:extent cx="69005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-1125855</wp:posOffset>
            </wp:positionV>
            <wp:extent cx="94615" cy="77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-1125855</wp:posOffset>
            </wp:positionV>
            <wp:extent cx="93980" cy="774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-800100</wp:posOffset>
            </wp:positionV>
            <wp:extent cx="94615" cy="768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-800100</wp:posOffset>
            </wp:positionV>
            <wp:extent cx="93980" cy="768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-422910</wp:posOffset>
            </wp:positionV>
            <wp:extent cx="94615" cy="76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-422910</wp:posOffset>
            </wp:positionV>
            <wp:extent cx="93980" cy="76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-97155</wp:posOffset>
            </wp:positionV>
            <wp:extent cx="94615" cy="768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76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140"/>
          </w:cols>
          <w:pgMar w:left="500" w:top="270" w:right="519" w:bottom="1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Arial" w:cs="Arial" w:eastAsia="Arial" w:hAnsi="Arial"/>
          <w:sz w:val="26"/>
          <w:szCs w:val="26"/>
          <w:color w:val="1E295B"/>
        </w:rPr>
        <w:t>Compensation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ind w:left="420"/>
              <w:spacing w:after="0"/>
              <w:rPr>
                <w:sz w:val="20"/>
                <w:szCs w:val="20"/>
                <w:color w:val="auto"/>
              </w:rPr>
            </w:pPr>
            <w:r>
              <w:rPr>
                <w:rFonts w:ascii="Arial" w:cs="Arial" w:eastAsia="Arial" w:hAnsi="Arial"/>
                <w:sz w:val="14"/>
                <w:szCs w:val="14"/>
                <w:color w:val="auto"/>
              </w:rPr>
              <w:t>Pay-for-Performance Philosophy</w:t>
            </w:r>
          </w:p>
        </w:tc>
        <w:tc>
          <w:tcPr>
            <w:tcW w:w="3740" w:type="dxa"/>
            <w:vAlign w:val="bottom"/>
          </w:tcPr>
          <w:p>
            <w:pPr>
              <w:ind w:left="880"/>
              <w:spacing w:after="0"/>
              <w:rPr>
                <w:sz w:val="20"/>
                <w:szCs w:val="20"/>
                <w:color w:val="auto"/>
              </w:rPr>
            </w:pPr>
            <w:r>
              <w:rPr>
                <w:rFonts w:ascii="Arial" w:cs="Arial" w:eastAsia="Arial" w:hAnsi="Arial"/>
                <w:sz w:val="14"/>
                <w:szCs w:val="14"/>
                <w:color w:val="auto"/>
              </w:rPr>
              <w:t>Stock Ownership Policy for Directors and</w:t>
            </w:r>
          </w:p>
        </w:tc>
        <w:tc>
          <w:tcPr>
            <w:tcW w:w="0" w:type="dxa"/>
            <w:vAlign w:val="bottom"/>
          </w:tcPr>
          <w:p>
            <w:pPr>
              <w:spacing w:after="0"/>
              <w:rPr>
                <w:sz w:val="1"/>
                <w:szCs w:val="1"/>
                <w:color w:val="auto"/>
              </w:rPr>
            </w:pPr>
          </w:p>
        </w:tc>
      </w:tr>
      <w:tr>
        <w:trPr>
          <w:trHeight w:val="190"/>
        </w:trPr>
        <w:tc>
          <w:tcPr>
            <w:tcW w:w="3400" w:type="dxa"/>
            <w:vAlign w:val="bottom"/>
          </w:tcPr>
          <w:p>
            <w:pPr>
              <w:ind w:left="420"/>
              <w:spacing w:after="0"/>
              <w:rPr>
                <w:sz w:val="20"/>
                <w:szCs w:val="20"/>
                <w:color w:val="auto"/>
              </w:rPr>
            </w:pPr>
            <w:r>
              <w:rPr>
                <w:rFonts w:ascii="Arial" w:cs="Arial" w:eastAsia="Arial" w:hAnsi="Arial"/>
                <w:sz w:val="14"/>
                <w:szCs w:val="14"/>
                <w:color w:val="auto"/>
              </w:rPr>
              <w:t>Guides Executive Compensation</w:t>
            </w:r>
          </w:p>
        </w:tc>
        <w:tc>
          <w:tcPr>
            <w:tcW w:w="3740" w:type="dxa"/>
            <w:vAlign w:val="bottom"/>
          </w:tcPr>
          <w:p>
            <w:pPr>
              <w:ind w:left="880"/>
              <w:spacing w:after="0"/>
              <w:rPr>
                <w:sz w:val="20"/>
                <w:szCs w:val="20"/>
                <w:color w:val="auto"/>
              </w:rPr>
            </w:pPr>
            <w:r>
              <w:rPr>
                <w:rFonts w:ascii="Arial" w:cs="Arial" w:eastAsia="Arial" w:hAnsi="Arial"/>
                <w:sz w:val="14"/>
                <w:szCs w:val="14"/>
                <w:color w:val="auto"/>
              </w:rPr>
              <w:t>Executive Officers</w:t>
            </w:r>
          </w:p>
        </w:tc>
        <w:tc>
          <w:tcPr>
            <w:tcW w:w="0" w:type="dxa"/>
            <w:vAlign w:val="bottom"/>
          </w:tcPr>
          <w:p>
            <w:pPr>
              <w:spacing w:after="0"/>
              <w:rPr>
                <w:sz w:val="1"/>
                <w:szCs w:val="1"/>
                <w:color w:val="auto"/>
              </w:rPr>
            </w:pPr>
          </w:p>
        </w:tc>
      </w:tr>
      <w:tr>
        <w:trPr>
          <w:trHeight w:val="130"/>
        </w:trPr>
        <w:tc>
          <w:tcPr>
            <w:tcW w:w="3400" w:type="dxa"/>
            <w:vAlign w:val="bottom"/>
            <w:tcBorders>
              <w:bottom w:val="single" w:sz="8" w:color="1E295B"/>
            </w:tcBorders>
          </w:tcPr>
          <w:p>
            <w:pPr>
              <w:spacing w:after="0"/>
              <w:rPr>
                <w:sz w:val="11"/>
                <w:szCs w:val="11"/>
                <w:color w:val="auto"/>
              </w:rPr>
            </w:pPr>
          </w:p>
        </w:tc>
        <w:tc>
          <w:tcPr>
            <w:tcW w:w="3740" w:type="dxa"/>
            <w:vAlign w:val="bottom"/>
            <w:tcBorders>
              <w:bottom w:val="single" w:sz="8" w:color="1E295B"/>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400" w:type="dxa"/>
            <w:vAlign w:val="bottom"/>
          </w:tcPr>
          <w:p>
            <w:pPr>
              <w:ind w:left="420"/>
              <w:spacing w:after="0"/>
              <w:rPr>
                <w:sz w:val="20"/>
                <w:szCs w:val="20"/>
                <w:color w:val="auto"/>
              </w:rPr>
            </w:pPr>
            <w:r>
              <w:rPr>
                <w:rFonts w:ascii="Arial" w:cs="Arial" w:eastAsia="Arial" w:hAnsi="Arial"/>
                <w:sz w:val="14"/>
                <w:szCs w:val="14"/>
                <w:color w:val="auto"/>
              </w:rPr>
              <w:t>Executive Compensation</w:t>
            </w:r>
          </w:p>
        </w:tc>
        <w:tc>
          <w:tcPr>
            <w:tcW w:w="3740" w:type="dxa"/>
            <w:vAlign w:val="bottom"/>
            <w:vMerge w:val="restart"/>
          </w:tcPr>
          <w:p>
            <w:pPr>
              <w:ind w:left="880"/>
              <w:spacing w:after="0"/>
              <w:rPr>
                <w:sz w:val="20"/>
                <w:szCs w:val="20"/>
                <w:color w:val="auto"/>
              </w:rPr>
            </w:pPr>
            <w:r>
              <w:rPr>
                <w:rFonts w:ascii="Arial" w:cs="Arial" w:eastAsia="Arial" w:hAnsi="Arial"/>
                <w:sz w:val="14"/>
                <w:szCs w:val="14"/>
                <w:color w:val="auto"/>
              </w:rPr>
              <w:t>Hedging and Pledging Policies</w:t>
            </w:r>
          </w:p>
        </w:tc>
        <w:tc>
          <w:tcPr>
            <w:tcW w:w="0" w:type="dxa"/>
            <w:vAlign w:val="bottom"/>
          </w:tcPr>
          <w:p>
            <w:pPr>
              <w:spacing w:after="0"/>
              <w:rPr>
                <w:sz w:val="1"/>
                <w:szCs w:val="1"/>
                <w:color w:val="auto"/>
              </w:rPr>
            </w:pPr>
          </w:p>
        </w:tc>
      </w:tr>
      <w:tr>
        <w:trPr>
          <w:trHeight w:val="109"/>
        </w:trPr>
        <w:tc>
          <w:tcPr>
            <w:tcW w:w="3400" w:type="dxa"/>
            <w:vAlign w:val="bottom"/>
            <w:vMerge w:val="restart"/>
          </w:tcPr>
          <w:p>
            <w:pPr>
              <w:ind w:left="420"/>
              <w:spacing w:after="0"/>
              <w:rPr>
                <w:sz w:val="20"/>
                <w:szCs w:val="20"/>
                <w:color w:val="auto"/>
              </w:rPr>
            </w:pPr>
            <w:r>
              <w:rPr>
                <w:rFonts w:ascii="Arial" w:cs="Arial" w:eastAsia="Arial" w:hAnsi="Arial"/>
                <w:sz w:val="14"/>
                <w:szCs w:val="14"/>
                <w:color w:val="auto"/>
              </w:rPr>
              <w:t>Clawback Policy</w:t>
            </w: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00" w:type="dxa"/>
            <w:vAlign w:val="bottom"/>
            <w:vMerge w:val="continue"/>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45262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26280" cy="889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-525780</wp:posOffset>
            </wp:positionV>
            <wp:extent cx="94615" cy="774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-525780</wp:posOffset>
            </wp:positionV>
            <wp:extent cx="93980" cy="774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-148590</wp:posOffset>
            </wp:positionV>
            <wp:extent cx="94615" cy="774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-148590</wp:posOffset>
            </wp:positionV>
            <wp:extent cx="93980" cy="77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140"/>
          </w:cols>
          <w:pgMar w:left="500" w:top="270" w:right="519" w:bottom="1149" w:gutter="0" w:footer="0" w:header="0"/>
          <w:type w:val="continuous"/>
        </w:sectPr>
      </w:pPr>
    </w:p>
    <w:p>
      <w:pPr>
        <w:spacing w:after="0" w:line="42" w:lineRule="exact"/>
        <w:rPr>
          <w:sz w:val="20"/>
          <w:szCs w:val="20"/>
          <w:color w:val="auto"/>
        </w:rPr>
      </w:pPr>
    </w:p>
    <w:p>
      <w:pPr>
        <w:ind w:left="4160" w:right="1640"/>
        <w:spacing w:after="0" w:line="285" w:lineRule="auto"/>
        <w:rPr>
          <w:sz w:val="20"/>
          <w:szCs w:val="20"/>
          <w:color w:val="auto"/>
        </w:rPr>
      </w:pPr>
      <w:r>
        <w:rPr>
          <w:rFonts w:ascii="Arial" w:cs="Arial" w:eastAsia="Arial" w:hAnsi="Arial"/>
          <w:sz w:val="14"/>
          <w:szCs w:val="14"/>
          <w:color w:val="auto"/>
        </w:rPr>
        <w:t>Independent Compensation Consultant Engaged by Compensation, People and Culture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69005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-167640</wp:posOffset>
            </wp:positionV>
            <wp:extent cx="94615" cy="768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615" cy="76835"/>
                    </a:xfrm>
                    <a:prstGeom prst="rect">
                      <a:avLst/>
                    </a:prstGeom>
                    <a:noFill/>
                  </pic:spPr>
                </pic:pic>
              </a:graphicData>
            </a:graphic>
          </wp:anchor>
        </w:drawing>
      </w:r>
    </w:p>
    <w:p>
      <w:pPr>
        <w:sectPr>
          <w:pgSz w:w="11900" w:h="16838" w:orient="portrait"/>
          <w:cols w:equalWidth="0" w:num="1">
            <w:col w:w="10880"/>
          </w:cols>
          <w:pgMar w:left="500" w:top="270" w:right="519" w:bottom="1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Arial" w:cs="Arial" w:eastAsia="Arial" w:hAnsi="Arial"/>
          <w:sz w:val="26"/>
          <w:szCs w:val="26"/>
          <w:color w:val="1E295B"/>
        </w:rPr>
        <w:t>Strategy and Risk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580" w:type="dxa"/>
            <w:vAlign w:val="bottom"/>
            <w:vMerge w:val="restart"/>
          </w:tcPr>
          <w:p>
            <w:pPr>
              <w:ind w:left="420"/>
              <w:spacing w:after="0"/>
              <w:rPr>
                <w:sz w:val="20"/>
                <w:szCs w:val="20"/>
                <w:color w:val="auto"/>
              </w:rPr>
            </w:pPr>
            <w:r>
              <w:rPr>
                <w:rFonts w:ascii="Arial" w:cs="Arial" w:eastAsia="Arial" w:hAnsi="Arial"/>
                <w:sz w:val="14"/>
                <w:szCs w:val="14"/>
                <w:color w:val="auto"/>
              </w:rPr>
              <w:t>Company Strategy Oversight by Board</w:t>
            </w:r>
          </w:p>
        </w:tc>
        <w:tc>
          <w:tcPr>
            <w:tcW w:w="3560" w:type="dxa"/>
            <w:vAlign w:val="bottom"/>
          </w:tcPr>
          <w:p>
            <w:pPr>
              <w:ind w:left="700"/>
              <w:spacing w:after="0"/>
              <w:rPr>
                <w:sz w:val="20"/>
                <w:szCs w:val="20"/>
                <w:color w:val="auto"/>
              </w:rPr>
            </w:pPr>
            <w:r>
              <w:rPr>
                <w:rFonts w:ascii="Arial" w:cs="Arial" w:eastAsia="Arial" w:hAnsi="Arial"/>
                <w:sz w:val="14"/>
                <w:szCs w:val="14"/>
                <w:color w:val="auto"/>
              </w:rPr>
              <w:t>Risk Oversight by Board and Committees</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3560" w:type="dxa"/>
            <w:vAlign w:val="bottom"/>
            <w:vMerge w:val="restart"/>
          </w:tcPr>
          <w:p>
            <w:pPr>
              <w:ind w:left="700"/>
              <w:spacing w:after="0"/>
              <w:rPr>
                <w:sz w:val="20"/>
                <w:szCs w:val="20"/>
                <w:color w:val="auto"/>
              </w:rPr>
            </w:pPr>
            <w:r>
              <w:rPr>
                <w:rFonts w:ascii="Arial" w:cs="Arial" w:eastAsia="Arial" w:hAnsi="Arial"/>
                <w:sz w:val="14"/>
                <w:szCs w:val="14"/>
                <w:color w:val="auto"/>
              </w:rPr>
              <w:t>Aligned with Company Strategy</w:t>
            </w: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580" w:type="dxa"/>
            <w:vAlign w:val="bottom"/>
            <w:tcBorders>
              <w:bottom w:val="single" w:sz="8" w:color="1E295B"/>
            </w:tcBorders>
          </w:tcPr>
          <w:p>
            <w:pPr>
              <w:spacing w:after="0"/>
              <w:rPr>
                <w:sz w:val="11"/>
                <w:szCs w:val="11"/>
                <w:color w:val="auto"/>
              </w:rPr>
            </w:pPr>
          </w:p>
        </w:tc>
        <w:tc>
          <w:tcPr>
            <w:tcW w:w="3560" w:type="dxa"/>
            <w:vAlign w:val="bottom"/>
            <w:tcBorders>
              <w:bottom w:val="single" w:sz="8" w:color="1E295B"/>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580" w:type="dxa"/>
            <w:vAlign w:val="bottom"/>
          </w:tcPr>
          <w:p>
            <w:pPr>
              <w:ind w:left="420"/>
              <w:spacing w:after="0"/>
              <w:rPr>
                <w:sz w:val="20"/>
                <w:szCs w:val="20"/>
                <w:color w:val="auto"/>
              </w:rPr>
            </w:pPr>
            <w:r>
              <w:rPr>
                <w:rFonts w:ascii="Arial" w:cs="Arial" w:eastAsia="Arial" w:hAnsi="Arial"/>
                <w:sz w:val="14"/>
                <w:szCs w:val="14"/>
                <w:color w:val="auto"/>
              </w:rPr>
              <w:t>Regular Risk Management</w:t>
            </w:r>
          </w:p>
        </w:tc>
        <w:tc>
          <w:tcPr>
            <w:tcW w:w="3560" w:type="dxa"/>
            <w:vAlign w:val="bottom"/>
            <w:vMerge w:val="restart"/>
          </w:tcPr>
          <w:p>
            <w:pPr>
              <w:ind w:left="700"/>
              <w:spacing w:after="0"/>
              <w:rPr>
                <w:sz w:val="20"/>
                <w:szCs w:val="20"/>
                <w:color w:val="auto"/>
              </w:rPr>
            </w:pPr>
            <w:r>
              <w:rPr>
                <w:rFonts w:ascii="Arial" w:cs="Arial" w:eastAsia="Arial" w:hAnsi="Arial"/>
                <w:sz w:val="14"/>
                <w:szCs w:val="14"/>
                <w:color w:val="auto"/>
              </w:rPr>
              <w:t>Compensation Program Designed to</w:t>
            </w:r>
          </w:p>
        </w:tc>
        <w:tc>
          <w:tcPr>
            <w:tcW w:w="0" w:type="dxa"/>
            <w:vAlign w:val="bottom"/>
          </w:tcPr>
          <w:p>
            <w:pPr>
              <w:spacing w:after="0"/>
              <w:rPr>
                <w:sz w:val="1"/>
                <w:szCs w:val="1"/>
                <w:color w:val="auto"/>
              </w:rPr>
            </w:pPr>
          </w:p>
        </w:tc>
      </w:tr>
      <w:tr>
        <w:trPr>
          <w:trHeight w:val="81"/>
        </w:trPr>
        <w:tc>
          <w:tcPr>
            <w:tcW w:w="3580" w:type="dxa"/>
            <w:vAlign w:val="bottom"/>
            <w:vMerge w:val="restart"/>
          </w:tcPr>
          <w:p>
            <w:pPr>
              <w:ind w:left="420"/>
              <w:spacing w:after="0"/>
              <w:rPr>
                <w:sz w:val="20"/>
                <w:szCs w:val="20"/>
                <w:color w:val="auto"/>
              </w:rPr>
            </w:pPr>
            <w:r>
              <w:rPr>
                <w:rFonts w:ascii="Arial" w:cs="Arial" w:eastAsia="Arial" w:hAnsi="Arial"/>
                <w:sz w:val="14"/>
                <w:szCs w:val="14"/>
                <w:color w:val="auto"/>
              </w:rPr>
              <w:t>Reports to Board and</w:t>
            </w:r>
          </w:p>
        </w:tc>
        <w:tc>
          <w:tcPr>
            <w:tcW w:w="3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80" w:type="dxa"/>
            <w:vAlign w:val="bottom"/>
            <w:vMerge w:val="continue"/>
          </w:tcPr>
          <w:p>
            <w:pPr>
              <w:spacing w:after="0"/>
              <w:rPr>
                <w:sz w:val="7"/>
                <w:szCs w:val="7"/>
                <w:color w:val="auto"/>
              </w:rPr>
            </w:pPr>
          </w:p>
        </w:tc>
        <w:tc>
          <w:tcPr>
            <w:tcW w:w="3560" w:type="dxa"/>
            <w:vAlign w:val="bottom"/>
            <w:vMerge w:val="restart"/>
          </w:tcPr>
          <w:p>
            <w:pPr>
              <w:ind w:left="700"/>
              <w:spacing w:after="0"/>
              <w:rPr>
                <w:sz w:val="20"/>
                <w:szCs w:val="20"/>
                <w:color w:val="auto"/>
              </w:rPr>
            </w:pPr>
            <w:r>
              <w:rPr>
                <w:rFonts w:ascii="Arial" w:cs="Arial" w:eastAsia="Arial" w:hAnsi="Arial"/>
                <w:sz w:val="14"/>
                <w:szCs w:val="14"/>
                <w:color w:val="auto"/>
              </w:rPr>
              <w:t>Reduce Undue Risk</w:t>
            </w:r>
          </w:p>
        </w:tc>
        <w:tc>
          <w:tcPr>
            <w:tcW w:w="0" w:type="dxa"/>
            <w:vAlign w:val="bottom"/>
          </w:tcPr>
          <w:p>
            <w:pPr>
              <w:spacing w:after="0"/>
              <w:rPr>
                <w:sz w:val="1"/>
                <w:szCs w:val="1"/>
                <w:color w:val="auto"/>
              </w:rPr>
            </w:pPr>
          </w:p>
        </w:tc>
      </w:tr>
      <w:tr>
        <w:trPr>
          <w:trHeight w:val="109"/>
        </w:trPr>
        <w:tc>
          <w:tcPr>
            <w:tcW w:w="3580" w:type="dxa"/>
            <w:vAlign w:val="bottom"/>
            <w:vMerge w:val="restart"/>
          </w:tcPr>
          <w:p>
            <w:pPr>
              <w:ind w:left="420"/>
              <w:spacing w:after="0"/>
              <w:rPr>
                <w:sz w:val="20"/>
                <w:szCs w:val="20"/>
                <w:color w:val="auto"/>
              </w:rPr>
            </w:pPr>
            <w:r>
              <w:rPr>
                <w:rFonts w:ascii="Arial" w:cs="Arial" w:eastAsia="Arial" w:hAnsi="Arial"/>
                <w:sz w:val="14"/>
                <w:szCs w:val="14"/>
                <w:color w:val="auto"/>
              </w:rPr>
              <w:t>Committees</w:t>
            </w:r>
          </w:p>
        </w:tc>
        <w:tc>
          <w:tcPr>
            <w:tcW w:w="3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80" w:type="dxa"/>
            <w:vAlign w:val="bottom"/>
            <w:vMerge w:val="continue"/>
          </w:tcPr>
          <w:p>
            <w:pPr>
              <w:spacing w:after="0"/>
              <w:rPr>
                <w:sz w:val="7"/>
                <w:szCs w:val="7"/>
                <w:color w:val="auto"/>
              </w:rPr>
            </w:pPr>
          </w:p>
        </w:tc>
        <w:tc>
          <w:tcPr>
            <w:tcW w:w="3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580" w:type="dxa"/>
            <w:vAlign w:val="bottom"/>
            <w:tcBorders>
              <w:bottom w:val="single" w:sz="8" w:color="1E295B"/>
            </w:tcBorders>
          </w:tcPr>
          <w:p>
            <w:pPr>
              <w:spacing w:after="0"/>
              <w:rPr>
                <w:sz w:val="11"/>
                <w:szCs w:val="11"/>
                <w:color w:val="auto"/>
              </w:rPr>
            </w:pPr>
          </w:p>
        </w:tc>
        <w:tc>
          <w:tcPr>
            <w:tcW w:w="3560" w:type="dxa"/>
            <w:vAlign w:val="bottom"/>
            <w:tcBorders>
              <w:bottom w:val="single" w:sz="8" w:color="1E295B"/>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580" w:type="dxa"/>
            <w:vAlign w:val="bottom"/>
          </w:tcPr>
          <w:p>
            <w:pPr>
              <w:ind w:left="420"/>
              <w:spacing w:after="0"/>
              <w:rPr>
                <w:sz w:val="20"/>
                <w:szCs w:val="20"/>
                <w:color w:val="auto"/>
              </w:rPr>
            </w:pPr>
            <w:r>
              <w:rPr>
                <w:rFonts w:ascii="Arial" w:cs="Arial" w:eastAsia="Arial" w:hAnsi="Arial"/>
                <w:sz w:val="14"/>
                <w:szCs w:val="14"/>
                <w:color w:val="auto"/>
              </w:rPr>
              <w:t>Annual Strategy Planning Meeting</w:t>
            </w:r>
          </w:p>
        </w:tc>
        <w:tc>
          <w:tcPr>
            <w:tcW w:w="3560" w:type="dxa"/>
            <w:vAlign w:val="bottom"/>
          </w:tcPr>
          <w:p>
            <w:pPr>
              <w:ind w:left="700"/>
              <w:spacing w:after="0"/>
              <w:rPr>
                <w:sz w:val="20"/>
                <w:szCs w:val="20"/>
                <w:color w:val="auto"/>
              </w:rPr>
            </w:pPr>
            <w:r>
              <w:rPr>
                <w:rFonts w:ascii="Arial" w:cs="Arial" w:eastAsia="Arial" w:hAnsi="Arial"/>
                <w:sz w:val="14"/>
                <w:szCs w:val="14"/>
                <w:color w:val="auto"/>
              </w:rPr>
              <w:t>Board Oversight of Chief Executive Officer</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3560" w:type="dxa"/>
            <w:vAlign w:val="bottom"/>
          </w:tcPr>
          <w:p>
            <w:pPr>
              <w:ind w:left="700"/>
              <w:spacing w:after="0"/>
              <w:rPr>
                <w:sz w:val="20"/>
                <w:szCs w:val="20"/>
                <w:color w:val="auto"/>
              </w:rPr>
            </w:pPr>
            <w:r>
              <w:rPr>
                <w:rFonts w:ascii="Arial" w:cs="Arial" w:eastAsia="Arial" w:hAnsi="Arial"/>
                <w:sz w:val="14"/>
                <w:szCs w:val="14"/>
                <w:color w:val="auto"/>
              </w:rPr>
              <w:t>and Management Succession Planning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82550</wp:posOffset>
            </wp:positionV>
            <wp:extent cx="69005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-1005840</wp:posOffset>
            </wp:positionV>
            <wp:extent cx="94615" cy="768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-1005840</wp:posOffset>
            </wp:positionV>
            <wp:extent cx="93980" cy="768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-577215</wp:posOffset>
            </wp:positionV>
            <wp:extent cx="94615" cy="768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-577215</wp:posOffset>
            </wp:positionV>
            <wp:extent cx="93980" cy="76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-217170</wp:posOffset>
            </wp:positionV>
            <wp:extent cx="94615"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-148590</wp:posOffset>
            </wp:positionV>
            <wp:extent cx="93980" cy="768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76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140"/>
          </w:cols>
          <w:pgMar w:left="500" w:top="270" w:right="519" w:bottom="1149" w:gutter="0" w:footer="0" w:header="0"/>
          <w:type w:val="continuous"/>
        </w:sectPr>
      </w:pPr>
    </w:p>
    <w:p>
      <w:pPr>
        <w:spacing w:after="0" w:line="115" w:lineRule="exact"/>
        <w:rPr>
          <w:sz w:val="20"/>
          <w:szCs w:val="20"/>
          <w:color w:val="auto"/>
        </w:rPr>
      </w:pPr>
    </w:p>
    <w:p>
      <w:pPr>
        <w:ind w:right="2080"/>
        <w:spacing w:after="0" w:line="287" w:lineRule="auto"/>
        <w:rPr>
          <w:sz w:val="20"/>
          <w:szCs w:val="20"/>
          <w:color w:val="auto"/>
        </w:rPr>
      </w:pPr>
      <w:r>
        <w:rPr>
          <w:rFonts w:ascii="Arial" w:cs="Arial" w:eastAsia="Arial" w:hAnsi="Arial"/>
          <w:sz w:val="32"/>
          <w:szCs w:val="32"/>
          <w:b w:val="1"/>
          <w:bCs w:val="1"/>
          <w:color w:val="67686B"/>
        </w:rPr>
        <w:t>Board Responsibilities, Leadership Structure and Role in Risk Oversight</w:t>
      </w:r>
    </w:p>
    <w:p>
      <w:pPr>
        <w:ind w:right="20"/>
        <w:spacing w:after="0" w:line="286" w:lineRule="auto"/>
        <w:rPr>
          <w:sz w:val="20"/>
          <w:szCs w:val="20"/>
          <w:color w:val="auto"/>
        </w:rPr>
      </w:pPr>
      <w:r>
        <w:rPr>
          <w:rFonts w:ascii="Arial" w:cs="Arial" w:eastAsia="Arial" w:hAnsi="Arial"/>
          <w:sz w:val="16"/>
          <w:szCs w:val="16"/>
          <w:color w:val="auto"/>
        </w:rPr>
        <w:t>The Board oversees, counsels and directs management in promoting the long-term interests of the Company and our shareholders. The Board’s responsibilities include:</w:t>
      </w:r>
    </w:p>
    <w:p>
      <w:pPr>
        <w:spacing w:after="0" w:line="7"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determining the appropriate structure for the senior leadership of the Company;</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selecting and evaluating the performance of the CEO;</w:t>
      </w:r>
    </w:p>
    <w:p>
      <w:pPr>
        <w:spacing w:after="0" w:line="86" w:lineRule="exact"/>
        <w:rPr>
          <w:rFonts w:ascii="Arial" w:cs="Arial" w:eastAsia="Arial" w:hAnsi="Arial"/>
          <w:sz w:val="16"/>
          <w:szCs w:val="16"/>
          <w:color w:val="auto"/>
        </w:rPr>
      </w:pPr>
    </w:p>
    <w:p>
      <w:pPr>
        <w:ind w:left="200" w:right="20" w:hanging="192"/>
        <w:spacing w:after="0" w:line="286" w:lineRule="auto"/>
        <w:tabs>
          <w:tab w:leader="none" w:pos="2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planning for succession with respect to the position of the CEO and monitoring and providing input with respect to management’s succession planning for other senior executives;</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and approving our major financial objectives, our strategic and operational plans and other significant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101981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149"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CORPORATE GOVERNANCE</w:t>
      </w:r>
    </w:p>
    <w:p>
      <w:pPr>
        <w:spacing w:after="0" w:line="75"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monitoring the conduct of our business and the assessment of our business risks to promote the proper management of the business;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overseeing the management of cybersecurity, including oversight of appropriate risk mitigation strategies, systems, processes and controls; and</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overseeing the processes for maintaining integrity with regard to our financial statements and other public disclosures, and compliance with laws and our Codes of Business Conduct and Ethics.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At this time, the Board believes different people should hold the positions of Chairman and CEO, as this may strengthen corporate governance, aid in the Board’s oversight of management and aid in the Board’s oversight and management of risk. Currently, Brad Tilden serves as Chairman and Erik Nordstrom serves as the CEO. The CEO is responsible for day-to-day leadership and performance of the Company, while the Chairman provides guidance to the CEO and presides over the full Board.</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full Board has primary responsibility for oversight of risk management and has assigned to the Board’s standing Committees the task of focusing on the specific risks inherent in their respective areas of oversight. The full Board:</w:t>
      </w:r>
    </w:p>
    <w:p>
      <w:pPr>
        <w:spacing w:after="0" w:line="21"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considers and determines the Company’s risk appetite, which is the amount of risk the organization is willing to accept;</w:t>
      </w:r>
    </w:p>
    <w:p>
      <w:pPr>
        <w:spacing w:after="0" w:line="72" w:lineRule="exact"/>
        <w:rPr>
          <w:rFonts w:ascii="Arial" w:cs="Arial" w:eastAsia="Arial" w:hAnsi="Arial"/>
          <w:sz w:val="16"/>
          <w:szCs w:val="16"/>
          <w:color w:val="auto"/>
        </w:rPr>
      </w:pPr>
    </w:p>
    <w:p>
      <w:pPr>
        <w:ind w:left="200" w:right="20" w:hanging="192"/>
        <w:spacing w:after="0" w:line="286" w:lineRule="auto"/>
        <w:tabs>
          <w:tab w:leader="none" w:pos="2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oversees management’s implementation of an appropriate system to manage risks (i.e., to identify, assess, mitigate, monitor and communicate these risks) and monitors the effectiveness of this process as the business environment changes;</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provides risk oversight through the Board’s committee structure and processes; and</w:t>
      </w:r>
    </w:p>
    <w:p>
      <w:pPr>
        <w:spacing w:after="0" w:line="86"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directly manages certain risks, in particular, the risks associated with the Company’s strategic direction, which are reviewed at an annual strategy planning meeting and periodically throughout the year.</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 has a comprehensive, structured approach to managing risks, which are identified, assessed, prioritized and managed at all levels within the Company through an enterprise risk management process which is aligned with the Company’s strategy. Within this framework, management is responsible for assessing and managing the Company’s exposure to risks. Management regularly reports on risks to the relevant Committee or the Board. The Board and its Committees discuss the various risks confronting the Company throughout the year, particularly when reviewing operating and strategic plans and when considering specific actions for approval. The risks are classified into four major categories: Strategic, Compliance, Operational and Financial, and are mapped for appropriate management and Board (and Committee) oversight.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Through the risk oversight process, the Board:</w:t>
      </w:r>
    </w:p>
    <w:p>
      <w:pPr>
        <w:spacing w:after="0" w:line="73"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obtains an understanding of the risks inherent in the Company’s strategy and management’s execution of the strategy within the agreed risk appetite;</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accesses useful information from internal and external sources about the critical assumptions underlying the strategy;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 alert for possible dysfunctional behavior within the organization which might lead to excessive risk taking;</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provides input to executive management regarding critical risk issues on a timely basis; and</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encourages open communication and appropriate escalation of reporting of risk throughout the enterprise, striving to ensure that risk management is part of the corporate culture.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Board’s leadership structure and the collective knowledge and experience of its members promotes a broad perspective, open dialogue and useful insights regarding risk, thereby increasing the effectiveness of the Board’s role in risk oversight.</w:t>
      </w:r>
    </w:p>
    <w:p>
      <w:pPr>
        <w:spacing w:after="0" w:line="18"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Board Oversight of ESG Issues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views effective oversight and management of ESG issues and their associated risks as vital to the Company’s ability to execute its business strategy and achieve sustainable long-term growth. The Board coordinates with its Committees to provide active Board and Committee level oversight of the Company’s ESG risks. Specifically:</w:t>
      </w:r>
    </w:p>
    <w:p>
      <w:pPr>
        <w:sectPr>
          <w:pgSz w:w="11900" w:h="16838" w:orient="portrait"/>
          <w:cols w:equalWidth="0" w:num="1">
            <w:col w:w="10880"/>
          </w:cols>
          <w:pgMar w:left="500" w:top="270" w:right="519" w:bottom="1440" w:gutter="0" w:footer="0" w:header="0"/>
        </w:sectPr>
      </w:pPr>
    </w:p>
    <w:p>
      <w:pPr>
        <w:spacing w:after="0" w:line="227" w:lineRule="exact"/>
        <w:rPr>
          <w:sz w:val="20"/>
          <w:szCs w:val="20"/>
          <w:color w:val="auto"/>
        </w:rPr>
      </w:pPr>
    </w:p>
    <w:p>
      <w:pPr>
        <w:jc w:val="center"/>
        <w:ind w:left="420" w:right="42"/>
        <w:spacing w:after="0" w:line="258" w:lineRule="auto"/>
        <w:rPr>
          <w:sz w:val="20"/>
          <w:szCs w:val="20"/>
          <w:color w:val="auto"/>
        </w:rPr>
      </w:pPr>
      <w:r>
        <w:rPr>
          <w:rFonts w:ascii="Arial" w:cs="Arial" w:eastAsia="Arial" w:hAnsi="Arial"/>
          <w:sz w:val="32"/>
          <w:szCs w:val="32"/>
          <w:b w:val="1"/>
          <w:bCs w:val="1"/>
          <w:i w:val="1"/>
          <w:iCs w:val="1"/>
          <w:color w:val="1E295B"/>
        </w:rPr>
        <w:t>Our Board views effective oversight and management of ESG issues as vital to the Company’s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-1307465</wp:posOffset>
            </wp:positionV>
            <wp:extent cx="3265805" cy="13627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65805" cy="1362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left="198" w:hanging="198"/>
        <w:spacing w:after="0" w:line="250" w:lineRule="auto"/>
        <w:tabs>
          <w:tab w:leader="none" w:pos="2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Board oversees ESG risks as part of its oversight of the Company’s business, strategy and enterprise risk management. As part of this oversight, the Board and its Committees receive regular reports on ESG-related matters, such as updates on the Company’s progress towards its sustainability and corporate social responsibility goals, status updates on the Company’s Diversity, Inclusion and Belonging Goals, reports on any ESG-related engagements with shareholders, and information on recent ESG developments, so that the Board can ensure that any material ESG risks and opportunities are appropriately integrated into the Company’s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497840</wp:posOffset>
            </wp:positionV>
            <wp:extent cx="102044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357" w:lineRule="exact"/>
        <w:rPr>
          <w:sz w:val="20"/>
          <w:szCs w:val="20"/>
          <w:color w:val="auto"/>
        </w:rPr>
      </w:pPr>
    </w:p>
    <w:p>
      <w:pPr>
        <w:sectPr>
          <w:pgSz w:w="11900" w:h="16838" w:orient="portrait"/>
          <w:cols w:equalWidth="0" w:num="2">
            <w:col w:w="4782" w:space="720"/>
            <w:col w:w="5378"/>
          </w:cols>
          <w:pgMar w:left="500" w:top="270" w:right="51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CORPORATE GOVERNANCE</w:t>
      </w:r>
    </w:p>
    <w:p>
      <w:pPr>
        <w:spacing w:after="0" w:line="75" w:lineRule="exact"/>
        <w:rPr>
          <w:sz w:val="20"/>
          <w:szCs w:val="20"/>
          <w:color w:val="auto"/>
        </w:rPr>
      </w:pPr>
    </w:p>
    <w:p>
      <w:pPr>
        <w:jc w:val="both"/>
        <w:ind w:left="200" w:hanging="192"/>
        <w:spacing w:after="0" w:line="254" w:lineRule="auto"/>
        <w:tabs>
          <w:tab w:leader="none" w:pos="2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CGNC is charged with direct responsibility for oversight of risks relating to corporate governance, shareholder engagement, corporate social responsibility and sustainability. The work of the CGNC reflects the Company’s commitment to improving the sustainability of our operations and supply chains, including finding ways to continue to reduce our carbon emissions, reduce waste through innovative programs like BEAUTYCYCLE and increase the number of sustainably sourced products we make available to our customers. The CGNC also has oversight over Board effectiveness, including identifying and recruiting Board members with the appropriate skills and experience, including experience with ESG initiatives, to lead our Company into the future.</w:t>
      </w:r>
    </w:p>
    <w:p>
      <w:pPr>
        <w:spacing w:after="0" w:line="33" w:lineRule="exact"/>
        <w:rPr>
          <w:rFonts w:ascii="Arial" w:cs="Arial" w:eastAsia="Arial" w:hAnsi="Arial"/>
          <w:sz w:val="16"/>
          <w:szCs w:val="16"/>
          <w:color w:val="auto"/>
        </w:rPr>
      </w:pPr>
    </w:p>
    <w:p>
      <w:pPr>
        <w:jc w:val="both"/>
        <w:ind w:left="200" w:hanging="192"/>
        <w:spacing w:after="0" w:line="254" w:lineRule="auto"/>
        <w:tabs>
          <w:tab w:leader="none" w:pos="2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CPCC is charged with providing feedback on the development, implementation and effectiveness of the Company’s policies, strategies and programs relating to human capital management, including but not limited to, talent management, workplace health and safety, cultural initiatives, employee engagement and employee surveys, and diversity, inclusion and belonging initiatives. The CPCC has been integral in allowing the Company to continue adapting to the ever-evolving challenges presented by the pandemic, including overseeing our efforts to offer employees flexible work models, new wellness and mental health resources and to ensure our frontline employees feel supported with the safest possible work environments, all of which have allowed our employees to focus on serving the needs of our customers.</w:t>
      </w:r>
    </w:p>
    <w:p>
      <w:pPr>
        <w:spacing w:after="0" w:line="33" w:lineRule="exact"/>
        <w:rPr>
          <w:rFonts w:ascii="Arial" w:cs="Arial" w:eastAsia="Arial" w:hAnsi="Arial"/>
          <w:sz w:val="16"/>
          <w:szCs w:val="16"/>
          <w:color w:val="auto"/>
        </w:rPr>
      </w:pPr>
    </w:p>
    <w:p>
      <w:pPr>
        <w:jc w:val="both"/>
        <w:ind w:left="200" w:hanging="192"/>
        <w:spacing w:after="0" w:line="259" w:lineRule="auto"/>
        <w:tabs>
          <w:tab w:leader="none" w:pos="2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AFC is charged with reviewing and discussing with management the risks faced by the Company and the policies, guidelines and process by which management assesses and manages the Company’s risks, including the Company’s major financial risk exposures, which include risks related to ESG matters, and the steps management has taken to monitor, control and manage such exposures. The AFC shall also receive periodic reports from management on the Company’s ESG reporting, data and disclosures and shall discuss with management related controls and procedures.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 learn more about our ESG initiatives, please refer to our most recent corporate social responsibility report and other information available on our website at nordstrom.com/browse/nordstrom-cares. The information contained or referred to on our website is not deemed to be incorporated by reference into this Proxy Statement unless otherwise expressly noted.</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Director Independence</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Director is considered independent when our Board affirmatively determines the Director has no material relationship with the Company, other than as a Director. Our Board makes this determination in accordance with the standards set forth in our Corporate Governance Guidelines, which are consistent with the listing standards of the NYSE and SEC rules. In making this determination, the Board considers existing relationships between the Company and the Director, whether directly or as a partner, shareholder or officer of an organization that has a relationship with the Company. The Board has affirmatively determined that each of the Director nominees, except Erik Nordstrom and Peter Nordstrom, is independent within the meaning of the listing standards of the NYSE, SEC rules and the Company’s Corporate Governance Guidelines.</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Chairman of the Board and Presiding Director</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 Chairman of the Board who is also an independent Director and who serves as the Presiding Director within the meaning of the listing standards of the NYSE. Currently, Bradley D. Tilden serves as the Company’s Chairman.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Chairman is appointed annually by the Board. As described in the Company’s Bylaws, Corporate Governance Guidelines and the charter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CGNC, the Chairman:</w:t>
      </w:r>
    </w:p>
    <w:p>
      <w:pPr>
        <w:spacing w:after="0" w:line="57"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presides at meetings of the Board;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assists in establishing the agenda for each Board and Board Committee meeting;</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serves as the Presiding Director to lead executive sessions at each meeting of the Board in which only independent Directors participate;</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calls special meetings of the Board and/or the shareholders;</w:t>
      </w:r>
    </w:p>
    <w:p>
      <w:pPr>
        <w:spacing w:after="0" w:line="72" w:lineRule="exact"/>
        <w:rPr>
          <w:rFonts w:ascii="Arial" w:cs="Arial" w:eastAsia="Arial" w:hAnsi="Arial"/>
          <w:sz w:val="16"/>
          <w:szCs w:val="16"/>
          <w:color w:val="auto"/>
        </w:rPr>
      </w:pPr>
    </w:p>
    <w:p>
      <w:pPr>
        <w:ind w:left="200" w:right="20" w:hanging="192"/>
        <w:spacing w:after="0" w:line="286" w:lineRule="auto"/>
        <w:tabs>
          <w:tab w:leader="none" w:pos="2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provides input and support to the Chair of the CGNC on nominees to fill vacant Board seats and the selection of Committee Chairs and membership on Board Committees;</w:t>
      </w:r>
    </w:p>
    <w:p>
      <w:pPr>
        <w:spacing w:after="0" w:line="20" w:lineRule="exact"/>
        <w:rPr>
          <w:rFonts w:ascii="Arial" w:cs="Arial" w:eastAsia="Arial" w:hAnsi="Arial"/>
          <w:sz w:val="16"/>
          <w:szCs w:val="16"/>
          <w:color w:val="auto"/>
        </w:rPr>
      </w:pPr>
    </w:p>
    <w:p>
      <w:pPr>
        <w:ind w:left="200" w:right="20" w:hanging="192"/>
        <w:spacing w:after="0" w:line="286" w:lineRule="auto"/>
        <w:tabs>
          <w:tab w:leader="none" w:pos="2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advises the CEO and other members of the executive team on matters such as strategic direction, corporate governance and overall risk assessment; and</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performs other duties as the Board may from time to time delegate to assist the Board in the fulfillment of its responsibilities.</w:t>
      </w:r>
    </w:p>
    <w:p>
      <w:pPr>
        <w:spacing w:after="0" w:line="8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Director Elections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Company’s Bylaws provide that, in an uncontested election, a Director nominee will be elected if the number of votes cast for the nominee’s election exceeds the other votes cast in connection with such nominee’s election at a meeting at which a quorum is present. An incumbent Director nominee who fails to receive the requisite votes for election will continue to serve as a Director until the earlier of: (i) 90 days from the date on which the voting results of the election are determined; or (ii) the date on which an individual is selected by the Board to fill the position held by such Director. In any election which is a contested election (meaning that we received a nomination notice from a shareholder), the standard for election of Directors is a plurality of the votes cast by holders of shares entitled to vote in the election at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101981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CORPORATE GOVERNANCE</w:t>
      </w:r>
    </w:p>
    <w:p>
      <w:pPr>
        <w:spacing w:after="0" w:line="10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received notice from a shareholder stating its intention to nominate two candidates for election to the Board at the Annual Meeting, which notice was later withdrawn. Because the Company received a nomination notice from a shareholder, the election of Directors at the Annual Meeting is deemed to be “contested” pursuant to our Bylaws and directors will be elected by a plurality of votes properly cast.</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Management Succession Planning</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and management believe that one of their primary responsibilities is to ensure the Company has the appropriate leadership to effectively deliver upon its business commitments. The Company’s management is actively engaged and involved in leadership development, having regular discussions of the leadership capabilities of the organization and the attraction, development and retention of critical talent to promote future success. In addition to the Company’s regular review of leadership capabilities, the Board annually conducts a detailed review of the talent strategies for the entire organization and reviews succession plans for senior leadership positions, including that of the CEO. The Board reviews high-potential employees, evaluates plans to develop their management and leadership capabilities and sanctions the strategies used to deploy these individuals most effectively. In addition to the annual review, succession is regularly discussed in executive sessions of the Board and in Board Committee meetings, as applicable. Directors become familiar with potential successors for key leadership positions through various means, including the comprehensive annual talent and succession review, Board meeting presentations and less formal interactions throughout the course of the year.</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entire Board is responsible for implementing succession procedures for the CEO. We believe the Board, led by our Chairman, should collaborate with the CEO on the critical aspects of the succession planning process, including establishing selection criteria, identifying and evaluating candidates and making management succession decisions. The Board has procedures in place to respond to an unexpected vacancy in the CEO position, including a detailed review of the succession plan annually by the Board. It is the Board’s practice to be prepared for a planned or unplanned change in leadership in order to ensure the stability of the Company.</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Board Committees and Charters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has four standing Committees: Audit and Finance Committee (“AFC”); Compensation, People and Culture Committee (“CPCC”); Corporate Governance and Nominating Committee (“CGNC”); and Technology Committee (“TC”). Each Committee has a Board-approved charter which is reviewed annually by the respective Committee. Recommended changes to the charter, if any, are submitted to the CGNC and the Board for approval. The Board makes Committee and Committee Chair assignments annually at the Board meeting held in tandem with the Annual Meeting, although further changes to Committee assignments may be made from time to time as deemed appropriate by the Board. The Board has determined that the Chairs and all Committee members are independent under the applicable NYSE rules. Committee charters and current Committee membership are posted on our Investor Relations Website.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In addition to the responsibilities described below and on the following pages, the Board and its Committees also have oversight over ESG issues. For additional information on how risk oversight over ESG issues is allocated between the Board and its Committees, please see Board Oversight of ESG Issues beginning on page </w:t>
      </w:r>
      <w:r>
        <w:rPr>
          <w:rFonts w:ascii="Arial" w:cs="Arial" w:eastAsia="Arial" w:hAnsi="Arial"/>
          <w:sz w:val="16"/>
          <w:szCs w:val="16"/>
          <w:u w:val="single" w:color="auto"/>
          <w:color w:val="0000EE"/>
        </w:rPr>
        <w:t>13</w:t>
      </w:r>
      <w:r>
        <w:rPr>
          <w:rFonts w:ascii="Arial" w:cs="Arial" w:eastAsia="Arial" w:hAnsi="Arial"/>
          <w:sz w:val="16"/>
          <w:szCs w:val="16"/>
          <w:color w:val="auto"/>
        </w:rPr>
        <w: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Audit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more fully described in its charter, the primary responsibilities of the AFC are to assist the Board in fulfilling its oversight responsibility by:</w:t>
      </w:r>
    </w:p>
    <w:p>
      <w:pPr>
        <w:spacing w:after="0" w:line="86"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reviewing the Company’s financial statements and ensuring the integrity of those statements;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evaluating the accounting, auditing and financial reporting processes of the Company;</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managing business and financial risk and the internal controls environment;</w:t>
      </w:r>
    </w:p>
    <w:p>
      <w:pPr>
        <w:spacing w:after="0" w:line="86"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assessing the Company’s compliance with legal and regulatory requirements and ethics programs as established by management and the Board, in conjunction with any recommendations by the CGNC with respect to corporate governance standards; and</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reviewing the reports resulting from the performance of audits by the independent auditor and the internal audit team.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AFC provides financial oversight by:</w:t>
      </w:r>
    </w:p>
    <w:p>
      <w:pPr>
        <w:spacing w:after="0" w:line="73"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evaluating the qualifications, independence and performance of the Company’s independent auditors;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assessing performance of the Company’s internal audit team;</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advising on the Company’s capital structure, financial policies, capital investments, business and financial planning and related matters;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reviewing the Company’s tax strategies and the implications of actual or proposed tax law changes;</w:t>
      </w:r>
    </w:p>
    <w:p>
      <w:pPr>
        <w:spacing w:after="0" w:line="86" w:lineRule="exact"/>
        <w:rPr>
          <w:rFonts w:ascii="Arial" w:cs="Arial" w:eastAsia="Arial" w:hAnsi="Arial"/>
          <w:sz w:val="16"/>
          <w:szCs w:val="16"/>
          <w:color w:val="auto"/>
        </w:rPr>
      </w:pPr>
    </w:p>
    <w:p>
      <w:pPr>
        <w:ind w:left="200" w:right="20" w:hanging="192"/>
        <w:spacing w:after="0" w:line="263" w:lineRule="auto"/>
        <w:tabs>
          <w:tab w:leader="none" w:pos="2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overseeing the Company’s dividend payment and share repurchase strategies, banking relationships, borrowing facilities and cash management; and</w:t>
      </w:r>
    </w:p>
    <w:p>
      <w:pPr>
        <w:spacing w:after="0" w:line="243"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monitoring the Company’s compliance with covenants under its outstanding indebtedness and borrowing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354965</wp:posOffset>
            </wp:positionV>
            <wp:extent cx="102044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3265805" cy="1602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65805" cy="160274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380" w:right="160"/>
        <w:spacing w:after="0" w:line="256" w:lineRule="auto"/>
        <w:rPr>
          <w:sz w:val="20"/>
          <w:szCs w:val="20"/>
          <w:color w:val="auto"/>
        </w:rPr>
      </w:pPr>
      <w:r>
        <w:rPr>
          <w:rFonts w:ascii="Arial" w:cs="Arial" w:eastAsia="Arial" w:hAnsi="Arial"/>
          <w:sz w:val="32"/>
          <w:szCs w:val="32"/>
          <w:b w:val="1"/>
          <w:bCs w:val="1"/>
          <w:i w:val="1"/>
          <w:iCs w:val="1"/>
          <w:color w:val="1E295B"/>
        </w:rPr>
        <w:t>The Audit and Finance Committee provides financial oversight of the Company’s management, internal audit function and independent auditors.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3400"/>
        <w:spacing w:after="0"/>
        <w:rPr>
          <w:sz w:val="20"/>
          <w:szCs w:val="20"/>
          <w:color w:val="auto"/>
        </w:rPr>
      </w:pPr>
      <w:r>
        <w:rPr>
          <w:rFonts w:ascii="Arial" w:cs="Arial" w:eastAsia="Arial" w:hAnsi="Arial"/>
          <w:sz w:val="14"/>
          <w:szCs w:val="14"/>
          <w:b w:val="1"/>
          <w:bCs w:val="1"/>
          <w:i w:val="1"/>
          <w:iCs w:val="1"/>
          <w:color w:val="67686B"/>
        </w:rPr>
        <w:t>CORPORATE GOVERNANCE</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AFC regularly reviews enterprise level risks (including commercial, supply chain and cybersecurity risks), compliance with laws and regulations, and audit results for corporate social responsibility metrics. The AFC also meets privately and separately with the independent registered public accounting firm, the CFO and the Vice President, Internal Audit.</w:t>
      </w: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addition to meeting the independence requirement for audit committee members, the Board has determined that each current member of the AFC also meets the financial literacy and experience requirements contained in the corporate governance listing standards of the NYSE. While the members of the AFC are not professionally engaged in the practice of auditing or accounting and are not technical experts in auditing or accounting, the Board has determined that all AFC members qualify as “audit committee financial experts” under the regulations of the SEC.</w:t>
      </w:r>
    </w:p>
    <w:p>
      <w:pPr>
        <w:spacing w:after="0" w:line="186" w:lineRule="exact"/>
        <w:rPr>
          <w:sz w:val="20"/>
          <w:szCs w:val="20"/>
          <w:color w:val="auto"/>
        </w:rPr>
      </w:pPr>
    </w:p>
    <w:p>
      <w:pPr>
        <w:sectPr>
          <w:pgSz w:w="11900" w:h="16838" w:orient="portrait"/>
          <w:cols w:equalWidth="0" w:num="2">
            <w:col w:w="4780" w:space="720"/>
            <w:col w:w="5380"/>
          </w:cols>
          <w:pgMar w:left="500" w:top="270" w:right="519" w:bottom="1440" w:gutter="0" w:footer="0" w:header="0"/>
        </w:sectPr>
      </w:pPr>
    </w:p>
    <w:p>
      <w:pPr>
        <w:ind w:left="60"/>
        <w:spacing w:after="0"/>
        <w:rPr>
          <w:sz w:val="20"/>
          <w:szCs w:val="20"/>
          <w:color w:val="auto"/>
        </w:rPr>
      </w:pPr>
      <w:r>
        <w:rPr>
          <w:rFonts w:ascii="Arial" w:cs="Arial" w:eastAsia="Arial" w:hAnsi="Arial"/>
          <w:sz w:val="25"/>
          <w:szCs w:val="25"/>
          <w:b w:val="1"/>
          <w:bCs w:val="1"/>
          <w:color w:val="auto"/>
        </w:rPr>
        <w:t>Compensation, People and Culture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more fully described in its charter, the primary responsibilities of the CPCC are to assist the Board in fulfilling its oversight responsibility by:</w:t>
      </w:r>
    </w:p>
    <w:p>
      <w:pPr>
        <w:sectPr>
          <w:pgSz w:w="11900" w:h="16838" w:orient="portrait"/>
          <w:cols w:equalWidth="0" w:num="1">
            <w:col w:w="10880"/>
          </w:cols>
          <w:pgMar w:left="500" w:top="270" w:right="519" w:bottom="1440" w:gutter="0" w:footer="0" w:header="0"/>
          <w:type w:val="continuous"/>
        </w:sectPr>
      </w:pPr>
    </w:p>
    <w:p>
      <w:pPr>
        <w:spacing w:after="0" w:line="194" w:lineRule="exact"/>
        <w:rPr>
          <w:sz w:val="20"/>
          <w:szCs w:val="20"/>
          <w:color w:val="auto"/>
        </w:rPr>
      </w:pPr>
    </w:p>
    <w:p>
      <w:pPr>
        <w:jc w:val="both"/>
        <w:ind w:left="200" w:right="80" w:hanging="192"/>
        <w:spacing w:after="0" w:line="253" w:lineRule="auto"/>
        <w:tabs>
          <w:tab w:leader="none" w:pos="207"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developing the overall compensation philosophy for the Company’s Executive Officers in light of the Company’s goals and objectives. The Executives are referenced in the Executive Officer section beginning on page </w:t>
      </w:r>
      <w:r>
        <w:rPr>
          <w:rFonts w:ascii="Arial" w:cs="Arial" w:eastAsia="Arial" w:hAnsi="Arial"/>
          <w:sz w:val="16"/>
          <w:szCs w:val="16"/>
          <w:u w:val="single" w:color="auto"/>
          <w:color w:val="0000EE"/>
        </w:rPr>
        <w:t>35</w:t>
      </w:r>
      <w:r>
        <w:rPr>
          <w:rFonts w:ascii="Arial" w:cs="Arial" w:eastAsia="Arial" w:hAnsi="Arial"/>
          <w:sz w:val="16"/>
          <w:szCs w:val="16"/>
          <w:color w:val="auto"/>
        </w:rPr>
        <w:t xml:space="preserve"> and include the NEOs shown in the CD&amp;A on page </w:t>
      </w:r>
      <w:r>
        <w:rPr>
          <w:rFonts w:ascii="Arial" w:cs="Arial" w:eastAsia="Arial" w:hAnsi="Arial"/>
          <w:sz w:val="16"/>
          <w:szCs w:val="16"/>
          <w:u w:val="single" w:color="auto"/>
          <w:color w:val="0000EE"/>
        </w:rPr>
        <w:t>37</w:t>
      </w:r>
      <w:r>
        <w:rPr>
          <w:rFonts w:ascii="Arial" w:cs="Arial" w:eastAsia="Arial" w:hAnsi="Arial"/>
          <w:sz w:val="16"/>
          <w:szCs w:val="16"/>
          <w:color w:val="auto"/>
        </w:rPr>
        <w:t xml:space="preserve"> and other business unit presidents and Company executives with responsibility for major organizational functions who report to the CEO or other senior executives;</w:t>
      </w:r>
    </w:p>
    <w:p>
      <w:pPr>
        <w:spacing w:after="0" w:line="32" w:lineRule="exact"/>
        <w:rPr>
          <w:rFonts w:ascii="Arial" w:cs="Arial" w:eastAsia="Arial" w:hAnsi="Arial"/>
          <w:sz w:val="16"/>
          <w:szCs w:val="16"/>
          <w:color w:val="auto"/>
        </w:rPr>
      </w:pPr>
    </w:p>
    <w:p>
      <w:pPr>
        <w:ind w:left="200" w:right="80" w:hanging="192"/>
        <w:spacing w:after="0" w:line="286" w:lineRule="auto"/>
        <w:tabs>
          <w:tab w:leader="none" w:pos="207"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selecting performance measures aligned with the Company’s business strategy;</w:t>
      </w:r>
    </w:p>
    <w:p>
      <w:pPr>
        <w:spacing w:after="0" w:line="7" w:lineRule="exact"/>
        <w:rPr>
          <w:rFonts w:ascii="Arial" w:cs="Arial" w:eastAsia="Arial" w:hAnsi="Arial"/>
          <w:sz w:val="16"/>
          <w:szCs w:val="16"/>
          <w:color w:val="auto"/>
        </w:rPr>
      </w:pPr>
    </w:p>
    <w:p>
      <w:pPr>
        <w:ind w:left="200" w:right="80" w:hanging="192"/>
        <w:spacing w:after="0" w:line="286" w:lineRule="auto"/>
        <w:tabs>
          <w:tab w:leader="none" w:pos="207"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administering the Company’s cash and equity-based compensation plans for executives;</w:t>
      </w:r>
    </w:p>
    <w:p>
      <w:pPr>
        <w:spacing w:after="0" w:line="20" w:lineRule="exact"/>
        <w:rPr>
          <w:rFonts w:ascii="Arial" w:cs="Arial" w:eastAsia="Arial" w:hAnsi="Arial"/>
          <w:sz w:val="16"/>
          <w:szCs w:val="16"/>
          <w:color w:val="auto"/>
        </w:rPr>
      </w:pPr>
    </w:p>
    <w:p>
      <w:pPr>
        <w:jc w:val="both"/>
        <w:ind w:left="200" w:right="80" w:hanging="192"/>
        <w:spacing w:after="0" w:line="266" w:lineRule="auto"/>
        <w:tabs>
          <w:tab w:leader="none" w:pos="207"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annually evaluating the corporate goals and objectives relative to the compensation for executives, and evaluating the executive officers’ performance in light of these goals and objectives;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right="420"/>
        <w:spacing w:after="0" w:line="253" w:lineRule="auto"/>
        <w:rPr>
          <w:sz w:val="20"/>
          <w:szCs w:val="20"/>
          <w:color w:val="auto"/>
        </w:rPr>
      </w:pPr>
      <w:r>
        <w:rPr>
          <w:rFonts w:ascii="Arial" w:cs="Arial" w:eastAsia="Arial" w:hAnsi="Arial"/>
          <w:sz w:val="32"/>
          <w:szCs w:val="32"/>
          <w:b w:val="1"/>
          <w:bCs w:val="1"/>
          <w:i w:val="1"/>
          <w:iCs w:val="1"/>
          <w:color w:val="1E295B"/>
        </w:rPr>
        <w:t>Our Compensation, People and Culture Committee oversees our strategies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-789940</wp:posOffset>
            </wp:positionV>
            <wp:extent cx="3265805" cy="18427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65805" cy="1842770"/>
                    </a:xfrm>
                    <a:prstGeom prst="rect">
                      <a:avLst/>
                    </a:prstGeom>
                    <a:noFill/>
                  </pic:spPr>
                </pic:pic>
              </a:graphicData>
            </a:graphic>
          </wp:anchor>
        </w:drawing>
      </w:r>
    </w:p>
    <w:p>
      <w:pPr>
        <w:jc w:val="center"/>
        <w:ind w:left="100" w:right="440"/>
        <w:spacing w:after="0" w:line="256" w:lineRule="auto"/>
        <w:rPr>
          <w:sz w:val="20"/>
          <w:szCs w:val="20"/>
          <w:color w:val="auto"/>
        </w:rPr>
      </w:pPr>
      <w:r>
        <w:rPr>
          <w:rFonts w:ascii="Arial" w:cs="Arial" w:eastAsia="Arial" w:hAnsi="Arial"/>
          <w:sz w:val="32"/>
          <w:szCs w:val="32"/>
          <w:b w:val="1"/>
          <w:bCs w:val="1"/>
          <w:i w:val="1"/>
          <w:iCs w:val="1"/>
          <w:color w:val="1E295B"/>
        </w:rPr>
        <w:t>goals relating to the development of our employees throughout the organization.</w:t>
      </w:r>
    </w:p>
    <w:p>
      <w:pPr>
        <w:spacing w:after="0" w:line="276" w:lineRule="exact"/>
        <w:rPr>
          <w:sz w:val="20"/>
          <w:szCs w:val="20"/>
          <w:color w:val="auto"/>
        </w:rPr>
      </w:pPr>
    </w:p>
    <w:p>
      <w:pPr>
        <w:sectPr>
          <w:pgSz w:w="11900" w:h="16838" w:orient="portrait"/>
          <w:cols w:equalWidth="0" w:num="2">
            <w:col w:w="5440" w:space="720"/>
            <w:col w:w="4720"/>
          </w:cols>
          <w:pgMar w:left="500" w:top="270" w:right="519" w:bottom="1440" w:gutter="0" w:footer="0" w:header="0"/>
          <w:type w:val="continuous"/>
        </w:sectPr>
      </w:pPr>
    </w:p>
    <w:p>
      <w:pPr>
        <w:spacing w:after="0" w:line="255" w:lineRule="exact"/>
        <w:rPr>
          <w:sz w:val="20"/>
          <w:szCs w:val="20"/>
          <w:color w:val="auto"/>
        </w:rPr>
      </w:pPr>
    </w:p>
    <w:p>
      <w:pPr>
        <w:ind w:left="200" w:right="20" w:hanging="192"/>
        <w:spacing w:after="0" w:line="263" w:lineRule="auto"/>
        <w:tabs>
          <w:tab w:leader="none" w:pos="2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administering benefit plans, retirement and deferred compensation or other perquisites offered to the Executive Officers and other eligible employees;</w:t>
      </w:r>
    </w:p>
    <w:p>
      <w:pPr>
        <w:spacing w:after="0" w:line="243" w:lineRule="exact"/>
        <w:rPr>
          <w:rFonts w:ascii="Arial" w:cs="Arial" w:eastAsia="Arial" w:hAnsi="Arial"/>
          <w:sz w:val="16"/>
          <w:szCs w:val="16"/>
          <w:color w:val="auto"/>
        </w:rPr>
      </w:pPr>
    </w:p>
    <w:p>
      <w:pPr>
        <w:ind w:left="220" w:hanging="212"/>
        <w:spacing w:after="0"/>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assessing risk relating to compensation;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overseeing key talent initiatives such as diversity, inclusion and belonging.</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CPCC has the sole authority to retain such consultants and advisors as it may deem appropriate and to approve related fees and other retention terms. The CPCC has retained Semler Brossy, an independent compensation consulting firm, to advise the CPCC on executive compensation and benefit matters. Semler Brossy provides services only as directed by the CPCC. During fiscal year 2022, Semler Brossy’s services included a review of executive pay programs, a review of the compensation peer group and other pay-related matters specific to the CPCC’s charter. The CPCC has determined that Semler Brossy is independent under the rules of the NYSE and that its work for the CPCC does not raise any conflict of interest.</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consultant from Semler Brossy attends CPCC meetings and supports the CPCC by providing independent expertise on market practices and trends in executive compensation within the general industry and the peer group defined for such purposes. Additionally, the consultant provides advice regarding the composition of the Company’s peer group and analysis of peer group practices for base salary, performance-based bonus, LTIs and other compensation elements and advice on management’s proposed levels of executive compensation. Semler Brossy also advises the CPCC on compensation program design, including incentive structure, stock ownership guidelines, regulatory requirements related to executive compensation, plans submitted to shareholders for approval, governance responsibilities and such other matters as assigned by the CPCC from time to time as necessary to carry out its responsibilities under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101981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CORPORATE GOVERNANCE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more fully described in its charter, the primary responsibilities of the CGNC are to assist the Board in fulfilling its oversight responsibility by:</w:t>
      </w:r>
    </w:p>
    <w:p>
      <w:pPr>
        <w:spacing w:after="0" w:line="73"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tab/>
        <w:t>evaluating potential nominees for election to the Board and determining the composition of Board Committees;</w:t>
      </w:r>
    </w:p>
    <w:p>
      <w:pPr>
        <w:sectPr>
          <w:pgSz w:w="11900" w:h="16838" w:orient="portrait"/>
          <w:cols w:equalWidth="0" w:num="1">
            <w:col w:w="10880"/>
          </w:cols>
          <w:pgMar w:left="500" w:top="270" w:right="519" w:bottom="1440" w:gutter="0" w:footer="0" w:header="0"/>
        </w:sectPr>
      </w:pPr>
    </w:p>
    <w:p>
      <w:pPr>
        <w:spacing w:after="0" w:line="344" w:lineRule="exact"/>
        <w:rPr>
          <w:sz w:val="20"/>
          <w:szCs w:val="20"/>
          <w:color w:val="auto"/>
        </w:rPr>
      </w:pPr>
    </w:p>
    <w:p>
      <w:pPr>
        <w:jc w:val="center"/>
        <w:ind w:left="378" w:right="102"/>
        <w:spacing w:after="0" w:line="256" w:lineRule="auto"/>
        <w:rPr>
          <w:sz w:val="20"/>
          <w:szCs w:val="20"/>
          <w:color w:val="auto"/>
        </w:rPr>
      </w:pPr>
      <w:r>
        <w:rPr>
          <w:rFonts w:ascii="Arial" w:cs="Arial" w:eastAsia="Arial" w:hAnsi="Arial"/>
          <w:sz w:val="32"/>
          <w:szCs w:val="32"/>
          <w:b w:val="1"/>
          <w:bCs w:val="1"/>
          <w:i w:val="1"/>
          <w:iCs w:val="1"/>
          <w:color w:val="1E295B"/>
        </w:rPr>
        <w:t>Our Corporate Governance and Nominating Committee regularly reviews best practices to ensure the proper functioning of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-1581150</wp:posOffset>
            </wp:positionV>
            <wp:extent cx="3265805" cy="1671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65805" cy="16713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Technology Committee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98" w:right="20" w:hanging="198"/>
        <w:spacing w:after="0" w:line="286" w:lineRule="auto"/>
        <w:tabs>
          <w:tab w:leader="none" w:pos="2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evaluating possible conflicts of interest of Board members and the Company’s Executive Officers;</w:t>
      </w:r>
    </w:p>
    <w:p>
      <w:pPr>
        <w:spacing w:after="0" w:line="7" w:lineRule="exact"/>
        <w:rPr>
          <w:rFonts w:ascii="Arial" w:cs="Arial" w:eastAsia="Arial" w:hAnsi="Arial"/>
          <w:sz w:val="16"/>
          <w:szCs w:val="16"/>
          <w:color w:val="auto"/>
        </w:rPr>
      </w:pPr>
    </w:p>
    <w:p>
      <w:pPr>
        <w:ind w:left="198" w:hanging="198"/>
        <w:spacing w:after="0"/>
        <w:tabs>
          <w:tab w:leader="none" w:pos="19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approving the Company’s Corporate Governance Guidelines;</w:t>
      </w:r>
    </w:p>
    <w:p>
      <w:pPr>
        <w:spacing w:after="0" w:line="72" w:lineRule="exact"/>
        <w:rPr>
          <w:rFonts w:ascii="Arial" w:cs="Arial" w:eastAsia="Arial" w:hAnsi="Arial"/>
          <w:sz w:val="16"/>
          <w:szCs w:val="16"/>
          <w:color w:val="auto"/>
        </w:rPr>
      </w:pPr>
    </w:p>
    <w:p>
      <w:pPr>
        <w:ind w:left="198" w:hanging="198"/>
        <w:spacing w:after="0" w:line="286" w:lineRule="auto"/>
        <w:tabs>
          <w:tab w:leader="none" w:pos="2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establishing the corporate governance standards contained in the Company’s Codes of Business Conduct and Ethics;</w:t>
      </w:r>
    </w:p>
    <w:p>
      <w:pPr>
        <w:spacing w:after="0" w:line="20" w:lineRule="exact"/>
        <w:rPr>
          <w:rFonts w:ascii="Arial" w:cs="Arial" w:eastAsia="Arial" w:hAnsi="Arial"/>
          <w:sz w:val="16"/>
          <w:szCs w:val="16"/>
          <w:color w:val="auto"/>
        </w:rPr>
      </w:pPr>
    </w:p>
    <w:p>
      <w:pPr>
        <w:ind w:left="198" w:right="20" w:hanging="198"/>
        <w:spacing w:after="0" w:line="286" w:lineRule="auto"/>
        <w:tabs>
          <w:tab w:leader="none" w:pos="2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advising on policies and practices of the Company in the area of corporate governance;</w:t>
      </w:r>
    </w:p>
    <w:p>
      <w:pPr>
        <w:spacing w:after="0" w:line="7" w:lineRule="exact"/>
        <w:rPr>
          <w:rFonts w:ascii="Arial" w:cs="Arial" w:eastAsia="Arial" w:hAnsi="Arial"/>
          <w:sz w:val="16"/>
          <w:szCs w:val="16"/>
          <w:color w:val="auto"/>
        </w:rPr>
      </w:pPr>
    </w:p>
    <w:p>
      <w:pPr>
        <w:ind w:left="198" w:right="20" w:hanging="198"/>
        <w:spacing w:after="0" w:line="286" w:lineRule="auto"/>
        <w:tabs>
          <w:tab w:leader="none" w:pos="2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evaluating and recommending to the Board the form and amount of Director compensation;</w:t>
      </w:r>
    </w:p>
    <w:p>
      <w:pPr>
        <w:spacing w:after="0" w:line="7" w:lineRule="exact"/>
        <w:rPr>
          <w:rFonts w:ascii="Arial" w:cs="Arial" w:eastAsia="Arial" w:hAnsi="Arial"/>
          <w:sz w:val="16"/>
          <w:szCs w:val="16"/>
          <w:color w:val="auto"/>
        </w:rPr>
      </w:pPr>
    </w:p>
    <w:p>
      <w:pPr>
        <w:ind w:left="198" w:hanging="198"/>
        <w:spacing w:after="0" w:line="286" w:lineRule="auto"/>
        <w:tabs>
          <w:tab w:leader="none" w:pos="2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performing the annual performance evaluation of the Board, the Directors and each Committee of the Board; and</w:t>
      </w:r>
    </w:p>
    <w:p>
      <w:pPr>
        <w:spacing w:after="0" w:line="20" w:lineRule="exact"/>
        <w:rPr>
          <w:rFonts w:ascii="Arial" w:cs="Arial" w:eastAsia="Arial" w:hAnsi="Arial"/>
          <w:sz w:val="16"/>
          <w:szCs w:val="16"/>
          <w:color w:val="auto"/>
        </w:rPr>
      </w:pPr>
    </w:p>
    <w:p>
      <w:pPr>
        <w:ind w:left="198" w:hanging="198"/>
        <w:spacing w:after="0" w:line="286" w:lineRule="auto"/>
        <w:tabs>
          <w:tab w:leader="none" w:pos="2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overseeing succession procedures to be followed in the case of an emergency or the retirement of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321945</wp:posOffset>
            </wp:positionV>
            <wp:extent cx="690054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4782" w:space="720"/>
            <w:col w:w="5378"/>
          </w:cols>
          <w:pgMar w:left="500" w:top="270" w:right="51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As more fully described in its charter, the primary responsibilities of the TC are to assist the Board in fulfilling its oversight responsibility by:</w:t>
      </w:r>
    </w:p>
    <w:p>
      <w:pPr>
        <w:sectPr>
          <w:pgSz w:w="11900" w:h="16838" w:orient="portrait"/>
          <w:cols w:equalWidth="0" w:num="1">
            <w:col w:w="10880"/>
          </w:cols>
          <w:pgMar w:left="500" w:top="270" w:right="519" w:bottom="1440" w:gutter="0" w:footer="0" w:header="0"/>
          <w:type w:val="continuous"/>
        </w:sectPr>
      </w:pPr>
    </w:p>
    <w:p>
      <w:pPr>
        <w:spacing w:after="0" w:line="357" w:lineRule="exact"/>
        <w:rPr>
          <w:sz w:val="20"/>
          <w:szCs w:val="20"/>
          <w:color w:val="auto"/>
        </w:rPr>
      </w:pPr>
    </w:p>
    <w:p>
      <w:pPr>
        <w:jc w:val="center"/>
        <w:ind w:left="378" w:right="242"/>
        <w:spacing w:after="0" w:line="254" w:lineRule="auto"/>
        <w:rPr>
          <w:sz w:val="20"/>
          <w:szCs w:val="20"/>
          <w:color w:val="auto"/>
        </w:rPr>
      </w:pPr>
      <w:r>
        <w:rPr>
          <w:rFonts w:ascii="Arial" w:cs="Arial" w:eastAsia="Arial" w:hAnsi="Arial"/>
          <w:sz w:val="32"/>
          <w:szCs w:val="32"/>
          <w:b w:val="1"/>
          <w:bCs w:val="1"/>
          <w:i w:val="1"/>
          <w:iCs w:val="1"/>
          <w:color w:val="1E295B"/>
        </w:rPr>
        <w:t>Our Technology Committee meets quarterly to oversee strategy and risks related to cybersecurity, technology and data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-1824990</wp:posOffset>
            </wp:positionV>
            <wp:extent cx="3265805" cy="1937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65805" cy="193738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With the oversight of the TC: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98" w:hanging="198"/>
        <w:spacing w:after="0"/>
        <w:tabs>
          <w:tab w:leader="none" w:pos="198"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advising on the Company’s technology strategy;</w:t>
      </w:r>
    </w:p>
    <w:p>
      <w:pPr>
        <w:spacing w:after="0" w:line="72" w:lineRule="exact"/>
        <w:rPr>
          <w:rFonts w:ascii="Arial" w:cs="Arial" w:eastAsia="Arial" w:hAnsi="Arial"/>
          <w:sz w:val="16"/>
          <w:szCs w:val="16"/>
          <w:color w:val="auto"/>
        </w:rPr>
      </w:pPr>
    </w:p>
    <w:p>
      <w:pPr>
        <w:ind w:left="198" w:hanging="198"/>
        <w:spacing w:after="0" w:line="286" w:lineRule="auto"/>
        <w:tabs>
          <w:tab w:leader="none" w:pos="2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overseeing the Company’s technology acquisition and development process to ensure ongoing business growth;</w:t>
      </w:r>
    </w:p>
    <w:p>
      <w:pPr>
        <w:spacing w:after="0" w:line="7" w:lineRule="exact"/>
        <w:rPr>
          <w:rFonts w:ascii="Arial" w:cs="Arial" w:eastAsia="Arial" w:hAnsi="Arial"/>
          <w:sz w:val="16"/>
          <w:szCs w:val="16"/>
          <w:color w:val="auto"/>
        </w:rPr>
      </w:pPr>
    </w:p>
    <w:p>
      <w:pPr>
        <w:ind w:left="198" w:right="20" w:hanging="198"/>
        <w:spacing w:after="0" w:line="286" w:lineRule="auto"/>
        <w:tabs>
          <w:tab w:leader="none" w:pos="2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evaluating the Company’s data management and automation processes and measurement and tracking systems;</w:t>
      </w:r>
    </w:p>
    <w:p>
      <w:pPr>
        <w:spacing w:after="0" w:line="20" w:lineRule="exact"/>
        <w:rPr>
          <w:rFonts w:ascii="Arial" w:cs="Arial" w:eastAsia="Arial" w:hAnsi="Arial"/>
          <w:sz w:val="16"/>
          <w:szCs w:val="16"/>
          <w:color w:val="auto"/>
        </w:rPr>
      </w:pPr>
    </w:p>
    <w:p>
      <w:pPr>
        <w:jc w:val="both"/>
        <w:ind w:left="198" w:hanging="198"/>
        <w:spacing w:after="0" w:line="255" w:lineRule="auto"/>
        <w:tabs>
          <w:tab w:leader="none" w:pos="2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the Company’s technology risk management, including but not limited to the Company’s policies and safeguards for information technology, information security, prevention and detection of technology-based fraud, cybersecurity, data security and privacy, as well as risks and incidents with respect to information technology and data security;</w:t>
      </w:r>
    </w:p>
    <w:p>
      <w:pPr>
        <w:spacing w:after="0" w:line="224" w:lineRule="exact"/>
        <w:rPr>
          <w:rFonts w:ascii="Arial" w:cs="Arial" w:eastAsia="Arial" w:hAnsi="Arial"/>
          <w:sz w:val="16"/>
          <w:szCs w:val="16"/>
          <w:color w:val="auto"/>
        </w:rPr>
      </w:pPr>
    </w:p>
    <w:p>
      <w:pPr>
        <w:ind w:left="198" w:right="20" w:hanging="198"/>
        <w:spacing w:after="0" w:line="286" w:lineRule="auto"/>
        <w:tabs>
          <w:tab w:leader="none" w:pos="2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the efficacy of the Company’s cybersecurity policies, controls and procedures; and</w:t>
      </w:r>
    </w:p>
    <w:p>
      <w:pPr>
        <w:spacing w:after="0" w:line="7" w:lineRule="exact"/>
        <w:rPr>
          <w:rFonts w:ascii="Arial" w:cs="Arial" w:eastAsia="Arial" w:hAnsi="Arial"/>
          <w:sz w:val="16"/>
          <w:szCs w:val="16"/>
          <w:color w:val="auto"/>
        </w:rPr>
      </w:pPr>
    </w:p>
    <w:p>
      <w:pPr>
        <w:ind w:left="198" w:hanging="198"/>
        <w:spacing w:after="0"/>
        <w:tabs>
          <w:tab w:leader="none" w:pos="198"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overseeing material technology investments.</w:t>
      </w:r>
    </w:p>
    <w:p>
      <w:pPr>
        <w:spacing w:after="0" w:line="572" w:lineRule="exact"/>
        <w:rPr>
          <w:sz w:val="20"/>
          <w:szCs w:val="20"/>
          <w:color w:val="auto"/>
        </w:rPr>
      </w:pPr>
    </w:p>
    <w:p>
      <w:pPr>
        <w:sectPr>
          <w:pgSz w:w="11900" w:h="16838" w:orient="portrait"/>
          <w:cols w:equalWidth="0" w:num="2">
            <w:col w:w="4782" w:space="720"/>
            <w:col w:w="5378"/>
          </w:cols>
          <w:pgMar w:left="500" w:top="270" w:right="519" w:bottom="1440" w:gutter="0" w:footer="0" w:header="0"/>
          <w:type w:val="continuous"/>
        </w:sectPr>
      </w:pPr>
    </w:p>
    <w:p>
      <w:pPr>
        <w:jc w:val="both"/>
        <w:ind w:left="200" w:hanging="192"/>
        <w:spacing w:after="0" w:line="266" w:lineRule="auto"/>
        <w:tabs>
          <w:tab w:leader="none" w:pos="207"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addition to the Payment Card Industry Data Security Standard (PCI-DSS), Systems and Organization Controls 2 (SOC2) and Sarbanes-Oxley Act (SOX) assessments, the Company’s information security program has been assessed by a third-party advisor each of the last four years to evaluate team maturity and to evaluate any improvements or opportunities;</w:t>
      </w:r>
    </w:p>
    <w:p>
      <w:pPr>
        <w:spacing w:after="0" w:line="22"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delivers training on various information security and privacy topics on an annual basis to all employees, with additional technical security training provided to engineers and technology workers. The Company’s compliance team maintains and delivers the training program and tracks completion against compliance targets; and</w:t>
      </w:r>
    </w:p>
    <w:p>
      <w:pPr>
        <w:spacing w:after="0" w:line="22" w:lineRule="exact"/>
        <w:rPr>
          <w:rFonts w:ascii="Arial" w:cs="Arial" w:eastAsia="Arial" w:hAnsi="Arial"/>
          <w:sz w:val="16"/>
          <w:szCs w:val="16"/>
          <w:color w:val="auto"/>
        </w:rPr>
      </w:pPr>
    </w:p>
    <w:p>
      <w:pPr>
        <w:ind w:left="220" w:hanging="212"/>
        <w:spacing w:after="0"/>
        <w:tabs>
          <w:tab w:leader="none" w:pos="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phishing exercises and security awareness campaigns are also designed and delivered periodically throughout the year to all employees.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TC also regularly reviews any information technology and data security incidents as a standing agenda item each time the TC meets.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354965</wp:posOffset>
            </wp:positionV>
            <wp:extent cx="102044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CORPORATE GOVERNANCE</w:t>
      </w:r>
    </w:p>
    <w:p>
      <w:pPr>
        <w:spacing w:after="0" w:line="7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Board Meetings and Attendance</w:t>
      </w:r>
    </w:p>
    <w:p>
      <w:pPr>
        <w:spacing w:after="0" w:line="310" w:lineRule="exact"/>
        <w:rPr>
          <w:sz w:val="20"/>
          <w:szCs w:val="20"/>
          <w:color w:val="auto"/>
        </w:rPr>
      </w:pPr>
    </w:p>
    <w:p>
      <w:pPr>
        <w:jc w:val="both"/>
        <w:ind w:right="5720"/>
        <w:spacing w:after="0" w:line="250" w:lineRule="auto"/>
        <w:rPr>
          <w:sz w:val="20"/>
          <w:szCs w:val="20"/>
          <w:color w:val="auto"/>
        </w:rPr>
      </w:pPr>
      <w:r>
        <w:rPr>
          <w:rFonts w:ascii="Arial" w:cs="Arial" w:eastAsia="Arial" w:hAnsi="Arial"/>
          <w:sz w:val="16"/>
          <w:szCs w:val="16"/>
          <w:color w:val="auto"/>
        </w:rPr>
        <w:t>The Board held seven formal meetings during fiscal year 2022, one of which was devoted principally to Company strategy. During the past fiscal year, the AFC held eight formal meetings and the CPCC, CGNC and TC each held four formal meetings. Each Director attended at least 75% of the aggregate of all formal meetings of the Board and the Committees on which they served during the year and overall attendance at formal meetings, on a combined basis, was 99%. Independent members of the Board met at each formal meeting of the Board in executive session without management present. Directors are expected to attend the Annual Meeting of Shareholders, if practicable. All Directors who were Directors at the time of the 2022 Annual Meeting of Shareholders attended the 2022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-1424940</wp:posOffset>
            </wp:positionV>
            <wp:extent cx="2854325" cy="1508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54325" cy="150876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Director Compensation and Stock Ownership Guidelines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Company’s pay-for-performance philosophy for Director compensation reflects the Board’s belief that payment of a majority of the Director fees in the form of Common Stock aligns the interests of Directors with the interests of the Company’s shareholders and enhances Director compensation when the Company performs well. The Board believes the Director fees paid by the Company should be competitive with other companies having similar characteristics. Employee Directors of the Company are not paid any fees for serving as members of the Board. Non-employee Director compensation is discussed in this section.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Pr>
          <w:p>
            <w:pPr>
              <w:ind w:left="60"/>
              <w:spacing w:after="0"/>
              <w:rPr>
                <w:sz w:val="20"/>
                <w:szCs w:val="20"/>
                <w:color w:val="auto"/>
              </w:rPr>
            </w:pPr>
            <w:r>
              <w:rPr>
                <w:rFonts w:ascii="Arial" w:cs="Arial" w:eastAsia="Arial" w:hAnsi="Arial"/>
                <w:sz w:val="16"/>
                <w:szCs w:val="16"/>
                <w:b w:val="1"/>
                <w:bCs w:val="1"/>
                <w:color w:val="auto"/>
              </w:rPr>
              <w:t>Non-Employee Director Annual Compensation Elements for 2022</w:t>
            </w:r>
          </w:p>
        </w:tc>
        <w:tc>
          <w:tcPr>
            <w:tcW w:w="3240" w:type="dxa"/>
            <w:vAlign w:val="bottom"/>
          </w:tcPr>
          <w:p>
            <w:pPr>
              <w:jc w:val="right"/>
              <w:spacing w:after="0"/>
              <w:rPr>
                <w:sz w:val="20"/>
                <w:szCs w:val="20"/>
                <w:color w:val="auto"/>
              </w:rPr>
            </w:pPr>
            <w:r>
              <w:rPr>
                <w:rFonts w:ascii="Arial" w:cs="Arial" w:eastAsia="Arial" w:hAnsi="Arial"/>
                <w:sz w:val="16"/>
                <w:szCs w:val="16"/>
                <w:b w:val="1"/>
                <w:bCs w:val="1"/>
                <w:color w:val="auto"/>
              </w:rPr>
              <w:t>Amount ($)*</w:t>
            </w:r>
          </w:p>
        </w:tc>
      </w:tr>
      <w:tr>
        <w:trPr>
          <w:trHeight w:val="21"/>
        </w:trPr>
        <w:tc>
          <w:tcPr>
            <w:tcW w:w="76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r>
        <w:trPr>
          <w:trHeight w:val="223"/>
        </w:trPr>
        <w:tc>
          <w:tcPr>
            <w:tcW w:w="7640" w:type="dxa"/>
            <w:vAlign w:val="bottom"/>
            <w:shd w:val="clear" w:color="auto" w:fill="DCDDDE"/>
          </w:tcPr>
          <w:p>
            <w:pPr>
              <w:ind w:left="60"/>
              <w:spacing w:after="0"/>
              <w:rPr>
                <w:sz w:val="20"/>
                <w:szCs w:val="20"/>
                <w:color w:val="auto"/>
              </w:rPr>
            </w:pPr>
            <w:r>
              <w:rPr>
                <w:rFonts w:ascii="Arial" w:cs="Arial" w:eastAsia="Arial" w:hAnsi="Arial"/>
                <w:sz w:val="16"/>
                <w:szCs w:val="16"/>
                <w:color w:val="auto"/>
              </w:rPr>
              <w:t>Director Retainer</w:t>
            </w:r>
          </w:p>
        </w:tc>
        <w:tc>
          <w:tcPr>
            <w:tcW w:w="32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85,000</w:t>
            </w:r>
          </w:p>
        </w:tc>
      </w:tr>
      <w:tr>
        <w:trPr>
          <w:trHeight w:val="222"/>
        </w:trPr>
        <w:tc>
          <w:tcPr>
            <w:tcW w:w="7640" w:type="dxa"/>
            <w:vAlign w:val="bottom"/>
          </w:tcPr>
          <w:p>
            <w:pPr>
              <w:ind w:left="60"/>
              <w:spacing w:after="0"/>
              <w:rPr>
                <w:sz w:val="20"/>
                <w:szCs w:val="20"/>
                <w:color w:val="auto"/>
              </w:rPr>
            </w:pPr>
            <w:r>
              <w:rPr>
                <w:rFonts w:ascii="Arial" w:cs="Arial" w:eastAsia="Arial" w:hAnsi="Arial"/>
                <w:sz w:val="16"/>
                <w:szCs w:val="16"/>
                <w:color w:val="auto"/>
              </w:rPr>
              <w:t>AFC Chair Retainer</w:t>
            </w:r>
          </w:p>
        </w:tc>
        <w:tc>
          <w:tcPr>
            <w:tcW w:w="324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37"/>
        </w:trPr>
        <w:tc>
          <w:tcPr>
            <w:tcW w:w="7640" w:type="dxa"/>
            <w:vAlign w:val="bottom"/>
            <w:shd w:val="clear" w:color="auto" w:fill="DCDDDE"/>
          </w:tcPr>
          <w:p>
            <w:pPr>
              <w:ind w:left="60"/>
              <w:spacing w:after="0"/>
              <w:rPr>
                <w:sz w:val="20"/>
                <w:szCs w:val="20"/>
                <w:color w:val="auto"/>
              </w:rPr>
            </w:pPr>
            <w:r>
              <w:rPr>
                <w:rFonts w:ascii="Arial" w:cs="Arial" w:eastAsia="Arial" w:hAnsi="Arial"/>
                <w:sz w:val="16"/>
                <w:szCs w:val="16"/>
                <w:color w:val="auto"/>
              </w:rPr>
              <w:t>CPCC Chair Retainer</w:t>
            </w:r>
          </w:p>
        </w:tc>
        <w:tc>
          <w:tcPr>
            <w:tcW w:w="32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20,000</w:t>
            </w:r>
          </w:p>
        </w:tc>
      </w:tr>
      <w:tr>
        <w:trPr>
          <w:trHeight w:val="222"/>
        </w:trPr>
        <w:tc>
          <w:tcPr>
            <w:tcW w:w="7640" w:type="dxa"/>
            <w:vAlign w:val="bottom"/>
          </w:tcPr>
          <w:p>
            <w:pPr>
              <w:ind w:left="60"/>
              <w:spacing w:after="0"/>
              <w:rPr>
                <w:sz w:val="20"/>
                <w:szCs w:val="20"/>
                <w:color w:val="auto"/>
              </w:rPr>
            </w:pPr>
            <w:r>
              <w:rPr>
                <w:rFonts w:ascii="Arial" w:cs="Arial" w:eastAsia="Arial" w:hAnsi="Arial"/>
                <w:sz w:val="16"/>
                <w:szCs w:val="16"/>
                <w:color w:val="auto"/>
              </w:rPr>
              <w:t>CGNC Chair Retainer</w:t>
            </w:r>
          </w:p>
        </w:tc>
        <w:tc>
          <w:tcPr>
            <w:tcW w:w="324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7640" w:type="dxa"/>
            <w:vAlign w:val="bottom"/>
            <w:shd w:val="clear" w:color="auto" w:fill="DCDDDE"/>
          </w:tcPr>
          <w:p>
            <w:pPr>
              <w:ind w:left="60"/>
              <w:spacing w:after="0"/>
              <w:rPr>
                <w:sz w:val="20"/>
                <w:szCs w:val="20"/>
                <w:color w:val="auto"/>
              </w:rPr>
            </w:pPr>
            <w:r>
              <w:rPr>
                <w:rFonts w:ascii="Arial" w:cs="Arial" w:eastAsia="Arial" w:hAnsi="Arial"/>
                <w:sz w:val="16"/>
                <w:szCs w:val="16"/>
                <w:color w:val="auto"/>
              </w:rPr>
              <w:t>TC Chair Retainer</w:t>
            </w:r>
          </w:p>
        </w:tc>
        <w:tc>
          <w:tcPr>
            <w:tcW w:w="32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15,000</w:t>
            </w:r>
          </w:p>
        </w:tc>
      </w:tr>
      <w:tr>
        <w:trPr>
          <w:trHeight w:val="222"/>
        </w:trPr>
        <w:tc>
          <w:tcPr>
            <w:tcW w:w="7640" w:type="dxa"/>
            <w:vAlign w:val="bottom"/>
          </w:tcPr>
          <w:p>
            <w:pPr>
              <w:ind w:left="60"/>
              <w:spacing w:after="0"/>
              <w:rPr>
                <w:sz w:val="20"/>
                <w:szCs w:val="20"/>
                <w:color w:val="auto"/>
              </w:rPr>
            </w:pPr>
            <w:r>
              <w:rPr>
                <w:rFonts w:ascii="Arial" w:cs="Arial" w:eastAsia="Arial" w:hAnsi="Arial"/>
                <w:sz w:val="16"/>
                <w:szCs w:val="16"/>
                <w:color w:val="auto"/>
              </w:rPr>
              <w:t>Grant date value of Director Equity Grant of Common Stock</w:t>
            </w:r>
          </w:p>
        </w:tc>
        <w:tc>
          <w:tcPr>
            <w:tcW w:w="3240" w:type="dxa"/>
            <w:vAlign w:val="bottom"/>
          </w:tcPr>
          <w:p>
            <w:pPr>
              <w:jc w:val="right"/>
              <w:spacing w:after="0"/>
              <w:rPr>
                <w:sz w:val="20"/>
                <w:szCs w:val="20"/>
                <w:color w:val="auto"/>
              </w:rPr>
            </w:pPr>
            <w:r>
              <w:rPr>
                <w:rFonts w:ascii="Arial" w:cs="Arial" w:eastAsia="Arial" w:hAnsi="Arial"/>
                <w:sz w:val="16"/>
                <w:szCs w:val="16"/>
                <w:color w:val="auto"/>
              </w:rPr>
              <w:t>150,000</w:t>
            </w:r>
          </w:p>
        </w:tc>
      </w:tr>
      <w:tr>
        <w:trPr>
          <w:trHeight w:val="230"/>
        </w:trPr>
        <w:tc>
          <w:tcPr>
            <w:tcW w:w="764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Grant date value of Chairman of the Board Equity Grant of Common Stock</w:t>
            </w:r>
          </w:p>
        </w:tc>
        <w:tc>
          <w:tcPr>
            <w:tcW w:w="32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color w:val="auto"/>
              </w:rPr>
              <w:t>200,000</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Directors may elect to take some or all of their cash retainer fees in Common Stock.</w:t>
      </w:r>
    </w:p>
    <w:p>
      <w:pPr>
        <w:sectPr>
          <w:pgSz w:w="11900" w:h="16838" w:orient="portrait"/>
          <w:cols w:equalWidth="0" w:num="1">
            <w:col w:w="10880"/>
          </w:cols>
          <w:pgMar w:left="500" w:top="270" w:right="519" w:bottom="1440" w:gutter="0" w:footer="0" w:header="0"/>
        </w:sectPr>
      </w:pPr>
    </w:p>
    <w:p>
      <w:pPr>
        <w:spacing w:after="0" w:line="288" w:lineRule="exact"/>
        <w:rPr>
          <w:sz w:val="20"/>
          <w:szCs w:val="20"/>
          <w:color w:val="auto"/>
        </w:rPr>
      </w:pPr>
    </w:p>
    <w:p>
      <w:pPr>
        <w:jc w:val="center"/>
        <w:ind w:left="360"/>
        <w:spacing w:after="0" w:line="254" w:lineRule="auto"/>
        <w:rPr>
          <w:sz w:val="20"/>
          <w:szCs w:val="20"/>
          <w:color w:val="auto"/>
        </w:rPr>
      </w:pPr>
      <w:r>
        <w:rPr>
          <w:rFonts w:ascii="Arial" w:cs="Arial" w:eastAsia="Arial" w:hAnsi="Arial"/>
          <w:sz w:val="32"/>
          <w:szCs w:val="32"/>
          <w:b w:val="1"/>
          <w:bCs w:val="1"/>
          <w:i w:val="1"/>
          <w:iCs w:val="1"/>
          <w:color w:val="1E295B"/>
        </w:rPr>
        <w:t>Our Directors are required to hold stock having a value of at least $450,000, in excess of 5x the annual cash retainer, by their fifth anniversary of joining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-1782445</wp:posOffset>
            </wp:positionV>
            <wp:extent cx="3265805" cy="18434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65805" cy="1843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Director stock ownership guidelines, Directors are currently required to own Common Stock having a value of at least $450,000, in excess of five times the annual Director cash retainer, by their fifth anniversary of joining the Board. As of the Record Date, each nominee for election at the Annual Meeting had either satisfied this obligation or had time remaining to do so. Under the Company’s policy, a Director is deemed to be in compliance with the stock ownership guidelines once their holdings of Common Stock meet or exceed the threshold, and will remain in compliance, notwithstanding any decline in the value of Common Stock, unless and until the Director sells shares.</w:t>
      </w:r>
    </w:p>
    <w:p>
      <w:pPr>
        <w:spacing w:after="0" w:line="1105" w:lineRule="exact"/>
        <w:rPr>
          <w:sz w:val="20"/>
          <w:szCs w:val="20"/>
          <w:color w:val="auto"/>
        </w:rPr>
      </w:pPr>
    </w:p>
    <w:p>
      <w:pPr>
        <w:sectPr>
          <w:pgSz w:w="11900" w:h="16838" w:orient="portrait"/>
          <w:cols w:equalWidth="0" w:num="2">
            <w:col w:w="4800" w:space="700"/>
            <w:col w:w="5380"/>
          </w:cols>
          <w:pgMar w:left="500" w:top="270" w:right="519" w:bottom="1440" w:gutter="0" w:footer="0" w:header="0"/>
          <w:type w:val="continuous"/>
        </w:sect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Changes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 changes were made to Director compensation elements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101981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CORPORATE GOVERNANCE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Non-Employee Director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January 28, 2023, non-employee Directors of the Company received the following compensation for their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3340" w:type="dxa"/>
            <w:vAlign w:val="bottom"/>
          </w:tcPr>
          <w:p>
            <w:pPr>
              <w:jc w:val="right"/>
              <w:ind w:right="359"/>
              <w:spacing w:after="0"/>
              <w:rPr>
                <w:sz w:val="20"/>
                <w:szCs w:val="20"/>
                <w:color w:val="auto"/>
              </w:rPr>
            </w:pPr>
            <w:r>
              <w:rPr>
                <w:rFonts w:ascii="Arial" w:cs="Arial" w:eastAsia="Arial" w:hAnsi="Arial"/>
                <w:sz w:val="16"/>
                <w:szCs w:val="16"/>
                <w:b w:val="1"/>
                <w:bCs w:val="1"/>
                <w:color w:val="auto"/>
              </w:rPr>
              <w:t>Retainers</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3520" w:type="dxa"/>
            <w:vAlign w:val="bottom"/>
          </w:tcPr>
          <w:p>
            <w:pPr>
              <w:spacing w:after="0"/>
              <w:rPr>
                <w:sz w:val="16"/>
                <w:szCs w:val="16"/>
                <w:color w:val="auto"/>
              </w:rPr>
            </w:pPr>
          </w:p>
        </w:tc>
        <w:tc>
          <w:tcPr>
            <w:tcW w:w="3340" w:type="dxa"/>
            <w:vAlign w:val="bottom"/>
          </w:tcPr>
          <w:p>
            <w:pPr>
              <w:jc w:val="right"/>
              <w:ind w:right="359"/>
              <w:spacing w:after="0"/>
              <w:rPr>
                <w:sz w:val="20"/>
                <w:szCs w:val="20"/>
                <w:color w:val="auto"/>
              </w:rPr>
            </w:pPr>
            <w:r>
              <w:rPr>
                <w:rFonts w:ascii="Arial" w:cs="Arial" w:eastAsia="Arial" w:hAnsi="Arial"/>
                <w:sz w:val="16"/>
                <w:szCs w:val="16"/>
                <w:b w:val="1"/>
                <w:bCs w:val="1"/>
                <w:color w:val="auto"/>
              </w:rPr>
              <w:t>Earned</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Stock</w:t>
            </w: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All Other</w:t>
            </w:r>
          </w:p>
        </w:tc>
        <w:tc>
          <w:tcPr>
            <w:tcW w:w="1080" w:type="dxa"/>
            <w:vAlign w:val="bottom"/>
          </w:tcPr>
          <w:p>
            <w:pPr>
              <w:spacing w:after="0"/>
              <w:rPr>
                <w:sz w:val="16"/>
                <w:szCs w:val="16"/>
                <w:color w:val="auto"/>
              </w:rPr>
            </w:pPr>
          </w:p>
        </w:tc>
      </w:tr>
      <w:tr>
        <w:trPr>
          <w:trHeight w:val="189"/>
        </w:trPr>
        <w:tc>
          <w:tcPr>
            <w:tcW w:w="3520" w:type="dxa"/>
            <w:vAlign w:val="bottom"/>
          </w:tcPr>
          <w:p>
            <w:pPr>
              <w:spacing w:after="0"/>
              <w:rPr>
                <w:sz w:val="16"/>
                <w:szCs w:val="16"/>
                <w:color w:val="auto"/>
              </w:rPr>
            </w:pPr>
          </w:p>
        </w:tc>
        <w:tc>
          <w:tcPr>
            <w:tcW w:w="3340" w:type="dxa"/>
            <w:vAlign w:val="bottom"/>
          </w:tcPr>
          <w:p>
            <w:pPr>
              <w:jc w:val="right"/>
              <w:ind w:right="359"/>
              <w:spacing w:after="0"/>
              <w:rPr>
                <w:sz w:val="20"/>
                <w:szCs w:val="20"/>
                <w:color w:val="auto"/>
              </w:rPr>
            </w:pPr>
            <w:r>
              <w:rPr>
                <w:rFonts w:ascii="Arial" w:cs="Arial" w:eastAsia="Arial" w:hAnsi="Arial"/>
                <w:sz w:val="16"/>
                <w:szCs w:val="16"/>
                <w:b w:val="1"/>
                <w:bCs w:val="1"/>
                <w:color w:val="auto"/>
              </w:rPr>
              <w:t>or Paid in Cash</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Awards</w:t>
            </w: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Compensation</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23"/>
        </w:trPr>
        <w:tc>
          <w:tcPr>
            <w:tcW w:w="352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3340" w:type="dxa"/>
            <w:vAlign w:val="bottom"/>
          </w:tcPr>
          <w:p>
            <w:pPr>
              <w:jc w:val="right"/>
              <w:ind w:right="319"/>
              <w:spacing w:after="0"/>
              <w:rPr>
                <w:sz w:val="20"/>
                <w:szCs w:val="20"/>
                <w:color w:val="auto"/>
              </w:rPr>
            </w:pPr>
            <w:r>
              <w:rPr>
                <w:rFonts w:ascii="Arial" w:cs="Arial" w:eastAsia="Arial" w:hAnsi="Arial"/>
                <w:sz w:val="16"/>
                <w:szCs w:val="16"/>
                <w:b w:val="1"/>
                <w:bCs w:val="1"/>
                <w:color w:val="auto"/>
              </w:rPr>
              <w:t>($)(a)(b)</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($)(b)(c)</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($)(d)</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3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Shellye L. Archambeau*</w:t>
            </w:r>
          </w:p>
        </w:tc>
        <w:tc>
          <w:tcPr>
            <w:tcW w:w="3340" w:type="dxa"/>
            <w:vAlign w:val="bottom"/>
            <w:shd w:val="clear" w:color="auto" w:fill="DCDDDE"/>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shd w:val="clear" w:color="auto" w:fill="DCDDDE"/>
          </w:tcPr>
          <w:p>
            <w:pPr>
              <w:jc w:val="right"/>
              <w:ind w:right="339"/>
              <w:spacing w:after="0"/>
              <w:rPr>
                <w:sz w:val="20"/>
                <w:szCs w:val="20"/>
                <w:color w:val="auto"/>
              </w:rPr>
            </w:pPr>
            <w:r>
              <w:rPr>
                <w:rFonts w:ascii="Arial" w:cs="Arial" w:eastAsia="Arial" w:hAnsi="Arial"/>
                <w:sz w:val="16"/>
                <w:szCs w:val="16"/>
                <w:color w:val="auto"/>
              </w:rPr>
              <w:t>1,622</w:t>
            </w:r>
          </w:p>
        </w:tc>
        <w:tc>
          <w:tcPr>
            <w:tcW w:w="10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1,622</w:t>
            </w:r>
          </w:p>
        </w:tc>
      </w:tr>
      <w:tr>
        <w:trPr>
          <w:trHeight w:val="222"/>
        </w:trPr>
        <w:tc>
          <w:tcPr>
            <w:tcW w:w="3520" w:type="dxa"/>
            <w:vAlign w:val="bottom"/>
          </w:tcPr>
          <w:p>
            <w:pPr>
              <w:ind w:left="60"/>
              <w:spacing w:after="0"/>
              <w:rPr>
                <w:sz w:val="20"/>
                <w:szCs w:val="20"/>
                <w:color w:val="auto"/>
              </w:rPr>
            </w:pPr>
            <w:r>
              <w:rPr>
                <w:rFonts w:ascii="Arial" w:cs="Arial" w:eastAsia="Arial" w:hAnsi="Arial"/>
                <w:sz w:val="16"/>
                <w:szCs w:val="16"/>
                <w:color w:val="auto"/>
              </w:rPr>
              <w:t>Stacy Brown-Philpot</w:t>
            </w:r>
          </w:p>
        </w:tc>
        <w:tc>
          <w:tcPr>
            <w:tcW w:w="3340" w:type="dxa"/>
            <w:vAlign w:val="bottom"/>
          </w:tcPr>
          <w:p>
            <w:pPr>
              <w:jc w:val="right"/>
              <w:ind w:right="319"/>
              <w:spacing w:after="0"/>
              <w:rPr>
                <w:sz w:val="20"/>
                <w:szCs w:val="20"/>
                <w:color w:val="auto"/>
              </w:rPr>
            </w:pPr>
            <w:r>
              <w:rPr>
                <w:rFonts w:ascii="Arial" w:cs="Arial" w:eastAsia="Arial" w:hAnsi="Arial"/>
                <w:sz w:val="16"/>
                <w:szCs w:val="16"/>
                <w:color w:val="auto"/>
              </w:rPr>
              <w:t>100,000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149,987</w:t>
            </w: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21,281</w:t>
            </w:r>
          </w:p>
        </w:tc>
        <w:tc>
          <w:tcPr>
            <w:tcW w:w="1080" w:type="dxa"/>
            <w:vAlign w:val="bottom"/>
          </w:tcPr>
          <w:p>
            <w:pPr>
              <w:jc w:val="right"/>
              <w:spacing w:after="0"/>
              <w:rPr>
                <w:sz w:val="20"/>
                <w:szCs w:val="20"/>
                <w:color w:val="auto"/>
              </w:rPr>
            </w:pPr>
            <w:r>
              <w:rPr>
                <w:rFonts w:ascii="Arial" w:cs="Arial" w:eastAsia="Arial" w:hAnsi="Arial"/>
                <w:sz w:val="16"/>
                <w:szCs w:val="16"/>
                <w:color w:val="auto"/>
              </w:rPr>
              <w:t>271,268</w:t>
            </w:r>
          </w:p>
        </w:tc>
      </w:tr>
      <w:tr>
        <w:trPr>
          <w:trHeight w:val="237"/>
        </w:trPr>
        <w:tc>
          <w:tcPr>
            <w:tcW w:w="3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James L. Donald</w:t>
            </w:r>
          </w:p>
        </w:tc>
        <w:tc>
          <w:tcPr>
            <w:tcW w:w="3340" w:type="dxa"/>
            <w:vAlign w:val="bottom"/>
            <w:shd w:val="clear" w:color="auto" w:fill="DCDDDE"/>
          </w:tcPr>
          <w:p>
            <w:pPr>
              <w:jc w:val="right"/>
              <w:ind w:right="319"/>
              <w:spacing w:after="0"/>
              <w:rPr>
                <w:sz w:val="20"/>
                <w:szCs w:val="20"/>
                <w:color w:val="auto"/>
              </w:rPr>
            </w:pPr>
            <w:r>
              <w:rPr>
                <w:rFonts w:ascii="Arial" w:cs="Arial" w:eastAsia="Arial" w:hAnsi="Arial"/>
                <w:sz w:val="16"/>
                <w:szCs w:val="16"/>
                <w:color w:val="auto"/>
              </w:rPr>
              <w:t>115,000</w:t>
            </w:r>
          </w:p>
        </w:tc>
        <w:tc>
          <w:tcPr>
            <w:tcW w:w="120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149,987</w:t>
            </w:r>
          </w:p>
        </w:tc>
        <w:tc>
          <w:tcPr>
            <w:tcW w:w="1740" w:type="dxa"/>
            <w:vAlign w:val="bottom"/>
            <w:shd w:val="clear" w:color="auto" w:fill="DCDDDE"/>
          </w:tcPr>
          <w:p>
            <w:pPr>
              <w:jc w:val="right"/>
              <w:ind w:right="339"/>
              <w:spacing w:after="0"/>
              <w:rPr>
                <w:sz w:val="20"/>
                <w:szCs w:val="20"/>
                <w:color w:val="auto"/>
              </w:rPr>
            </w:pPr>
            <w:r>
              <w:rPr>
                <w:rFonts w:ascii="Arial" w:cs="Arial" w:eastAsia="Arial" w:hAnsi="Arial"/>
                <w:sz w:val="16"/>
                <w:szCs w:val="16"/>
                <w:color w:val="auto"/>
              </w:rPr>
              <w:t>19,491</w:t>
            </w:r>
          </w:p>
        </w:tc>
        <w:tc>
          <w:tcPr>
            <w:tcW w:w="10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284,478</w:t>
            </w:r>
          </w:p>
        </w:tc>
      </w:tr>
      <w:tr>
        <w:trPr>
          <w:trHeight w:val="222"/>
        </w:trPr>
        <w:tc>
          <w:tcPr>
            <w:tcW w:w="3520" w:type="dxa"/>
            <w:vAlign w:val="bottom"/>
          </w:tcPr>
          <w:p>
            <w:pPr>
              <w:ind w:left="60"/>
              <w:spacing w:after="0"/>
              <w:rPr>
                <w:sz w:val="20"/>
                <w:szCs w:val="20"/>
                <w:color w:val="auto"/>
              </w:rPr>
            </w:pPr>
            <w:r>
              <w:rPr>
                <w:rFonts w:ascii="Arial" w:cs="Arial" w:eastAsia="Arial" w:hAnsi="Arial"/>
                <w:sz w:val="16"/>
                <w:szCs w:val="16"/>
                <w:color w:val="auto"/>
              </w:rPr>
              <w:t>Kirsten A. Green</w:t>
            </w:r>
          </w:p>
        </w:tc>
        <w:tc>
          <w:tcPr>
            <w:tcW w:w="3340" w:type="dxa"/>
            <w:vAlign w:val="bottom"/>
          </w:tcPr>
          <w:p>
            <w:pPr>
              <w:jc w:val="right"/>
              <w:ind w:right="319"/>
              <w:spacing w:after="0"/>
              <w:rPr>
                <w:sz w:val="20"/>
                <w:szCs w:val="20"/>
                <w:color w:val="auto"/>
              </w:rPr>
            </w:pPr>
            <w:r>
              <w:rPr>
                <w:rFonts w:ascii="Arial" w:cs="Arial" w:eastAsia="Arial" w:hAnsi="Arial"/>
                <w:sz w:val="16"/>
                <w:szCs w:val="16"/>
                <w:color w:val="auto"/>
              </w:rPr>
              <w:t>85,000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149,987</w:t>
            </w: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19,375</w:t>
            </w:r>
          </w:p>
        </w:tc>
        <w:tc>
          <w:tcPr>
            <w:tcW w:w="1080" w:type="dxa"/>
            <w:vAlign w:val="bottom"/>
          </w:tcPr>
          <w:p>
            <w:pPr>
              <w:jc w:val="right"/>
              <w:spacing w:after="0"/>
              <w:rPr>
                <w:sz w:val="20"/>
                <w:szCs w:val="20"/>
                <w:color w:val="auto"/>
              </w:rPr>
            </w:pPr>
            <w:r>
              <w:rPr>
                <w:rFonts w:ascii="Arial" w:cs="Arial" w:eastAsia="Arial" w:hAnsi="Arial"/>
                <w:sz w:val="16"/>
                <w:szCs w:val="16"/>
                <w:color w:val="auto"/>
              </w:rPr>
              <w:t>254,362</w:t>
            </w:r>
          </w:p>
        </w:tc>
      </w:tr>
      <w:tr>
        <w:trPr>
          <w:trHeight w:val="237"/>
        </w:trPr>
        <w:tc>
          <w:tcPr>
            <w:tcW w:w="3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Glenda G. McNeal</w:t>
            </w:r>
          </w:p>
        </w:tc>
        <w:tc>
          <w:tcPr>
            <w:tcW w:w="3340" w:type="dxa"/>
            <w:vAlign w:val="bottom"/>
            <w:shd w:val="clear" w:color="auto" w:fill="DCDDDE"/>
          </w:tcPr>
          <w:p>
            <w:pPr>
              <w:jc w:val="right"/>
              <w:ind w:right="319"/>
              <w:spacing w:after="0"/>
              <w:rPr>
                <w:sz w:val="20"/>
                <w:szCs w:val="20"/>
                <w:color w:val="auto"/>
              </w:rPr>
            </w:pPr>
            <w:r>
              <w:rPr>
                <w:rFonts w:ascii="Arial" w:cs="Arial" w:eastAsia="Arial" w:hAnsi="Arial"/>
                <w:sz w:val="16"/>
                <w:szCs w:val="16"/>
                <w:color w:val="auto"/>
              </w:rPr>
              <w:t>100,000</w:t>
            </w:r>
          </w:p>
        </w:tc>
        <w:tc>
          <w:tcPr>
            <w:tcW w:w="120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149,987</w:t>
            </w:r>
          </w:p>
        </w:tc>
        <w:tc>
          <w:tcPr>
            <w:tcW w:w="1740" w:type="dxa"/>
            <w:vAlign w:val="bottom"/>
            <w:shd w:val="clear" w:color="auto" w:fill="DCDDDE"/>
          </w:tcPr>
          <w:p>
            <w:pPr>
              <w:jc w:val="right"/>
              <w:ind w:right="339"/>
              <w:spacing w:after="0"/>
              <w:rPr>
                <w:sz w:val="20"/>
                <w:szCs w:val="20"/>
                <w:color w:val="auto"/>
              </w:rPr>
            </w:pPr>
            <w:r>
              <w:rPr>
                <w:rFonts w:ascii="Arial" w:cs="Arial" w:eastAsia="Arial" w:hAnsi="Arial"/>
                <w:sz w:val="16"/>
                <w:szCs w:val="16"/>
                <w:color w:val="auto"/>
              </w:rPr>
              <w:t>30,452</w:t>
            </w:r>
          </w:p>
        </w:tc>
        <w:tc>
          <w:tcPr>
            <w:tcW w:w="10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280,439</w:t>
            </w:r>
          </w:p>
        </w:tc>
      </w:tr>
      <w:tr>
        <w:trPr>
          <w:trHeight w:val="222"/>
        </w:trPr>
        <w:tc>
          <w:tcPr>
            <w:tcW w:w="3520" w:type="dxa"/>
            <w:vAlign w:val="bottom"/>
          </w:tcPr>
          <w:p>
            <w:pPr>
              <w:ind w:left="60"/>
              <w:spacing w:after="0"/>
              <w:rPr>
                <w:sz w:val="20"/>
                <w:szCs w:val="20"/>
                <w:color w:val="auto"/>
              </w:rPr>
            </w:pPr>
            <w:r>
              <w:rPr>
                <w:rFonts w:ascii="Arial" w:cs="Arial" w:eastAsia="Arial" w:hAnsi="Arial"/>
                <w:sz w:val="16"/>
                <w:szCs w:val="16"/>
                <w:color w:val="auto"/>
              </w:rPr>
              <w:t>Brad D. Smith*</w:t>
            </w:r>
          </w:p>
        </w:tc>
        <w:tc>
          <w:tcPr>
            <w:tcW w:w="33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1,051</w:t>
            </w:r>
          </w:p>
        </w:tc>
        <w:tc>
          <w:tcPr>
            <w:tcW w:w="1080" w:type="dxa"/>
            <w:vAlign w:val="bottom"/>
          </w:tcPr>
          <w:p>
            <w:pPr>
              <w:jc w:val="right"/>
              <w:spacing w:after="0"/>
              <w:rPr>
                <w:sz w:val="20"/>
                <w:szCs w:val="20"/>
                <w:color w:val="auto"/>
              </w:rPr>
            </w:pPr>
            <w:r>
              <w:rPr>
                <w:rFonts w:ascii="Arial" w:cs="Arial" w:eastAsia="Arial" w:hAnsi="Arial"/>
                <w:sz w:val="16"/>
                <w:szCs w:val="16"/>
                <w:color w:val="auto"/>
              </w:rPr>
              <w:t>1,051</w:t>
            </w:r>
          </w:p>
        </w:tc>
      </w:tr>
      <w:tr>
        <w:trPr>
          <w:trHeight w:val="237"/>
        </w:trPr>
        <w:tc>
          <w:tcPr>
            <w:tcW w:w="3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Bradley D. Tilden</w:t>
            </w:r>
          </w:p>
        </w:tc>
        <w:tc>
          <w:tcPr>
            <w:tcW w:w="3340" w:type="dxa"/>
            <w:vAlign w:val="bottom"/>
            <w:shd w:val="clear" w:color="auto" w:fill="DCDDDE"/>
          </w:tcPr>
          <w:p>
            <w:pPr>
              <w:jc w:val="right"/>
              <w:ind w:right="319"/>
              <w:spacing w:after="0"/>
              <w:rPr>
                <w:sz w:val="20"/>
                <w:szCs w:val="20"/>
                <w:color w:val="auto"/>
              </w:rPr>
            </w:pPr>
            <w:r>
              <w:rPr>
                <w:rFonts w:ascii="Arial" w:cs="Arial" w:eastAsia="Arial" w:hAnsi="Arial"/>
                <w:sz w:val="16"/>
                <w:szCs w:val="16"/>
                <w:color w:val="auto"/>
              </w:rPr>
              <w:t>85,000</w:t>
            </w:r>
          </w:p>
        </w:tc>
        <w:tc>
          <w:tcPr>
            <w:tcW w:w="120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349,987</w:t>
            </w:r>
          </w:p>
        </w:tc>
        <w:tc>
          <w:tcPr>
            <w:tcW w:w="1740" w:type="dxa"/>
            <w:vAlign w:val="bottom"/>
            <w:shd w:val="clear" w:color="auto" w:fill="DCDDDE"/>
          </w:tcPr>
          <w:p>
            <w:pPr>
              <w:jc w:val="right"/>
              <w:ind w:right="339"/>
              <w:spacing w:after="0"/>
              <w:rPr>
                <w:sz w:val="20"/>
                <w:szCs w:val="20"/>
                <w:color w:val="auto"/>
              </w:rPr>
            </w:pPr>
            <w:r>
              <w:rPr>
                <w:rFonts w:ascii="Arial" w:cs="Arial" w:eastAsia="Arial" w:hAnsi="Arial"/>
                <w:sz w:val="16"/>
                <w:szCs w:val="16"/>
                <w:color w:val="auto"/>
              </w:rPr>
              <w:t>4,862</w:t>
            </w:r>
          </w:p>
        </w:tc>
        <w:tc>
          <w:tcPr>
            <w:tcW w:w="10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439,849</w:t>
            </w:r>
          </w:p>
        </w:tc>
      </w:tr>
      <w:tr>
        <w:trPr>
          <w:trHeight w:val="222"/>
        </w:trPr>
        <w:tc>
          <w:tcPr>
            <w:tcW w:w="3520" w:type="dxa"/>
            <w:vAlign w:val="bottom"/>
          </w:tcPr>
          <w:p>
            <w:pPr>
              <w:ind w:left="60"/>
              <w:spacing w:after="0"/>
              <w:rPr>
                <w:sz w:val="20"/>
                <w:szCs w:val="20"/>
                <w:color w:val="auto"/>
              </w:rPr>
            </w:pPr>
            <w:r>
              <w:rPr>
                <w:rFonts w:ascii="Arial" w:cs="Arial" w:eastAsia="Arial" w:hAnsi="Arial"/>
                <w:sz w:val="16"/>
                <w:szCs w:val="16"/>
                <w:color w:val="auto"/>
              </w:rPr>
              <w:t>Mark J. Tritton</w:t>
            </w:r>
          </w:p>
        </w:tc>
        <w:tc>
          <w:tcPr>
            <w:tcW w:w="3340" w:type="dxa"/>
            <w:vAlign w:val="bottom"/>
          </w:tcPr>
          <w:p>
            <w:pPr>
              <w:jc w:val="right"/>
              <w:ind w:right="319"/>
              <w:spacing w:after="0"/>
              <w:rPr>
                <w:sz w:val="20"/>
                <w:szCs w:val="20"/>
                <w:color w:val="auto"/>
              </w:rPr>
            </w:pPr>
            <w:r>
              <w:rPr>
                <w:rFonts w:ascii="Arial" w:cs="Arial" w:eastAsia="Arial" w:hAnsi="Arial"/>
                <w:sz w:val="16"/>
                <w:szCs w:val="16"/>
                <w:color w:val="auto"/>
              </w:rPr>
              <w:t>105,000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149,987</w:t>
            </w: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15,823</w:t>
            </w:r>
          </w:p>
        </w:tc>
        <w:tc>
          <w:tcPr>
            <w:tcW w:w="1080" w:type="dxa"/>
            <w:vAlign w:val="bottom"/>
          </w:tcPr>
          <w:p>
            <w:pPr>
              <w:jc w:val="right"/>
              <w:spacing w:after="0"/>
              <w:rPr>
                <w:sz w:val="20"/>
                <w:szCs w:val="20"/>
                <w:color w:val="auto"/>
              </w:rPr>
            </w:pPr>
            <w:r>
              <w:rPr>
                <w:rFonts w:ascii="Arial" w:cs="Arial" w:eastAsia="Arial" w:hAnsi="Arial"/>
                <w:sz w:val="16"/>
                <w:szCs w:val="16"/>
                <w:color w:val="auto"/>
              </w:rPr>
              <w:t>270,810</w:t>
            </w:r>
          </w:p>
        </w:tc>
      </w:tr>
      <w:tr>
        <w:trPr>
          <w:trHeight w:val="237"/>
        </w:trPr>
        <w:tc>
          <w:tcPr>
            <w:tcW w:w="3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Amie Thuener O’Toole</w:t>
            </w:r>
          </w:p>
        </w:tc>
        <w:tc>
          <w:tcPr>
            <w:tcW w:w="3340" w:type="dxa"/>
            <w:vAlign w:val="bottom"/>
            <w:shd w:val="clear" w:color="auto" w:fill="DCDDDE"/>
          </w:tcPr>
          <w:p>
            <w:pPr>
              <w:jc w:val="right"/>
              <w:ind w:right="319"/>
              <w:spacing w:after="0"/>
              <w:rPr>
                <w:sz w:val="20"/>
                <w:szCs w:val="20"/>
                <w:color w:val="auto"/>
              </w:rPr>
            </w:pPr>
            <w:r>
              <w:rPr>
                <w:rFonts w:ascii="Arial" w:cs="Arial" w:eastAsia="Arial" w:hAnsi="Arial"/>
                <w:sz w:val="16"/>
                <w:szCs w:val="16"/>
                <w:color w:val="auto"/>
              </w:rPr>
              <w:t>85,000</w:t>
            </w:r>
          </w:p>
        </w:tc>
        <w:tc>
          <w:tcPr>
            <w:tcW w:w="120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149,987</w:t>
            </w:r>
          </w:p>
        </w:tc>
        <w:tc>
          <w:tcPr>
            <w:tcW w:w="1740" w:type="dxa"/>
            <w:vAlign w:val="bottom"/>
            <w:shd w:val="clear" w:color="auto" w:fill="DCDDDE"/>
          </w:tcPr>
          <w:p>
            <w:pPr>
              <w:jc w:val="right"/>
              <w:ind w:right="339"/>
              <w:spacing w:after="0"/>
              <w:rPr>
                <w:sz w:val="20"/>
                <w:szCs w:val="20"/>
                <w:color w:val="auto"/>
              </w:rPr>
            </w:pPr>
            <w:r>
              <w:rPr>
                <w:rFonts w:ascii="Arial" w:cs="Arial" w:eastAsia="Arial" w:hAnsi="Arial"/>
                <w:sz w:val="16"/>
                <w:szCs w:val="16"/>
                <w:color w:val="auto"/>
              </w:rPr>
              <w:t>7,985</w:t>
            </w:r>
          </w:p>
        </w:tc>
        <w:tc>
          <w:tcPr>
            <w:tcW w:w="10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242,972</w:t>
            </w:r>
          </w:p>
        </w:tc>
      </w:tr>
      <w:tr>
        <w:trPr>
          <w:trHeight w:val="223"/>
        </w:trPr>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Atticus N. Tysen**</w:t>
            </w:r>
          </w:p>
        </w:tc>
        <w:tc>
          <w:tcPr>
            <w:tcW w:w="3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96" w:lineRule="exact"/>
        <w:rPr>
          <w:sz w:val="20"/>
          <w:szCs w:val="20"/>
          <w:color w:val="auto"/>
        </w:rPr>
      </w:pPr>
    </w:p>
    <w:p>
      <w:pPr>
        <w:jc w:val="both"/>
        <w:ind w:left="80" w:right="20" w:hanging="71"/>
        <w:spacing w:after="0" w:line="255" w:lineRule="auto"/>
        <w:rPr>
          <w:sz w:val="20"/>
          <w:szCs w:val="20"/>
          <w:color w:val="auto"/>
        </w:rPr>
      </w:pPr>
      <w:r>
        <w:rPr>
          <w:rFonts w:ascii="Arial" w:cs="Arial" w:eastAsia="Arial" w:hAnsi="Arial"/>
          <w:sz w:val="16"/>
          <w:szCs w:val="16"/>
          <w:i w:val="1"/>
          <w:iCs w:val="1"/>
          <w:color w:val="auto"/>
        </w:rPr>
        <w:t>*Shellye Archambeau and Brad Smith retired from the Board at the end of their respective terms in May 2022 and did not receive director retainers during the fiscal year ended January 28, 2023.</w:t>
      </w:r>
    </w:p>
    <w:p>
      <w:pPr>
        <w:spacing w:after="0" w:line="1" w:lineRule="exact"/>
        <w:rPr>
          <w:sz w:val="20"/>
          <w:szCs w:val="20"/>
          <w:color w:val="auto"/>
        </w:rPr>
      </w:pPr>
    </w:p>
    <w:p>
      <w:pPr>
        <w:jc w:val="both"/>
        <w:ind w:left="80" w:hanging="71"/>
        <w:spacing w:after="0" w:line="256" w:lineRule="auto"/>
        <w:rPr>
          <w:sz w:val="20"/>
          <w:szCs w:val="20"/>
          <w:color w:val="auto"/>
        </w:rPr>
      </w:pPr>
      <w:r>
        <w:rPr>
          <w:rFonts w:ascii="Arial" w:cs="Arial" w:eastAsia="Arial" w:hAnsi="Arial"/>
          <w:sz w:val="16"/>
          <w:szCs w:val="16"/>
          <w:i w:val="1"/>
          <w:iCs w:val="1"/>
          <w:color w:val="auto"/>
        </w:rPr>
        <w:t>**Atticus Tysen was appointed to the Board on January 3, 2023 and received no compensation in the fiscal year ended January 28, 2023. He received a pro-rata stock award and pro-rata cash retainer in fiscal year 2023 to reflect his service in the quarter prior to the Annual Director payments to be made in May 2023.</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above table does not include Eric D. Sprunk, who was appointed after the fiscal year ended January 28, 2023.</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(a) Retainers Earned or Paid in Cash</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amounts reported reflect the cash retainer paid to each non-employee Director, whether or not such retainers were deferred. Stacy Brown-Philpot received $15,000 in cash for service as Chair of the TC. James Donald received $30,000 in cash for service as Chair of the AFC. Glenda McNeal received $15,000 in cash for service as Chair of the CGNC. Mark Tritton received $20,000 in cash for service as Chair of the CPCC.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(b) Deferred Compensation Program</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Non-employee Directors may elect to defer all or a part of their cash retainers and stock awards under the DDCP. Directors are required to make advance elections to defer the receipt of retainers or stock awards, and all deferral elections generally are irrevocable. Directors are also required to make advance elections about the form and timing of distribution of their deferred cash retainers or stock awards.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2022, cash deferrals could be directed among 9 deemed investment alternatives and gains and losses for cash deferrals were posted to the Director’s account daily based on their investment elections. In addition, plan participants were offered a fixed rate option of 4.36% in 2022, which was not subsidized by the Company, but rather was a rate based on guaranteed contractual returns from a third-party insurance company provider. Deferred stock awards are credited to the Director’s account as units. Each unit in the DDCP is equal in value to the price of one share of Common Stock. Each deferred unit is credited with dividends, in the form of additional units, to the same extent as a share of Common Stock.</w:t>
      </w:r>
    </w:p>
    <w:p>
      <w:pPr>
        <w:spacing w:after="0" w:line="7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the fiscal year ended January 28, 2023, Stacy Brown-Philpot deferred 100% of her stock award into the DDCP, Glenda McNeal deferred 100% of her cash retainer into the DDCP and Bradley Tilden deferred 100% of his cash retainer and 100% of his stock award into the DDCP.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(c) Stock Awards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amounts reported reflect the grant date fair value associated with each Director’s stock awards. Director stock awards are generally made on the first open trading day following the Annual Meeting. Fractional shares are not awarded or paid in cash. In recognition of the significant time and attention in performing the duties required of the position, our Chairman of the Board is annually awarded an additional stock award having a grant date value of $200,000.</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(d) All Other Compensation</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All Directors, their spouses and eligible children may participate in the Company’s employee merchandise discount program. The program provides a discount of 33% for purchases at Nordstrom stores and Nordstrom.com and 20% for purchases at Nordstrom Rack stores, NordstromRack.com and our restaurants. A 40% discount is available at certain times of the year on specific merchandise. The merchandise discount provided to the Directors is the same as for all other eligible management and high-performing non-management employees. During the fiscal year ended January 28, 2023, All Other Compensation consisted only of merchandise discounts for all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328930</wp:posOffset>
            </wp:positionV>
            <wp:extent cx="1020445"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8900"/>
        <w:spacing w:after="0"/>
        <w:rPr>
          <w:sz w:val="20"/>
          <w:szCs w:val="20"/>
          <w:color w:val="auto"/>
        </w:rPr>
      </w:pPr>
      <w:r>
        <w:rPr>
          <w:rFonts w:ascii="Arial" w:cs="Arial" w:eastAsia="Arial" w:hAnsi="Arial"/>
          <w:sz w:val="14"/>
          <w:szCs w:val="14"/>
          <w:b w:val="1"/>
          <w:bCs w:val="1"/>
          <w:i w:val="1"/>
          <w:iCs w:val="1"/>
          <w:color w:val="67686B"/>
        </w:rPr>
        <w:t>CORPORATE GOVERNANCE</w:t>
      </w:r>
    </w:p>
    <w:p>
      <w:pPr>
        <w:spacing w:after="0" w:line="7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Compensation Committee Interlocks and Insider Participation</w:t>
      </w:r>
    </w:p>
    <w:p>
      <w:pPr>
        <w:spacing w:after="0" w:line="13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the fiscal year ended January 28, 2023, no member of the CPCC was an employee or officer of the Company or any of its subsidiaries or had any relationship otherwise requiring disclosure.</w:t>
      </w:r>
    </w:p>
    <w:p>
      <w:pPr>
        <w:spacing w:after="0" w:line="18"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Codes of Business Conduct and Ethics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adopted a Code of Business Conduct and Ethics that applies to all of our employees, including our CEO, CFO, CAO and persons performing similar functions. We have also adopted a Directors’ Code of Business Conduct and Ethics that applies to all of our non-employee Directors. Copies of each of these codes are posted on our Investor Relations Website. A grant of a waiver from a provision of the codes requiring disclosure under applicable SEC rules, if any, will be disclosed on our Investor Relations Website.</w:t>
      </w:r>
    </w:p>
    <w:p>
      <w:pPr>
        <w:spacing w:after="0" w:line="27"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Hedging and Pledging Policies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insider trading policy prohibits Directors and Executive Officers from engaging in hedging or short sale transactions with respect to the Company’s Common Stock. With respect to pledging of Common Stock, our insider trading policy also subjects Directors and Executive Officers to a pre-clearance requirement and other restrictions, including that pledged shares may not be counted toward the Company’s stock ownership guidelines. Employees who are not Executive Officers or certain other key insiders are not covered by these policies. Our Executive Officers, in the aggregate, have less than 0.1% of the Company’s outstanding shares pledged to third parties.</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Shareholder Engagement</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Nordstrom recognizes the value of, and is committed to engaging with, our shareholders, as our relationship with the investment community is an important part of our success. Our engagement efforts allow us to better understand our shareholders’ priorities and provide us with critical input about the issues that matter most to them. These conversations provide invaluable insight into our shareholders’ perspectives, and the Board and its Committees take into account shareholder views and ideas, among other considerations, when making decisions relating to the Company’s business and long-term strategy.</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also conduct outreach throughout the year to ensure we understand and are aware of the issues that matter most to our shareholders and are able to address them appropriately. Throughout this past year, the Company interacted with the investment community and provided access to select members of management through its participation in a series of investor conferences, meetings hosted by sell-side investment analysts, management-hosted store tours and governance meetings.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plan to continue engagement and outreach with the investment community as we seek to further enhance our understanding of shareholder priorities.</w:t>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Website Access to Corporate Governance Documents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charters for each of the standing Committees of the Board, the Company’s Corporate Governance Guidelines, the Articles of Incorporation, the Bylaws, the Code of Business Conduct and Ethics and the Director Code of Business Conduct and Ethics, as well as all Company filings made with the SEC, may be accessed on our Investor Relations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101981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5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ESG ISSUES</w:t>
      </w:r>
    </w:p>
    <w:p>
      <w:pPr>
        <w:spacing w:after="0" w:line="111"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Diversity, Equity, Inclusion and Belonging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Our commitment to fostering a diverse, equitable and inclusive environment is key to our mission of helping our customers feel good and look their best.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Over the past several years, we’ve amplified our efforts in this area and set specific ambitions to achieve by the end of 2025, which include:</w:t>
      </w:r>
    </w:p>
    <w:p>
      <w:pPr>
        <w:spacing w:after="0" w:line="57"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Delivering $500 million in retail sales from brands owned by, operated by or designed by Black and/or Latinx individuals;</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Aiming to increase representation of Black and Latinx individuals in people-manager roles by at least 50% on average; and</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Leveraging our internship program and other initiatives to help us reach qualified candidates early in their careers, with an ambition, on average, of at least 50% of participants in these programs coming from underrepresented populations.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lead and drive this work, we’ve operationalized diversity, equity, inclusion and belonging through consistent reviews with Erik Nordstrom, our CEO, and Farrell Redwine, our Chief Human Resources Officer. In addition, our diversity, equity, inclusion and belonging team serves as a center of excellence within the human resources organization and collaborates with leaders across the business to develop and embed diverse, equitable and inclusive strategies.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Progress toward our diversity, equity, inclusion and belonging ambitions is tracked and reviewed regularly by Nordstrom’s Executive Officers and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We’re committed to transparency and periodically report our progress on these ambitions.</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 learn more about our ESG initiatives, please refer to our most recent corporate social responsibility report and other information available on our website at nordstrom.com/browse/nordstrom-cares. The information contained or referred to on our website is not deemed to be incorporated by reference into this Proxy Statement unless otherwise expressly noted.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Driving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32746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00545" cy="32746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ind w:right="5660"/>
        <w:spacing w:after="0" w:line="266" w:lineRule="auto"/>
        <w:rPr>
          <w:sz w:val="20"/>
          <w:szCs w:val="20"/>
          <w:color w:val="auto"/>
        </w:rPr>
      </w:pPr>
      <w:r>
        <w:rPr>
          <w:rFonts w:ascii="Arial" w:cs="Arial" w:eastAsia="Arial" w:hAnsi="Arial"/>
          <w:sz w:val="16"/>
          <w:szCs w:val="16"/>
          <w:color w:val="auto"/>
        </w:rPr>
        <w:t>We believe in equity throughout the retail industry and aim to use our resources, influence and platform to foster greater representation of diversity.</w:t>
      </w:r>
    </w:p>
    <w:p>
      <w:pPr>
        <w:spacing w:after="0" w:line="63" w:lineRule="exact"/>
        <w:rPr>
          <w:sz w:val="20"/>
          <w:szCs w:val="20"/>
          <w:color w:val="auto"/>
        </w:rPr>
      </w:pPr>
    </w:p>
    <w:p>
      <w:pPr>
        <w:jc w:val="both"/>
        <w:ind w:right="5660"/>
        <w:spacing w:after="0" w:line="250" w:lineRule="auto"/>
        <w:rPr>
          <w:sz w:val="20"/>
          <w:szCs w:val="20"/>
          <w:color w:val="auto"/>
        </w:rPr>
      </w:pPr>
      <w:r>
        <w:rPr>
          <w:rFonts w:ascii="Arial" w:cs="Arial" w:eastAsia="Arial" w:hAnsi="Arial"/>
          <w:sz w:val="16"/>
          <w:szCs w:val="16"/>
          <w:color w:val="auto"/>
        </w:rPr>
        <w:t>As a leader in our industry, we also have a responsibility to welcome a broader base of customers to our stores and find creative ways to serve them on their terms. We’ve committed to delivering $500 million in retail sales from brands owned, operated or designed by Black and/or Latinx individuals by 2025. In 2022, we sold more than $245 million toward that goal, reaching about 250 diverse brands in our assortment. Our intent is to provide a more diverse product offering to a wider swath of consumers and to consciously collaborate with and support emerging brands, finding creative ways to highlight their products in our stores and online. Throughout the year, customers can easily discover and shop these brands on Nordstrom.com through our Black-founded, Latinx-founded and Inclusive Beauty categories.</w:t>
      </w:r>
    </w:p>
    <w:p>
      <w:pPr>
        <w:spacing w:after="0" w:line="76" w:lineRule="exact"/>
        <w:rPr>
          <w:sz w:val="20"/>
          <w:szCs w:val="20"/>
          <w:color w:val="auto"/>
        </w:rPr>
      </w:pPr>
    </w:p>
    <w:p>
      <w:pPr>
        <w:jc w:val="both"/>
        <w:ind w:right="5660"/>
        <w:spacing w:after="0" w:line="253" w:lineRule="auto"/>
        <w:rPr>
          <w:sz w:val="20"/>
          <w:szCs w:val="20"/>
          <w:color w:val="auto"/>
        </w:rPr>
      </w:pPr>
      <w:r>
        <w:rPr>
          <w:rFonts w:ascii="Arial" w:cs="Arial" w:eastAsia="Arial" w:hAnsi="Arial"/>
          <w:sz w:val="16"/>
          <w:szCs w:val="16"/>
          <w:color w:val="auto"/>
        </w:rPr>
        <w:t>In 2021, we were the first retailer to sign a ten-year agreement with the Fifteen Percent Pledge. By doing so, we committed to growing, by a degree of ten, our purchases from businesses owned or founded by Black individuals by the end of 2030. To help reach this goal, we created #BuyBlack market pop-ups during Black Business Month in 2022 to highlight and make it easy for customers to shop a rotating selection of local Black businesses.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Creating an Inclusive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committed to making Nordstrom a great place for our employees to grow meaningful careers while feeling included and supported and have several internal initiatives underway to facilitate belonging and connection among our teams. One way we do this is through our employee-led, Company-sponsored Employee Resource Groups, which represent a variety of seen and unseen identities.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323215</wp:posOffset>
            </wp:positionV>
            <wp:extent cx="1020445"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10000"/>
        <w:spacing w:after="0"/>
        <w:rPr>
          <w:sz w:val="20"/>
          <w:szCs w:val="20"/>
          <w:color w:val="auto"/>
        </w:rPr>
      </w:pPr>
      <w:r>
        <w:rPr>
          <w:rFonts w:ascii="Arial" w:cs="Arial" w:eastAsia="Arial" w:hAnsi="Arial"/>
          <w:sz w:val="14"/>
          <w:szCs w:val="14"/>
          <w:b w:val="1"/>
          <w:bCs w:val="1"/>
          <w:i w:val="1"/>
          <w:iCs w:val="1"/>
          <w:color w:val="67686B"/>
        </w:rPr>
        <w:t>ESG ISSUES</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2022, eight groups served and were led by our employees, providing Company-wide programming to advance understanding and celebrate voices from across our organization:</w:t>
      </w:r>
    </w:p>
    <w:p>
      <w:pPr>
        <w:sectPr>
          <w:pgSz w:w="11900" w:h="16838" w:orient="portrait"/>
          <w:cols w:equalWidth="0" w:num="1">
            <w:col w:w="10880"/>
          </w:cols>
          <w:pgMar w:left="500" w:top="270" w:right="519" w:bottom="1440" w:gutter="0" w:footer="0" w:header="0"/>
        </w:sectPr>
      </w:pPr>
    </w:p>
    <w:p>
      <w:pPr>
        <w:spacing w:after="0" w:line="196"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AsPIRE (Asian Pacific-Islander Resources for Employees)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Black Employee Network</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¡Hola! (Latinx)</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NordstromPLUS (LGBTQIA+)</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Nordstrom Veterans Group</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Parents@Nordstrom</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Thrive (Diverse Ability)</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Women in Nordstrom</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540"/>
        <w:spacing w:after="0" w:line="250" w:lineRule="auto"/>
        <w:rPr>
          <w:sz w:val="20"/>
          <w:szCs w:val="20"/>
          <w:color w:val="auto"/>
        </w:rPr>
      </w:pPr>
      <w:r>
        <w:rPr>
          <w:rFonts w:ascii="Arial" w:cs="Arial" w:eastAsia="Arial" w:hAnsi="Arial"/>
          <w:sz w:val="32"/>
          <w:szCs w:val="32"/>
          <w:b w:val="1"/>
          <w:bCs w:val="1"/>
          <w:i w:val="1"/>
          <w:iCs w:val="1"/>
          <w:color w:val="1E295B"/>
        </w:rPr>
        <w:t>We are committed to making a positive difference in the world, and that starts with creating an outstanding workplace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-1199515</wp:posOffset>
            </wp:positionV>
            <wp:extent cx="3411855" cy="1465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11855" cy="1465580"/>
                    </a:xfrm>
                    <a:prstGeom prst="rect">
                      <a:avLst/>
                    </a:prstGeom>
                    <a:noFill/>
                  </pic:spPr>
                </pic:pic>
              </a:graphicData>
            </a:graphic>
          </wp:anchor>
        </w:drawing>
      </w:r>
    </w:p>
    <w:p>
      <w:pPr>
        <w:ind w:left="800"/>
        <w:spacing w:after="0"/>
        <w:rPr>
          <w:sz w:val="20"/>
          <w:szCs w:val="20"/>
          <w:color w:val="auto"/>
        </w:rPr>
      </w:pPr>
      <w:r>
        <w:rPr>
          <w:rFonts w:ascii="Arial" w:cs="Arial" w:eastAsia="Arial" w:hAnsi="Arial"/>
          <w:sz w:val="32"/>
          <w:szCs w:val="32"/>
          <w:b w:val="1"/>
          <w:bCs w:val="1"/>
          <w:i w:val="1"/>
          <w:iCs w:val="1"/>
          <w:color w:val="1E295B"/>
        </w:rPr>
        <w:t>for our employees.</w:t>
      </w:r>
    </w:p>
    <w:p>
      <w:pPr>
        <w:spacing w:after="0" w:line="200" w:lineRule="exact"/>
        <w:rPr>
          <w:sz w:val="20"/>
          <w:szCs w:val="20"/>
          <w:color w:val="auto"/>
        </w:rPr>
      </w:pPr>
    </w:p>
    <w:p>
      <w:pPr>
        <w:sectPr>
          <w:pgSz w:w="11900" w:h="16838" w:orient="portrait"/>
          <w:cols w:equalWidth="0" w:num="2">
            <w:col w:w="5220" w:space="720"/>
            <w:col w:w="4940"/>
          </w:cols>
          <w:pgMar w:left="500" w:top="270" w:right="519" w:bottom="1440" w:gutter="0" w:footer="0" w:header="0"/>
          <w:type w:val="continuous"/>
        </w:sectPr>
      </w:pP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seek to listen to and learn from employees across our organization by cultivating an open-door policy, conducting regular listening sessions and utilizing our annual Voice of the Employee survey. We regularly review survey results against industry benchmarks to hold ourselves accountable as we continue to improve and evolve our workplace environment.</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committed to creating a culture where employees feel as if they can bring their whole selves to work and achieve their career goals through ongoing growth and development opportunities and fair and transparent performance management and promotion processes.</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Strengthening Our Talent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we have a role to play in contributing to the positive change that’s needed to address systemic racial inequity. We have several initiatives in place to improve pathways into fashion and retail for diverse communities as we work toward our 2025 ambitions.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2022, we expanded and strengthened our talent pipelines in collaboration with the OneTen Coalition and in partnership with Morehouse College, where we supported the launch of a new product management track. Starting in the spring 2023 semester, Nordstrom leaders and technologists will teach and mentor students enrolled in the program.</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also sponsored Historically Black Colleges and Universities (“HBCU”) Battle of the Brains, a 24-hour hackathon where students from HBCUs across the United States worked to solve real-world problems for large organizations and startups. By joining forces with best-in-class events like HBCU Battle of the Brains, we continue to seek out ways to attract a talented and diverse workforce.</w:t>
      </w:r>
    </w:p>
    <w:p>
      <w:pPr>
        <w:sectPr>
          <w:pgSz w:w="11900" w:h="16838" w:orient="portrait"/>
          <w:cols w:equalWidth="0" w:num="1">
            <w:col w:w="10880"/>
          </w:cols>
          <w:pgMar w:left="500" w:top="270" w:right="5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Corporate Social Responsibility</w:t>
      </w:r>
    </w:p>
    <w:p>
      <w:pPr>
        <w:spacing w:after="0" w:line="190" w:lineRule="exact"/>
        <w:rPr>
          <w:sz w:val="20"/>
          <w:szCs w:val="20"/>
          <w:color w:val="auto"/>
        </w:rPr>
      </w:pPr>
    </w:p>
    <w:p>
      <w:pPr>
        <w:jc w:val="center"/>
        <w:ind w:left="180" w:right="140"/>
        <w:spacing w:after="0" w:line="253" w:lineRule="auto"/>
        <w:rPr>
          <w:sz w:val="20"/>
          <w:szCs w:val="20"/>
          <w:color w:val="auto"/>
        </w:rPr>
      </w:pPr>
      <w:r>
        <w:rPr>
          <w:rFonts w:ascii="Arial" w:cs="Arial" w:eastAsia="Arial" w:hAnsi="Arial"/>
          <w:sz w:val="32"/>
          <w:szCs w:val="32"/>
          <w:b w:val="1"/>
          <w:bCs w:val="1"/>
          <w:i w:val="1"/>
          <w:iCs w:val="1"/>
          <w:color w:val="1E295B"/>
        </w:rPr>
        <w:t>We believe the responsibility we have to our employees, customers and communities extends well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-967740</wp:posOffset>
            </wp:positionV>
            <wp:extent cx="3265805" cy="1465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65805" cy="1465580"/>
                    </a:xfrm>
                    <a:prstGeom prst="rect">
                      <a:avLst/>
                    </a:prstGeom>
                    <a:noFill/>
                  </pic:spPr>
                </pic:pic>
              </a:graphicData>
            </a:graphic>
          </wp:anchor>
        </w:drawing>
      </w:r>
    </w:p>
    <w:p>
      <w:pPr>
        <w:spacing w:after="0" w:line="348" w:lineRule="exact"/>
        <w:rPr>
          <w:sz w:val="20"/>
          <w:szCs w:val="20"/>
          <w:color w:val="auto"/>
        </w:rPr>
      </w:pPr>
    </w:p>
    <w:p>
      <w:pPr>
        <w:ind w:left="1400"/>
        <w:spacing w:after="0"/>
        <w:rPr>
          <w:sz w:val="20"/>
          <w:szCs w:val="20"/>
          <w:color w:val="auto"/>
        </w:rPr>
      </w:pPr>
      <w:r>
        <w:rPr>
          <w:rFonts w:ascii="Arial" w:cs="Arial" w:eastAsia="Arial" w:hAnsi="Arial"/>
          <w:sz w:val="32"/>
          <w:szCs w:val="32"/>
          <w:b w:val="1"/>
          <w:bCs w:val="1"/>
          <w:i w:val="1"/>
          <w:iCs w:val="1"/>
          <w:color w:val="1E295B"/>
        </w:rPr>
        <w:t>our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values have long served as a north star for our company — they are deeply embedded in the way we do business and guide the decisions we make, the partnerships we form and the causes we support.</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the responsibility we have to our employees, customers and communities extends well beyond our operations. Our ambition is to make meaningful, positive contributions in the communities where we operate and produce, take responsibility for the impacts of our business, and pursue innovation that raises the bar for social and environmental issues in fashion and retail. We aim to inspire our customers to practice conscious consumption and offer them several ways to do so.</w:t>
      </w:r>
    </w:p>
    <w:p>
      <w:pPr>
        <w:spacing w:after="0" w:line="276" w:lineRule="exact"/>
        <w:rPr>
          <w:sz w:val="20"/>
          <w:szCs w:val="20"/>
          <w:color w:val="auto"/>
        </w:rPr>
      </w:pPr>
    </w:p>
    <w:p>
      <w:pPr>
        <w:sectPr>
          <w:pgSz w:w="11900" w:h="16838" w:orient="portrait"/>
          <w:cols w:equalWidth="0" w:num="2">
            <w:col w:w="4900" w:space="600"/>
            <w:col w:w="5380"/>
          </w:cols>
          <w:pgMar w:left="500" w:top="270" w:right="519" w:bottom="1440" w:gutter="0" w:footer="0" w:header="0"/>
          <w:type w:val="continuous"/>
        </w:sectPr>
      </w:pPr>
    </w:p>
    <w:p>
      <w:pPr>
        <w:jc w:val="both"/>
        <w:spacing w:after="0" w:line="259" w:lineRule="auto"/>
        <w:rPr>
          <w:sz w:val="20"/>
          <w:szCs w:val="20"/>
          <w:color w:val="auto"/>
        </w:rPr>
      </w:pPr>
      <w:r>
        <w:rPr>
          <w:rFonts w:ascii="Arial" w:cs="Arial" w:eastAsia="Arial" w:hAnsi="Arial"/>
          <w:sz w:val="16"/>
          <w:szCs w:val="16"/>
          <w:color w:val="auto"/>
        </w:rPr>
        <w:t>Our Corporate Social Responsibility strategy set in 2020 includes five-year goals focused on environmental sustainability, human rights and corporate philanthropy. Within these three categories, we’ve identified specific impact areas and set measurable goals that are integrated into the work of teams across our business. These goals guide us as we work to address areas where our company and industry have the most impact and create positive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1019810"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ESG ISSUES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Taking Care of the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committed to improving the sustainability of our operations and product value chains. To that end, we are setting science-based targets to reduce our contribution to global climate change and are working to minimize plastic and packaging waste in our supply chain.</w:t>
      </w:r>
    </w:p>
    <w:p>
      <w:pPr>
        <w:spacing w:after="0" w:line="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we work toward our 2025 sustainability goals, we continue to invest in partnerships and new initiatives that invite our customers, our industry peers and our employees to join in our efforts.</w:t>
      </w:r>
    </w:p>
    <w:p>
      <w:pPr>
        <w:spacing w:after="0" w:line="7" w:lineRule="exact"/>
        <w:rPr>
          <w:sz w:val="20"/>
          <w:szCs w:val="20"/>
          <w:color w:val="auto"/>
        </w:rPr>
      </w:pPr>
    </w:p>
    <w:p>
      <w:pPr>
        <w:jc w:val="both"/>
        <w:ind w:left="200" w:hanging="192"/>
        <w:spacing w:after="0" w:line="266" w:lineRule="auto"/>
        <w:tabs>
          <w:tab w:leader="none" w:pos="207"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BEAUTYCYCLE: </w:t>
      </w:r>
      <w:r>
        <w:rPr>
          <w:rFonts w:ascii="Arial" w:cs="Arial" w:eastAsia="Arial" w:hAnsi="Arial"/>
          <w:sz w:val="16"/>
          <w:szCs w:val="16"/>
          <w:color w:val="auto"/>
        </w:rPr>
        <w:t>We expanded our BEAUTYCYCLE program to Nordstrom Rack stores. This program allows us to accept beauty packaging waste</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that typically cannot be placed in curbside recycling bins. Through BEAUTYCYCLE, we took back more than 25 tons of beauty packaging in 2022, compared with 5 tons in 2021. Through the BEAUTYCYCLE program, we aim to take back 100 tons of beauty packaging by 2025.</w:t>
      </w:r>
    </w:p>
    <w:p>
      <w:pPr>
        <w:spacing w:after="0" w:line="36"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Sustainable Style: </w:t>
      </w:r>
      <w:r>
        <w:rPr>
          <w:rFonts w:ascii="Arial" w:cs="Arial" w:eastAsia="Arial" w:hAnsi="Arial"/>
          <w:sz w:val="16"/>
          <w:szCs w:val="16"/>
          <w:color w:val="auto"/>
        </w:rPr>
        <w:t>First introduced in 2019, our Sustainable Style category makes it easy for customers to find consciously manufactured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that align with their values. At the end of 2022, about 5% of our Nordstrom banner digital assortment was comprised of products that qualify for our Sustainable Style category, including products from new brand partners like Allbirds and PANGAIA. Our goal is to bring that number to 15% by 2025.</w:t>
      </w:r>
    </w:p>
    <w:p>
      <w:pPr>
        <w:spacing w:after="0" w:line="22" w:lineRule="exact"/>
        <w:rPr>
          <w:rFonts w:ascii="Arial" w:cs="Arial" w:eastAsia="Arial" w:hAnsi="Arial"/>
          <w:sz w:val="16"/>
          <w:szCs w:val="16"/>
          <w:color w:val="auto"/>
        </w:rPr>
      </w:pPr>
    </w:p>
    <w:p>
      <w:pPr>
        <w:ind w:left="220" w:hanging="212"/>
        <w:spacing w:after="0"/>
        <w:tabs>
          <w:tab w:leader="none" w:pos="22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Plastic to Paper: </w:t>
      </w:r>
      <w:r>
        <w:rPr>
          <w:rFonts w:ascii="Arial" w:cs="Arial" w:eastAsia="Arial" w:hAnsi="Arial"/>
          <w:sz w:val="16"/>
          <w:szCs w:val="16"/>
          <w:color w:val="auto"/>
        </w:rPr>
        <w:t>In 2022, we began replacing our plastic Nordstrom Rack shopping bags with paper bags in support of our goal to reduce single-</w:t>
      </w:r>
    </w:p>
    <w:p>
      <w:pPr>
        <w:spacing w:after="0" w:line="21" w:lineRule="exact"/>
        <w:rPr>
          <w:rFonts w:ascii="Arial" w:cs="Arial" w:eastAsia="Arial" w:hAnsi="Arial"/>
          <w:sz w:val="16"/>
          <w:szCs w:val="16"/>
          <w:color w:val="auto"/>
        </w:rPr>
      </w:pPr>
    </w:p>
    <w:p>
      <w:pPr>
        <w:ind w:left="200"/>
        <w:spacing w:after="0" w:line="265" w:lineRule="auto"/>
        <w:rPr>
          <w:rFonts w:ascii="Arial" w:cs="Arial" w:eastAsia="Arial" w:hAnsi="Arial"/>
          <w:sz w:val="16"/>
          <w:szCs w:val="16"/>
          <w:color w:val="auto"/>
        </w:rPr>
      </w:pPr>
      <w:r>
        <w:rPr>
          <w:rFonts w:ascii="Arial" w:cs="Arial" w:eastAsia="Arial" w:hAnsi="Arial"/>
          <w:sz w:val="16"/>
          <w:szCs w:val="16"/>
          <w:color w:val="auto"/>
        </w:rPr>
        <w:t>use plastic in our value chain by 50%. As stores transition to paper bags, we will make enormous progress on our goal: an 853-ton reduction in plastic use. In addition, we will source half of the new bags from a domestic supplier, reducing associated carbon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92075</wp:posOffset>
            </wp:positionV>
            <wp:extent cx="5486400" cy="2125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864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Respecting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committed to creating safe and fair workplaces for the people who make our products. As a part of this, we have rigorous standards in place to protect human rights throughout our value chain and seek to partner with suppliers that share our commitment to producing quality products through ethical business practices. Our Partner Code of Conduct and supporting policies lay the foundation for our supplier expectations, and our partners throughout our value chain are required to adhere to these standards and commitments.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2022, we worked with experts to implement a comprehensive process involving both internal and external stakeholders to identify salient human rights risks across our operations. We launched two impact assessments — a corporate human rights impact assessment and a forced labor impact assessment — to better understand our risks. These assessments help us to target effective policies and management processes to protect people and communities across Nordstrom operations. We also hit an important milestone on our journey to invest in women’s empowerment throughout our value chain: almost 50% of Nordstrom Made products were produced in factories that offer women’s empowerment training, bringing us closer to our goal of producing 90% of Nordstrom Made products in factories that invest in women’s empowerment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330200</wp:posOffset>
            </wp:positionV>
            <wp:extent cx="102044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ESG ISSUES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Investing in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jc w:val="both"/>
        <w:ind w:right="5660"/>
        <w:spacing w:after="0" w:line="254" w:lineRule="auto"/>
        <w:rPr>
          <w:sz w:val="20"/>
          <w:szCs w:val="20"/>
          <w:color w:val="auto"/>
        </w:rPr>
      </w:pPr>
      <w:r>
        <w:rPr>
          <w:rFonts w:ascii="Arial" w:cs="Arial" w:eastAsia="Arial" w:hAnsi="Arial"/>
          <w:sz w:val="16"/>
          <w:szCs w:val="16"/>
          <w:color w:val="auto"/>
        </w:rPr>
        <w:t>One of our central values in corporate philanthropy is providing basic needs for youth and families in the communities where we are located. In 2022, our employees teamed up with Shoes That Fit and Nike to deliver brand-new shoes to kids across the country. Along with our customers, we exceeded our goal to raise $1 million and donate more than 40,000 pairs of shoes to kids in local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-663575</wp:posOffset>
            </wp:positionV>
            <wp:extent cx="2863215" cy="1911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63215" cy="1911350"/>
                    </a:xfrm>
                    <a:prstGeom prst="rect">
                      <a:avLst/>
                    </a:prstGeom>
                    <a:noFill/>
                  </pic:spPr>
                </pic:pic>
              </a:graphicData>
            </a:graphic>
          </wp:anchor>
        </w:drawing>
      </w:r>
    </w:p>
    <w:p>
      <w:pPr>
        <w:spacing w:after="0" w:line="54" w:lineRule="exact"/>
        <w:rPr>
          <w:sz w:val="20"/>
          <w:szCs w:val="20"/>
          <w:color w:val="auto"/>
        </w:rPr>
      </w:pPr>
    </w:p>
    <w:p>
      <w:pPr>
        <w:jc w:val="both"/>
        <w:ind w:right="5660"/>
        <w:spacing w:after="0" w:line="259" w:lineRule="auto"/>
        <w:rPr>
          <w:sz w:val="20"/>
          <w:szCs w:val="20"/>
          <w:color w:val="auto"/>
        </w:rPr>
      </w:pPr>
      <w:r>
        <w:rPr>
          <w:rFonts w:ascii="Arial" w:cs="Arial" w:eastAsia="Arial" w:hAnsi="Arial"/>
          <w:sz w:val="16"/>
          <w:szCs w:val="16"/>
          <w:color w:val="auto"/>
        </w:rPr>
        <w:t>On Giving Tuesday, we launched our holiday giving campaign with our partners Big Brothers Big Sisters and Operation Warm, raising funds with our customers to foster mentoring relationships and to donate more than 20,000 coats to kids who need them most.</w:t>
      </w:r>
    </w:p>
    <w:p>
      <w:pPr>
        <w:spacing w:after="0" w:line="70" w:lineRule="exact"/>
        <w:rPr>
          <w:sz w:val="20"/>
          <w:szCs w:val="20"/>
          <w:color w:val="auto"/>
        </w:rPr>
      </w:pPr>
    </w:p>
    <w:p>
      <w:pPr>
        <w:jc w:val="both"/>
        <w:ind w:right="5660"/>
        <w:spacing w:after="0" w:line="254" w:lineRule="auto"/>
        <w:rPr>
          <w:sz w:val="20"/>
          <w:szCs w:val="20"/>
          <w:color w:val="auto"/>
        </w:rPr>
      </w:pPr>
      <w:r>
        <w:rPr>
          <w:rFonts w:ascii="Arial" w:cs="Arial" w:eastAsia="Arial" w:hAnsi="Arial"/>
          <w:sz w:val="16"/>
          <w:szCs w:val="16"/>
          <w:color w:val="auto"/>
        </w:rPr>
        <w:t>Throughout 2022, we donated over $12 million to more than 270 organizations located in the communities where we do business. In addition, our employees gave to over 2,900 nonprofit organizations, which we supported with 100% matching. Together with our customers and our employees, we used our platform to drive about $16 million in nonprofit donations based in the U.S. and Canada.</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humbled to have been recognized over the years for our commitment to providing great service and creating a culture where every customer and employee is welcome, respected and able to be their authentic selves.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In 2022, we were included on </w:t>
      </w:r>
      <w:r>
        <w:rPr>
          <w:rFonts w:ascii="Arial" w:cs="Arial" w:eastAsia="Arial" w:hAnsi="Arial"/>
          <w:sz w:val="16"/>
          <w:szCs w:val="16"/>
          <w:i w:val="1"/>
          <w:iCs w:val="1"/>
          <w:color w:val="auto"/>
        </w:rPr>
        <w:t>Fortune</w:t>
      </w:r>
      <w:r>
        <w:rPr>
          <w:rFonts w:ascii="Arial" w:cs="Arial" w:eastAsia="Arial" w:hAnsi="Arial"/>
          <w:sz w:val="16"/>
          <w:szCs w:val="16"/>
          <w:color w:val="auto"/>
        </w:rPr>
        <w:t xml:space="preserve">’s list of Most Admired Companies,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America’s Best Customer Service list and </w:t>
      </w:r>
      <w:r>
        <w:rPr>
          <w:rFonts w:ascii="Arial" w:cs="Arial" w:eastAsia="Arial" w:hAnsi="Arial"/>
          <w:sz w:val="16"/>
          <w:szCs w:val="16"/>
          <w:i w:val="1"/>
          <w:iCs w:val="1"/>
          <w:color w:val="auto"/>
        </w:rPr>
        <w:t>Forbes</w:t>
      </w:r>
      <w:r>
        <w:rPr>
          <w:rFonts w:ascii="Arial" w:cs="Arial" w:eastAsia="Arial" w:hAnsi="Arial"/>
          <w:sz w:val="16"/>
          <w:szCs w:val="16"/>
          <w:color w:val="auto"/>
        </w:rPr>
        <w:t>’ World’s Best Employers list. For 17 consecutive years, Nordstrom has scored 100% on the Human Rights Campaign’s Corporate Equality Index, which rates companies on their policies and practices toward the LGBTQ community.</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In addition, since launching our BEAUTYCYCLE recycling program in 2020, we have been awarded with </w:t>
      </w:r>
      <w:r>
        <w:rPr>
          <w:rFonts w:ascii="Arial" w:cs="Arial" w:eastAsia="Arial" w:hAnsi="Arial"/>
          <w:sz w:val="16"/>
          <w:szCs w:val="16"/>
          <w:i w:val="1"/>
          <w:iCs w:val="1"/>
          <w:color w:val="auto"/>
        </w:rPr>
        <w:t>Good Housekeeping</w:t>
      </w:r>
      <w:r>
        <w:rPr>
          <w:rFonts w:ascii="Arial" w:cs="Arial" w:eastAsia="Arial" w:hAnsi="Arial"/>
          <w:sz w:val="16"/>
          <w:szCs w:val="16"/>
          <w:color w:val="auto"/>
        </w:rPr>
        <w:t xml:space="preserve">’s Sustainable Innovation award and </w:t>
      </w:r>
      <w:r>
        <w:rPr>
          <w:rFonts w:ascii="Arial" w:cs="Arial" w:eastAsia="Arial" w:hAnsi="Arial"/>
          <w:sz w:val="16"/>
          <w:szCs w:val="16"/>
          <w:i w:val="1"/>
          <w:iCs w:val="1"/>
          <w:color w:val="auto"/>
        </w:rPr>
        <w:t>Elle</w:t>
      </w:r>
      <w:r>
        <w:rPr>
          <w:rFonts w:ascii="Arial" w:cs="Arial" w:eastAsia="Arial" w:hAnsi="Arial"/>
          <w:sz w:val="16"/>
          <w:szCs w:val="16"/>
          <w:color w:val="auto"/>
        </w:rPr>
        <w:t>’s Green Beauty Star award.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These recognitions are a testament to our incredible people who continue to bring the heritage of service and values to life at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690054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00545" cy="17970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2022 CORPORATE SOCIAL RESPONSIBILITY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149225</wp:posOffset>
            </wp:positionV>
            <wp:extent cx="5932170" cy="1680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32170" cy="1680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2172335</wp:posOffset>
            </wp:positionV>
            <wp:extent cx="1019810"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5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PROPOSAL 1: ELECTION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FOR each Director nominee.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Eleven nominees, recommended by the Board, will be elected at the Annual Meeting, each to hold office until the 2024 Annual Meeting of Shareholders and until their successors have been duly elected and qualified. All of the nominees listed in this Proposal 1 are currently Directors of the Company.</w:t>
      </w:r>
    </w:p>
    <w:p>
      <w:pPr>
        <w:spacing w:after="0" w:line="18"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Director Qualifications, Experience and Nominating Process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CGNC is responsible for identifying and recommending to the Board the nominees to stand for election as Directors at each Annual Meeting of Shareholders or, if applicable, at a special meeting of shareholders, or to be appointed to fill vacancies on the Board.</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nominating Director candidates or appointing new Directors, the CGNC considers such factors as it deems appropriate, including whether there are any evolving needs of the Board with respect to a particular field, skill or experience, with the goal of assisting the Board in providing oversight of and strategic advice to Company management. These factors may include judgment, skill, experience with businesses and other organizations, the candidate’s experience and skill set relative to those of other members of the Board, the extent to which the candidate would be a desirable addition to the Board and any Committees of the Board and any other factors the Board deems appropriate. In particular, the Board considers the following important in evaluating candidates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9005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NORDSTROM BUSINESS</w:t>
            </w:r>
          </w:p>
        </w:tc>
        <w:tc>
          <w:tcPr>
            <w:tcW w:w="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40" w:type="dxa"/>
            <w:vAlign w:val="bottom"/>
          </w:tcPr>
          <w:p>
            <w:pPr>
              <w:jc w:val="center"/>
              <w:ind w:left="899"/>
              <w:spacing w:after="0"/>
              <w:rPr>
                <w:sz w:val="20"/>
                <w:szCs w:val="20"/>
                <w:color w:val="auto"/>
              </w:rPr>
            </w:pPr>
            <w:r>
              <w:rPr>
                <w:rFonts w:ascii="Arial" w:cs="Arial" w:eastAsia="Arial" w:hAnsi="Arial"/>
                <w:sz w:val="16"/>
                <w:szCs w:val="16"/>
                <w:b w:val="1"/>
                <w:bCs w:val="1"/>
                <w:color w:val="auto"/>
              </w:rPr>
              <w:t>DESIRED SKILL</w:t>
            </w:r>
          </w:p>
        </w:tc>
        <w:tc>
          <w:tcPr>
            <w:tcW w:w="980" w:type="dxa"/>
            <w:vAlign w:val="bottom"/>
          </w:tcPr>
          <w:p>
            <w:pPr>
              <w:spacing w:after="0"/>
              <w:rPr>
                <w:sz w:val="19"/>
                <w:szCs w:val="19"/>
                <w:color w:val="auto"/>
              </w:rPr>
            </w:pPr>
          </w:p>
        </w:tc>
        <w:tc>
          <w:tcPr>
            <w:tcW w:w="23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CHARACTERISTICS</w:t>
            </w:r>
          </w:p>
        </w:tc>
        <w:tc>
          <w:tcPr>
            <w:tcW w:w="960" w:type="dxa"/>
            <w:vAlign w:val="bottom"/>
          </w:tcPr>
          <w:p>
            <w:pPr>
              <w:spacing w:after="0"/>
              <w:rPr>
                <w:sz w:val="19"/>
                <w:szCs w:val="19"/>
                <w:color w:val="auto"/>
              </w:rPr>
            </w:pPr>
          </w:p>
        </w:tc>
        <w:tc>
          <w:tcPr>
            <w:tcW w:w="3180" w:type="dxa"/>
            <w:vAlign w:val="bottom"/>
            <w:gridSpan w:val="3"/>
          </w:tcPr>
          <w:p>
            <w:pPr>
              <w:ind w:left="400"/>
              <w:spacing w:after="0"/>
              <w:rPr>
                <w:sz w:val="20"/>
                <w:szCs w:val="20"/>
                <w:color w:val="auto"/>
              </w:rPr>
            </w:pPr>
            <w:r>
              <w:rPr>
                <w:rFonts w:ascii="Arial" w:cs="Arial" w:eastAsia="Arial" w:hAnsi="Arial"/>
                <w:sz w:val="16"/>
                <w:szCs w:val="16"/>
                <w:b w:val="1"/>
                <w:bCs w:val="1"/>
                <w:color w:val="auto"/>
              </w:rPr>
              <w:t>WHAT THE SKILL REPRESENTS</w:t>
            </w:r>
          </w:p>
        </w:tc>
        <w:tc>
          <w:tcPr>
            <w:tcW w:w="0" w:type="dxa"/>
            <w:vAlign w:val="bottom"/>
          </w:tcPr>
          <w:p>
            <w:pPr>
              <w:spacing w:after="0"/>
              <w:rPr>
                <w:sz w:val="1"/>
                <w:szCs w:val="1"/>
                <w:color w:val="auto"/>
              </w:rPr>
            </w:pPr>
          </w:p>
        </w:tc>
      </w:tr>
      <w:tr>
        <w:trPr>
          <w:trHeight w:val="41"/>
        </w:trPr>
        <w:tc>
          <w:tcPr>
            <w:tcW w:w="3440" w:type="dxa"/>
            <w:vAlign w:val="bottom"/>
            <w:tcBorders>
              <w:bottom w:val="single" w:sz="8" w:color="808285"/>
            </w:tcBorders>
          </w:tcPr>
          <w:p>
            <w:pPr>
              <w:spacing w:after="0"/>
              <w:rPr>
                <w:sz w:val="3"/>
                <w:szCs w:val="3"/>
                <w:color w:val="auto"/>
              </w:rPr>
            </w:pPr>
          </w:p>
        </w:tc>
        <w:tc>
          <w:tcPr>
            <w:tcW w:w="4260" w:type="dxa"/>
            <w:vAlign w:val="bottom"/>
            <w:tcBorders>
              <w:bottom w:val="single" w:sz="8" w:color="808285"/>
            </w:tcBorders>
            <w:gridSpan w:val="4"/>
          </w:tcPr>
          <w:p>
            <w:pPr>
              <w:spacing w:after="0"/>
              <w:rPr>
                <w:sz w:val="3"/>
                <w:szCs w:val="3"/>
                <w:color w:val="auto"/>
              </w:rPr>
            </w:pPr>
          </w:p>
        </w:tc>
        <w:tc>
          <w:tcPr>
            <w:tcW w:w="3180" w:type="dxa"/>
            <w:vAlign w:val="bottom"/>
            <w:tcBorders>
              <w:bottom w:val="single" w:sz="8" w:color="808285"/>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440" w:type="dxa"/>
            <w:vAlign w:val="bottom"/>
            <w:vMerge w:val="restart"/>
          </w:tcPr>
          <w:p>
            <w:pPr>
              <w:jc w:val="center"/>
              <w:ind w:left="919"/>
              <w:spacing w:after="0"/>
              <w:rPr>
                <w:sz w:val="20"/>
                <w:szCs w:val="20"/>
                <w:color w:val="auto"/>
              </w:rPr>
            </w:pPr>
            <w:r>
              <w:rPr>
                <w:rFonts w:ascii="Arial" w:cs="Arial" w:eastAsia="Arial" w:hAnsi="Arial"/>
                <w:sz w:val="16"/>
                <w:szCs w:val="16"/>
                <w:color w:val="auto"/>
              </w:rPr>
              <w:t>Retail Industry</w:t>
            </w:r>
          </w:p>
        </w:tc>
        <w:tc>
          <w:tcPr>
            <w:tcW w:w="4260" w:type="dxa"/>
            <w:vAlign w:val="bottom"/>
            <w:gridSpan w:val="4"/>
          </w:tcPr>
          <w:p>
            <w:pPr>
              <w:ind w:left="260"/>
              <w:spacing w:after="0"/>
              <w:rPr>
                <w:sz w:val="20"/>
                <w:szCs w:val="20"/>
                <w:color w:val="auto"/>
              </w:rPr>
            </w:pPr>
            <w:r>
              <w:rPr>
                <w:rFonts w:ascii="Arial" w:cs="Arial" w:eastAsia="Arial" w:hAnsi="Arial"/>
                <w:sz w:val="16"/>
                <w:szCs w:val="16"/>
                <w:color w:val="auto"/>
              </w:rPr>
              <w:t>We are a leading fashion retailer devoted to helping</w:t>
            </w:r>
          </w:p>
        </w:tc>
        <w:tc>
          <w:tcPr>
            <w:tcW w:w="3180" w:type="dxa"/>
            <w:vAlign w:val="bottom"/>
            <w:gridSpan w:val="3"/>
          </w:tcPr>
          <w:p>
            <w:pPr>
              <w:ind w:left="220"/>
              <w:spacing w:after="0"/>
              <w:rPr>
                <w:sz w:val="20"/>
                <w:szCs w:val="20"/>
                <w:color w:val="auto"/>
              </w:rPr>
            </w:pPr>
            <w:r>
              <w:rPr>
                <w:rFonts w:ascii="Arial" w:cs="Arial" w:eastAsia="Arial" w:hAnsi="Arial"/>
                <w:sz w:val="16"/>
                <w:szCs w:val="16"/>
                <w:color w:val="auto"/>
              </w:rPr>
              <w:t>Large  national-scale  retail  company</w:t>
            </w:r>
          </w:p>
        </w:tc>
        <w:tc>
          <w:tcPr>
            <w:tcW w:w="0" w:type="dxa"/>
            <w:vAlign w:val="bottom"/>
          </w:tcPr>
          <w:p>
            <w:pPr>
              <w:spacing w:after="0"/>
              <w:rPr>
                <w:sz w:val="1"/>
                <w:szCs w:val="1"/>
                <w:color w:val="auto"/>
              </w:rPr>
            </w:pPr>
          </w:p>
        </w:tc>
      </w:tr>
      <w:tr>
        <w:trPr>
          <w:trHeight w:val="147"/>
        </w:trPr>
        <w:tc>
          <w:tcPr>
            <w:tcW w:w="3440" w:type="dxa"/>
            <w:vAlign w:val="bottom"/>
            <w:vMerge w:val="continue"/>
          </w:tcPr>
          <w:p>
            <w:pPr>
              <w:spacing w:after="0"/>
              <w:rPr>
                <w:sz w:val="12"/>
                <w:szCs w:val="12"/>
                <w:color w:val="auto"/>
              </w:rPr>
            </w:pPr>
          </w:p>
        </w:tc>
        <w:tc>
          <w:tcPr>
            <w:tcW w:w="3300" w:type="dxa"/>
            <w:vAlign w:val="bottom"/>
            <w:gridSpan w:val="3"/>
            <w:vMerge w:val="restart"/>
          </w:tcPr>
          <w:p>
            <w:pPr>
              <w:ind w:left="260"/>
              <w:spacing w:after="0"/>
              <w:rPr>
                <w:sz w:val="20"/>
                <w:szCs w:val="20"/>
                <w:color w:val="auto"/>
              </w:rPr>
            </w:pPr>
            <w:r>
              <w:rPr>
                <w:rFonts w:ascii="Arial" w:cs="Arial" w:eastAsia="Arial" w:hAnsi="Arial"/>
                <w:sz w:val="16"/>
                <w:szCs w:val="16"/>
                <w:color w:val="auto"/>
              </w:rPr>
              <w:t>customers feel good and look their best.</w:t>
            </w:r>
          </w:p>
        </w:tc>
        <w:tc>
          <w:tcPr>
            <w:tcW w:w="960" w:type="dxa"/>
            <w:vAlign w:val="bottom"/>
          </w:tcPr>
          <w:p>
            <w:pPr>
              <w:spacing w:after="0"/>
              <w:rPr>
                <w:sz w:val="12"/>
                <w:szCs w:val="12"/>
                <w:color w:val="auto"/>
              </w:rPr>
            </w:pPr>
          </w:p>
        </w:tc>
        <w:tc>
          <w:tcPr>
            <w:tcW w:w="1260" w:type="dxa"/>
            <w:vAlign w:val="bottom"/>
            <w:vMerge w:val="restart"/>
          </w:tcPr>
          <w:p>
            <w:pPr>
              <w:ind w:left="220"/>
              <w:spacing w:after="0"/>
              <w:rPr>
                <w:sz w:val="20"/>
                <w:szCs w:val="20"/>
                <w:color w:val="auto"/>
              </w:rPr>
            </w:pPr>
            <w:r>
              <w:rPr>
                <w:rFonts w:ascii="Arial" w:cs="Arial" w:eastAsia="Arial" w:hAnsi="Arial"/>
                <w:sz w:val="16"/>
                <w:szCs w:val="16"/>
                <w:color w:val="auto"/>
              </w:rPr>
              <w:t>experience.</w:t>
            </w: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330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1E295B"/>
            </w:tcBorders>
          </w:tcPr>
          <w:p>
            <w:pPr>
              <w:spacing w:after="0"/>
              <w:rPr>
                <w:sz w:val="14"/>
                <w:szCs w:val="14"/>
                <w:color w:val="auto"/>
              </w:rPr>
            </w:pPr>
          </w:p>
        </w:tc>
        <w:tc>
          <w:tcPr>
            <w:tcW w:w="4260" w:type="dxa"/>
            <w:vAlign w:val="bottom"/>
            <w:tcBorders>
              <w:bottom w:val="single" w:sz="8" w:color="1E295B"/>
            </w:tcBorders>
            <w:gridSpan w:val="4"/>
          </w:tcPr>
          <w:p>
            <w:pPr>
              <w:spacing w:after="0"/>
              <w:rPr>
                <w:sz w:val="14"/>
                <w:szCs w:val="14"/>
                <w:color w:val="auto"/>
              </w:rPr>
            </w:pPr>
          </w:p>
        </w:tc>
        <w:tc>
          <w:tcPr>
            <w:tcW w:w="1260" w:type="dxa"/>
            <w:vAlign w:val="bottom"/>
            <w:tcBorders>
              <w:bottom w:val="single" w:sz="8" w:color="1E295B"/>
            </w:tcBorders>
          </w:tcPr>
          <w:p>
            <w:pPr>
              <w:spacing w:after="0"/>
              <w:rPr>
                <w:sz w:val="14"/>
                <w:szCs w:val="14"/>
                <w:color w:val="auto"/>
              </w:rPr>
            </w:pPr>
          </w:p>
        </w:tc>
        <w:tc>
          <w:tcPr>
            <w:tcW w:w="840" w:type="dxa"/>
            <w:vAlign w:val="bottom"/>
            <w:tcBorders>
              <w:bottom w:val="single" w:sz="8" w:color="1E295B"/>
            </w:tcBorders>
          </w:tcPr>
          <w:p>
            <w:pPr>
              <w:spacing w:after="0"/>
              <w:rPr>
                <w:sz w:val="14"/>
                <w:szCs w:val="14"/>
                <w:color w:val="auto"/>
              </w:rPr>
            </w:pPr>
          </w:p>
        </w:tc>
        <w:tc>
          <w:tcPr>
            <w:tcW w:w="1080" w:type="dxa"/>
            <w:vAlign w:val="bottom"/>
            <w:tcBorders>
              <w:bottom w:val="single" w:sz="8" w:color="1E295B"/>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440" w:type="dxa"/>
            <w:vAlign w:val="bottom"/>
            <w:vMerge w:val="restart"/>
          </w:tcPr>
          <w:p>
            <w:pPr>
              <w:jc w:val="center"/>
              <w:ind w:left="859"/>
              <w:spacing w:after="0"/>
              <w:rPr>
                <w:sz w:val="20"/>
                <w:szCs w:val="20"/>
                <w:color w:val="auto"/>
              </w:rPr>
            </w:pPr>
            <w:r>
              <w:rPr>
                <w:rFonts w:ascii="Arial" w:cs="Arial" w:eastAsia="Arial" w:hAnsi="Arial"/>
                <w:sz w:val="16"/>
                <w:szCs w:val="16"/>
                <w:color w:val="auto"/>
              </w:rPr>
              <w:t>Marketing &amp; Customer</w:t>
            </w:r>
          </w:p>
        </w:tc>
        <w:tc>
          <w:tcPr>
            <w:tcW w:w="4260" w:type="dxa"/>
            <w:vAlign w:val="bottom"/>
            <w:gridSpan w:val="4"/>
          </w:tcPr>
          <w:p>
            <w:pPr>
              <w:ind w:left="260"/>
              <w:spacing w:after="0"/>
              <w:rPr>
                <w:sz w:val="20"/>
                <w:szCs w:val="20"/>
                <w:color w:val="auto"/>
              </w:rPr>
            </w:pPr>
            <w:r>
              <w:rPr>
                <w:rFonts w:ascii="Arial" w:cs="Arial" w:eastAsia="Arial" w:hAnsi="Arial"/>
                <w:sz w:val="16"/>
                <w:szCs w:val="16"/>
                <w:color w:val="auto"/>
              </w:rPr>
              <w:t>As customer expectations change, we must evolve</w:t>
            </w:r>
          </w:p>
        </w:tc>
        <w:tc>
          <w:tcPr>
            <w:tcW w:w="1260" w:type="dxa"/>
            <w:vAlign w:val="bottom"/>
          </w:tcPr>
          <w:p>
            <w:pPr>
              <w:ind w:left="220"/>
              <w:spacing w:after="0"/>
              <w:rPr>
                <w:sz w:val="20"/>
                <w:szCs w:val="20"/>
                <w:color w:val="auto"/>
              </w:rPr>
            </w:pPr>
            <w:r>
              <w:rPr>
                <w:rFonts w:ascii="Arial" w:cs="Arial" w:eastAsia="Arial" w:hAnsi="Arial"/>
                <w:sz w:val="16"/>
                <w:szCs w:val="16"/>
                <w:color w:val="auto"/>
              </w:rPr>
              <w:t>Expertise  in</w:t>
            </w:r>
          </w:p>
        </w:tc>
        <w:tc>
          <w:tcPr>
            <w:tcW w:w="840" w:type="dxa"/>
            <w:vAlign w:val="bottom"/>
          </w:tcPr>
          <w:p>
            <w:pPr>
              <w:ind w:left="100"/>
              <w:spacing w:after="0"/>
              <w:rPr>
                <w:sz w:val="20"/>
                <w:szCs w:val="20"/>
                <w:color w:val="auto"/>
              </w:rPr>
            </w:pPr>
            <w:r>
              <w:rPr>
                <w:rFonts w:ascii="Arial" w:cs="Arial" w:eastAsia="Arial" w:hAnsi="Arial"/>
                <w:sz w:val="16"/>
                <w:szCs w:val="16"/>
                <w:color w:val="auto"/>
              </w:rPr>
              <w:t>customer</w:t>
            </w:r>
          </w:p>
        </w:tc>
        <w:tc>
          <w:tcPr>
            <w:tcW w:w="1080" w:type="dxa"/>
            <w:vAlign w:val="bottom"/>
          </w:tcPr>
          <w:p>
            <w:pPr>
              <w:jc w:val="right"/>
              <w:spacing w:after="0"/>
              <w:rPr>
                <w:sz w:val="20"/>
                <w:szCs w:val="20"/>
                <w:color w:val="auto"/>
              </w:rPr>
            </w:pPr>
            <w:r>
              <w:rPr>
                <w:rFonts w:ascii="Arial" w:cs="Arial" w:eastAsia="Arial" w:hAnsi="Arial"/>
                <w:sz w:val="16"/>
                <w:szCs w:val="16"/>
                <w:color w:val="auto"/>
              </w:rPr>
              <w:t>service  and</w:t>
            </w:r>
          </w:p>
        </w:tc>
        <w:tc>
          <w:tcPr>
            <w:tcW w:w="0" w:type="dxa"/>
            <w:vAlign w:val="bottom"/>
          </w:tcPr>
          <w:p>
            <w:pPr>
              <w:spacing w:after="0"/>
              <w:rPr>
                <w:sz w:val="1"/>
                <w:szCs w:val="1"/>
                <w:color w:val="auto"/>
              </w:rPr>
            </w:pPr>
          </w:p>
        </w:tc>
      </w:tr>
      <w:tr>
        <w:trPr>
          <w:trHeight w:val="94"/>
        </w:trPr>
        <w:tc>
          <w:tcPr>
            <w:tcW w:w="3440" w:type="dxa"/>
            <w:vAlign w:val="bottom"/>
            <w:vMerge w:val="continue"/>
          </w:tcPr>
          <w:p>
            <w:pPr>
              <w:spacing w:after="0"/>
              <w:rPr>
                <w:sz w:val="8"/>
                <w:szCs w:val="8"/>
                <w:color w:val="auto"/>
              </w:rPr>
            </w:pPr>
          </w:p>
        </w:tc>
        <w:tc>
          <w:tcPr>
            <w:tcW w:w="980" w:type="dxa"/>
            <w:vAlign w:val="bottom"/>
            <w:vMerge w:val="restart"/>
          </w:tcPr>
          <w:p>
            <w:pPr>
              <w:ind w:left="260"/>
              <w:spacing w:after="0"/>
              <w:rPr>
                <w:sz w:val="20"/>
                <w:szCs w:val="20"/>
                <w:color w:val="auto"/>
              </w:rPr>
            </w:pPr>
            <w:r>
              <w:rPr>
                <w:rFonts w:ascii="Arial" w:cs="Arial" w:eastAsia="Arial" w:hAnsi="Arial"/>
                <w:sz w:val="16"/>
                <w:szCs w:val="16"/>
                <w:color w:val="auto"/>
              </w:rPr>
              <w:t>our  core</w:t>
            </w:r>
          </w:p>
        </w:tc>
        <w:tc>
          <w:tcPr>
            <w:tcW w:w="780" w:type="dxa"/>
            <w:vAlign w:val="bottom"/>
            <w:vMerge w:val="restart"/>
          </w:tcPr>
          <w:p>
            <w:pPr>
              <w:ind w:left="80"/>
              <w:spacing w:after="0"/>
              <w:rPr>
                <w:sz w:val="20"/>
                <w:szCs w:val="20"/>
                <w:color w:val="auto"/>
              </w:rPr>
            </w:pPr>
            <w:r>
              <w:rPr>
                <w:rFonts w:ascii="Arial" w:cs="Arial" w:eastAsia="Arial" w:hAnsi="Arial"/>
                <w:sz w:val="16"/>
                <w:szCs w:val="16"/>
                <w:color w:val="auto"/>
              </w:rPr>
              <w:t>value  of</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providing  excellent</w:t>
            </w: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color w:val="auto"/>
              </w:rPr>
              <w:t>customer</w:t>
            </w:r>
          </w:p>
        </w:tc>
        <w:tc>
          <w:tcPr>
            <w:tcW w:w="3180" w:type="dxa"/>
            <w:vAlign w:val="bottom"/>
            <w:gridSpan w:val="3"/>
            <w:vMerge w:val="restart"/>
          </w:tcPr>
          <w:p>
            <w:pPr>
              <w:ind w:left="220"/>
              <w:spacing w:after="0"/>
              <w:rPr>
                <w:sz w:val="20"/>
                <w:szCs w:val="20"/>
                <w:color w:val="auto"/>
              </w:rPr>
            </w:pPr>
            <w:r>
              <w:rPr>
                <w:rFonts w:ascii="Arial" w:cs="Arial" w:eastAsia="Arial" w:hAnsi="Arial"/>
                <w:sz w:val="16"/>
                <w:szCs w:val="16"/>
                <w:color w:val="auto"/>
              </w:rPr>
              <w:t>background in marketing leadership.</w:t>
            </w:r>
          </w:p>
        </w:tc>
        <w:tc>
          <w:tcPr>
            <w:tcW w:w="0" w:type="dxa"/>
            <w:vAlign w:val="bottom"/>
          </w:tcPr>
          <w:p>
            <w:pPr>
              <w:spacing w:after="0"/>
              <w:rPr>
                <w:sz w:val="1"/>
                <w:szCs w:val="1"/>
                <w:color w:val="auto"/>
              </w:rPr>
            </w:pPr>
          </w:p>
        </w:tc>
      </w:tr>
      <w:tr>
        <w:trPr>
          <w:trHeight w:val="94"/>
        </w:trPr>
        <w:tc>
          <w:tcPr>
            <w:tcW w:w="3440" w:type="dxa"/>
            <w:vAlign w:val="bottom"/>
            <w:vMerge w:val="restart"/>
          </w:tcPr>
          <w:p>
            <w:pPr>
              <w:jc w:val="center"/>
              <w:ind w:left="919"/>
              <w:spacing w:after="0"/>
              <w:rPr>
                <w:sz w:val="20"/>
                <w:szCs w:val="20"/>
                <w:color w:val="auto"/>
              </w:rPr>
            </w:pPr>
            <w:r>
              <w:rPr>
                <w:rFonts w:ascii="Arial" w:cs="Arial" w:eastAsia="Arial" w:hAnsi="Arial"/>
                <w:sz w:val="16"/>
                <w:szCs w:val="16"/>
                <w:color w:val="auto"/>
                <w:w w:val="99"/>
              </w:rPr>
              <w:t>Experience</w:t>
            </w:r>
          </w:p>
        </w:tc>
        <w:tc>
          <w:tcPr>
            <w:tcW w:w="9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440" w:type="dxa"/>
            <w:vAlign w:val="bottom"/>
            <w:vMerge w:val="continue"/>
          </w:tcPr>
          <w:p>
            <w:pPr>
              <w:spacing w:after="0"/>
              <w:rPr>
                <w:sz w:val="10"/>
                <w:szCs w:val="10"/>
                <w:color w:val="auto"/>
              </w:rPr>
            </w:pPr>
          </w:p>
        </w:tc>
        <w:tc>
          <w:tcPr>
            <w:tcW w:w="3300" w:type="dxa"/>
            <w:vAlign w:val="bottom"/>
            <w:gridSpan w:val="3"/>
            <w:vMerge w:val="restart"/>
          </w:tcPr>
          <w:p>
            <w:pPr>
              <w:ind w:left="260"/>
              <w:spacing w:after="0"/>
              <w:rPr>
                <w:sz w:val="20"/>
                <w:szCs w:val="20"/>
                <w:color w:val="auto"/>
              </w:rPr>
            </w:pPr>
            <w:r>
              <w:rPr>
                <w:rFonts w:ascii="Arial" w:cs="Arial" w:eastAsia="Arial" w:hAnsi="Arial"/>
                <w:sz w:val="16"/>
                <w:szCs w:val="16"/>
                <w:color w:val="auto"/>
              </w:rPr>
              <w:t>service to meet customers on their terms.</w:t>
            </w:r>
          </w:p>
        </w:tc>
        <w:tc>
          <w:tcPr>
            <w:tcW w:w="9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330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440" w:type="dxa"/>
            <w:vAlign w:val="bottom"/>
            <w:tcBorders>
              <w:bottom w:val="single" w:sz="8" w:color="1E295B"/>
            </w:tcBorders>
          </w:tcPr>
          <w:p>
            <w:pPr>
              <w:spacing w:after="0"/>
              <w:rPr>
                <w:sz w:val="9"/>
                <w:szCs w:val="9"/>
                <w:color w:val="auto"/>
              </w:rPr>
            </w:pPr>
          </w:p>
        </w:tc>
        <w:tc>
          <w:tcPr>
            <w:tcW w:w="4260" w:type="dxa"/>
            <w:vAlign w:val="bottom"/>
            <w:tcBorders>
              <w:bottom w:val="single" w:sz="8" w:color="1E295B"/>
            </w:tcBorders>
            <w:gridSpan w:val="4"/>
          </w:tcPr>
          <w:p>
            <w:pPr>
              <w:spacing w:after="0"/>
              <w:rPr>
                <w:sz w:val="9"/>
                <w:szCs w:val="9"/>
                <w:color w:val="auto"/>
              </w:rPr>
            </w:pPr>
          </w:p>
        </w:tc>
        <w:tc>
          <w:tcPr>
            <w:tcW w:w="3180" w:type="dxa"/>
            <w:vAlign w:val="bottom"/>
            <w:tcBorders>
              <w:bottom w:val="single" w:sz="8" w:color="1E295B"/>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4260" w:type="dxa"/>
            <w:vAlign w:val="bottom"/>
            <w:gridSpan w:val="4"/>
          </w:tcPr>
          <w:p>
            <w:pPr>
              <w:ind w:left="260"/>
              <w:spacing w:after="0"/>
              <w:rPr>
                <w:sz w:val="20"/>
                <w:szCs w:val="20"/>
                <w:color w:val="auto"/>
              </w:rPr>
            </w:pPr>
            <w:r>
              <w:rPr>
                <w:rFonts w:ascii="Arial" w:cs="Arial" w:eastAsia="Arial" w:hAnsi="Arial"/>
                <w:sz w:val="16"/>
                <w:szCs w:val="16"/>
                <w:color w:val="auto"/>
              </w:rPr>
              <w:t>Over  the  past  several  years,  we  have  made</w:t>
            </w:r>
          </w:p>
        </w:tc>
        <w:tc>
          <w:tcPr>
            <w:tcW w:w="3180" w:type="dxa"/>
            <w:vAlign w:val="bottom"/>
            <w:gridSpan w:val="3"/>
          </w:tcPr>
          <w:p>
            <w:pPr>
              <w:ind w:left="220"/>
              <w:spacing w:after="0"/>
              <w:rPr>
                <w:sz w:val="20"/>
                <w:szCs w:val="20"/>
                <w:color w:val="auto"/>
              </w:rPr>
            </w:pPr>
            <w:r>
              <w:rPr>
                <w:rFonts w:ascii="Arial" w:cs="Arial" w:eastAsia="Arial" w:hAnsi="Arial"/>
                <w:sz w:val="16"/>
                <w:szCs w:val="16"/>
                <w:color w:val="auto"/>
              </w:rPr>
              <w:t>Experience leveraging online platforms</w:t>
            </w:r>
          </w:p>
        </w:tc>
        <w:tc>
          <w:tcPr>
            <w:tcW w:w="0" w:type="dxa"/>
            <w:vAlign w:val="bottom"/>
          </w:tcPr>
          <w:p>
            <w:pPr>
              <w:spacing w:after="0"/>
              <w:rPr>
                <w:sz w:val="1"/>
                <w:szCs w:val="1"/>
                <w:color w:val="auto"/>
              </w:rPr>
            </w:pPr>
          </w:p>
        </w:tc>
      </w:tr>
      <w:tr>
        <w:trPr>
          <w:trHeight w:val="189"/>
        </w:trPr>
        <w:tc>
          <w:tcPr>
            <w:tcW w:w="3440" w:type="dxa"/>
            <w:vAlign w:val="bottom"/>
          </w:tcPr>
          <w:p>
            <w:pPr>
              <w:jc w:val="center"/>
              <w:ind w:left="919"/>
              <w:spacing w:after="0"/>
              <w:rPr>
                <w:sz w:val="20"/>
                <w:szCs w:val="20"/>
                <w:color w:val="auto"/>
              </w:rPr>
            </w:pPr>
            <w:r>
              <w:rPr>
                <w:rFonts w:ascii="Arial" w:cs="Arial" w:eastAsia="Arial" w:hAnsi="Arial"/>
                <w:sz w:val="16"/>
                <w:szCs w:val="16"/>
                <w:color w:val="auto"/>
              </w:rPr>
              <w:t>Online Scale &amp; Growth</w:t>
            </w:r>
          </w:p>
        </w:tc>
        <w:tc>
          <w:tcPr>
            <w:tcW w:w="4260" w:type="dxa"/>
            <w:vAlign w:val="bottom"/>
            <w:gridSpan w:val="4"/>
          </w:tcPr>
          <w:p>
            <w:pPr>
              <w:ind w:left="260"/>
              <w:spacing w:after="0"/>
              <w:rPr>
                <w:sz w:val="20"/>
                <w:szCs w:val="20"/>
                <w:color w:val="auto"/>
              </w:rPr>
            </w:pPr>
            <w:r>
              <w:rPr>
                <w:rFonts w:ascii="Arial" w:cs="Arial" w:eastAsia="Arial" w:hAnsi="Arial"/>
                <w:sz w:val="16"/>
                <w:szCs w:val="16"/>
                <w:color w:val="auto"/>
              </w:rPr>
              <w:t>investments to transform into a digital-first business</w:t>
            </w:r>
          </w:p>
        </w:tc>
        <w:tc>
          <w:tcPr>
            <w:tcW w:w="3180" w:type="dxa"/>
            <w:vAlign w:val="bottom"/>
            <w:gridSpan w:val="3"/>
          </w:tcPr>
          <w:p>
            <w:pPr>
              <w:ind w:left="220"/>
              <w:spacing w:after="0"/>
              <w:rPr>
                <w:sz w:val="20"/>
                <w:szCs w:val="20"/>
                <w:color w:val="auto"/>
              </w:rPr>
            </w:pPr>
            <w:r>
              <w:rPr>
                <w:rFonts w:ascii="Arial" w:cs="Arial" w:eastAsia="Arial" w:hAnsi="Arial"/>
                <w:sz w:val="16"/>
                <w:szCs w:val="16"/>
                <w:color w:val="auto"/>
              </w:rPr>
              <w:t>to grow and scale business.</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18"/>
                <w:szCs w:val="18"/>
                <w:color w:val="auto"/>
              </w:rPr>
            </w:pPr>
          </w:p>
        </w:tc>
        <w:tc>
          <w:tcPr>
            <w:tcW w:w="3300" w:type="dxa"/>
            <w:vAlign w:val="bottom"/>
            <w:gridSpan w:val="3"/>
          </w:tcPr>
          <w:p>
            <w:pPr>
              <w:ind w:left="260"/>
              <w:spacing w:after="0"/>
              <w:rPr>
                <w:sz w:val="20"/>
                <w:szCs w:val="20"/>
                <w:color w:val="auto"/>
              </w:rPr>
            </w:pPr>
            <w:r>
              <w:rPr>
                <w:rFonts w:ascii="Arial" w:cs="Arial" w:eastAsia="Arial" w:hAnsi="Arial"/>
                <w:sz w:val="16"/>
                <w:szCs w:val="16"/>
                <w:color w:val="auto"/>
              </w:rPr>
              <w:t>to meet shifting customer expectations.</w:t>
            </w: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3440" w:type="dxa"/>
            <w:vAlign w:val="bottom"/>
            <w:tcBorders>
              <w:bottom w:val="single" w:sz="8" w:color="1E295B"/>
            </w:tcBorders>
          </w:tcPr>
          <w:p>
            <w:pPr>
              <w:spacing w:after="0"/>
              <w:rPr>
                <w:sz w:val="9"/>
                <w:szCs w:val="9"/>
                <w:color w:val="auto"/>
              </w:rPr>
            </w:pPr>
          </w:p>
        </w:tc>
        <w:tc>
          <w:tcPr>
            <w:tcW w:w="4260" w:type="dxa"/>
            <w:vAlign w:val="bottom"/>
            <w:tcBorders>
              <w:bottom w:val="single" w:sz="8" w:color="1E295B"/>
            </w:tcBorders>
            <w:gridSpan w:val="4"/>
          </w:tcPr>
          <w:p>
            <w:pPr>
              <w:spacing w:after="0"/>
              <w:rPr>
                <w:sz w:val="9"/>
                <w:szCs w:val="9"/>
                <w:color w:val="auto"/>
              </w:rPr>
            </w:pPr>
          </w:p>
        </w:tc>
        <w:tc>
          <w:tcPr>
            <w:tcW w:w="1260" w:type="dxa"/>
            <w:vAlign w:val="bottom"/>
            <w:tcBorders>
              <w:bottom w:val="single" w:sz="8" w:color="1E295B"/>
            </w:tcBorders>
          </w:tcPr>
          <w:p>
            <w:pPr>
              <w:spacing w:after="0"/>
              <w:rPr>
                <w:sz w:val="9"/>
                <w:szCs w:val="9"/>
                <w:color w:val="auto"/>
              </w:rPr>
            </w:pPr>
          </w:p>
        </w:tc>
        <w:tc>
          <w:tcPr>
            <w:tcW w:w="840" w:type="dxa"/>
            <w:vAlign w:val="bottom"/>
            <w:tcBorders>
              <w:bottom w:val="single" w:sz="8" w:color="1E295B"/>
            </w:tcBorders>
          </w:tcPr>
          <w:p>
            <w:pPr>
              <w:spacing w:after="0"/>
              <w:rPr>
                <w:sz w:val="9"/>
                <w:szCs w:val="9"/>
                <w:color w:val="auto"/>
              </w:rPr>
            </w:pPr>
          </w:p>
        </w:tc>
        <w:tc>
          <w:tcPr>
            <w:tcW w:w="1080" w:type="dxa"/>
            <w:vAlign w:val="bottom"/>
            <w:tcBorders>
              <w:bottom w:val="single" w:sz="8" w:color="1E295B"/>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4260" w:type="dxa"/>
            <w:vAlign w:val="bottom"/>
            <w:gridSpan w:val="4"/>
          </w:tcPr>
          <w:p>
            <w:pPr>
              <w:ind w:left="260"/>
              <w:spacing w:after="0"/>
              <w:rPr>
                <w:sz w:val="20"/>
                <w:szCs w:val="20"/>
                <w:color w:val="auto"/>
              </w:rPr>
            </w:pPr>
            <w:r>
              <w:rPr>
                <w:rFonts w:ascii="Arial" w:cs="Arial" w:eastAsia="Arial" w:hAnsi="Arial"/>
                <w:sz w:val="16"/>
                <w:szCs w:val="16"/>
                <w:color w:val="auto"/>
              </w:rPr>
              <w:t>With a large workforce and operations across the</w:t>
            </w:r>
          </w:p>
        </w:tc>
        <w:tc>
          <w:tcPr>
            <w:tcW w:w="1260" w:type="dxa"/>
            <w:vAlign w:val="bottom"/>
          </w:tcPr>
          <w:p>
            <w:pPr>
              <w:ind w:left="220"/>
              <w:spacing w:after="0"/>
              <w:rPr>
                <w:sz w:val="20"/>
                <w:szCs w:val="20"/>
                <w:color w:val="auto"/>
              </w:rPr>
            </w:pPr>
            <w:r>
              <w:rPr>
                <w:rFonts w:ascii="Arial" w:cs="Arial" w:eastAsia="Arial" w:hAnsi="Arial"/>
                <w:sz w:val="16"/>
                <w:szCs w:val="16"/>
                <w:color w:val="auto"/>
              </w:rPr>
              <w:t>Experience</w:t>
            </w:r>
          </w:p>
        </w:tc>
        <w:tc>
          <w:tcPr>
            <w:tcW w:w="840" w:type="dxa"/>
            <w:vAlign w:val="bottom"/>
          </w:tcPr>
          <w:p>
            <w:pPr>
              <w:ind w:left="80"/>
              <w:spacing w:after="0"/>
              <w:rPr>
                <w:sz w:val="20"/>
                <w:szCs w:val="20"/>
                <w:color w:val="auto"/>
              </w:rPr>
            </w:pPr>
            <w:r>
              <w:rPr>
                <w:rFonts w:ascii="Arial" w:cs="Arial" w:eastAsia="Arial" w:hAnsi="Arial"/>
                <w:sz w:val="16"/>
                <w:szCs w:val="16"/>
                <w:color w:val="auto"/>
              </w:rPr>
              <w:t>helping</w:t>
            </w:r>
          </w:p>
        </w:tc>
        <w:tc>
          <w:tcPr>
            <w:tcW w:w="1080" w:type="dxa"/>
            <w:vAlign w:val="bottom"/>
          </w:tcPr>
          <w:p>
            <w:pPr>
              <w:jc w:val="right"/>
              <w:spacing w:after="0"/>
              <w:rPr>
                <w:sz w:val="20"/>
                <w:szCs w:val="20"/>
                <w:color w:val="auto"/>
              </w:rPr>
            </w:pPr>
            <w:r>
              <w:rPr>
                <w:rFonts w:ascii="Arial" w:cs="Arial" w:eastAsia="Arial" w:hAnsi="Arial"/>
                <w:sz w:val="16"/>
                <w:szCs w:val="16"/>
                <w:color w:val="auto"/>
              </w:rPr>
              <w:t>organizations</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4260" w:type="dxa"/>
            <w:vAlign w:val="bottom"/>
            <w:gridSpan w:val="4"/>
          </w:tcPr>
          <w:p>
            <w:pPr>
              <w:ind w:left="260"/>
              <w:spacing w:after="0"/>
              <w:rPr>
                <w:sz w:val="20"/>
                <w:szCs w:val="20"/>
                <w:color w:val="auto"/>
              </w:rPr>
            </w:pPr>
            <w:r>
              <w:rPr>
                <w:rFonts w:ascii="Arial" w:cs="Arial" w:eastAsia="Arial" w:hAnsi="Arial"/>
                <w:sz w:val="16"/>
                <w:szCs w:val="16"/>
                <w:color w:val="auto"/>
              </w:rPr>
              <w:t>United States and Canada, we are subjected to</w:t>
            </w:r>
          </w:p>
        </w:tc>
        <w:tc>
          <w:tcPr>
            <w:tcW w:w="3180" w:type="dxa"/>
            <w:vAlign w:val="bottom"/>
            <w:gridSpan w:val="3"/>
          </w:tcPr>
          <w:p>
            <w:pPr>
              <w:ind w:left="220"/>
              <w:spacing w:after="0"/>
              <w:rPr>
                <w:sz w:val="20"/>
                <w:szCs w:val="20"/>
                <w:color w:val="auto"/>
              </w:rPr>
            </w:pPr>
            <w:r>
              <w:rPr>
                <w:rFonts w:ascii="Arial" w:cs="Arial" w:eastAsia="Arial" w:hAnsi="Arial"/>
                <w:sz w:val="16"/>
                <w:szCs w:val="16"/>
                <w:color w:val="auto"/>
              </w:rPr>
              <w:t>navigate   fast-paced   and   dynamic</w:t>
            </w:r>
          </w:p>
        </w:tc>
        <w:tc>
          <w:tcPr>
            <w:tcW w:w="0" w:type="dxa"/>
            <w:vAlign w:val="bottom"/>
          </w:tcPr>
          <w:p>
            <w:pPr>
              <w:spacing w:after="0"/>
              <w:rPr>
                <w:sz w:val="1"/>
                <w:szCs w:val="1"/>
                <w:color w:val="auto"/>
              </w:rPr>
            </w:pPr>
          </w:p>
        </w:tc>
      </w:tr>
      <w:tr>
        <w:trPr>
          <w:trHeight w:val="189"/>
        </w:trPr>
        <w:tc>
          <w:tcPr>
            <w:tcW w:w="3440" w:type="dxa"/>
            <w:vAlign w:val="bottom"/>
            <w:vMerge w:val="restart"/>
          </w:tcPr>
          <w:p>
            <w:pPr>
              <w:jc w:val="center"/>
              <w:ind w:left="919"/>
              <w:spacing w:after="0"/>
              <w:rPr>
                <w:sz w:val="20"/>
                <w:szCs w:val="20"/>
                <w:color w:val="auto"/>
              </w:rPr>
            </w:pPr>
            <w:r>
              <w:rPr>
                <w:rFonts w:ascii="Arial" w:cs="Arial" w:eastAsia="Arial" w:hAnsi="Arial"/>
                <w:sz w:val="16"/>
                <w:szCs w:val="16"/>
                <w:color w:val="auto"/>
              </w:rPr>
              <w:t>Risk &amp; Crisis Management</w:t>
            </w:r>
          </w:p>
        </w:tc>
        <w:tc>
          <w:tcPr>
            <w:tcW w:w="980" w:type="dxa"/>
            <w:vAlign w:val="bottom"/>
          </w:tcPr>
          <w:p>
            <w:pPr>
              <w:ind w:left="260"/>
              <w:spacing w:after="0"/>
              <w:rPr>
                <w:sz w:val="20"/>
                <w:szCs w:val="20"/>
                <w:color w:val="auto"/>
              </w:rPr>
            </w:pPr>
            <w:r>
              <w:rPr>
                <w:rFonts w:ascii="Arial" w:cs="Arial" w:eastAsia="Arial" w:hAnsi="Arial"/>
                <w:sz w:val="16"/>
                <w:szCs w:val="16"/>
                <w:color w:val="auto"/>
              </w:rPr>
              <w:t>frequent</w:t>
            </w:r>
          </w:p>
        </w:tc>
        <w:tc>
          <w:tcPr>
            <w:tcW w:w="780" w:type="dxa"/>
            <w:vAlign w:val="bottom"/>
          </w:tcPr>
          <w:p>
            <w:pPr>
              <w:ind w:left="40"/>
              <w:spacing w:after="0"/>
              <w:rPr>
                <w:sz w:val="20"/>
                <w:szCs w:val="20"/>
                <w:color w:val="auto"/>
              </w:rPr>
            </w:pPr>
            <w:r>
              <w:rPr>
                <w:rFonts w:ascii="Arial" w:cs="Arial" w:eastAsia="Arial" w:hAnsi="Arial"/>
                <w:sz w:val="16"/>
                <w:szCs w:val="16"/>
                <w:color w:val="auto"/>
              </w:rPr>
              <w:t>emerging</w:t>
            </w:r>
          </w:p>
        </w:tc>
        <w:tc>
          <w:tcPr>
            <w:tcW w:w="1540" w:type="dxa"/>
            <w:vAlign w:val="bottom"/>
          </w:tcPr>
          <w:p>
            <w:pPr>
              <w:jc w:val="right"/>
              <w:spacing w:after="0"/>
              <w:rPr>
                <w:sz w:val="20"/>
                <w:szCs w:val="20"/>
                <w:color w:val="auto"/>
              </w:rPr>
            </w:pPr>
            <w:r>
              <w:rPr>
                <w:rFonts w:ascii="Arial" w:cs="Arial" w:eastAsia="Arial" w:hAnsi="Arial"/>
                <w:sz w:val="16"/>
                <w:szCs w:val="16"/>
                <w:color w:val="auto"/>
              </w:rPr>
              <w:t>risks  and  crises.</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We  are</w:t>
            </w:r>
          </w:p>
        </w:tc>
        <w:tc>
          <w:tcPr>
            <w:tcW w:w="3180" w:type="dxa"/>
            <w:vAlign w:val="bottom"/>
            <w:gridSpan w:val="3"/>
          </w:tcPr>
          <w:p>
            <w:pPr>
              <w:ind w:left="220"/>
              <w:spacing w:after="0"/>
              <w:rPr>
                <w:sz w:val="20"/>
                <w:szCs w:val="20"/>
                <w:color w:val="auto"/>
              </w:rPr>
            </w:pPr>
            <w:r>
              <w:rPr>
                <w:rFonts w:ascii="Arial" w:cs="Arial" w:eastAsia="Arial" w:hAnsi="Arial"/>
                <w:sz w:val="16"/>
                <w:szCs w:val="16"/>
                <w:color w:val="auto"/>
              </w:rPr>
              <w:t>situations involving emerging risks and</w:t>
            </w:r>
          </w:p>
        </w:tc>
        <w:tc>
          <w:tcPr>
            <w:tcW w:w="0" w:type="dxa"/>
            <w:vAlign w:val="bottom"/>
          </w:tcPr>
          <w:p>
            <w:pPr>
              <w:spacing w:after="0"/>
              <w:rPr>
                <w:sz w:val="1"/>
                <w:szCs w:val="1"/>
                <w:color w:val="auto"/>
              </w:rPr>
            </w:pPr>
          </w:p>
        </w:tc>
      </w:tr>
      <w:tr>
        <w:trPr>
          <w:trHeight w:val="120"/>
        </w:trPr>
        <w:tc>
          <w:tcPr>
            <w:tcW w:w="3440" w:type="dxa"/>
            <w:vAlign w:val="bottom"/>
            <w:vMerge w:val="continue"/>
          </w:tcPr>
          <w:p>
            <w:pPr>
              <w:spacing w:after="0"/>
              <w:rPr>
                <w:sz w:val="10"/>
                <w:szCs w:val="10"/>
                <w:color w:val="auto"/>
              </w:rPr>
            </w:pPr>
          </w:p>
        </w:tc>
        <w:tc>
          <w:tcPr>
            <w:tcW w:w="4260" w:type="dxa"/>
            <w:vAlign w:val="bottom"/>
            <w:gridSpan w:val="4"/>
            <w:vMerge w:val="restart"/>
          </w:tcPr>
          <w:p>
            <w:pPr>
              <w:ind w:left="260"/>
              <w:spacing w:after="0"/>
              <w:rPr>
                <w:sz w:val="20"/>
                <w:szCs w:val="20"/>
                <w:color w:val="auto"/>
              </w:rPr>
            </w:pPr>
            <w:r>
              <w:rPr>
                <w:rFonts w:ascii="Arial" w:cs="Arial" w:eastAsia="Arial" w:hAnsi="Arial"/>
                <w:sz w:val="16"/>
                <w:szCs w:val="16"/>
                <w:color w:val="auto"/>
              </w:rPr>
              <w:t>committed to accurate and disciplined management</w:t>
            </w:r>
          </w:p>
        </w:tc>
        <w:tc>
          <w:tcPr>
            <w:tcW w:w="1260" w:type="dxa"/>
            <w:vAlign w:val="bottom"/>
            <w:vMerge w:val="restart"/>
          </w:tcPr>
          <w:p>
            <w:pPr>
              <w:ind w:left="220"/>
              <w:spacing w:after="0"/>
              <w:rPr>
                <w:sz w:val="20"/>
                <w:szCs w:val="20"/>
                <w:color w:val="auto"/>
              </w:rPr>
            </w:pPr>
            <w:r>
              <w:rPr>
                <w:rFonts w:ascii="Arial" w:cs="Arial" w:eastAsia="Arial" w:hAnsi="Arial"/>
                <w:sz w:val="16"/>
                <w:szCs w:val="16"/>
                <w:color w:val="auto"/>
              </w:rPr>
              <w:t>crises.</w:t>
            </w:r>
          </w:p>
        </w:tc>
        <w:tc>
          <w:tcPr>
            <w:tcW w:w="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40" w:type="dxa"/>
            <w:vAlign w:val="bottom"/>
          </w:tcPr>
          <w:p>
            <w:pPr>
              <w:spacing w:after="0"/>
              <w:rPr>
                <w:sz w:val="7"/>
                <w:szCs w:val="7"/>
                <w:color w:val="auto"/>
              </w:rPr>
            </w:pPr>
          </w:p>
        </w:tc>
        <w:tc>
          <w:tcPr>
            <w:tcW w:w="4260" w:type="dxa"/>
            <w:vAlign w:val="bottom"/>
            <w:gridSpan w:val="4"/>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-1843405</wp:posOffset>
            </wp:positionV>
            <wp:extent cx="213995" cy="283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3995" cy="283210"/>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-1346200</wp:posOffset>
            </wp:positionV>
            <wp:extent cx="23114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1140" cy="17145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-892175</wp:posOffset>
            </wp:positionV>
            <wp:extent cx="213995" cy="2228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3995" cy="22288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-257810</wp:posOffset>
            </wp:positionV>
            <wp:extent cx="265430" cy="265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5430" cy="265430"/>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6"/>
          <w:szCs w:val="16"/>
          <w:color w:val="auto"/>
        </w:rPr>
        <w:t>of  those  risks  and  crises,  legal  and  regulatory</w:t>
      </w:r>
    </w:p>
    <w:p>
      <w:pPr>
        <w:spacing w:after="0" w:line="5"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compliance, and accurate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690054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p>
      <w:pPr>
        <w:spacing w:after="0" w:line="178"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In our effort to give customers the most relevant</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products, we are changing the way we’ve historically</w:t>
      </w:r>
    </w:p>
    <w:p>
      <w:pPr>
        <w:spacing w:after="0" w:line="5" w:lineRule="exact"/>
        <w:rPr>
          <w:sz w:val="20"/>
          <w:szCs w:val="20"/>
          <w:color w:val="auto"/>
        </w:rPr>
      </w:pPr>
    </w:p>
    <w:p>
      <w:pPr>
        <w:jc w:val="right"/>
        <w:ind w:left="1320"/>
        <w:spacing w:after="0" w:line="183" w:lineRule="auto"/>
        <w:rPr>
          <w:sz w:val="20"/>
          <w:szCs w:val="20"/>
          <w:color w:val="auto"/>
        </w:rPr>
      </w:pPr>
      <w:r>
        <w:rPr>
          <w:rFonts w:ascii="Arial" w:cs="Arial" w:eastAsia="Arial" w:hAnsi="Arial"/>
          <w:sz w:val="28"/>
          <w:szCs w:val="28"/>
          <w:color w:val="auto"/>
          <w:vertAlign w:val="subscript"/>
        </w:rPr>
        <w:t>Business Transformation</w:t>
      </w:r>
      <w:r>
        <w:rPr>
          <w:rFonts w:ascii="Arial" w:cs="Arial" w:eastAsia="Arial" w:hAnsi="Arial"/>
          <w:sz w:val="15"/>
          <w:szCs w:val="15"/>
          <w:color w:val="auto"/>
        </w:rPr>
        <w:t xml:space="preserve">       thought about our business model – developing and entering  into  novel  arrangements  with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-222885</wp:posOffset>
            </wp:positionV>
            <wp:extent cx="265430" cy="196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6"/>
          <w:szCs w:val="16"/>
          <w:color w:val="auto"/>
        </w:rPr>
        <w:t>around  the  world  to  give  our  customers  more</w:t>
      </w:r>
    </w:p>
    <w:p>
      <w:pPr>
        <w:spacing w:after="0" w:line="5"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choices than ever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690054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Expertise in overseeing the transformation of business in a dynamic, ever-changing industry.</w:t>
      </w:r>
    </w:p>
    <w:p>
      <w:pPr>
        <w:spacing w:after="0" w:line="711" w:lineRule="exact"/>
        <w:rPr>
          <w:sz w:val="20"/>
          <w:szCs w:val="20"/>
          <w:color w:val="auto"/>
        </w:rPr>
      </w:pPr>
    </w:p>
    <w:p>
      <w:pPr>
        <w:sectPr>
          <w:pgSz w:w="11900" w:h="16838" w:orient="portrait"/>
          <w:cols w:equalWidth="0" w:num="2">
            <w:col w:w="7480" w:space="440"/>
            <w:col w:w="2960"/>
          </w:cols>
          <w:pgMar w:left="500" w:top="270" w:right="51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4360" w:type="dxa"/>
            <w:vAlign w:val="bottom"/>
          </w:tcPr>
          <w:p>
            <w:pPr>
              <w:ind w:left="360"/>
              <w:spacing w:after="0"/>
              <w:rPr>
                <w:sz w:val="20"/>
                <w:szCs w:val="20"/>
                <w:color w:val="auto"/>
              </w:rPr>
            </w:pPr>
            <w:r>
              <w:rPr>
                <w:rFonts w:ascii="Arial" w:cs="Arial" w:eastAsia="Arial" w:hAnsi="Arial"/>
                <w:sz w:val="16"/>
                <w:szCs w:val="16"/>
                <w:color w:val="auto"/>
              </w:rPr>
              <w:t>With  more  than  350  retail  locations  across  the</w:t>
            </w:r>
          </w:p>
        </w:tc>
        <w:tc>
          <w:tcPr>
            <w:tcW w:w="3180" w:type="dxa"/>
            <w:vAlign w:val="bottom"/>
          </w:tcPr>
          <w:p>
            <w:pPr>
              <w:ind w:left="220"/>
              <w:spacing w:after="0"/>
              <w:rPr>
                <w:sz w:val="20"/>
                <w:szCs w:val="20"/>
                <w:color w:val="auto"/>
              </w:rPr>
            </w:pPr>
            <w:r>
              <w:rPr>
                <w:rFonts w:ascii="Arial" w:cs="Arial" w:eastAsia="Arial" w:hAnsi="Arial"/>
                <w:sz w:val="16"/>
                <w:szCs w:val="16"/>
                <w:color w:val="auto"/>
              </w:rPr>
              <w:t>Experience as a Chief Executive Officer.</w:t>
            </w:r>
          </w:p>
        </w:tc>
        <w:tc>
          <w:tcPr>
            <w:tcW w:w="0" w:type="dxa"/>
            <w:vAlign w:val="bottom"/>
          </w:tcPr>
          <w:p>
            <w:pPr>
              <w:spacing w:after="0"/>
              <w:rPr>
                <w:sz w:val="1"/>
                <w:szCs w:val="1"/>
                <w:color w:val="auto"/>
              </w:rPr>
            </w:pPr>
          </w:p>
        </w:tc>
      </w:tr>
      <w:tr>
        <w:trPr>
          <w:trHeight w:val="189"/>
        </w:trPr>
        <w:tc>
          <w:tcPr>
            <w:tcW w:w="3340" w:type="dxa"/>
            <w:vAlign w:val="bottom"/>
            <w:vMerge w:val="restart"/>
          </w:tcPr>
          <w:p>
            <w:pPr>
              <w:jc w:val="center"/>
              <w:ind w:left="1019"/>
              <w:spacing w:after="0"/>
              <w:rPr>
                <w:sz w:val="20"/>
                <w:szCs w:val="20"/>
                <w:color w:val="auto"/>
              </w:rPr>
            </w:pPr>
            <w:r>
              <w:rPr>
                <w:rFonts w:ascii="Arial" w:cs="Arial" w:eastAsia="Arial" w:hAnsi="Arial"/>
                <w:sz w:val="16"/>
                <w:szCs w:val="16"/>
                <w:color w:val="auto"/>
              </w:rPr>
              <w:t>CEO Experience</w:t>
            </w:r>
          </w:p>
        </w:tc>
        <w:tc>
          <w:tcPr>
            <w:tcW w:w="4360" w:type="dxa"/>
            <w:vAlign w:val="bottom"/>
          </w:tcPr>
          <w:p>
            <w:pPr>
              <w:ind w:left="360"/>
              <w:spacing w:after="0"/>
              <w:rPr>
                <w:sz w:val="20"/>
                <w:szCs w:val="20"/>
                <w:color w:val="auto"/>
              </w:rPr>
            </w:pPr>
            <w:r>
              <w:rPr>
                <w:rFonts w:ascii="Arial" w:cs="Arial" w:eastAsia="Arial" w:hAnsi="Arial"/>
                <w:sz w:val="16"/>
                <w:szCs w:val="16"/>
                <w:color w:val="auto"/>
              </w:rPr>
              <w:t>United States and in Canada, as well as multiple</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340" w:type="dxa"/>
            <w:vAlign w:val="bottom"/>
            <w:vMerge w:val="continue"/>
          </w:tcPr>
          <w:p>
            <w:pPr>
              <w:spacing w:after="0"/>
              <w:rPr>
                <w:sz w:val="10"/>
                <w:szCs w:val="10"/>
                <w:color w:val="auto"/>
              </w:rPr>
            </w:pPr>
          </w:p>
        </w:tc>
        <w:tc>
          <w:tcPr>
            <w:tcW w:w="4360" w:type="dxa"/>
            <w:vAlign w:val="bottom"/>
            <w:vMerge w:val="restart"/>
          </w:tcPr>
          <w:p>
            <w:pPr>
              <w:ind w:left="360"/>
              <w:spacing w:after="0"/>
              <w:rPr>
                <w:sz w:val="20"/>
                <w:szCs w:val="20"/>
                <w:color w:val="auto"/>
              </w:rPr>
            </w:pPr>
            <w:r>
              <w:rPr>
                <w:rFonts w:ascii="Arial" w:cs="Arial" w:eastAsia="Arial" w:hAnsi="Arial"/>
                <w:sz w:val="16"/>
                <w:szCs w:val="16"/>
                <w:color w:val="auto"/>
              </w:rPr>
              <w:t>supply chain facilities and a robust digital presence,</w:t>
            </w: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340" w:type="dxa"/>
            <w:vAlign w:val="bottom"/>
          </w:tcPr>
          <w:p>
            <w:pPr>
              <w:spacing w:after="0"/>
              <w:rPr>
                <w:sz w:val="5"/>
                <w:szCs w:val="5"/>
                <w:color w:val="auto"/>
              </w:rPr>
            </w:pPr>
          </w:p>
        </w:tc>
        <w:tc>
          <w:tcPr>
            <w:tcW w:w="4360" w:type="dxa"/>
            <w:vAlign w:val="bottom"/>
            <w:vMerge w:val="continue"/>
          </w:tcPr>
          <w:p>
            <w:pPr>
              <w:spacing w:after="0"/>
              <w:rPr>
                <w:sz w:val="5"/>
                <w:szCs w:val="5"/>
                <w:color w:val="auto"/>
              </w:rPr>
            </w:pPr>
          </w:p>
        </w:tc>
        <w:tc>
          <w:tcPr>
            <w:tcW w:w="3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Arial" w:cs="Arial" w:eastAsia="Arial" w:hAnsi="Arial"/>
                <w:sz w:val="16"/>
                <w:szCs w:val="16"/>
                <w:color w:val="auto"/>
              </w:rPr>
              <w:t>we are a large and complex organization.</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3340" w:type="dxa"/>
            <w:vAlign w:val="bottom"/>
            <w:tcBorders>
              <w:bottom w:val="single" w:sz="8" w:color="1E295B"/>
            </w:tcBorders>
          </w:tcPr>
          <w:p>
            <w:pPr>
              <w:spacing w:after="0"/>
              <w:rPr>
                <w:sz w:val="9"/>
                <w:szCs w:val="9"/>
                <w:color w:val="auto"/>
              </w:rPr>
            </w:pPr>
          </w:p>
        </w:tc>
        <w:tc>
          <w:tcPr>
            <w:tcW w:w="4360" w:type="dxa"/>
            <w:vAlign w:val="bottom"/>
            <w:tcBorders>
              <w:bottom w:val="single" w:sz="8" w:color="1E295B"/>
            </w:tcBorders>
          </w:tcPr>
          <w:p>
            <w:pPr>
              <w:spacing w:after="0"/>
              <w:rPr>
                <w:sz w:val="9"/>
                <w:szCs w:val="9"/>
                <w:color w:val="auto"/>
              </w:rPr>
            </w:pPr>
          </w:p>
        </w:tc>
        <w:tc>
          <w:tcPr>
            <w:tcW w:w="3180" w:type="dxa"/>
            <w:vAlign w:val="bottom"/>
            <w:tcBorders>
              <w:bottom w:val="single" w:sz="8" w:color="1E295B"/>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Arial" w:cs="Arial" w:eastAsia="Arial" w:hAnsi="Arial"/>
                <w:sz w:val="16"/>
                <w:szCs w:val="16"/>
                <w:color w:val="auto"/>
              </w:rPr>
              <w:t>We are a large public company requiring complex</w:t>
            </w:r>
          </w:p>
        </w:tc>
        <w:tc>
          <w:tcPr>
            <w:tcW w:w="3180" w:type="dxa"/>
            <w:vAlign w:val="bottom"/>
          </w:tcPr>
          <w:p>
            <w:pPr>
              <w:ind w:left="220"/>
              <w:spacing w:after="0"/>
              <w:rPr>
                <w:sz w:val="20"/>
                <w:szCs w:val="20"/>
                <w:color w:val="auto"/>
              </w:rPr>
            </w:pPr>
            <w:r>
              <w:rPr>
                <w:rFonts w:ascii="Arial" w:cs="Arial" w:eastAsia="Arial" w:hAnsi="Arial"/>
                <w:sz w:val="16"/>
                <w:szCs w:val="16"/>
                <w:color w:val="auto"/>
              </w:rPr>
              <w:t>Ability to understand financial data and</w:t>
            </w:r>
          </w:p>
        </w:tc>
        <w:tc>
          <w:tcPr>
            <w:tcW w:w="0" w:type="dxa"/>
            <w:vAlign w:val="bottom"/>
          </w:tcPr>
          <w:p>
            <w:pPr>
              <w:spacing w:after="0"/>
              <w:rPr>
                <w:sz w:val="1"/>
                <w:szCs w:val="1"/>
                <w:color w:val="auto"/>
              </w:rPr>
            </w:pPr>
          </w:p>
        </w:tc>
      </w:tr>
      <w:tr>
        <w:trPr>
          <w:trHeight w:val="189"/>
        </w:trPr>
        <w:tc>
          <w:tcPr>
            <w:tcW w:w="3340" w:type="dxa"/>
            <w:vAlign w:val="bottom"/>
          </w:tcPr>
          <w:p>
            <w:pPr>
              <w:jc w:val="center"/>
              <w:ind w:left="1019"/>
              <w:spacing w:after="0"/>
              <w:rPr>
                <w:sz w:val="20"/>
                <w:szCs w:val="20"/>
                <w:color w:val="auto"/>
              </w:rPr>
            </w:pPr>
            <w:r>
              <w:rPr>
                <w:rFonts w:ascii="Arial" w:cs="Arial" w:eastAsia="Arial" w:hAnsi="Arial"/>
                <w:sz w:val="16"/>
                <w:szCs w:val="16"/>
                <w:color w:val="auto"/>
              </w:rPr>
              <w:t>Financial Expertise</w:t>
            </w:r>
          </w:p>
        </w:tc>
        <w:tc>
          <w:tcPr>
            <w:tcW w:w="4360" w:type="dxa"/>
            <w:vAlign w:val="bottom"/>
          </w:tcPr>
          <w:p>
            <w:pPr>
              <w:ind w:left="360"/>
              <w:spacing w:after="0"/>
              <w:rPr>
                <w:sz w:val="20"/>
                <w:szCs w:val="20"/>
                <w:color w:val="auto"/>
              </w:rPr>
            </w:pPr>
            <w:r>
              <w:rPr>
                <w:rFonts w:ascii="Arial" w:cs="Arial" w:eastAsia="Arial" w:hAnsi="Arial"/>
                <w:sz w:val="16"/>
                <w:szCs w:val="16"/>
                <w:color w:val="auto"/>
              </w:rPr>
              <w:t>financial  forecasts, reporting  and other  business</w:t>
            </w:r>
          </w:p>
        </w:tc>
        <w:tc>
          <w:tcPr>
            <w:tcW w:w="3180" w:type="dxa"/>
            <w:vAlign w:val="bottom"/>
          </w:tcPr>
          <w:p>
            <w:pPr>
              <w:ind w:left="220"/>
              <w:spacing w:after="0"/>
              <w:rPr>
                <w:sz w:val="20"/>
                <w:szCs w:val="20"/>
                <w:color w:val="auto"/>
              </w:rPr>
            </w:pPr>
            <w:r>
              <w:rPr>
                <w:rFonts w:ascii="Arial" w:cs="Arial" w:eastAsia="Arial" w:hAnsi="Arial"/>
                <w:sz w:val="16"/>
                <w:szCs w:val="16"/>
                <w:color w:val="auto"/>
              </w:rPr>
              <w:t>use that data to make decisions around</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Arial" w:cs="Arial" w:eastAsia="Arial" w:hAnsi="Arial"/>
                <w:sz w:val="16"/>
                <w:szCs w:val="16"/>
                <w:color w:val="auto"/>
              </w:rPr>
              <w:t>considerations.</w:t>
            </w:r>
          </w:p>
        </w:tc>
        <w:tc>
          <w:tcPr>
            <w:tcW w:w="3180" w:type="dxa"/>
            <w:vAlign w:val="bottom"/>
          </w:tcPr>
          <w:p>
            <w:pPr>
              <w:ind w:left="220"/>
              <w:spacing w:after="0"/>
              <w:rPr>
                <w:sz w:val="20"/>
                <w:szCs w:val="20"/>
                <w:color w:val="auto"/>
              </w:rPr>
            </w:pPr>
            <w:r>
              <w:rPr>
                <w:rFonts w:ascii="Arial" w:cs="Arial" w:eastAsia="Arial" w:hAnsi="Arial"/>
                <w:sz w:val="16"/>
                <w:szCs w:val="16"/>
                <w:color w:val="auto"/>
              </w:rPr>
              <w:t>business strategy.</w:t>
            </w:r>
          </w:p>
        </w:tc>
        <w:tc>
          <w:tcPr>
            <w:tcW w:w="0" w:type="dxa"/>
            <w:vAlign w:val="bottom"/>
          </w:tcPr>
          <w:p>
            <w:pPr>
              <w:spacing w:after="0"/>
              <w:rPr>
                <w:sz w:val="1"/>
                <w:szCs w:val="1"/>
                <w:color w:val="auto"/>
              </w:rPr>
            </w:pPr>
          </w:p>
        </w:tc>
      </w:tr>
      <w:tr>
        <w:trPr>
          <w:trHeight w:val="103"/>
        </w:trPr>
        <w:tc>
          <w:tcPr>
            <w:tcW w:w="3340" w:type="dxa"/>
            <w:vAlign w:val="bottom"/>
            <w:tcBorders>
              <w:bottom w:val="single" w:sz="8" w:color="1E295B"/>
            </w:tcBorders>
          </w:tcPr>
          <w:p>
            <w:pPr>
              <w:spacing w:after="0"/>
              <w:rPr>
                <w:sz w:val="9"/>
                <w:szCs w:val="9"/>
                <w:color w:val="auto"/>
              </w:rPr>
            </w:pPr>
          </w:p>
        </w:tc>
        <w:tc>
          <w:tcPr>
            <w:tcW w:w="4360" w:type="dxa"/>
            <w:vAlign w:val="bottom"/>
            <w:tcBorders>
              <w:bottom w:val="single" w:sz="8" w:color="1E295B"/>
            </w:tcBorders>
          </w:tcPr>
          <w:p>
            <w:pPr>
              <w:spacing w:after="0"/>
              <w:rPr>
                <w:sz w:val="9"/>
                <w:szCs w:val="9"/>
                <w:color w:val="auto"/>
              </w:rPr>
            </w:pPr>
          </w:p>
        </w:tc>
        <w:tc>
          <w:tcPr>
            <w:tcW w:w="3180" w:type="dxa"/>
            <w:vAlign w:val="bottom"/>
            <w:tcBorders>
              <w:bottom w:val="single" w:sz="8" w:color="1E295B"/>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Arial" w:cs="Arial" w:eastAsia="Arial" w:hAnsi="Arial"/>
                <w:sz w:val="16"/>
                <w:szCs w:val="16"/>
                <w:color w:val="auto"/>
              </w:rPr>
              <w:t>We  are  continually  investing  in  technology  to</w:t>
            </w:r>
          </w:p>
        </w:tc>
        <w:tc>
          <w:tcPr>
            <w:tcW w:w="3180" w:type="dxa"/>
            <w:vAlign w:val="bottom"/>
          </w:tcPr>
          <w:p>
            <w:pPr>
              <w:ind w:left="220"/>
              <w:spacing w:after="0"/>
              <w:rPr>
                <w:sz w:val="20"/>
                <w:szCs w:val="20"/>
                <w:color w:val="auto"/>
              </w:rPr>
            </w:pPr>
            <w:r>
              <w:rPr>
                <w:rFonts w:ascii="Arial" w:cs="Arial" w:eastAsia="Arial" w:hAnsi="Arial"/>
                <w:sz w:val="16"/>
                <w:szCs w:val="16"/>
                <w:color w:val="auto"/>
              </w:rPr>
              <w:t>Demonstrated leadership and expertise</w:t>
            </w:r>
          </w:p>
        </w:tc>
        <w:tc>
          <w:tcPr>
            <w:tcW w:w="0" w:type="dxa"/>
            <w:vAlign w:val="bottom"/>
          </w:tcPr>
          <w:p>
            <w:pPr>
              <w:spacing w:after="0"/>
              <w:rPr>
                <w:sz w:val="1"/>
                <w:szCs w:val="1"/>
                <w:color w:val="auto"/>
              </w:rPr>
            </w:pPr>
          </w:p>
        </w:tc>
      </w:tr>
      <w:tr>
        <w:trPr>
          <w:trHeight w:val="189"/>
        </w:trPr>
        <w:tc>
          <w:tcPr>
            <w:tcW w:w="3340" w:type="dxa"/>
            <w:vAlign w:val="bottom"/>
            <w:vMerge w:val="restart"/>
          </w:tcPr>
          <w:p>
            <w:pPr>
              <w:jc w:val="center"/>
              <w:ind w:left="999"/>
              <w:spacing w:after="0"/>
              <w:rPr>
                <w:sz w:val="20"/>
                <w:szCs w:val="20"/>
                <w:color w:val="auto"/>
              </w:rPr>
            </w:pPr>
            <w:r>
              <w:rPr>
                <w:rFonts w:ascii="Arial" w:cs="Arial" w:eastAsia="Arial" w:hAnsi="Arial"/>
                <w:sz w:val="16"/>
                <w:szCs w:val="16"/>
                <w:color w:val="auto"/>
              </w:rPr>
              <w:t>Technology Expertise</w:t>
            </w:r>
          </w:p>
        </w:tc>
        <w:tc>
          <w:tcPr>
            <w:tcW w:w="4360" w:type="dxa"/>
            <w:vAlign w:val="bottom"/>
          </w:tcPr>
          <w:p>
            <w:pPr>
              <w:ind w:left="360"/>
              <w:spacing w:after="0"/>
              <w:rPr>
                <w:sz w:val="20"/>
                <w:szCs w:val="20"/>
                <w:color w:val="auto"/>
              </w:rPr>
            </w:pPr>
            <w:r>
              <w:rPr>
                <w:rFonts w:ascii="Arial" w:cs="Arial" w:eastAsia="Arial" w:hAnsi="Arial"/>
                <w:sz w:val="16"/>
                <w:szCs w:val="16"/>
                <w:color w:val="auto"/>
              </w:rPr>
              <w:t>enhance the customer experience.</w:t>
            </w:r>
          </w:p>
        </w:tc>
        <w:tc>
          <w:tcPr>
            <w:tcW w:w="3180" w:type="dxa"/>
            <w:vAlign w:val="bottom"/>
          </w:tcPr>
          <w:p>
            <w:pPr>
              <w:ind w:left="220"/>
              <w:spacing w:after="0"/>
              <w:rPr>
                <w:sz w:val="20"/>
                <w:szCs w:val="20"/>
                <w:color w:val="auto"/>
              </w:rPr>
            </w:pPr>
            <w:r>
              <w:rPr>
                <w:rFonts w:ascii="Arial" w:cs="Arial" w:eastAsia="Arial" w:hAnsi="Arial"/>
                <w:sz w:val="16"/>
                <w:szCs w:val="16"/>
                <w:color w:val="auto"/>
              </w:rPr>
              <w:t>relating to digital platforms, information</w:t>
            </w:r>
          </w:p>
        </w:tc>
        <w:tc>
          <w:tcPr>
            <w:tcW w:w="0" w:type="dxa"/>
            <w:vAlign w:val="bottom"/>
          </w:tcPr>
          <w:p>
            <w:pPr>
              <w:spacing w:after="0"/>
              <w:rPr>
                <w:sz w:val="1"/>
                <w:szCs w:val="1"/>
                <w:color w:val="auto"/>
              </w:rPr>
            </w:pPr>
          </w:p>
        </w:tc>
      </w:tr>
      <w:tr>
        <w:trPr>
          <w:trHeight w:val="120"/>
        </w:trPr>
        <w:tc>
          <w:tcPr>
            <w:tcW w:w="3340" w:type="dxa"/>
            <w:vAlign w:val="bottom"/>
            <w:vMerge w:val="continue"/>
          </w:tcPr>
          <w:p>
            <w:pPr>
              <w:spacing w:after="0"/>
              <w:rPr>
                <w:sz w:val="10"/>
                <w:szCs w:val="10"/>
                <w:color w:val="auto"/>
              </w:rPr>
            </w:pPr>
          </w:p>
        </w:tc>
        <w:tc>
          <w:tcPr>
            <w:tcW w:w="4360" w:type="dxa"/>
            <w:vAlign w:val="bottom"/>
          </w:tcPr>
          <w:p>
            <w:pPr>
              <w:spacing w:after="0"/>
              <w:rPr>
                <w:sz w:val="10"/>
                <w:szCs w:val="10"/>
                <w:color w:val="auto"/>
              </w:rPr>
            </w:pPr>
          </w:p>
        </w:tc>
        <w:tc>
          <w:tcPr>
            <w:tcW w:w="3180" w:type="dxa"/>
            <w:vAlign w:val="bottom"/>
            <w:vMerge w:val="restart"/>
          </w:tcPr>
          <w:p>
            <w:pPr>
              <w:ind w:left="220"/>
              <w:spacing w:after="0"/>
              <w:rPr>
                <w:sz w:val="20"/>
                <w:szCs w:val="20"/>
                <w:color w:val="auto"/>
              </w:rPr>
            </w:pPr>
            <w:r>
              <w:rPr>
                <w:rFonts w:ascii="Arial" w:cs="Arial" w:eastAsia="Arial" w:hAnsi="Arial"/>
                <w:sz w:val="16"/>
                <w:szCs w:val="16"/>
                <w:color w:val="auto"/>
              </w:rPr>
              <w:t>technology, data security, and/or data</w:t>
            </w:r>
          </w:p>
        </w:tc>
        <w:tc>
          <w:tcPr>
            <w:tcW w:w="0" w:type="dxa"/>
            <w:vAlign w:val="bottom"/>
          </w:tcPr>
          <w:p>
            <w:pPr>
              <w:spacing w:after="0"/>
              <w:rPr>
                <w:sz w:val="1"/>
                <w:szCs w:val="1"/>
                <w:color w:val="auto"/>
              </w:rPr>
            </w:pPr>
          </w:p>
        </w:tc>
      </w:tr>
      <w:tr>
        <w:trPr>
          <w:trHeight w:val="69"/>
        </w:trPr>
        <w:tc>
          <w:tcPr>
            <w:tcW w:w="3340" w:type="dxa"/>
            <w:vAlign w:val="bottom"/>
          </w:tcPr>
          <w:p>
            <w:pPr>
              <w:spacing w:after="0"/>
              <w:rPr>
                <w:sz w:val="5"/>
                <w:szCs w:val="5"/>
                <w:color w:val="auto"/>
              </w:rPr>
            </w:pPr>
          </w:p>
        </w:tc>
        <w:tc>
          <w:tcPr>
            <w:tcW w:w="436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6"/>
                <w:szCs w:val="16"/>
                <w:color w:val="auto"/>
              </w:rPr>
              <w:t>analytics.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690054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00545" cy="2603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-1455420</wp:posOffset>
            </wp:positionV>
            <wp:extent cx="265430"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5430" cy="25717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-898525</wp:posOffset>
            </wp:positionV>
            <wp:extent cx="179705" cy="222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9705" cy="22288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-332740</wp:posOffset>
            </wp:positionV>
            <wp:extent cx="282575"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2575" cy="16256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type w:val="continuous"/>
        </w:sectPr>
      </w:pPr>
    </w:p>
    <w:p>
      <w:pPr>
        <w:spacing w:after="0" w:line="163" w:lineRule="exact"/>
        <w:rPr>
          <w:sz w:val="20"/>
          <w:szCs w:val="20"/>
          <w:color w:val="auto"/>
        </w:rPr>
      </w:pPr>
    </w:p>
    <w:tbl>
      <w:tblPr>
        <w:tblLayout w:type="fixed"/>
        <w:tblInd w:w="1120" w:type="dxa"/>
        <w:tblCellMar>
          <w:top w:w="0" w:type="dxa"/>
          <w:left w:w="0" w:type="dxa"/>
          <w:bottom w:w="0" w:type="dxa"/>
          <w:right w:w="0" w:type="dxa"/>
        </w:tblCellMar>
      </w:tblPr>
      <w:tr>
        <w:trPr>
          <w:trHeight w:val="189"/>
        </w:trPr>
        <w:tc>
          <w:tcPr>
            <w:tcW w:w="2380" w:type="dxa"/>
            <w:vAlign w:val="bottom"/>
            <w:vMerge w:val="restart"/>
          </w:tcPr>
          <w:p>
            <w:pPr>
              <w:jc w:val="center"/>
              <w:ind w:right="119"/>
              <w:spacing w:after="0"/>
              <w:rPr>
                <w:sz w:val="20"/>
                <w:szCs w:val="20"/>
                <w:color w:val="auto"/>
              </w:rPr>
            </w:pPr>
            <w:r>
              <w:rPr>
                <w:rFonts w:ascii="Arial" w:cs="Arial" w:eastAsia="Arial" w:hAnsi="Arial"/>
                <w:sz w:val="16"/>
                <w:szCs w:val="16"/>
                <w:color w:val="auto"/>
              </w:rPr>
              <w:t>Diversity, Equity, Inclusion and</w:t>
            </w:r>
          </w:p>
        </w:tc>
        <w:tc>
          <w:tcPr>
            <w:tcW w:w="3980" w:type="dxa"/>
            <w:vAlign w:val="bottom"/>
          </w:tcPr>
          <w:p>
            <w:pPr>
              <w:ind w:left="200"/>
              <w:spacing w:after="0"/>
              <w:rPr>
                <w:sz w:val="20"/>
                <w:szCs w:val="20"/>
                <w:color w:val="auto"/>
              </w:rPr>
            </w:pPr>
            <w:r>
              <w:rPr>
                <w:rFonts w:ascii="Arial" w:cs="Arial" w:eastAsia="Arial" w:hAnsi="Arial"/>
                <w:sz w:val="16"/>
                <w:szCs w:val="16"/>
                <w:color w:val="auto"/>
              </w:rPr>
              <w:t>Our commitment to fostering a diverse, equitable,</w:t>
            </w:r>
          </w:p>
        </w:tc>
        <w:tc>
          <w:tcPr>
            <w:tcW w:w="0" w:type="dxa"/>
            <w:vAlign w:val="bottom"/>
          </w:tcPr>
          <w:p>
            <w:pPr>
              <w:spacing w:after="0"/>
              <w:rPr>
                <w:sz w:val="1"/>
                <w:szCs w:val="1"/>
                <w:color w:val="auto"/>
              </w:rPr>
            </w:pPr>
          </w:p>
        </w:tc>
      </w:tr>
      <w:tr>
        <w:trPr>
          <w:trHeight w:val="95"/>
        </w:trPr>
        <w:tc>
          <w:tcPr>
            <w:tcW w:w="2380" w:type="dxa"/>
            <w:vAlign w:val="bottom"/>
            <w:vMerge w:val="continue"/>
          </w:tcPr>
          <w:p>
            <w:pPr>
              <w:spacing w:after="0"/>
              <w:rPr>
                <w:sz w:val="8"/>
                <w:szCs w:val="8"/>
                <w:color w:val="auto"/>
              </w:rPr>
            </w:pPr>
          </w:p>
        </w:tc>
        <w:tc>
          <w:tcPr>
            <w:tcW w:w="3980" w:type="dxa"/>
            <w:vAlign w:val="bottom"/>
            <w:vMerge w:val="restart"/>
          </w:tcPr>
          <w:p>
            <w:pPr>
              <w:ind w:left="200"/>
              <w:spacing w:after="0"/>
              <w:rPr>
                <w:sz w:val="20"/>
                <w:szCs w:val="20"/>
                <w:color w:val="auto"/>
              </w:rPr>
            </w:pPr>
            <w:r>
              <w:rPr>
                <w:rFonts w:ascii="Arial" w:cs="Arial" w:eastAsia="Arial" w:hAnsi="Arial"/>
                <w:sz w:val="16"/>
                <w:szCs w:val="16"/>
                <w:color w:val="auto"/>
              </w:rPr>
              <w:t>and inclusive environment is key to our mission of</w:t>
            </w:r>
          </w:p>
        </w:tc>
        <w:tc>
          <w:tcPr>
            <w:tcW w:w="0" w:type="dxa"/>
            <w:vAlign w:val="bottom"/>
          </w:tcPr>
          <w:p>
            <w:pPr>
              <w:spacing w:after="0"/>
              <w:rPr>
                <w:sz w:val="1"/>
                <w:szCs w:val="1"/>
                <w:color w:val="auto"/>
              </w:rPr>
            </w:pPr>
          </w:p>
        </w:tc>
      </w:tr>
      <w:tr>
        <w:trPr>
          <w:trHeight w:val="94"/>
        </w:trPr>
        <w:tc>
          <w:tcPr>
            <w:tcW w:w="2380" w:type="dxa"/>
            <w:vAlign w:val="bottom"/>
            <w:vMerge w:val="restart"/>
          </w:tcPr>
          <w:p>
            <w:pPr>
              <w:jc w:val="center"/>
              <w:ind w:right="99"/>
              <w:spacing w:after="0"/>
              <w:rPr>
                <w:sz w:val="20"/>
                <w:szCs w:val="20"/>
                <w:color w:val="auto"/>
              </w:rPr>
            </w:pPr>
            <w:r>
              <w:rPr>
                <w:rFonts w:ascii="Arial" w:cs="Arial" w:eastAsia="Arial" w:hAnsi="Arial"/>
                <w:sz w:val="16"/>
                <w:szCs w:val="16"/>
                <w:color w:val="auto"/>
              </w:rPr>
              <w:t>Belonging</w:t>
            </w:r>
          </w:p>
        </w:tc>
        <w:tc>
          <w:tcPr>
            <w:tcW w:w="3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380" w:type="dxa"/>
            <w:vAlign w:val="bottom"/>
            <w:vMerge w:val="continue"/>
          </w:tcPr>
          <w:p>
            <w:pPr>
              <w:spacing w:after="0"/>
              <w:rPr>
                <w:sz w:val="10"/>
                <w:szCs w:val="10"/>
                <w:color w:val="auto"/>
              </w:rPr>
            </w:pPr>
          </w:p>
        </w:tc>
        <w:tc>
          <w:tcPr>
            <w:tcW w:w="3980" w:type="dxa"/>
            <w:vAlign w:val="bottom"/>
            <w:vMerge w:val="restart"/>
          </w:tcPr>
          <w:p>
            <w:pPr>
              <w:ind w:left="200"/>
              <w:spacing w:after="0"/>
              <w:rPr>
                <w:sz w:val="20"/>
                <w:szCs w:val="20"/>
                <w:color w:val="auto"/>
              </w:rPr>
            </w:pPr>
            <w:r>
              <w:rPr>
                <w:rFonts w:ascii="Arial" w:cs="Arial" w:eastAsia="Arial" w:hAnsi="Arial"/>
                <w:sz w:val="16"/>
                <w:szCs w:val="16"/>
                <w:color w:val="auto"/>
              </w:rPr>
              <w:t>helping our customers feel good and look their best.</w:t>
            </w:r>
          </w:p>
        </w:tc>
        <w:tc>
          <w:tcPr>
            <w:tcW w:w="0" w:type="dxa"/>
            <w:vAlign w:val="bottom"/>
          </w:tcPr>
          <w:p>
            <w:pPr>
              <w:spacing w:after="0"/>
              <w:rPr>
                <w:sz w:val="1"/>
                <w:szCs w:val="1"/>
                <w:color w:val="auto"/>
              </w:rPr>
            </w:pPr>
          </w:p>
        </w:tc>
      </w:tr>
      <w:tr>
        <w:trPr>
          <w:trHeight w:val="95"/>
        </w:trPr>
        <w:tc>
          <w:tcPr>
            <w:tcW w:w="238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690054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00545" cy="2540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-247015</wp:posOffset>
            </wp:positionV>
            <wp:extent cx="265430"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543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Demonstrated leadership and experience relating to diversity, equity, inclusion and belonging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408940</wp:posOffset>
            </wp:positionV>
            <wp:extent cx="1020445" cy="1282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0445"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80" w:space="440"/>
            <w:col w:w="2960"/>
          </w:cols>
          <w:pgMar w:left="500" w:top="270" w:right="51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25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8020"/>
        <w:spacing w:after="0"/>
        <w:rPr>
          <w:sz w:val="20"/>
          <w:szCs w:val="20"/>
          <w:color w:val="auto"/>
        </w:rPr>
      </w:pPr>
      <w:r>
        <w:rPr>
          <w:rFonts w:ascii="Arial" w:cs="Arial" w:eastAsia="Arial" w:hAnsi="Arial"/>
          <w:sz w:val="14"/>
          <w:szCs w:val="14"/>
          <w:b w:val="1"/>
          <w:bCs w:val="1"/>
          <w:i w:val="1"/>
          <w:iCs w:val="1"/>
          <w:color w:val="67686B"/>
        </w:rPr>
        <w:t>PROPOSAL 1: ELECTION OF DIRECTORS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to these factors, the Committee also considers a Director candidate’s diversity of background during the evaluation and selection process of nominees. In this context, diversity is broadly construed to mean varied skills, backgrounds and experiences, which include gender and ethnicity, as well as other differentiating characteristics, all in the context of the requirements and needs of the Board at that point in time. The Committee does not have a formal policy regarding how diversity of background should be applied in identifying or evaluating Director candidates, and, depending on the current needs of the Board, the Committee may weigh certain factors more or less heavily.</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Committee will consider the qualifications of Director candidates recommended by shareholders, and evaluate each of them using the same criteria the Committee uses for incumbent candidates. Shareholders who wish to submit nominees for election as Directors should follow the procedures described on page </w:t>
      </w:r>
      <w:r>
        <w:rPr>
          <w:rFonts w:ascii="Arial" w:cs="Arial" w:eastAsia="Arial" w:hAnsi="Arial"/>
          <w:sz w:val="16"/>
          <w:szCs w:val="16"/>
          <w:u w:val="single" w:color="auto"/>
          <w:color w:val="0000EE"/>
        </w:rPr>
        <w:t>87</w:t>
      </w:r>
      <w:r>
        <w:rPr>
          <w:rFonts w:ascii="Arial" w:cs="Arial" w:eastAsia="Arial" w:hAnsi="Arial"/>
          <w:sz w:val="16"/>
          <w:szCs w:val="16"/>
          <w:color w:val="auto"/>
        </w:rPr>
        <w:t>. No Director candidates were recommended by our shareholders for election at the Annual Meeting. We received notice from a shareholder stating its intention to nominate two candidates for election to the Board at the Annual Meeting, which notice was later withdrawn.</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Collectively, our Directors bring to our Board a wealth of executive leadership experience derived from their service as senior executives of complex corporations. As a group, they also bring extensive Board experience and a diversity of perspectives on the challenges facing the Company and the retail industry at this time.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chart below outlines some of the qualifications each Director candidate brings to the Board. However, the lack of a mark in any specific box does not mean that the candidate does not possess that qualification. Instead, the skills and qualifications noted below are those reviewed by the CGNC and the Board in making nomination decisions and as part of the Board succession planning process. We believe the combination of the skills and qualifications shown below demonstrates how our Board is well positioned to provide strategic advice and effective oversight to Company management.</w:t>
      </w:r>
    </w:p>
    <w:p>
      <w:pPr>
        <w:spacing w:after="0" w:line="40"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Nominee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137160</wp:posOffset>
            </wp:positionV>
            <wp:extent cx="52203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33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120650</wp:posOffset>
            </wp:positionV>
            <wp:extent cx="52203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Arial" w:cs="Arial" w:eastAsia="Arial" w:hAnsi="Arial"/>
                <w:sz w:val="14"/>
                <w:szCs w:val="14"/>
                <w:color w:val="auto"/>
              </w:rPr>
              <w:t>Stacy</w:t>
            </w:r>
          </w:p>
        </w:tc>
        <w:tc>
          <w:tcPr>
            <w:tcW w:w="740" w:type="dxa"/>
            <w:vAlign w:val="bottom"/>
            <w:vMerge w:val="restart"/>
          </w:tcPr>
          <w:p>
            <w:pPr>
              <w:ind w:left="40"/>
              <w:spacing w:after="0"/>
              <w:rPr>
                <w:sz w:val="20"/>
                <w:szCs w:val="20"/>
                <w:color w:val="auto"/>
              </w:rPr>
            </w:pPr>
            <w:r>
              <w:rPr>
                <w:rFonts w:ascii="Arial" w:cs="Arial" w:eastAsia="Arial" w:hAnsi="Arial"/>
                <w:sz w:val="14"/>
                <w:szCs w:val="14"/>
                <w:color w:val="auto"/>
              </w:rPr>
              <w:t>James L.</w:t>
            </w:r>
          </w:p>
        </w:tc>
        <w:tc>
          <w:tcPr>
            <w:tcW w:w="780" w:type="dxa"/>
            <w:vAlign w:val="bottom"/>
            <w:vMerge w:val="restart"/>
          </w:tcPr>
          <w:p>
            <w:pPr>
              <w:ind w:left="40"/>
              <w:spacing w:after="0"/>
              <w:rPr>
                <w:sz w:val="20"/>
                <w:szCs w:val="20"/>
                <w:color w:val="auto"/>
              </w:rPr>
            </w:pPr>
            <w:r>
              <w:rPr>
                <w:rFonts w:ascii="Arial" w:cs="Arial" w:eastAsia="Arial" w:hAnsi="Arial"/>
                <w:sz w:val="14"/>
                <w:szCs w:val="14"/>
                <w:color w:val="auto"/>
              </w:rPr>
              <w:t>Kirsten A.</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Glenda G.</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Erik B.</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Peter E.</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99"/>
              </w:rPr>
              <w:t>Eric D.</w:t>
            </w:r>
          </w:p>
        </w:tc>
        <w:tc>
          <w:tcPr>
            <w:tcW w:w="700" w:type="dxa"/>
            <w:vAlign w:val="bottom"/>
          </w:tcPr>
          <w:p>
            <w:pPr>
              <w:ind w:left="140"/>
              <w:spacing w:after="0"/>
              <w:rPr>
                <w:sz w:val="20"/>
                <w:szCs w:val="20"/>
                <w:color w:val="auto"/>
              </w:rPr>
            </w:pPr>
            <w:r>
              <w:rPr>
                <w:rFonts w:ascii="Arial" w:cs="Arial" w:eastAsia="Arial" w:hAnsi="Arial"/>
                <w:sz w:val="14"/>
                <w:szCs w:val="14"/>
                <w:color w:val="auto"/>
              </w:rPr>
              <w:t>Amie</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Bradley D.</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Mark J.</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Atticus N.</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Brown-</w:t>
            </w:r>
          </w:p>
        </w:tc>
        <w:tc>
          <w:tcPr>
            <w:tcW w:w="7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Thuener</w:t>
            </w: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rPr>
              <w:t>Donald</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rPr>
              <w:t>Green</w:t>
            </w: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rPr>
              <w:t>McNeal</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rPr>
              <w:t>Nordstrom</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Nordstrom</w:t>
            </w: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rPr>
              <w:t>Sprunk</w:t>
            </w:r>
          </w:p>
        </w:tc>
        <w:tc>
          <w:tcPr>
            <w:tcW w:w="700" w:type="dxa"/>
            <w:vAlign w:val="bottom"/>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99"/>
              </w:rPr>
              <w:t>Tilden</w:t>
            </w: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Tritton</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9"/>
              </w:rPr>
              <w:t>Tysen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Philpot</w:t>
            </w: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O’Toole</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4"/>
        </w:trPr>
        <w:tc>
          <w:tcPr>
            <w:tcW w:w="1960" w:type="dxa"/>
            <w:vAlign w:val="bottom"/>
            <w:tcBorders>
              <w:left w:val="single" w:sz="8" w:color="auto"/>
              <w:right w:val="single" w:sz="8" w:color="auto"/>
            </w:tcBorders>
          </w:tcPr>
          <w:p>
            <w:pPr>
              <w:jc w:val="center"/>
              <w:ind w:left="528"/>
              <w:spacing w:after="0"/>
              <w:rPr>
                <w:sz w:val="20"/>
                <w:szCs w:val="20"/>
                <w:color w:val="auto"/>
              </w:rPr>
            </w:pPr>
            <w:r>
              <w:rPr>
                <w:rFonts w:ascii="Arial" w:cs="Arial" w:eastAsia="Arial" w:hAnsi="Arial"/>
                <w:sz w:val="14"/>
                <w:szCs w:val="14"/>
                <w:color w:val="auto"/>
              </w:rPr>
              <w:t>Retail Industry</w:t>
            </w: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7/11</w:t>
            </w:r>
          </w:p>
        </w:tc>
        <w:tc>
          <w:tcPr>
            <w:tcW w:w="0" w:type="dxa"/>
            <w:vAlign w:val="bottom"/>
          </w:tcPr>
          <w:p>
            <w:pPr>
              <w:spacing w:after="0"/>
              <w:rPr>
                <w:sz w:val="1"/>
                <w:szCs w:val="1"/>
                <w:color w:val="auto"/>
              </w:rPr>
            </w:pPr>
          </w:p>
        </w:tc>
      </w:tr>
      <w:tr>
        <w:trPr>
          <w:trHeight w:val="251"/>
        </w:trPr>
        <w:tc>
          <w:tcPr>
            <w:tcW w:w="1960" w:type="dxa"/>
            <w:vAlign w:val="bottom"/>
            <w:tcBorders>
              <w:left w:val="single" w:sz="8" w:color="auto"/>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auto"/>
              <w:right w:val="single" w:sz="8" w:color="auto"/>
            </w:tcBorders>
          </w:tcPr>
          <w:p>
            <w:pPr>
              <w:jc w:val="center"/>
              <w:ind w:left="488"/>
              <w:spacing w:after="0"/>
              <w:rPr>
                <w:sz w:val="20"/>
                <w:szCs w:val="20"/>
                <w:color w:val="auto"/>
              </w:rPr>
            </w:pPr>
            <w:r>
              <w:rPr>
                <w:rFonts w:ascii="Arial" w:cs="Arial" w:eastAsia="Arial" w:hAnsi="Arial"/>
                <w:sz w:val="14"/>
                <w:szCs w:val="14"/>
                <w:color w:val="auto"/>
              </w:rPr>
              <w:t>Marketing &amp;</w:t>
            </w:r>
          </w:p>
        </w:tc>
        <w:tc>
          <w:tcPr>
            <w:tcW w:w="72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right w:val="single" w:sz="8" w:color="auto"/>
            </w:tcBorders>
          </w:tcPr>
          <w:p>
            <w:pPr>
              <w:jc w:val="center"/>
              <w:ind w:left="508"/>
              <w:spacing w:after="0"/>
              <w:rPr>
                <w:sz w:val="20"/>
                <w:szCs w:val="20"/>
                <w:color w:val="auto"/>
              </w:rPr>
            </w:pPr>
            <w:r>
              <w:rPr>
                <w:rFonts w:ascii="Arial" w:cs="Arial" w:eastAsia="Arial" w:hAnsi="Arial"/>
                <w:sz w:val="14"/>
                <w:szCs w:val="14"/>
                <w:color w:val="auto"/>
              </w:rPr>
              <w:t>Customer</w:t>
            </w:r>
          </w:p>
        </w:tc>
        <w:tc>
          <w:tcPr>
            <w:tcW w:w="7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9/11</w:t>
            </w:r>
          </w:p>
        </w:tc>
        <w:tc>
          <w:tcPr>
            <w:tcW w:w="0" w:type="dxa"/>
            <w:vAlign w:val="bottom"/>
          </w:tcPr>
          <w:p>
            <w:pPr>
              <w:spacing w:after="0"/>
              <w:rPr>
                <w:sz w:val="1"/>
                <w:szCs w:val="1"/>
                <w:color w:val="auto"/>
              </w:rPr>
            </w:pPr>
          </w:p>
        </w:tc>
      </w:tr>
      <w:tr>
        <w:trPr>
          <w:trHeight w:val="190"/>
        </w:trPr>
        <w:tc>
          <w:tcPr>
            <w:tcW w:w="1960" w:type="dxa"/>
            <w:vAlign w:val="bottom"/>
            <w:tcBorders>
              <w:left w:val="single" w:sz="8" w:color="auto"/>
              <w:right w:val="single" w:sz="8" w:color="auto"/>
            </w:tcBorders>
          </w:tcPr>
          <w:p>
            <w:pPr>
              <w:jc w:val="center"/>
              <w:ind w:left="528"/>
              <w:spacing w:after="0"/>
              <w:rPr>
                <w:sz w:val="20"/>
                <w:szCs w:val="20"/>
                <w:color w:val="auto"/>
              </w:rPr>
            </w:pPr>
            <w:r>
              <w:rPr>
                <w:rFonts w:ascii="Arial" w:cs="Arial" w:eastAsia="Arial" w:hAnsi="Arial"/>
                <w:sz w:val="14"/>
                <w:szCs w:val="14"/>
                <w:color w:val="auto"/>
              </w:rPr>
              <w:t>Experience</w:t>
            </w: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auto"/>
              <w:right w:val="single" w:sz="8" w:color="auto"/>
            </w:tcBorders>
          </w:tcPr>
          <w:p>
            <w:pPr>
              <w:jc w:val="center"/>
              <w:ind w:left="488"/>
              <w:spacing w:after="0"/>
              <w:rPr>
                <w:sz w:val="20"/>
                <w:szCs w:val="20"/>
                <w:color w:val="auto"/>
              </w:rPr>
            </w:pPr>
            <w:r>
              <w:rPr>
                <w:rFonts w:ascii="Arial" w:cs="Arial" w:eastAsia="Arial" w:hAnsi="Arial"/>
                <w:sz w:val="14"/>
                <w:szCs w:val="14"/>
                <w:color w:val="auto"/>
              </w:rPr>
              <w:t>Online Scale &amp;</w:t>
            </w:r>
          </w:p>
        </w:tc>
        <w:tc>
          <w:tcPr>
            <w:tcW w:w="72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10/11</w:t>
            </w:r>
          </w:p>
        </w:tc>
        <w:tc>
          <w:tcPr>
            <w:tcW w:w="0" w:type="dxa"/>
            <w:vAlign w:val="bottom"/>
          </w:tcPr>
          <w:p>
            <w:pPr>
              <w:spacing w:after="0"/>
              <w:rPr>
                <w:sz w:val="1"/>
                <w:szCs w:val="1"/>
                <w:color w:val="auto"/>
              </w:rPr>
            </w:pPr>
          </w:p>
        </w:tc>
      </w:tr>
      <w:tr>
        <w:trPr>
          <w:trHeight w:val="109"/>
        </w:trPr>
        <w:tc>
          <w:tcPr>
            <w:tcW w:w="1960" w:type="dxa"/>
            <w:vAlign w:val="bottom"/>
            <w:tcBorders>
              <w:left w:val="single" w:sz="8" w:color="auto"/>
              <w:right w:val="single" w:sz="8" w:color="auto"/>
            </w:tcBorders>
            <w:vMerge w:val="restart"/>
          </w:tcPr>
          <w:p>
            <w:pPr>
              <w:jc w:val="center"/>
              <w:ind w:left="548"/>
              <w:spacing w:after="0"/>
              <w:rPr>
                <w:sz w:val="20"/>
                <w:szCs w:val="20"/>
                <w:color w:val="auto"/>
              </w:rPr>
            </w:pPr>
            <w:r>
              <w:rPr>
                <w:rFonts w:ascii="Arial" w:cs="Arial" w:eastAsia="Arial" w:hAnsi="Arial"/>
                <w:sz w:val="14"/>
                <w:szCs w:val="14"/>
                <w:color w:val="auto"/>
              </w:rPr>
              <w:t>Growth</w:t>
            </w: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auto"/>
              <w:right w:val="single" w:sz="8" w:color="auto"/>
            </w:tcBorders>
          </w:tcPr>
          <w:p>
            <w:pPr>
              <w:jc w:val="center"/>
              <w:ind w:left="508"/>
              <w:spacing w:after="0"/>
              <w:rPr>
                <w:sz w:val="20"/>
                <w:szCs w:val="20"/>
                <w:color w:val="auto"/>
              </w:rPr>
            </w:pPr>
            <w:r>
              <w:rPr>
                <w:rFonts w:ascii="Arial" w:cs="Arial" w:eastAsia="Arial" w:hAnsi="Arial"/>
                <w:sz w:val="14"/>
                <w:szCs w:val="14"/>
                <w:color w:val="auto"/>
              </w:rPr>
              <w:t>Risk &amp; Crisis</w:t>
            </w:r>
          </w:p>
        </w:tc>
        <w:tc>
          <w:tcPr>
            <w:tcW w:w="72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8/11</w:t>
            </w:r>
          </w:p>
        </w:tc>
        <w:tc>
          <w:tcPr>
            <w:tcW w:w="0" w:type="dxa"/>
            <w:vAlign w:val="bottom"/>
          </w:tcPr>
          <w:p>
            <w:pPr>
              <w:spacing w:after="0"/>
              <w:rPr>
                <w:sz w:val="1"/>
                <w:szCs w:val="1"/>
                <w:color w:val="auto"/>
              </w:rPr>
            </w:pPr>
          </w:p>
        </w:tc>
      </w:tr>
      <w:tr>
        <w:trPr>
          <w:trHeight w:val="109"/>
        </w:trPr>
        <w:tc>
          <w:tcPr>
            <w:tcW w:w="1960" w:type="dxa"/>
            <w:vAlign w:val="bottom"/>
            <w:tcBorders>
              <w:left w:val="single" w:sz="8" w:color="auto"/>
              <w:right w:val="single" w:sz="8" w:color="auto"/>
            </w:tcBorders>
            <w:vMerge w:val="restart"/>
          </w:tcPr>
          <w:p>
            <w:pPr>
              <w:jc w:val="center"/>
              <w:ind w:left="528"/>
              <w:spacing w:after="0"/>
              <w:rPr>
                <w:sz w:val="20"/>
                <w:szCs w:val="20"/>
                <w:color w:val="auto"/>
              </w:rPr>
            </w:pPr>
            <w:r>
              <w:rPr>
                <w:rFonts w:ascii="Arial" w:cs="Arial" w:eastAsia="Arial" w:hAnsi="Arial"/>
                <w:sz w:val="14"/>
                <w:szCs w:val="14"/>
                <w:color w:val="auto"/>
              </w:rPr>
              <w:t>Management</w:t>
            </w: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auto"/>
              <w:right w:val="single" w:sz="8" w:color="auto"/>
            </w:tcBorders>
          </w:tcPr>
          <w:p>
            <w:pPr>
              <w:jc w:val="center"/>
              <w:ind w:left="508"/>
              <w:spacing w:after="0"/>
              <w:rPr>
                <w:sz w:val="20"/>
                <w:szCs w:val="20"/>
                <w:color w:val="auto"/>
              </w:rPr>
            </w:pPr>
            <w:r>
              <w:rPr>
                <w:rFonts w:ascii="Arial" w:cs="Arial" w:eastAsia="Arial" w:hAnsi="Arial"/>
                <w:sz w:val="14"/>
                <w:szCs w:val="14"/>
                <w:color w:val="auto"/>
              </w:rPr>
              <w:t>Business</w:t>
            </w:r>
          </w:p>
        </w:tc>
        <w:tc>
          <w:tcPr>
            <w:tcW w:w="72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10/11</w:t>
            </w:r>
          </w:p>
        </w:tc>
        <w:tc>
          <w:tcPr>
            <w:tcW w:w="0" w:type="dxa"/>
            <w:vAlign w:val="bottom"/>
          </w:tcPr>
          <w:p>
            <w:pPr>
              <w:spacing w:after="0"/>
              <w:rPr>
                <w:sz w:val="1"/>
                <w:szCs w:val="1"/>
                <w:color w:val="auto"/>
              </w:rPr>
            </w:pPr>
          </w:p>
        </w:tc>
      </w:tr>
      <w:tr>
        <w:trPr>
          <w:trHeight w:val="109"/>
        </w:trPr>
        <w:tc>
          <w:tcPr>
            <w:tcW w:w="1960" w:type="dxa"/>
            <w:vAlign w:val="bottom"/>
            <w:tcBorders>
              <w:left w:val="single" w:sz="8" w:color="auto"/>
              <w:right w:val="single" w:sz="8" w:color="auto"/>
            </w:tcBorders>
            <w:vMerge w:val="restart"/>
          </w:tcPr>
          <w:p>
            <w:pPr>
              <w:jc w:val="center"/>
              <w:ind w:left="528"/>
              <w:spacing w:after="0"/>
              <w:rPr>
                <w:sz w:val="20"/>
                <w:szCs w:val="20"/>
                <w:color w:val="auto"/>
              </w:rPr>
            </w:pPr>
            <w:r>
              <w:rPr>
                <w:rFonts w:ascii="Arial" w:cs="Arial" w:eastAsia="Arial" w:hAnsi="Arial"/>
                <w:sz w:val="14"/>
                <w:szCs w:val="14"/>
                <w:color w:val="auto"/>
              </w:rPr>
              <w:t>Transformation</w:t>
            </w: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1960" w:type="dxa"/>
            <w:vAlign w:val="bottom"/>
            <w:tcBorders>
              <w:left w:val="single" w:sz="8" w:color="auto"/>
              <w:right w:val="single" w:sz="8" w:color="auto"/>
            </w:tcBorders>
          </w:tcPr>
          <w:p>
            <w:pPr>
              <w:jc w:val="center"/>
              <w:ind w:left="528"/>
              <w:spacing w:after="0"/>
              <w:rPr>
                <w:sz w:val="20"/>
                <w:szCs w:val="20"/>
                <w:color w:val="auto"/>
              </w:rPr>
            </w:pPr>
            <w:r>
              <w:rPr>
                <w:rFonts w:ascii="Arial" w:cs="Arial" w:eastAsia="Arial" w:hAnsi="Arial"/>
                <w:sz w:val="14"/>
                <w:szCs w:val="14"/>
                <w:color w:val="auto"/>
              </w:rPr>
              <w:t>CEO Experience</w:t>
            </w:r>
          </w:p>
        </w:tc>
        <w:tc>
          <w:tcPr>
            <w:tcW w:w="7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5/11</w:t>
            </w:r>
          </w:p>
        </w:tc>
        <w:tc>
          <w:tcPr>
            <w:tcW w:w="0" w:type="dxa"/>
            <w:vAlign w:val="bottom"/>
          </w:tcPr>
          <w:p>
            <w:pPr>
              <w:spacing w:after="0"/>
              <w:rPr>
                <w:sz w:val="1"/>
                <w:szCs w:val="1"/>
                <w:color w:val="auto"/>
              </w:rPr>
            </w:pPr>
          </w:p>
        </w:tc>
      </w:tr>
      <w:tr>
        <w:trPr>
          <w:trHeight w:val="210"/>
        </w:trPr>
        <w:tc>
          <w:tcPr>
            <w:tcW w:w="19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auto"/>
              <w:right w:val="single" w:sz="8" w:color="auto"/>
            </w:tcBorders>
          </w:tcPr>
          <w:p>
            <w:pPr>
              <w:jc w:val="center"/>
              <w:ind w:left="508"/>
              <w:spacing w:after="0"/>
              <w:rPr>
                <w:sz w:val="20"/>
                <w:szCs w:val="20"/>
                <w:color w:val="auto"/>
              </w:rPr>
            </w:pPr>
            <w:r>
              <w:rPr>
                <w:rFonts w:ascii="Arial" w:cs="Arial" w:eastAsia="Arial" w:hAnsi="Arial"/>
                <w:sz w:val="14"/>
                <w:szCs w:val="14"/>
                <w:color w:val="auto"/>
              </w:rPr>
              <w:t>Financial</w:t>
            </w:r>
          </w:p>
        </w:tc>
        <w:tc>
          <w:tcPr>
            <w:tcW w:w="72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9/11</w:t>
            </w:r>
          </w:p>
        </w:tc>
        <w:tc>
          <w:tcPr>
            <w:tcW w:w="0" w:type="dxa"/>
            <w:vAlign w:val="bottom"/>
          </w:tcPr>
          <w:p>
            <w:pPr>
              <w:spacing w:after="0"/>
              <w:rPr>
                <w:sz w:val="1"/>
                <w:szCs w:val="1"/>
                <w:color w:val="auto"/>
              </w:rPr>
            </w:pPr>
          </w:p>
        </w:tc>
      </w:tr>
      <w:tr>
        <w:trPr>
          <w:trHeight w:val="109"/>
        </w:trPr>
        <w:tc>
          <w:tcPr>
            <w:tcW w:w="1960" w:type="dxa"/>
            <w:vAlign w:val="bottom"/>
            <w:tcBorders>
              <w:left w:val="single" w:sz="8" w:color="auto"/>
              <w:right w:val="single" w:sz="8" w:color="auto"/>
            </w:tcBorders>
            <w:vMerge w:val="restart"/>
          </w:tcPr>
          <w:p>
            <w:pPr>
              <w:jc w:val="center"/>
              <w:ind w:left="528"/>
              <w:spacing w:after="0"/>
              <w:rPr>
                <w:sz w:val="20"/>
                <w:szCs w:val="20"/>
                <w:color w:val="auto"/>
              </w:rPr>
            </w:pPr>
            <w:r>
              <w:rPr>
                <w:rFonts w:ascii="Arial" w:cs="Arial" w:eastAsia="Arial" w:hAnsi="Arial"/>
                <w:sz w:val="14"/>
                <w:szCs w:val="14"/>
                <w:color w:val="auto"/>
              </w:rPr>
              <w:t>Expertise</w:t>
            </w: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auto"/>
              <w:right w:val="single" w:sz="8" w:color="auto"/>
            </w:tcBorders>
          </w:tcPr>
          <w:p>
            <w:pPr>
              <w:jc w:val="center"/>
              <w:ind w:left="528"/>
              <w:spacing w:after="0"/>
              <w:rPr>
                <w:sz w:val="20"/>
                <w:szCs w:val="20"/>
                <w:color w:val="auto"/>
              </w:rPr>
            </w:pPr>
            <w:r>
              <w:rPr>
                <w:rFonts w:ascii="Arial" w:cs="Arial" w:eastAsia="Arial" w:hAnsi="Arial"/>
                <w:sz w:val="14"/>
                <w:szCs w:val="14"/>
                <w:color w:val="auto"/>
                <w:w w:val="99"/>
              </w:rPr>
              <w:t>Technology</w:t>
            </w:r>
          </w:p>
        </w:tc>
        <w:tc>
          <w:tcPr>
            <w:tcW w:w="72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6/11</w:t>
            </w:r>
          </w:p>
        </w:tc>
        <w:tc>
          <w:tcPr>
            <w:tcW w:w="0" w:type="dxa"/>
            <w:vAlign w:val="bottom"/>
          </w:tcPr>
          <w:p>
            <w:pPr>
              <w:spacing w:after="0"/>
              <w:rPr>
                <w:sz w:val="1"/>
                <w:szCs w:val="1"/>
                <w:color w:val="auto"/>
              </w:rPr>
            </w:pPr>
          </w:p>
        </w:tc>
      </w:tr>
      <w:tr>
        <w:trPr>
          <w:trHeight w:val="109"/>
        </w:trPr>
        <w:tc>
          <w:tcPr>
            <w:tcW w:w="1960" w:type="dxa"/>
            <w:vAlign w:val="bottom"/>
            <w:tcBorders>
              <w:left w:val="single" w:sz="8" w:color="auto"/>
              <w:right w:val="single" w:sz="8" w:color="auto"/>
            </w:tcBorders>
            <w:vMerge w:val="restart"/>
          </w:tcPr>
          <w:p>
            <w:pPr>
              <w:jc w:val="center"/>
              <w:ind w:left="528"/>
              <w:spacing w:after="0"/>
              <w:rPr>
                <w:sz w:val="20"/>
                <w:szCs w:val="20"/>
                <w:color w:val="auto"/>
              </w:rPr>
            </w:pPr>
            <w:r>
              <w:rPr>
                <w:rFonts w:ascii="Arial" w:cs="Arial" w:eastAsia="Arial" w:hAnsi="Arial"/>
                <w:sz w:val="14"/>
                <w:szCs w:val="14"/>
                <w:color w:val="auto"/>
              </w:rPr>
              <w:t>Expertise</w:t>
            </w: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auto"/>
              <w:right w:val="single" w:sz="8" w:color="auto"/>
            </w:tcBorders>
          </w:tcPr>
          <w:p>
            <w:pPr>
              <w:jc w:val="center"/>
              <w:ind w:left="548"/>
              <w:spacing w:after="0"/>
              <w:rPr>
                <w:sz w:val="20"/>
                <w:szCs w:val="20"/>
                <w:color w:val="auto"/>
              </w:rPr>
            </w:pPr>
            <w:r>
              <w:rPr>
                <w:rFonts w:ascii="Arial" w:cs="Arial" w:eastAsia="Arial" w:hAnsi="Arial"/>
                <w:sz w:val="14"/>
                <w:szCs w:val="14"/>
                <w:color w:val="auto"/>
              </w:rPr>
              <w:t>Diversity, Equity</w:t>
            </w:r>
          </w:p>
        </w:tc>
        <w:tc>
          <w:tcPr>
            <w:tcW w:w="72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6/11</w:t>
            </w:r>
          </w:p>
        </w:tc>
        <w:tc>
          <w:tcPr>
            <w:tcW w:w="0" w:type="dxa"/>
            <w:vAlign w:val="bottom"/>
          </w:tcPr>
          <w:p>
            <w:pPr>
              <w:spacing w:after="0"/>
              <w:rPr>
                <w:sz w:val="1"/>
                <w:szCs w:val="1"/>
                <w:color w:val="auto"/>
              </w:rPr>
            </w:pPr>
          </w:p>
        </w:tc>
      </w:tr>
      <w:tr>
        <w:trPr>
          <w:trHeight w:val="109"/>
        </w:trPr>
        <w:tc>
          <w:tcPr>
            <w:tcW w:w="1960" w:type="dxa"/>
            <w:vAlign w:val="bottom"/>
            <w:tcBorders>
              <w:left w:val="single" w:sz="8" w:color="auto"/>
              <w:right w:val="single" w:sz="8" w:color="auto"/>
            </w:tcBorders>
            <w:vMerge w:val="restart"/>
          </w:tcPr>
          <w:p>
            <w:pPr>
              <w:jc w:val="center"/>
              <w:ind w:left="528"/>
              <w:spacing w:after="0"/>
              <w:rPr>
                <w:sz w:val="20"/>
                <w:szCs w:val="20"/>
                <w:color w:val="auto"/>
              </w:rPr>
            </w:pPr>
            <w:r>
              <w:rPr>
                <w:rFonts w:ascii="Arial" w:cs="Arial" w:eastAsia="Arial" w:hAnsi="Arial"/>
                <w:sz w:val="14"/>
                <w:szCs w:val="14"/>
                <w:color w:val="auto"/>
              </w:rPr>
              <w:t>and Inclusion</w:t>
            </w: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Gender</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Female</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Male</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Female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Female</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Male</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Male</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Male</w:t>
            </w:r>
          </w:p>
        </w:tc>
        <w:tc>
          <w:tcPr>
            <w:tcW w:w="70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Female</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Male</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Male</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4/11</w:t>
            </w:r>
          </w:p>
        </w:tc>
        <w:tc>
          <w:tcPr>
            <w:tcW w:w="0" w:type="dxa"/>
            <w:vAlign w:val="bottom"/>
          </w:tcPr>
          <w:p>
            <w:pPr>
              <w:spacing w:after="0"/>
              <w:rPr>
                <w:sz w:val="1"/>
                <w:szCs w:val="1"/>
                <w:color w:val="auto"/>
              </w:rPr>
            </w:pPr>
          </w:p>
        </w:tc>
      </w:tr>
      <w:tr>
        <w:trPr>
          <w:trHeight w:val="115"/>
        </w:trPr>
        <w:tc>
          <w:tcPr>
            <w:tcW w:w="1960" w:type="dxa"/>
            <w:vAlign w:val="bottom"/>
            <w:tcBorders>
              <w:left w:val="single" w:sz="8" w:color="auto"/>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Female</w:t>
            </w: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960" w:type="dxa"/>
            <w:vAlign w:val="bottom"/>
            <w:tcBorders>
              <w:left w:val="single" w:sz="8" w:color="auto"/>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Racially/Ethnically</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Black</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White</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White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Black</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White</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White</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White</w:t>
            </w:r>
          </w:p>
        </w:tc>
        <w:tc>
          <w:tcPr>
            <w:tcW w:w="7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White</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White</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White</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White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2/11</w:t>
            </w:r>
          </w:p>
        </w:tc>
        <w:tc>
          <w:tcPr>
            <w:tcW w:w="0" w:type="dxa"/>
            <w:vAlign w:val="bottom"/>
          </w:tcPr>
          <w:p>
            <w:pPr>
              <w:spacing w:after="0"/>
              <w:rPr>
                <w:sz w:val="1"/>
                <w:szCs w:val="1"/>
                <w:color w:val="auto"/>
              </w:rPr>
            </w:pPr>
          </w:p>
        </w:tc>
      </w:tr>
      <w:tr>
        <w:trPr>
          <w:trHeight w:val="115"/>
        </w:trPr>
        <w:tc>
          <w:tcPr>
            <w:tcW w:w="19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Diverse</w:t>
            </w:r>
          </w:p>
        </w:tc>
        <w:tc>
          <w:tcPr>
            <w:tcW w:w="72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Diverse</w:t>
            </w:r>
          </w:p>
        </w:tc>
        <w:tc>
          <w:tcPr>
            <w:tcW w:w="0" w:type="dxa"/>
            <w:vAlign w:val="bottom"/>
          </w:tcPr>
          <w:p>
            <w:pPr>
              <w:spacing w:after="0"/>
              <w:rPr>
                <w:sz w:val="1"/>
                <w:szCs w:val="1"/>
                <w:color w:val="auto"/>
              </w:rPr>
            </w:pPr>
          </w:p>
        </w:tc>
      </w:tr>
      <w:tr>
        <w:trPr>
          <w:trHeight w:val="81"/>
        </w:trPr>
        <w:tc>
          <w:tcPr>
            <w:tcW w:w="1960" w:type="dxa"/>
            <w:vAlign w:val="bottom"/>
            <w:tcBorders>
              <w:left w:val="single" w:sz="8" w:color="auto"/>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960" w:type="dxa"/>
            <w:vAlign w:val="bottom"/>
            <w:tcBorders>
              <w:left w:val="single" w:sz="8" w:color="auto"/>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8"/>
        </w:trPr>
        <w:tc>
          <w:tcPr>
            <w:tcW w:w="1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gridSpan w:val="3"/>
          </w:tcPr>
          <w:p>
            <w:pPr>
              <w:ind w:left="640"/>
              <w:spacing w:after="0"/>
              <w:rPr>
                <w:sz w:val="20"/>
                <w:szCs w:val="20"/>
                <w:color w:val="auto"/>
              </w:rPr>
            </w:pPr>
            <w:r>
              <w:rPr>
                <w:rFonts w:ascii="Arial" w:cs="Arial" w:eastAsia="Arial" w:hAnsi="Arial"/>
                <w:sz w:val="14"/>
                <w:szCs w:val="14"/>
                <w:b w:val="1"/>
                <w:bCs w:val="1"/>
                <w:color w:val="auto"/>
              </w:rPr>
              <w:t>2023 Proxy Statement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407"/>
        </w:trPr>
        <w:tc>
          <w:tcPr>
            <w:tcW w:w="19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-4971415</wp:posOffset>
            </wp:positionV>
            <wp:extent cx="188595"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8595" cy="257175"/>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-4911725</wp:posOffset>
            </wp:positionV>
            <wp:extent cx="13716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-4911725</wp:posOffset>
            </wp:positionV>
            <wp:extent cx="12890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-4911725</wp:posOffset>
            </wp:positionV>
            <wp:extent cx="12890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-4911725</wp:posOffset>
            </wp:positionV>
            <wp:extent cx="12890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-4911725</wp:posOffset>
            </wp:positionV>
            <wp:extent cx="12890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-4911725</wp:posOffset>
            </wp:positionV>
            <wp:extent cx="1371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-4911725</wp:posOffset>
            </wp:positionV>
            <wp:extent cx="13716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96520</wp:posOffset>
            </wp:positionH>
            <wp:positionV relativeFrom="paragraph">
              <wp:posOffset>-4465955</wp:posOffset>
            </wp:positionV>
            <wp:extent cx="20574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-4457065</wp:posOffset>
            </wp:positionV>
            <wp:extent cx="12890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-4457065</wp:posOffset>
            </wp:positionV>
            <wp:extent cx="13716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-4457065</wp:posOffset>
            </wp:positionV>
            <wp:extent cx="128905"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-4457065</wp:posOffset>
            </wp:positionV>
            <wp:extent cx="12890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-4457065</wp:posOffset>
            </wp:positionV>
            <wp:extent cx="12890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-4457065</wp:posOffset>
            </wp:positionV>
            <wp:extent cx="12890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-4457065</wp:posOffset>
            </wp:positionV>
            <wp:extent cx="13716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-4457065</wp:posOffset>
            </wp:positionV>
            <wp:extent cx="13716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-4457065</wp:posOffset>
            </wp:positionV>
            <wp:extent cx="13716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-4062730</wp:posOffset>
            </wp:positionV>
            <wp:extent cx="18859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595" cy="205740"/>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-4028440</wp:posOffset>
            </wp:positionV>
            <wp:extent cx="12890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-4028440</wp:posOffset>
            </wp:positionV>
            <wp:extent cx="13716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-4028440</wp:posOffset>
            </wp:positionV>
            <wp:extent cx="128905"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-4028440</wp:posOffset>
            </wp:positionV>
            <wp:extent cx="12890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-4028440</wp:posOffset>
            </wp:positionV>
            <wp:extent cx="128905"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-4028440</wp:posOffset>
            </wp:positionV>
            <wp:extent cx="13716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-4028440</wp:posOffset>
            </wp:positionV>
            <wp:extent cx="13716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-4028440</wp:posOffset>
            </wp:positionV>
            <wp:extent cx="13716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-4028440</wp:posOffset>
            </wp:positionV>
            <wp:extent cx="13716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6156960</wp:posOffset>
            </wp:positionH>
            <wp:positionV relativeFrom="paragraph">
              <wp:posOffset>-4028440</wp:posOffset>
            </wp:positionV>
            <wp:extent cx="13716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-3685540</wp:posOffset>
            </wp:positionV>
            <wp:extent cx="196850" cy="196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-3651250</wp:posOffset>
            </wp:positionV>
            <wp:extent cx="13716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-3651250</wp:posOffset>
            </wp:positionV>
            <wp:extent cx="12890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-3651250</wp:posOffset>
            </wp:positionV>
            <wp:extent cx="12890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-3651250</wp:posOffset>
            </wp:positionV>
            <wp:extent cx="13716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-3651250</wp:posOffset>
            </wp:positionV>
            <wp:extent cx="13716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-3651250</wp:posOffset>
            </wp:positionV>
            <wp:extent cx="13716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-3651250</wp:posOffset>
            </wp:positionV>
            <wp:extent cx="13716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6156960</wp:posOffset>
            </wp:positionH>
            <wp:positionV relativeFrom="paragraph">
              <wp:posOffset>-3651250</wp:posOffset>
            </wp:positionV>
            <wp:extent cx="13716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96520</wp:posOffset>
            </wp:positionH>
            <wp:positionV relativeFrom="paragraph">
              <wp:posOffset>-3291205</wp:posOffset>
            </wp:positionV>
            <wp:extent cx="21399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3995" cy="171450"/>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-3274060</wp:posOffset>
            </wp:positionV>
            <wp:extent cx="128905"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-3274060</wp:posOffset>
            </wp:positionV>
            <wp:extent cx="13716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-3274060</wp:posOffset>
            </wp:positionV>
            <wp:extent cx="12890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-3274060</wp:posOffset>
            </wp:positionV>
            <wp:extent cx="12890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-3274060</wp:posOffset>
            </wp:positionV>
            <wp:extent cx="12890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-3274060</wp:posOffset>
            </wp:positionV>
            <wp:extent cx="13716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-3274060</wp:posOffset>
            </wp:positionV>
            <wp:extent cx="13716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-3274060</wp:posOffset>
            </wp:positionV>
            <wp:extent cx="13716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-3274060</wp:posOffset>
            </wp:positionV>
            <wp:extent cx="13716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6156960</wp:posOffset>
            </wp:positionH>
            <wp:positionV relativeFrom="paragraph">
              <wp:posOffset>-3274060</wp:posOffset>
            </wp:positionV>
            <wp:extent cx="13716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-2931160</wp:posOffset>
            </wp:positionV>
            <wp:extent cx="196850" cy="196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-2896870</wp:posOffset>
            </wp:positionV>
            <wp:extent cx="12890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-2896870</wp:posOffset>
            </wp:positionV>
            <wp:extent cx="13716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-2896870</wp:posOffset>
            </wp:positionV>
            <wp:extent cx="12890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-2896870</wp:posOffset>
            </wp:positionV>
            <wp:extent cx="13716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-2896870</wp:posOffset>
            </wp:positionV>
            <wp:extent cx="13716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-2562860</wp:posOffset>
            </wp:positionV>
            <wp:extent cx="162560"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2560" cy="214630"/>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-2528570</wp:posOffset>
            </wp:positionV>
            <wp:extent cx="12890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-2528570</wp:posOffset>
            </wp:positionV>
            <wp:extent cx="13716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-2528570</wp:posOffset>
            </wp:positionV>
            <wp:extent cx="12890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-2528570</wp:posOffset>
            </wp:positionV>
            <wp:extent cx="12890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-2528570</wp:posOffset>
            </wp:positionV>
            <wp:extent cx="128905"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-2528570</wp:posOffset>
            </wp:positionV>
            <wp:extent cx="13716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-2528570</wp:posOffset>
            </wp:positionV>
            <wp:extent cx="1371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-2528570</wp:posOffset>
            </wp:positionV>
            <wp:extent cx="13716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-2528570</wp:posOffset>
            </wp:positionV>
            <wp:extent cx="13716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-2151380</wp:posOffset>
            </wp:positionV>
            <wp:extent cx="24828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8285" cy="137160"/>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-2151380</wp:posOffset>
            </wp:positionV>
            <wp:extent cx="12890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-2151380</wp:posOffset>
            </wp:positionV>
            <wp:extent cx="12890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-2151380</wp:posOffset>
            </wp:positionV>
            <wp:extent cx="12890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-2151380</wp:posOffset>
            </wp:positionV>
            <wp:extent cx="13716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-2151380</wp:posOffset>
            </wp:positionV>
            <wp:extent cx="13716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6156960</wp:posOffset>
            </wp:positionH>
            <wp:positionV relativeFrom="paragraph">
              <wp:posOffset>-2151380</wp:posOffset>
            </wp:positionV>
            <wp:extent cx="13716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-1765300</wp:posOffset>
            </wp:positionV>
            <wp:extent cx="248285" cy="1200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8285" cy="120015"/>
                    </a:xfrm>
                    <a:prstGeom prst="rect">
                      <a:avLst/>
                    </a:prstGeom>
                    <a:noFill/>
                  </pic:spPr>
                </pic:pic>
              </a:graphicData>
            </a:graphic>
          </wp:anchor>
        </w:drawing>
        <w:drawing>
          <wp:anchor simplePos="0" relativeHeight="251657728" behindDoc="1" locked="0" layoutInCell="0" allowOverlap="1">
            <wp:simplePos x="0" y="0"/>
            <wp:positionH relativeFrom="column">
              <wp:posOffset>1407795</wp:posOffset>
            </wp:positionH>
            <wp:positionV relativeFrom="paragraph">
              <wp:posOffset>-1774190</wp:posOffset>
            </wp:positionV>
            <wp:extent cx="128905"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-1774190</wp:posOffset>
            </wp:positionV>
            <wp:extent cx="128905"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-1774190</wp:posOffset>
            </wp:positionV>
            <wp:extent cx="13716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-1774190</wp:posOffset>
            </wp:positionV>
            <wp:extent cx="13716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-1774190</wp:posOffset>
            </wp:positionV>
            <wp:extent cx="13716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6156960</wp:posOffset>
            </wp:positionH>
            <wp:positionV relativeFrom="paragraph">
              <wp:posOffset>-1774190</wp:posOffset>
            </wp:positionV>
            <wp:extent cx="13716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-402590</wp:posOffset>
            </wp:positionV>
            <wp:extent cx="101981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PROPOSAL 1: ELECTION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Our Director Nominees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Information related to the Director nominees is set forth below and on the following pages, including age, and the particular experience, qualifications, attributes or skills that led the Board to conclude that the person should serve as a Director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900545" cy="3463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00545" cy="34632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1E295B"/>
        </w:rPr>
        <w:t>Independent Director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1E295B"/>
        </w:rPr>
        <w:t>Joined the Board: 2017</w:t>
      </w:r>
    </w:p>
    <w:p>
      <w:pPr>
        <w:ind w:left="1280"/>
        <w:spacing w:after="0"/>
        <w:rPr>
          <w:sz w:val="20"/>
          <w:szCs w:val="20"/>
          <w:color w:val="auto"/>
        </w:rPr>
      </w:pPr>
      <w:r>
        <w:rPr>
          <w:rFonts w:ascii="Arial" w:cs="Arial" w:eastAsia="Arial" w:hAnsi="Arial"/>
          <w:sz w:val="18"/>
          <w:szCs w:val="18"/>
          <w:b w:val="1"/>
          <w:bCs w:val="1"/>
          <w:color w:val="1E295B"/>
        </w:rPr>
        <w:t>Age 47</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E295B"/>
        </w:rPr>
        <w:t>Committee Memberships</w:t>
      </w:r>
    </w:p>
    <w:p>
      <w:pPr>
        <w:spacing w:after="0" w:line="3"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TC (Chair)</w:t>
      </w:r>
    </w:p>
    <w:p>
      <w:pPr>
        <w:jc w:val="center"/>
        <w:ind w:left="520"/>
        <w:spacing w:after="0"/>
        <w:rPr>
          <w:sz w:val="20"/>
          <w:szCs w:val="20"/>
          <w:color w:val="auto"/>
        </w:rPr>
      </w:pPr>
      <w:r>
        <w:rPr>
          <w:rFonts w:ascii="Arial" w:cs="Arial" w:eastAsia="Arial" w:hAnsi="Arial"/>
          <w:sz w:val="18"/>
          <w:szCs w:val="18"/>
          <w:b w:val="1"/>
          <w:bCs w:val="1"/>
          <w:color w:val="auto"/>
        </w:rPr>
        <w:t>AFC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974725</wp:posOffset>
            </wp:positionV>
            <wp:extent cx="1997075" cy="3480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997075" cy="3480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5"/>
        <w:spacing w:after="0"/>
        <w:rPr>
          <w:sz w:val="20"/>
          <w:szCs w:val="20"/>
          <w:color w:val="auto"/>
        </w:rPr>
      </w:pPr>
      <w:r>
        <w:rPr>
          <w:rFonts w:ascii="Arial" w:cs="Arial" w:eastAsia="Arial" w:hAnsi="Arial"/>
          <w:sz w:val="29"/>
          <w:szCs w:val="29"/>
          <w:b w:val="1"/>
          <w:bCs w:val="1"/>
          <w:i w:val="1"/>
          <w:iCs w:val="1"/>
          <w:u w:val="single" w:color="auto"/>
          <w:color w:val="1E295B"/>
        </w:rPr>
        <w:t>Stacy Brown-Philpot</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35"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Ms. Brown-Philpot brings to the Board innovation, operational and entrepreneurial experience, digital, branding and marketing expertise, as well as financial and accounting skills. She provides unique insights to elevate the consumer experience in a global digital economy, as well as needed insights into the attraction and retention of technology talent, with a particular emphasis on technology talent from underrepresented communities. Her service on the board of HP, Inc. provides her with experience in corporate governance matters and key skills in working with directors, understanding board processes and functions, assessing risk and overseeing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55245</wp:posOffset>
            </wp:positionV>
            <wp:extent cx="505460" cy="1968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5460" cy="19685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55245</wp:posOffset>
            </wp:positionV>
            <wp:extent cx="505460" cy="196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5460" cy="19685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46990</wp:posOffset>
            </wp:positionV>
            <wp:extent cx="1208405"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08405" cy="20574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46990</wp:posOffset>
            </wp:positionV>
            <wp:extent cx="1208405" cy="205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8405" cy="20574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216" w:lineRule="exact"/>
        <w:rPr>
          <w:sz w:val="20"/>
          <w:szCs w:val="20"/>
          <w:color w:val="auto"/>
        </w:rPr>
      </w:pPr>
    </w:p>
    <w:p>
      <w:pPr>
        <w:ind w:left="225" w:right="20" w:hanging="225"/>
        <w:spacing w:after="0" w:line="256" w:lineRule="auto"/>
        <w:tabs>
          <w:tab w:leader="none" w:pos="227" w:val="left"/>
        </w:tabs>
        <w:numPr>
          <w:ilvl w:val="0"/>
          <w:numId w:val="42"/>
        </w:numPr>
        <w:rPr>
          <w:rFonts w:ascii="Arial" w:cs="Arial" w:eastAsia="Arial" w:hAnsi="Arial"/>
          <w:sz w:val="16"/>
          <w:szCs w:val="16"/>
          <w:color w:val="auto"/>
        </w:rPr>
      </w:pPr>
      <w:r>
        <w:rPr>
          <w:rFonts w:ascii="Arial" w:cs="Arial" w:eastAsia="Arial" w:hAnsi="Arial"/>
          <w:sz w:val="16"/>
          <w:szCs w:val="16"/>
          <w:color w:val="auto"/>
        </w:rPr>
        <w:t>2016 to 2020: Chief Executive Officer of TaskRabbit, Inc., a digital home services labor platform company</w:t>
      </w:r>
    </w:p>
    <w:p>
      <w:pPr>
        <w:spacing w:after="0" w:line="1" w:lineRule="exact"/>
        <w:rPr>
          <w:rFonts w:ascii="Arial" w:cs="Arial" w:eastAsia="Arial" w:hAnsi="Arial"/>
          <w:sz w:val="16"/>
          <w:szCs w:val="16"/>
          <w:color w:val="auto"/>
        </w:rPr>
      </w:pPr>
    </w:p>
    <w:p>
      <w:pPr>
        <w:ind w:left="225" w:hanging="225"/>
        <w:spacing w:after="0"/>
        <w:tabs>
          <w:tab w:leader="none" w:pos="2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2013 to 2016: Chief Operating Officer of TaskRabbit, Inc.</w:t>
      </w:r>
    </w:p>
    <w:p>
      <w:pPr>
        <w:spacing w:after="0" w:line="5" w:lineRule="exact"/>
        <w:rPr>
          <w:rFonts w:ascii="Arial" w:cs="Arial" w:eastAsia="Arial" w:hAnsi="Arial"/>
          <w:sz w:val="16"/>
          <w:szCs w:val="16"/>
          <w:color w:val="auto"/>
        </w:rPr>
      </w:pPr>
    </w:p>
    <w:p>
      <w:pPr>
        <w:ind w:left="225" w:right="20" w:hanging="225"/>
        <w:spacing w:after="0" w:line="246" w:lineRule="auto"/>
        <w:tabs>
          <w:tab w:leader="none" w:pos="227" w:val="left"/>
        </w:tabs>
        <w:numPr>
          <w:ilvl w:val="0"/>
          <w:numId w:val="42"/>
        </w:numPr>
        <w:rPr>
          <w:rFonts w:ascii="Arial" w:cs="Arial" w:eastAsia="Arial" w:hAnsi="Arial"/>
          <w:sz w:val="16"/>
          <w:szCs w:val="16"/>
          <w:color w:val="auto"/>
        </w:rPr>
      </w:pPr>
      <w:r>
        <w:rPr>
          <w:rFonts w:ascii="Arial" w:cs="Arial" w:eastAsia="Arial" w:hAnsi="Arial"/>
          <w:sz w:val="16"/>
          <w:szCs w:val="16"/>
          <w:color w:val="auto"/>
        </w:rPr>
        <w:t>2012: Entrepreneur-in-Residence at Google Ventures, the venture capital investment arm of Alphabet, Inc.</w:t>
      </w:r>
    </w:p>
    <w:p>
      <w:pPr>
        <w:jc w:val="both"/>
        <w:ind w:left="225" w:hanging="225"/>
        <w:spacing w:after="0" w:line="256" w:lineRule="auto"/>
        <w:tabs>
          <w:tab w:leader="none" w:pos="227"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Prior to 2012: various directorial positions at Google, including two years as the company’s Senior Director of Global Consumer Operations; Senior Analyst at Goldman Sachs; Senior Associate at PricewaterhouseCoopers</w:t>
      </w:r>
    </w:p>
    <w:p>
      <w:pPr>
        <w:spacing w:after="0" w:line="80"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580" w:type="dxa"/>
            <w:vAlign w:val="bottom"/>
          </w:tcPr>
          <w:p>
            <w:pPr>
              <w:spacing w:after="0"/>
              <w:rPr>
                <w:sz w:val="18"/>
                <w:szCs w:val="18"/>
                <w:color w:val="auto"/>
              </w:rPr>
            </w:pPr>
          </w:p>
        </w:tc>
        <w:tc>
          <w:tcPr>
            <w:tcW w:w="3920" w:type="dxa"/>
            <w:vAlign w:val="bottom"/>
            <w:gridSpan w:val="2"/>
          </w:tcPr>
          <w:p>
            <w:pPr>
              <w:ind w:left="580"/>
              <w:spacing w:after="0"/>
              <w:rPr>
                <w:sz w:val="20"/>
                <w:szCs w:val="20"/>
                <w:color w:val="auto"/>
              </w:rPr>
            </w:pPr>
            <w:r>
              <w:rPr>
                <w:rFonts w:ascii="Arial" w:cs="Arial" w:eastAsia="Arial" w:hAnsi="Arial"/>
                <w:sz w:val="18"/>
                <w:szCs w:val="18"/>
                <w:b w:val="1"/>
                <w:bCs w:val="1"/>
                <w:color w:val="1E295B"/>
                <w:w w:val="99"/>
              </w:rPr>
              <w:t>Previous Public Boards in Past 5 Years</w:t>
            </w:r>
          </w:p>
        </w:tc>
      </w:tr>
      <w:tr>
        <w:trPr>
          <w:trHeight w:val="20"/>
        </w:trPr>
        <w:tc>
          <w:tcPr>
            <w:tcW w:w="2440" w:type="dxa"/>
            <w:vAlign w:val="bottom"/>
            <w:shd w:val="clear" w:color="auto" w:fill="1E295B"/>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r>
      <w:tr>
        <w:trPr>
          <w:trHeight w:val="302"/>
        </w:trPr>
        <w:tc>
          <w:tcPr>
            <w:tcW w:w="2440" w:type="dxa"/>
            <w:vAlign w:val="bottom"/>
          </w:tcPr>
          <w:p>
            <w:pPr>
              <w:spacing w:after="0"/>
              <w:rPr>
                <w:sz w:val="20"/>
                <w:szCs w:val="20"/>
                <w:color w:val="auto"/>
              </w:rPr>
            </w:pPr>
            <w:r>
              <w:rPr>
                <w:rFonts w:ascii="Arial" w:cs="Arial" w:eastAsia="Arial" w:hAnsi="Arial"/>
                <w:sz w:val="16"/>
                <w:szCs w:val="16"/>
                <w:color w:val="auto"/>
              </w:rPr>
              <w:t>HP, Inc. (since 2015)</w:t>
            </w:r>
          </w:p>
        </w:tc>
        <w:tc>
          <w:tcPr>
            <w:tcW w:w="580" w:type="dxa"/>
            <w:vAlign w:val="bottom"/>
          </w:tcPr>
          <w:p>
            <w:pPr>
              <w:spacing w:after="0"/>
              <w:rPr>
                <w:sz w:val="24"/>
                <w:szCs w:val="24"/>
                <w:color w:val="auto"/>
              </w:rPr>
            </w:pPr>
          </w:p>
        </w:tc>
        <w:tc>
          <w:tcPr>
            <w:tcW w:w="3920" w:type="dxa"/>
            <w:vAlign w:val="bottom"/>
            <w:gridSpan w:val="2"/>
          </w:tcPr>
          <w:p>
            <w:pPr>
              <w:ind w:left="580"/>
              <w:spacing w:after="0"/>
              <w:rPr>
                <w:sz w:val="20"/>
                <w:szCs w:val="20"/>
                <w:color w:val="auto"/>
              </w:rPr>
            </w:pPr>
            <w:r>
              <w:rPr>
                <w:rFonts w:ascii="Arial" w:cs="Arial" w:eastAsia="Arial" w:hAnsi="Arial"/>
                <w:sz w:val="16"/>
                <w:szCs w:val="16"/>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4826000" cy="774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2600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15"/>
            <w:col w:w="7605"/>
          </w:cols>
          <w:pgMar w:left="500" w:top="27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1E295B"/>
        </w:rPr>
        <w:t>Independent Director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1E295B"/>
        </w:rPr>
        <w:t>Joined the Board: 2020</w:t>
      </w:r>
    </w:p>
    <w:p>
      <w:pPr>
        <w:ind w:left="1280"/>
        <w:spacing w:after="0"/>
        <w:rPr>
          <w:sz w:val="20"/>
          <w:szCs w:val="20"/>
          <w:color w:val="auto"/>
        </w:rPr>
      </w:pPr>
      <w:r>
        <w:rPr>
          <w:rFonts w:ascii="Arial" w:cs="Arial" w:eastAsia="Arial" w:hAnsi="Arial"/>
          <w:sz w:val="18"/>
          <w:szCs w:val="18"/>
          <w:b w:val="1"/>
          <w:bCs w:val="1"/>
          <w:color w:val="1E295B"/>
        </w:rPr>
        <w:t>Age 69</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E295B"/>
        </w:rPr>
        <w:t>Committee Memberships</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CPCC (Chair)</w:t>
      </w:r>
    </w:p>
    <w:p>
      <w:pPr>
        <w:ind w:left="1400"/>
        <w:spacing w:after="0"/>
        <w:rPr>
          <w:sz w:val="20"/>
          <w:szCs w:val="20"/>
          <w:color w:val="auto"/>
        </w:rPr>
      </w:pPr>
      <w:r>
        <w:rPr>
          <w:rFonts w:ascii="Arial" w:cs="Arial" w:eastAsia="Arial" w:hAnsi="Arial"/>
          <w:sz w:val="18"/>
          <w:szCs w:val="18"/>
          <w:b w:val="1"/>
          <w:bCs w:val="1"/>
          <w:color w:val="auto"/>
        </w:rPr>
        <w:t>AFC</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
        <w:spacing w:after="0"/>
        <w:rPr>
          <w:sz w:val="20"/>
          <w:szCs w:val="20"/>
          <w:color w:val="auto"/>
        </w:rPr>
      </w:pPr>
      <w:r>
        <w:rPr>
          <w:rFonts w:ascii="Arial" w:cs="Arial" w:eastAsia="Arial" w:hAnsi="Arial"/>
          <w:sz w:val="29"/>
          <w:szCs w:val="29"/>
          <w:b w:val="1"/>
          <w:bCs w:val="1"/>
          <w:i w:val="1"/>
          <w:iCs w:val="1"/>
          <w:u w:val="single" w:color="auto"/>
          <w:color w:val="1E295B"/>
        </w:rPr>
        <w:t>James L. Donald</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49" w:lineRule="exact"/>
        <w:rPr>
          <w:sz w:val="20"/>
          <w:szCs w:val="20"/>
          <w:color w:val="auto"/>
        </w:rPr>
      </w:pPr>
    </w:p>
    <w:p>
      <w:pPr>
        <w:jc w:val="both"/>
        <w:ind w:left="5"/>
        <w:spacing w:after="0" w:line="256" w:lineRule="auto"/>
        <w:rPr>
          <w:sz w:val="20"/>
          <w:szCs w:val="20"/>
          <w:color w:val="auto"/>
        </w:rPr>
      </w:pPr>
      <w:r>
        <w:rPr>
          <w:rFonts w:ascii="Arial" w:cs="Arial" w:eastAsia="Arial" w:hAnsi="Arial"/>
          <w:sz w:val="16"/>
          <w:szCs w:val="16"/>
          <w:color w:val="auto"/>
        </w:rPr>
        <w:t>Mr. Donald brings to the board over 45 years of experience in leadership roles at consumer-facing businesses ranging from hospitality to retail. Mr. Donald has a wealth of knowledge and expertise in navigating the fast-paced and dynamic environment facing the Company today. In addition, his proven track record of leading large companies through complex and challenging environments makes him an invaluable resource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380365</wp:posOffset>
            </wp:positionV>
            <wp:extent cx="2048510" cy="2482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485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216" w:lineRule="exact"/>
        <w:rPr>
          <w:sz w:val="20"/>
          <w:szCs w:val="20"/>
          <w:color w:val="auto"/>
        </w:rPr>
      </w:pPr>
    </w:p>
    <w:p>
      <w:pPr>
        <w:ind w:left="225" w:right="20" w:hanging="225"/>
        <w:spacing w:after="0" w:line="256" w:lineRule="auto"/>
        <w:tabs>
          <w:tab w:leader="none" w:pos="2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2019 to present: Co-Chairman of the Board for Albertsons Companies, one of the largest food and drug retailers in the United States</w:t>
      </w:r>
    </w:p>
    <w:p>
      <w:pPr>
        <w:spacing w:after="0" w:line="1" w:lineRule="exact"/>
        <w:rPr>
          <w:rFonts w:ascii="Arial" w:cs="Arial" w:eastAsia="Arial" w:hAnsi="Arial"/>
          <w:sz w:val="16"/>
          <w:szCs w:val="16"/>
          <w:color w:val="auto"/>
        </w:rPr>
      </w:pPr>
    </w:p>
    <w:p>
      <w:pPr>
        <w:ind w:left="225" w:hanging="225"/>
        <w:spacing w:after="0"/>
        <w:tabs>
          <w:tab w:leader="none" w:pos="2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2019: Chief Executive Officer of Albertsons</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2018: President and Chief Operating Officer of Albertsons</w:t>
      </w:r>
    </w:p>
    <w:p>
      <w:pPr>
        <w:spacing w:after="0" w:line="5" w:lineRule="exact"/>
        <w:rPr>
          <w:rFonts w:ascii="Arial" w:cs="Arial" w:eastAsia="Arial" w:hAnsi="Arial"/>
          <w:sz w:val="16"/>
          <w:szCs w:val="16"/>
          <w:color w:val="auto"/>
        </w:rPr>
      </w:pPr>
    </w:p>
    <w:p>
      <w:pPr>
        <w:ind w:left="225" w:hanging="225"/>
        <w:spacing w:after="0" w:line="246" w:lineRule="auto"/>
        <w:tabs>
          <w:tab w:leader="none" w:pos="2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2013 to 2015: Chief Executive Officer of Extended Stay America, Inc., one of the largest integrated hotel owner/operators in the United States.</w:t>
      </w:r>
    </w:p>
    <w:p>
      <w:pPr>
        <w:ind w:left="225" w:hanging="225"/>
        <w:spacing w:after="0"/>
        <w:tabs>
          <w:tab w:leader="none" w:pos="2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Prior to 2013: Chief Executive Officer of Haggen, Inc.; Chief Executive Officer of Starbucks Corporation</w:t>
      </w:r>
    </w:p>
    <w:p>
      <w:pPr>
        <w:spacing w:after="0" w:line="93"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820" w:type="dxa"/>
            <w:vAlign w:val="bottom"/>
          </w:tcPr>
          <w:p>
            <w:pPr>
              <w:spacing w:after="0"/>
              <w:rPr>
                <w:sz w:val="18"/>
                <w:szCs w:val="18"/>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b w:val="1"/>
                <w:bCs w:val="1"/>
                <w:color w:val="1E295B"/>
                <w:w w:val="99"/>
              </w:rPr>
              <w:t>Previous Public Boards in Past 5 Years</w:t>
            </w:r>
          </w:p>
        </w:tc>
      </w:tr>
      <w:tr>
        <w:trPr>
          <w:trHeight w:val="20"/>
        </w:trPr>
        <w:tc>
          <w:tcPr>
            <w:tcW w:w="2440" w:type="dxa"/>
            <w:vAlign w:val="bottom"/>
            <w:shd w:val="clear" w:color="auto" w:fill="1E295B"/>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r>
      <w:tr>
        <w:trPr>
          <w:trHeight w:val="316"/>
        </w:trPr>
        <w:tc>
          <w:tcPr>
            <w:tcW w:w="3260" w:type="dxa"/>
            <w:vAlign w:val="bottom"/>
            <w:gridSpan w:val="2"/>
          </w:tcPr>
          <w:p>
            <w:pPr>
              <w:spacing w:after="0"/>
              <w:rPr>
                <w:sz w:val="20"/>
                <w:szCs w:val="20"/>
                <w:color w:val="auto"/>
              </w:rPr>
            </w:pPr>
            <w:r>
              <w:rPr>
                <w:rFonts w:ascii="Arial" w:cs="Arial" w:eastAsia="Arial" w:hAnsi="Arial"/>
                <w:sz w:val="16"/>
                <w:szCs w:val="16"/>
                <w:color w:val="auto"/>
              </w:rPr>
              <w:t>Albertsons Companies, Inc. (since 2019)</w:t>
            </w:r>
          </w:p>
        </w:tc>
        <w:tc>
          <w:tcPr>
            <w:tcW w:w="3680" w:type="dxa"/>
            <w:vAlign w:val="bottom"/>
            <w:gridSpan w:val="2"/>
          </w:tcPr>
          <w:p>
            <w:pPr>
              <w:ind w:left="340"/>
              <w:spacing w:after="0"/>
              <w:rPr>
                <w:sz w:val="20"/>
                <w:szCs w:val="20"/>
                <w:color w:val="auto"/>
              </w:rPr>
            </w:pPr>
            <w:r>
              <w:rPr>
                <w:rFonts w:ascii="Arial" w:cs="Arial" w:eastAsia="Arial" w:hAnsi="Arial"/>
                <w:sz w:val="16"/>
                <w:szCs w:val="16"/>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361315</wp:posOffset>
            </wp:positionV>
            <wp:extent cx="1020445" cy="1200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15"/>
            <w:col w:w="7605"/>
          </w:cols>
          <w:pgMar w:left="500" w:top="270" w:right="519" w:bottom="1440" w:gutter="0" w:footer="0" w:header="0"/>
          <w:type w:val="continuous"/>
        </w:sectPr>
      </w:pPr>
    </w:p>
    <w:p>
      <w:pPr>
        <w:spacing w:after="0" w:line="38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1997075" cy="33775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9707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20" w:right="80"/>
        <w:spacing w:after="0" w:line="256" w:lineRule="auto"/>
        <w:rPr>
          <w:sz w:val="20"/>
          <w:szCs w:val="20"/>
          <w:color w:val="auto"/>
        </w:rPr>
      </w:pPr>
      <w:r>
        <w:rPr>
          <w:rFonts w:ascii="Arial" w:cs="Arial" w:eastAsia="Arial" w:hAnsi="Arial"/>
          <w:sz w:val="18"/>
          <w:szCs w:val="18"/>
          <w:b w:val="1"/>
          <w:bCs w:val="1"/>
          <w:i w:val="1"/>
          <w:iCs w:val="1"/>
          <w:color w:val="1E295B"/>
        </w:rPr>
        <w:t xml:space="preserve">Independent Director </w:t>
      </w:r>
      <w:r>
        <w:rPr>
          <w:rFonts w:ascii="Arial" w:cs="Arial" w:eastAsia="Arial" w:hAnsi="Arial"/>
          <w:sz w:val="18"/>
          <w:szCs w:val="18"/>
          <w:b w:val="1"/>
          <w:bCs w:val="1"/>
          <w:color w:val="1E295B"/>
        </w:rPr>
        <w:t>Joined the Board: 2019 Age 51</w:t>
      </w:r>
    </w:p>
    <w:p>
      <w:pPr>
        <w:spacing w:after="0" w:line="24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1E295B"/>
        </w:rPr>
        <w:t>Committee Memberships</w:t>
      </w:r>
    </w:p>
    <w:p>
      <w:pPr>
        <w:ind w:left="1400"/>
        <w:spacing w:after="0" w:line="234" w:lineRule="auto"/>
        <w:rPr>
          <w:sz w:val="20"/>
          <w:szCs w:val="20"/>
          <w:color w:val="auto"/>
        </w:rPr>
      </w:pPr>
      <w:r>
        <w:rPr>
          <w:rFonts w:ascii="Arial" w:cs="Arial" w:eastAsia="Arial" w:hAnsi="Arial"/>
          <w:sz w:val="18"/>
          <w:szCs w:val="18"/>
          <w:b w:val="1"/>
          <w:bCs w:val="1"/>
          <w:color w:val="auto"/>
        </w:rPr>
        <w:t>AFC</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880745</wp:posOffset>
            </wp:positionV>
            <wp:extent cx="1997075" cy="32232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97075" cy="3223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4826000" cy="768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26000" cy="76835"/>
                    </a:xfrm>
                    <a:prstGeom prst="rect">
                      <a:avLst/>
                    </a:prstGeom>
                    <a:noFill/>
                  </pic:spPr>
                </pic:pic>
              </a:graphicData>
            </a:graphic>
          </wp:anchor>
        </w:drawing>
      </w:r>
    </w:p>
    <w:p>
      <w:pPr>
        <w:spacing w:after="0" w:line="350" w:lineRule="exact"/>
        <w:rPr>
          <w:sz w:val="20"/>
          <w:szCs w:val="20"/>
          <w:color w:val="auto"/>
        </w:rPr>
      </w:pPr>
    </w:p>
    <w:p>
      <w:pPr>
        <w:ind w:left="5"/>
        <w:spacing w:after="0"/>
        <w:rPr>
          <w:sz w:val="20"/>
          <w:szCs w:val="20"/>
          <w:color w:val="auto"/>
        </w:rPr>
      </w:pPr>
      <w:r>
        <w:rPr>
          <w:rFonts w:ascii="Arial" w:cs="Arial" w:eastAsia="Arial" w:hAnsi="Arial"/>
          <w:sz w:val="29"/>
          <w:szCs w:val="29"/>
          <w:b w:val="1"/>
          <w:bCs w:val="1"/>
          <w:i w:val="1"/>
          <w:iCs w:val="1"/>
          <w:u w:val="single" w:color="auto"/>
          <w:color w:val="1E295B"/>
        </w:rPr>
        <w:t>Kirsten A. Green</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49" w:lineRule="exact"/>
        <w:rPr>
          <w:sz w:val="20"/>
          <w:szCs w:val="20"/>
          <w:color w:val="auto"/>
        </w:rPr>
      </w:pPr>
    </w:p>
    <w:p>
      <w:pPr>
        <w:jc w:val="both"/>
        <w:ind w:left="5"/>
        <w:spacing w:after="0" w:line="259" w:lineRule="auto"/>
        <w:rPr>
          <w:sz w:val="20"/>
          <w:szCs w:val="20"/>
          <w:color w:val="auto"/>
        </w:rPr>
      </w:pPr>
      <w:r>
        <w:rPr>
          <w:rFonts w:ascii="Arial" w:cs="Arial" w:eastAsia="Arial" w:hAnsi="Arial"/>
          <w:sz w:val="16"/>
          <w:szCs w:val="16"/>
          <w:color w:val="auto"/>
        </w:rPr>
        <w:t>Ms. Green brings to the Board extensive experience in consumer and digital commerce focused businesses and provides unique insights with respect to the challenges and opportunities of today’s rapidly evolving digital commerce landscape. Ms. Green has deep domain expertise and an understanding of consumer behaviors, brand building 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516255</wp:posOffset>
            </wp:positionV>
            <wp:extent cx="188595" cy="2489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8595" cy="24892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610235</wp:posOffset>
            </wp:positionV>
            <wp:extent cx="20574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567690</wp:posOffset>
            </wp:positionV>
            <wp:extent cx="180340" cy="1974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0340" cy="19748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558800</wp:posOffset>
            </wp:positionV>
            <wp:extent cx="162560" cy="2057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62560" cy="20574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627380</wp:posOffset>
            </wp:positionV>
            <wp:extent cx="24828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82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216" w:lineRule="exact"/>
        <w:rPr>
          <w:sz w:val="20"/>
          <w:szCs w:val="20"/>
          <w:color w:val="auto"/>
        </w:rPr>
      </w:pPr>
    </w:p>
    <w:p>
      <w:pPr>
        <w:jc w:val="both"/>
        <w:ind w:left="225" w:hanging="225"/>
        <w:spacing w:after="0" w:line="253" w:lineRule="auto"/>
        <w:tabs>
          <w:tab w:leader="none" w:pos="227" w:val="left"/>
        </w:tabs>
        <w:numPr>
          <w:ilvl w:val="0"/>
          <w:numId w:val="44"/>
        </w:numPr>
        <w:rPr>
          <w:rFonts w:ascii="Arial" w:cs="Arial" w:eastAsia="Arial" w:hAnsi="Arial"/>
          <w:sz w:val="16"/>
          <w:szCs w:val="16"/>
          <w:color w:val="auto"/>
        </w:rPr>
      </w:pPr>
      <w:r>
        <w:rPr>
          <w:rFonts w:ascii="Arial" w:cs="Arial" w:eastAsia="Arial" w:hAnsi="Arial"/>
          <w:sz w:val="16"/>
          <w:szCs w:val="16"/>
          <w:color w:val="auto"/>
        </w:rPr>
        <w:t>2010 to present: Founder and Managing Partner of Forerunner Ventures, a venture capital firm. In her role with Forerunner Ventures, Ms. Green has served on the boards of directors of numerous private companies since 2013</w:t>
      </w:r>
    </w:p>
    <w:p>
      <w:pPr>
        <w:spacing w:after="0" w:line="1" w:lineRule="exact"/>
        <w:rPr>
          <w:rFonts w:ascii="Arial" w:cs="Arial" w:eastAsia="Arial" w:hAnsi="Arial"/>
          <w:sz w:val="16"/>
          <w:szCs w:val="16"/>
          <w:color w:val="auto"/>
        </w:rPr>
      </w:pPr>
    </w:p>
    <w:p>
      <w:pPr>
        <w:ind w:left="225" w:right="20" w:hanging="225"/>
        <w:spacing w:after="0" w:line="265" w:lineRule="auto"/>
        <w:tabs>
          <w:tab w:leader="none" w:pos="227"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Prior to 2010: Equity Research Analyst at Banc of America Securities; Senior Associate at Deloitte &amp; Touche LLP</w:t>
      </w:r>
    </w:p>
    <w:p>
      <w:pPr>
        <w:spacing w:after="0" w:line="60"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800" w:type="dxa"/>
            <w:vAlign w:val="bottom"/>
          </w:tcPr>
          <w:p>
            <w:pPr>
              <w:spacing w:after="0"/>
              <w:rPr>
                <w:sz w:val="17"/>
                <w:szCs w:val="17"/>
                <w:color w:val="auto"/>
              </w:rPr>
            </w:pPr>
          </w:p>
        </w:tc>
        <w:tc>
          <w:tcPr>
            <w:tcW w:w="4340" w:type="dxa"/>
            <w:vAlign w:val="bottom"/>
            <w:gridSpan w:val="3"/>
          </w:tcPr>
          <w:p>
            <w:pPr>
              <w:ind w:left="360"/>
              <w:spacing w:after="0"/>
              <w:rPr>
                <w:sz w:val="20"/>
                <w:szCs w:val="20"/>
                <w:color w:val="auto"/>
              </w:rPr>
            </w:pPr>
            <w:r>
              <w:rPr>
                <w:rFonts w:ascii="Arial" w:cs="Arial" w:eastAsia="Arial" w:hAnsi="Arial"/>
                <w:sz w:val="18"/>
                <w:szCs w:val="18"/>
                <w:b w:val="1"/>
                <w:bCs w:val="1"/>
                <w:color w:val="1E295B"/>
              </w:rPr>
              <w:t>Previous Public Boards in Past 5 Years</w:t>
            </w:r>
          </w:p>
        </w:tc>
      </w:tr>
      <w:tr>
        <w:trPr>
          <w:trHeight w:val="20"/>
        </w:trPr>
        <w:tc>
          <w:tcPr>
            <w:tcW w:w="2440" w:type="dxa"/>
            <w:vAlign w:val="bottom"/>
            <w:shd w:val="clear" w:color="auto" w:fill="1E295B"/>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0"/>
        </w:trPr>
        <w:tc>
          <w:tcPr>
            <w:tcW w:w="3240" w:type="dxa"/>
            <w:vAlign w:val="bottom"/>
            <w:gridSpan w:val="2"/>
          </w:tcPr>
          <w:p>
            <w:pPr>
              <w:spacing w:after="0"/>
              <w:rPr>
                <w:sz w:val="20"/>
                <w:szCs w:val="20"/>
                <w:color w:val="auto"/>
              </w:rPr>
            </w:pPr>
            <w:r>
              <w:rPr>
                <w:rFonts w:ascii="Arial" w:cs="Arial" w:eastAsia="Arial" w:hAnsi="Arial"/>
                <w:sz w:val="16"/>
                <w:szCs w:val="16"/>
                <w:color w:val="auto"/>
              </w:rPr>
              <w:t>Hims and Hers Health, Inc. (since 2020)</w:t>
            </w:r>
          </w:p>
        </w:tc>
        <w:tc>
          <w:tcPr>
            <w:tcW w:w="4340" w:type="dxa"/>
            <w:vAlign w:val="bottom"/>
            <w:gridSpan w:val="3"/>
          </w:tcPr>
          <w:p>
            <w:pPr>
              <w:ind w:left="360"/>
              <w:spacing w:after="0"/>
              <w:rPr>
                <w:sz w:val="20"/>
                <w:szCs w:val="20"/>
                <w:color w:val="auto"/>
              </w:rPr>
            </w:pPr>
            <w:r>
              <w:rPr>
                <w:rFonts w:ascii="Arial" w:cs="Arial" w:eastAsia="Arial" w:hAnsi="Arial"/>
                <w:sz w:val="16"/>
                <w:szCs w:val="16"/>
                <w:color w:val="auto"/>
              </w:rPr>
              <w:t>Northern  Star  Investment  Corp.  II  (2021  to  2023)</w:t>
            </w:r>
          </w:p>
        </w:tc>
      </w:tr>
      <w:tr>
        <w:trPr>
          <w:trHeight w:val="215"/>
        </w:trPr>
        <w:tc>
          <w:tcPr>
            <w:tcW w:w="2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40" w:type="dxa"/>
            <w:vAlign w:val="bottom"/>
            <w:gridSpan w:val="3"/>
          </w:tcPr>
          <w:p>
            <w:pPr>
              <w:ind w:left="360"/>
              <w:spacing w:after="0"/>
              <w:rPr>
                <w:sz w:val="20"/>
                <w:szCs w:val="20"/>
                <w:color w:val="auto"/>
              </w:rPr>
            </w:pPr>
            <w:r>
              <w:rPr>
                <w:rFonts w:ascii="Arial" w:cs="Arial" w:eastAsia="Arial" w:hAnsi="Arial"/>
                <w:sz w:val="16"/>
                <w:szCs w:val="16"/>
                <w:color w:val="auto"/>
              </w:rPr>
              <w:t>Northern Star Investment Corp. IV (2021 to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129540</wp:posOffset>
            </wp:positionV>
            <wp:extent cx="4826000" cy="774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82600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15"/>
            <w:col w:w="7605"/>
          </w:cols>
          <w:pgMar w:left="500" w:top="27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520"/>
        <w:spacing w:after="0" w:line="256" w:lineRule="auto"/>
        <w:rPr>
          <w:sz w:val="20"/>
          <w:szCs w:val="20"/>
          <w:color w:val="auto"/>
        </w:rPr>
      </w:pPr>
      <w:r>
        <w:rPr>
          <w:rFonts w:ascii="Arial" w:cs="Arial" w:eastAsia="Arial" w:hAnsi="Arial"/>
          <w:sz w:val="18"/>
          <w:szCs w:val="18"/>
          <w:b w:val="1"/>
          <w:bCs w:val="1"/>
          <w:i w:val="1"/>
          <w:iCs w:val="1"/>
          <w:color w:val="1E295B"/>
        </w:rPr>
        <w:t xml:space="preserve">Independent Director </w:t>
      </w:r>
      <w:r>
        <w:rPr>
          <w:rFonts w:ascii="Arial" w:cs="Arial" w:eastAsia="Arial" w:hAnsi="Arial"/>
          <w:sz w:val="18"/>
          <w:szCs w:val="18"/>
          <w:b w:val="1"/>
          <w:bCs w:val="1"/>
          <w:color w:val="1E295B"/>
        </w:rPr>
        <w:t>Joined the Board: 2019 Age 62</w:t>
      </w:r>
    </w:p>
    <w:p>
      <w:pPr>
        <w:spacing w:after="0" w:line="2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E295B"/>
        </w:rPr>
        <w:t>Committee Memberships</w:t>
      </w:r>
    </w:p>
    <w:p>
      <w:pPr>
        <w:spacing w:after="0" w:line="3"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CGNC (Chair)</w:t>
      </w:r>
    </w:p>
    <w:p>
      <w:pPr>
        <w:jc w:val="center"/>
        <w:ind w:left="520"/>
        <w:spacing w:after="0"/>
        <w:rPr>
          <w:sz w:val="20"/>
          <w:szCs w:val="20"/>
          <w:color w:val="auto"/>
        </w:rPr>
      </w:pPr>
      <w:r>
        <w:rPr>
          <w:rFonts w:ascii="Arial" w:cs="Arial" w:eastAsia="Arial" w:hAnsi="Arial"/>
          <w:sz w:val="18"/>
          <w:szCs w:val="18"/>
          <w:b w:val="1"/>
          <w:bCs w:val="1"/>
          <w:color w:val="auto"/>
        </w:rPr>
        <w:t>CPCC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957580</wp:posOffset>
            </wp:positionV>
            <wp:extent cx="101981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
        <w:spacing w:after="0"/>
        <w:rPr>
          <w:sz w:val="20"/>
          <w:szCs w:val="20"/>
          <w:color w:val="auto"/>
        </w:rPr>
      </w:pPr>
      <w:r>
        <w:rPr>
          <w:rFonts w:ascii="Arial" w:cs="Arial" w:eastAsia="Arial" w:hAnsi="Arial"/>
          <w:sz w:val="29"/>
          <w:szCs w:val="29"/>
          <w:b w:val="1"/>
          <w:bCs w:val="1"/>
          <w:i w:val="1"/>
          <w:iCs w:val="1"/>
          <w:u w:val="single" w:color="auto"/>
          <w:color w:val="1E295B"/>
        </w:rPr>
        <w:t>Glenda G. McNeal</w:t>
      </w:r>
    </w:p>
    <w:p>
      <w:pPr>
        <w:spacing w:after="0" w:line="150"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49"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Ms. McNeal brings to the Board extensive experience in business development, innovation and customer relationship management, as well as financial, accounting and senior leadership skills. Ms. McNeal provides unique insights on strategic planning, risk oversight and operational matters. Ms. McNeal’s service on public company boards provides her with experience with corporate governance matters and key skills in working with directors, understanding board processes and functions, and assessing risk and overseeing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124460</wp:posOffset>
            </wp:positionV>
            <wp:extent cx="1482725" cy="2571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8272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216" w:lineRule="exact"/>
        <w:rPr>
          <w:sz w:val="20"/>
          <w:szCs w:val="20"/>
          <w:color w:val="auto"/>
        </w:rPr>
      </w:pPr>
    </w:p>
    <w:p>
      <w:pPr>
        <w:ind w:left="225" w:hanging="225"/>
        <w:spacing w:after="0" w:line="256" w:lineRule="auto"/>
        <w:tabs>
          <w:tab w:leader="none" w:pos="227" w:val="left"/>
        </w:tabs>
        <w:numPr>
          <w:ilvl w:val="0"/>
          <w:numId w:val="45"/>
        </w:numPr>
        <w:rPr>
          <w:rFonts w:ascii="Arial" w:cs="Arial" w:eastAsia="Arial" w:hAnsi="Arial"/>
          <w:sz w:val="16"/>
          <w:szCs w:val="16"/>
          <w:color w:val="auto"/>
        </w:rPr>
      </w:pPr>
      <w:r>
        <w:rPr>
          <w:rFonts w:ascii="Arial" w:cs="Arial" w:eastAsia="Arial" w:hAnsi="Arial"/>
          <w:sz w:val="16"/>
          <w:szCs w:val="16"/>
          <w:color w:val="auto"/>
        </w:rPr>
        <w:t>2017 to present: President Enterprise Strategic Partnerships of American Express, a globally integrated payments company</w:t>
      </w:r>
    </w:p>
    <w:p>
      <w:pPr>
        <w:spacing w:after="0" w:line="1" w:lineRule="exact"/>
        <w:rPr>
          <w:rFonts w:ascii="Arial" w:cs="Arial" w:eastAsia="Arial" w:hAnsi="Arial"/>
          <w:sz w:val="16"/>
          <w:szCs w:val="16"/>
          <w:color w:val="auto"/>
        </w:rPr>
      </w:pPr>
    </w:p>
    <w:p>
      <w:pPr>
        <w:ind w:left="225" w:right="20" w:hanging="225"/>
        <w:spacing w:after="0" w:line="246" w:lineRule="auto"/>
        <w:tabs>
          <w:tab w:leader="none" w:pos="227" w:val="left"/>
        </w:tabs>
        <w:numPr>
          <w:ilvl w:val="0"/>
          <w:numId w:val="45"/>
        </w:numPr>
        <w:rPr>
          <w:rFonts w:ascii="Arial" w:cs="Arial" w:eastAsia="Arial" w:hAnsi="Arial"/>
          <w:sz w:val="16"/>
          <w:szCs w:val="16"/>
          <w:color w:val="auto"/>
        </w:rPr>
      </w:pPr>
      <w:r>
        <w:rPr>
          <w:rFonts w:ascii="Arial" w:cs="Arial" w:eastAsia="Arial" w:hAnsi="Arial"/>
          <w:sz w:val="16"/>
          <w:szCs w:val="16"/>
          <w:color w:val="auto"/>
        </w:rPr>
        <w:t>2011 to 2017: Executive Vice President and General Manager of the Global Client Group of American Express</w:t>
      </w:r>
    </w:p>
    <w:p>
      <w:pPr>
        <w:ind w:left="225" w:hanging="225"/>
        <w:spacing w:after="0"/>
        <w:tabs>
          <w:tab w:leader="none" w:pos="225" w:val="left"/>
        </w:tabs>
        <w:numPr>
          <w:ilvl w:val="0"/>
          <w:numId w:val="45"/>
        </w:numPr>
        <w:rPr>
          <w:rFonts w:ascii="Arial" w:cs="Arial" w:eastAsia="Arial" w:hAnsi="Arial"/>
          <w:sz w:val="16"/>
          <w:szCs w:val="16"/>
          <w:color w:val="auto"/>
        </w:rPr>
      </w:pPr>
      <w:r>
        <w:rPr>
          <w:rFonts w:ascii="Arial" w:cs="Arial" w:eastAsia="Arial" w:hAnsi="Arial"/>
          <w:sz w:val="16"/>
          <w:szCs w:val="16"/>
          <w:color w:val="auto"/>
        </w:rPr>
        <w:t>1989 to 2011: positions of increasing responsibility at American Express</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Prior to 1989: Arthur Andersen, LLP; the investment banking firm of Salomon Brothers, Inc.</w:t>
      </w:r>
    </w:p>
    <w:p>
      <w:pPr>
        <w:spacing w:after="0" w:line="107"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580" w:type="dxa"/>
            <w:vAlign w:val="bottom"/>
          </w:tcPr>
          <w:p>
            <w:pPr>
              <w:spacing w:after="0"/>
              <w:rPr>
                <w:sz w:val="18"/>
                <w:szCs w:val="18"/>
                <w:color w:val="auto"/>
              </w:rPr>
            </w:pPr>
          </w:p>
        </w:tc>
        <w:tc>
          <w:tcPr>
            <w:tcW w:w="3920" w:type="dxa"/>
            <w:vAlign w:val="bottom"/>
            <w:gridSpan w:val="2"/>
          </w:tcPr>
          <w:p>
            <w:pPr>
              <w:ind w:left="580"/>
              <w:spacing w:after="0"/>
              <w:rPr>
                <w:sz w:val="20"/>
                <w:szCs w:val="20"/>
                <w:color w:val="auto"/>
              </w:rPr>
            </w:pPr>
            <w:r>
              <w:rPr>
                <w:rFonts w:ascii="Arial" w:cs="Arial" w:eastAsia="Arial" w:hAnsi="Arial"/>
                <w:sz w:val="18"/>
                <w:szCs w:val="18"/>
                <w:b w:val="1"/>
                <w:bCs w:val="1"/>
                <w:color w:val="1E295B"/>
                <w:w w:val="99"/>
              </w:rPr>
              <w:t>Previous Public Boards in Past 5 Years</w:t>
            </w:r>
          </w:p>
        </w:tc>
        <w:tc>
          <w:tcPr>
            <w:tcW w:w="660" w:type="dxa"/>
            <w:vAlign w:val="bottom"/>
          </w:tcPr>
          <w:p>
            <w:pPr>
              <w:spacing w:after="0"/>
              <w:rPr>
                <w:sz w:val="18"/>
                <w:szCs w:val="18"/>
                <w:color w:val="auto"/>
              </w:rPr>
            </w:pPr>
          </w:p>
        </w:tc>
      </w:tr>
      <w:tr>
        <w:trPr>
          <w:trHeight w:val="20"/>
        </w:trPr>
        <w:tc>
          <w:tcPr>
            <w:tcW w:w="2440" w:type="dxa"/>
            <w:vAlign w:val="bottom"/>
            <w:shd w:val="clear" w:color="auto" w:fill="1E295B"/>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2"/>
        </w:trPr>
        <w:tc>
          <w:tcPr>
            <w:tcW w:w="2440" w:type="dxa"/>
            <w:vAlign w:val="bottom"/>
          </w:tcPr>
          <w:p>
            <w:pPr>
              <w:spacing w:after="0"/>
              <w:rPr>
                <w:sz w:val="20"/>
                <w:szCs w:val="20"/>
                <w:color w:val="auto"/>
              </w:rPr>
            </w:pPr>
            <w:r>
              <w:rPr>
                <w:rFonts w:ascii="Arial" w:cs="Arial" w:eastAsia="Arial" w:hAnsi="Arial"/>
                <w:sz w:val="16"/>
                <w:szCs w:val="16"/>
                <w:color w:val="auto"/>
              </w:rPr>
              <w:t>None</w:t>
            </w:r>
          </w:p>
        </w:tc>
        <w:tc>
          <w:tcPr>
            <w:tcW w:w="580" w:type="dxa"/>
            <w:vAlign w:val="bottom"/>
          </w:tcPr>
          <w:p>
            <w:pPr>
              <w:spacing w:after="0"/>
              <w:rPr>
                <w:sz w:val="24"/>
                <w:szCs w:val="24"/>
                <w:color w:val="auto"/>
              </w:rPr>
            </w:pPr>
          </w:p>
        </w:tc>
        <w:tc>
          <w:tcPr>
            <w:tcW w:w="3920" w:type="dxa"/>
            <w:vAlign w:val="bottom"/>
            <w:gridSpan w:val="2"/>
          </w:tcPr>
          <w:p>
            <w:pPr>
              <w:ind w:left="580"/>
              <w:spacing w:after="0"/>
              <w:rPr>
                <w:sz w:val="20"/>
                <w:szCs w:val="20"/>
                <w:color w:val="auto"/>
              </w:rPr>
            </w:pPr>
            <w:r>
              <w:rPr>
                <w:rFonts w:ascii="Arial" w:cs="Arial" w:eastAsia="Arial" w:hAnsi="Arial"/>
                <w:sz w:val="16"/>
                <w:szCs w:val="16"/>
                <w:color w:val="auto"/>
              </w:rPr>
              <w:t>RLJ Lodging Trust (2011 to 2022)</w:t>
            </w:r>
          </w:p>
        </w:tc>
        <w:tc>
          <w:tcPr>
            <w:tcW w:w="660" w:type="dxa"/>
            <w:vAlign w:val="bottom"/>
          </w:tcPr>
          <w:p>
            <w:pPr>
              <w:spacing w:after="0"/>
              <w:rPr>
                <w:sz w:val="24"/>
                <w:szCs w:val="24"/>
                <w:color w:val="auto"/>
              </w:rPr>
            </w:pPr>
          </w:p>
        </w:tc>
      </w:tr>
      <w:tr>
        <w:trPr>
          <w:trHeight w:val="783"/>
        </w:trPr>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tcPr>
          <w:p>
            <w:pPr>
              <w:ind w:left="1740"/>
              <w:spacing w:after="0"/>
              <w:rPr>
                <w:sz w:val="20"/>
                <w:szCs w:val="20"/>
                <w:color w:val="auto"/>
              </w:rPr>
            </w:pPr>
            <w:r>
              <w:rPr>
                <w:rFonts w:ascii="Arial" w:cs="Arial" w:eastAsia="Arial" w:hAnsi="Arial"/>
                <w:sz w:val="14"/>
                <w:szCs w:val="14"/>
                <w:b w:val="1"/>
                <w:bCs w:val="1"/>
                <w:color w:val="auto"/>
              </w:rPr>
              <w:t>2023 Proxy Statement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258445</wp:posOffset>
            </wp:positionV>
            <wp:extent cx="6909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2">
            <w:col w:w="2660" w:space="615"/>
            <w:col w:w="7605"/>
          </w:cols>
          <w:pgMar w:left="500" w:top="270" w:right="5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00545" cy="3591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00545" cy="3591560"/>
                    </a:xfrm>
                    <a:prstGeom prst="rect">
                      <a:avLst/>
                    </a:prstGeom>
                    <a:noFill/>
                  </pic:spPr>
                </pic:pic>
              </a:graphicData>
            </a:graphic>
          </wp:anchor>
        </w:drawing>
      </w:r>
    </w:p>
    <w:p>
      <w:pPr>
        <w:spacing w:after="0" w:line="350" w:lineRule="exact"/>
        <w:rPr>
          <w:sz w:val="20"/>
          <w:szCs w:val="20"/>
          <w:color w:val="auto"/>
        </w:rPr>
      </w:pPr>
    </w:p>
    <w:p>
      <w:pPr>
        <w:jc w:val="right"/>
        <w:ind w:right="5140"/>
        <w:spacing w:after="0"/>
        <w:rPr>
          <w:sz w:val="20"/>
          <w:szCs w:val="20"/>
          <w:color w:val="auto"/>
        </w:rPr>
      </w:pPr>
      <w:r>
        <w:rPr>
          <w:rFonts w:ascii="Arial" w:cs="Arial" w:eastAsia="Arial" w:hAnsi="Arial"/>
          <w:sz w:val="29"/>
          <w:szCs w:val="29"/>
          <w:b w:val="1"/>
          <w:bCs w:val="1"/>
          <w:i w:val="1"/>
          <w:iCs w:val="1"/>
          <w:u w:val="single" w:color="auto"/>
          <w:color w:val="1E295B"/>
        </w:rPr>
        <w:t>Erik B. Nordstrom</w:t>
      </w:r>
    </w:p>
    <w:p>
      <w:pPr>
        <w:sectPr>
          <w:pgSz w:w="11900" w:h="16838" w:orient="portrait"/>
          <w:cols w:equalWidth="0" w:num="1">
            <w:col w:w="10880"/>
          </w:cols>
          <w:pgMar w:left="500" w:top="27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i w:val="1"/>
          <w:iCs w:val="1"/>
          <w:color w:val="1E295B"/>
        </w:rPr>
        <w:t>Director</w:t>
      </w:r>
    </w:p>
    <w:p>
      <w:pPr>
        <w:spacing w:after="0" w:line="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1E295B"/>
        </w:rPr>
        <w:t>Joined the Board: 2006</w:t>
      </w:r>
    </w:p>
    <w:p>
      <w:pPr>
        <w:jc w:val="center"/>
        <w:ind w:left="520"/>
        <w:spacing w:after="0"/>
        <w:rPr>
          <w:sz w:val="20"/>
          <w:szCs w:val="20"/>
          <w:color w:val="auto"/>
        </w:rPr>
      </w:pPr>
      <w:r>
        <w:rPr>
          <w:rFonts w:ascii="Arial" w:cs="Arial" w:eastAsia="Arial" w:hAnsi="Arial"/>
          <w:sz w:val="18"/>
          <w:szCs w:val="18"/>
          <w:b w:val="1"/>
          <w:bCs w:val="1"/>
          <w:color w:val="1E295B"/>
        </w:rPr>
        <w:t>Age 59</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E295B"/>
        </w:rPr>
        <w:t>Committee Memberships</w:t>
      </w:r>
    </w:p>
    <w:p>
      <w:pPr>
        <w:spacing w:after="0" w:line="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08"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Mr. Nordstrom has spent more than 40 years with the Company, holding positions of increasing responsibility that have spanned all aspects of the retail business. Through roles in buying, regional management, digital and store operations, he has gained a deep understanding of the customer and the foresight needed to navigate an evolving industry. Throughout his tenure, he has driven critical investments in new capabilities to blend the digital and physical experiences, bringing Nordstrom closer to customers and serving them how, where and when they want to shop. He was recently recognized by Barron’s as one of the top CEOs of 2022. In 2021 Mr. Nordstrom joined the board of directors for The Jim Pattison Group, a diversified holding company and one of Canada’s largest privately held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56515</wp:posOffset>
            </wp:positionV>
            <wp:extent cx="2580640" cy="2571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80640" cy="25717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56515</wp:posOffset>
            </wp:positionV>
            <wp:extent cx="2580640" cy="2571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80640" cy="25717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189" w:lineRule="exact"/>
        <w:rPr>
          <w:sz w:val="20"/>
          <w:szCs w:val="20"/>
          <w:color w:val="auto"/>
        </w:rPr>
      </w:pPr>
    </w:p>
    <w:p>
      <w:pPr>
        <w:ind w:left="225" w:hanging="225"/>
        <w:spacing w:after="0"/>
        <w:tabs>
          <w:tab w:leader="none" w:pos="2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2020 to present: Chief Executive Officer of Nordstrom, Inc.</w:t>
      </w:r>
    </w:p>
    <w:p>
      <w:pPr>
        <w:spacing w:after="0" w:line="21" w:lineRule="exact"/>
        <w:rPr>
          <w:rFonts w:ascii="Arial" w:cs="Arial" w:eastAsia="Arial" w:hAnsi="Arial"/>
          <w:sz w:val="16"/>
          <w:szCs w:val="16"/>
          <w:color w:val="auto"/>
        </w:rPr>
      </w:pPr>
    </w:p>
    <w:p>
      <w:pPr>
        <w:ind w:left="225" w:hanging="225"/>
        <w:spacing w:after="0"/>
        <w:tabs>
          <w:tab w:leader="none" w:pos="2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2015 to 2020: Co-President of Nordstrom,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2014 to 2015: Executive Vice President and President, Nordstrom.com of Nordstrom,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2006 to 2014: Executive Vice President and President, Stores of Nordstrom,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2000 to 2006: Executive Vice President, Full-Line Stores of Nordstrom,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2000: Executive Vice President and Northwest General Manager of Nordstrom,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1995 to 2000: Co-President of Nordstrom,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1979 to 1995: various other management and sales positions of increasing responsibility</w:t>
      </w:r>
    </w:p>
    <w:p>
      <w:pPr>
        <w:spacing w:after="0" w:line="93"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580" w:type="dxa"/>
            <w:vAlign w:val="bottom"/>
          </w:tcPr>
          <w:p>
            <w:pPr>
              <w:spacing w:after="0"/>
              <w:rPr>
                <w:sz w:val="17"/>
                <w:szCs w:val="17"/>
                <w:color w:val="auto"/>
              </w:rPr>
            </w:pPr>
          </w:p>
        </w:tc>
        <w:tc>
          <w:tcPr>
            <w:tcW w:w="3920" w:type="dxa"/>
            <w:vAlign w:val="bottom"/>
            <w:gridSpan w:val="2"/>
          </w:tcPr>
          <w:p>
            <w:pPr>
              <w:ind w:left="580"/>
              <w:spacing w:after="0"/>
              <w:rPr>
                <w:sz w:val="20"/>
                <w:szCs w:val="20"/>
                <w:color w:val="auto"/>
              </w:rPr>
            </w:pPr>
            <w:r>
              <w:rPr>
                <w:rFonts w:ascii="Arial" w:cs="Arial" w:eastAsia="Arial" w:hAnsi="Arial"/>
                <w:sz w:val="18"/>
                <w:szCs w:val="18"/>
                <w:b w:val="1"/>
                <w:bCs w:val="1"/>
                <w:color w:val="1E295B"/>
                <w:w w:val="99"/>
              </w:rPr>
              <w:t>Previous Public Boards in Past 5 Years</w:t>
            </w:r>
          </w:p>
        </w:tc>
      </w:tr>
      <w:tr>
        <w:trPr>
          <w:trHeight w:val="20"/>
        </w:trPr>
        <w:tc>
          <w:tcPr>
            <w:tcW w:w="2440" w:type="dxa"/>
            <w:vAlign w:val="bottom"/>
            <w:shd w:val="clear" w:color="auto" w:fill="1E295B"/>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r>
      <w:tr>
        <w:trPr>
          <w:trHeight w:val="316"/>
        </w:trPr>
        <w:tc>
          <w:tcPr>
            <w:tcW w:w="2440" w:type="dxa"/>
            <w:vAlign w:val="bottom"/>
          </w:tcPr>
          <w:p>
            <w:pPr>
              <w:spacing w:after="0"/>
              <w:rPr>
                <w:sz w:val="20"/>
                <w:szCs w:val="20"/>
                <w:color w:val="auto"/>
              </w:rPr>
            </w:pPr>
            <w:r>
              <w:rPr>
                <w:rFonts w:ascii="Arial" w:cs="Arial" w:eastAsia="Arial" w:hAnsi="Arial"/>
                <w:sz w:val="16"/>
                <w:szCs w:val="16"/>
                <w:color w:val="auto"/>
              </w:rPr>
              <w:t>None</w:t>
            </w:r>
          </w:p>
        </w:tc>
        <w:tc>
          <w:tcPr>
            <w:tcW w:w="580" w:type="dxa"/>
            <w:vAlign w:val="bottom"/>
          </w:tcPr>
          <w:p>
            <w:pPr>
              <w:spacing w:after="0"/>
              <w:rPr>
                <w:sz w:val="24"/>
                <w:szCs w:val="24"/>
                <w:color w:val="auto"/>
              </w:rPr>
            </w:pPr>
          </w:p>
        </w:tc>
        <w:tc>
          <w:tcPr>
            <w:tcW w:w="3920" w:type="dxa"/>
            <w:vAlign w:val="bottom"/>
            <w:gridSpan w:val="2"/>
          </w:tcPr>
          <w:p>
            <w:pPr>
              <w:ind w:left="580"/>
              <w:spacing w:after="0"/>
              <w:rPr>
                <w:sz w:val="20"/>
                <w:szCs w:val="20"/>
                <w:color w:val="auto"/>
              </w:rPr>
            </w:pPr>
            <w:r>
              <w:rPr>
                <w:rFonts w:ascii="Arial" w:cs="Arial" w:eastAsia="Arial" w:hAnsi="Arial"/>
                <w:sz w:val="16"/>
                <w:szCs w:val="16"/>
                <w:color w:val="auto"/>
              </w:rPr>
              <w:t>None</w:t>
            </w:r>
          </w:p>
        </w:tc>
      </w:tr>
    </w:tbl>
    <w:p>
      <w:pPr>
        <w:spacing w:after="0" w:line="197" w:lineRule="exact"/>
        <w:rPr>
          <w:sz w:val="20"/>
          <w:szCs w:val="20"/>
          <w:color w:val="auto"/>
        </w:rPr>
      </w:pPr>
    </w:p>
    <w:p>
      <w:pPr>
        <w:sectPr>
          <w:pgSz w:w="11900" w:h="16838" w:orient="portrait"/>
          <w:cols w:equalWidth="0" w:num="2">
            <w:col w:w="2660" w:space="615"/>
            <w:col w:w="7605"/>
          </w:cols>
          <w:pgMar w:left="500" w:top="270" w:right="519" w:bottom="1440" w:gutter="0" w:footer="0" w:header="0"/>
          <w:type w:val="continuous"/>
        </w:sectPr>
      </w:pPr>
    </w:p>
    <w:p>
      <w:pPr>
        <w:ind w:left="60"/>
        <w:spacing w:after="0" w:line="282" w:lineRule="auto"/>
        <w:rPr>
          <w:sz w:val="20"/>
          <w:szCs w:val="20"/>
          <w:color w:val="auto"/>
        </w:rPr>
      </w:pPr>
      <w:r>
        <w:rPr>
          <w:rFonts w:ascii="Arial" w:cs="Arial" w:eastAsia="Arial" w:hAnsi="Arial"/>
          <w:sz w:val="14"/>
          <w:szCs w:val="14"/>
          <w:i w:val="1"/>
          <w:iCs w:val="1"/>
          <w:color w:val="auto"/>
        </w:rPr>
        <w:t>Erik Nordstrom and Peter Nordstrom are brothers, great-grandsons of the Company’s founder and the second cousins of James Nordstrom, Jr., Chief Stores Officer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900545" cy="3591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00545" cy="3591560"/>
                    </a:xfrm>
                    <a:prstGeom prst="rect">
                      <a:avLst/>
                    </a:prstGeom>
                    <a:noFill/>
                  </pic:spPr>
                </pic:pic>
              </a:graphicData>
            </a:graphic>
          </wp:anchor>
        </w:drawing>
      </w:r>
    </w:p>
    <w:p>
      <w:pPr>
        <w:spacing w:after="0" w:line="294" w:lineRule="exact"/>
        <w:rPr>
          <w:sz w:val="20"/>
          <w:szCs w:val="20"/>
          <w:color w:val="auto"/>
        </w:rPr>
      </w:pPr>
    </w:p>
    <w:p>
      <w:pPr>
        <w:ind w:left="3280"/>
        <w:spacing w:after="0"/>
        <w:rPr>
          <w:sz w:val="20"/>
          <w:szCs w:val="20"/>
          <w:color w:val="auto"/>
        </w:rPr>
      </w:pPr>
      <w:r>
        <w:rPr>
          <w:rFonts w:ascii="Arial" w:cs="Arial" w:eastAsia="Arial" w:hAnsi="Arial"/>
          <w:sz w:val="29"/>
          <w:szCs w:val="29"/>
          <w:b w:val="1"/>
          <w:bCs w:val="1"/>
          <w:i w:val="1"/>
          <w:iCs w:val="1"/>
          <w:u w:val="single" w:color="auto"/>
          <w:color w:val="1E295B"/>
        </w:rPr>
        <w:t>Peter E. Nordstrom</w:t>
      </w:r>
    </w:p>
    <w:p>
      <w:pPr>
        <w:sectPr>
          <w:pgSz w:w="11900" w:h="16838" w:orient="portrait"/>
          <w:cols w:equalWidth="0" w:num="1">
            <w:col w:w="10880"/>
          </w:cols>
          <w:pgMar w:left="500" w:top="27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i w:val="1"/>
          <w:iCs w:val="1"/>
          <w:color w:val="1E295B"/>
        </w:rPr>
        <w:t>Director</w:t>
      </w:r>
    </w:p>
    <w:p>
      <w:pPr>
        <w:spacing w:after="0" w:line="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1E295B"/>
        </w:rPr>
        <w:t>Joined the Board: 2006</w:t>
      </w:r>
    </w:p>
    <w:p>
      <w:pPr>
        <w:jc w:val="center"/>
        <w:ind w:left="520"/>
        <w:spacing w:after="0"/>
        <w:rPr>
          <w:sz w:val="20"/>
          <w:szCs w:val="20"/>
          <w:color w:val="auto"/>
        </w:rPr>
      </w:pPr>
      <w:r>
        <w:rPr>
          <w:rFonts w:ascii="Arial" w:cs="Arial" w:eastAsia="Arial" w:hAnsi="Arial"/>
          <w:sz w:val="18"/>
          <w:szCs w:val="18"/>
          <w:b w:val="1"/>
          <w:bCs w:val="1"/>
          <w:color w:val="1E295B"/>
        </w:rPr>
        <w:t>Age 61</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E295B"/>
        </w:rPr>
        <w:t>Committee Memberships</w:t>
      </w:r>
    </w:p>
    <w:p>
      <w:pPr>
        <w:spacing w:after="0" w:line="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08"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Mr. Nordstrom has spent more than 40 years with the Company, holding positions of increasing responsibility that have spanned all aspects of the retail business. Throughout his career, he has helped Nordstrom innovate the customer shopping experience and redefine the role fashion plays in customers’ lives through bold investments in emerging categories and partnerships with both established and new brands and designers. He has led major strategic initiatives that have strengthened Nordstrom’s reputation in the fashion industry and kept the brand relevant, such as building the designer offering, evolving Nordstrom’s mix of brands and categories and bringing in limited distribution brands as exclusive partners. He also hosts The Nordy Pod, Nordstrom’s first podcast, which he launched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56515</wp:posOffset>
            </wp:positionV>
            <wp:extent cx="1448435" cy="2489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48435" cy="24892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56515</wp:posOffset>
            </wp:positionV>
            <wp:extent cx="1448435" cy="2489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48435" cy="24892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176" w:lineRule="exact"/>
        <w:rPr>
          <w:sz w:val="20"/>
          <w:szCs w:val="20"/>
          <w:color w:val="auto"/>
        </w:rPr>
      </w:pPr>
    </w:p>
    <w:p>
      <w:pPr>
        <w:ind w:left="225" w:hanging="225"/>
        <w:spacing w:after="0"/>
        <w:tabs>
          <w:tab w:leader="none" w:pos="2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2020 to present: President &amp; Chief Brand Officer of Nordstrom, Inc.</w:t>
      </w:r>
    </w:p>
    <w:p>
      <w:pPr>
        <w:spacing w:after="0" w:line="21" w:lineRule="exact"/>
        <w:rPr>
          <w:rFonts w:ascii="Arial" w:cs="Arial" w:eastAsia="Arial" w:hAnsi="Arial"/>
          <w:sz w:val="16"/>
          <w:szCs w:val="16"/>
          <w:color w:val="auto"/>
        </w:rPr>
      </w:pPr>
    </w:p>
    <w:p>
      <w:pPr>
        <w:ind w:left="225" w:hanging="225"/>
        <w:spacing w:after="0"/>
        <w:tabs>
          <w:tab w:leader="none" w:pos="2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2015 to 2020: Co-President of Nordstrom,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2006 to 2015: Executive Vice President and President, Merchandising of Nordstrom,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2000 to 2006: Executive Vice President, Full-Line Stores of Nordstrom, Inc.</w:t>
      </w:r>
    </w:p>
    <w:p>
      <w:pPr>
        <w:spacing w:after="0" w:line="5" w:lineRule="exact"/>
        <w:rPr>
          <w:rFonts w:ascii="Arial" w:cs="Arial" w:eastAsia="Arial" w:hAnsi="Arial"/>
          <w:sz w:val="16"/>
          <w:szCs w:val="16"/>
          <w:color w:val="auto"/>
        </w:rPr>
      </w:pPr>
    </w:p>
    <w:p>
      <w:pPr>
        <w:ind w:left="225" w:right="20" w:hanging="225"/>
        <w:spacing w:after="0" w:line="246" w:lineRule="auto"/>
        <w:tabs>
          <w:tab w:leader="none" w:pos="227"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2000: Executive Vice President and Director of Full-Line Store Merchandise Strategy of Nordstrom, Inc.</w:t>
      </w:r>
    </w:p>
    <w:p>
      <w:pPr>
        <w:spacing w:after="0" w:line="189" w:lineRule="exact"/>
        <w:rPr>
          <w:rFonts w:ascii="Arial" w:cs="Arial" w:eastAsia="Arial" w:hAnsi="Arial"/>
          <w:sz w:val="16"/>
          <w:szCs w:val="16"/>
          <w:color w:val="auto"/>
        </w:rPr>
      </w:pPr>
    </w:p>
    <w:p>
      <w:pPr>
        <w:ind w:left="225" w:hanging="225"/>
        <w:spacing w:after="0"/>
        <w:tabs>
          <w:tab w:leader="none" w:pos="2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1995 to 2000: Co-President of Nordstrom,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1978 to 1995: various other management and sales positions of increasing responsibility</w:t>
      </w:r>
    </w:p>
    <w:p>
      <w:pPr>
        <w:spacing w:after="0" w:line="107"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580" w:type="dxa"/>
            <w:vAlign w:val="bottom"/>
          </w:tcPr>
          <w:p>
            <w:pPr>
              <w:spacing w:after="0"/>
              <w:rPr>
                <w:sz w:val="18"/>
                <w:szCs w:val="18"/>
                <w:color w:val="auto"/>
              </w:rPr>
            </w:pPr>
          </w:p>
        </w:tc>
        <w:tc>
          <w:tcPr>
            <w:tcW w:w="3920" w:type="dxa"/>
            <w:vAlign w:val="bottom"/>
            <w:gridSpan w:val="2"/>
          </w:tcPr>
          <w:p>
            <w:pPr>
              <w:ind w:left="580"/>
              <w:spacing w:after="0"/>
              <w:rPr>
                <w:sz w:val="20"/>
                <w:szCs w:val="20"/>
                <w:color w:val="auto"/>
              </w:rPr>
            </w:pPr>
            <w:r>
              <w:rPr>
                <w:rFonts w:ascii="Arial" w:cs="Arial" w:eastAsia="Arial" w:hAnsi="Arial"/>
                <w:sz w:val="18"/>
                <w:szCs w:val="18"/>
                <w:b w:val="1"/>
                <w:bCs w:val="1"/>
                <w:color w:val="1E295B"/>
                <w:w w:val="99"/>
              </w:rPr>
              <w:t>Previous Public Boards in Past 5 Years</w:t>
            </w:r>
          </w:p>
        </w:tc>
      </w:tr>
      <w:tr>
        <w:trPr>
          <w:trHeight w:val="20"/>
        </w:trPr>
        <w:tc>
          <w:tcPr>
            <w:tcW w:w="2440" w:type="dxa"/>
            <w:vAlign w:val="bottom"/>
            <w:shd w:val="clear" w:color="auto" w:fill="1E295B"/>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r>
      <w:tr>
        <w:trPr>
          <w:trHeight w:val="302"/>
        </w:trPr>
        <w:tc>
          <w:tcPr>
            <w:tcW w:w="2440" w:type="dxa"/>
            <w:vAlign w:val="bottom"/>
          </w:tcPr>
          <w:p>
            <w:pPr>
              <w:spacing w:after="0"/>
              <w:rPr>
                <w:sz w:val="20"/>
                <w:szCs w:val="20"/>
                <w:color w:val="auto"/>
              </w:rPr>
            </w:pPr>
            <w:r>
              <w:rPr>
                <w:rFonts w:ascii="Arial" w:cs="Arial" w:eastAsia="Arial" w:hAnsi="Arial"/>
                <w:sz w:val="16"/>
                <w:szCs w:val="16"/>
                <w:color w:val="auto"/>
              </w:rPr>
              <w:t>None</w:t>
            </w:r>
          </w:p>
        </w:tc>
        <w:tc>
          <w:tcPr>
            <w:tcW w:w="580" w:type="dxa"/>
            <w:vAlign w:val="bottom"/>
          </w:tcPr>
          <w:p>
            <w:pPr>
              <w:spacing w:after="0"/>
              <w:rPr>
                <w:sz w:val="24"/>
                <w:szCs w:val="24"/>
                <w:color w:val="auto"/>
              </w:rPr>
            </w:pPr>
          </w:p>
        </w:tc>
        <w:tc>
          <w:tcPr>
            <w:tcW w:w="3920" w:type="dxa"/>
            <w:vAlign w:val="bottom"/>
            <w:gridSpan w:val="2"/>
          </w:tcPr>
          <w:p>
            <w:pPr>
              <w:ind w:left="580"/>
              <w:spacing w:after="0"/>
              <w:rPr>
                <w:sz w:val="20"/>
                <w:szCs w:val="20"/>
                <w:color w:val="auto"/>
              </w:rPr>
            </w:pPr>
            <w:r>
              <w:rPr>
                <w:rFonts w:ascii="Arial" w:cs="Arial" w:eastAsia="Arial" w:hAnsi="Arial"/>
                <w:sz w:val="16"/>
                <w:szCs w:val="16"/>
                <w:color w:val="auto"/>
              </w:rPr>
              <w:t>None</w:t>
            </w:r>
          </w:p>
        </w:tc>
      </w:tr>
    </w:tbl>
    <w:p>
      <w:pPr>
        <w:spacing w:after="0" w:line="200" w:lineRule="exact"/>
        <w:rPr>
          <w:sz w:val="20"/>
          <w:szCs w:val="20"/>
          <w:color w:val="auto"/>
        </w:rPr>
      </w:pPr>
    </w:p>
    <w:p>
      <w:pPr>
        <w:sectPr>
          <w:pgSz w:w="11900" w:h="16838" w:orient="portrait"/>
          <w:cols w:equalWidth="0" w:num="2">
            <w:col w:w="2660" w:space="615"/>
            <w:col w:w="7605"/>
          </w:cols>
          <w:pgMar w:left="500" w:top="270" w:right="519" w:bottom="1440" w:gutter="0" w:footer="0" w:header="0"/>
          <w:type w:val="continuous"/>
        </w:sectPr>
      </w:pPr>
    </w:p>
    <w:p>
      <w:pPr>
        <w:spacing w:after="0" w:line="11" w:lineRule="exact"/>
        <w:rPr>
          <w:sz w:val="20"/>
          <w:szCs w:val="20"/>
          <w:color w:val="auto"/>
        </w:rPr>
      </w:pPr>
    </w:p>
    <w:p>
      <w:pPr>
        <w:ind w:left="60"/>
        <w:spacing w:after="0" w:line="282" w:lineRule="auto"/>
        <w:rPr>
          <w:sz w:val="20"/>
          <w:szCs w:val="20"/>
          <w:color w:val="auto"/>
        </w:rPr>
      </w:pPr>
      <w:r>
        <w:rPr>
          <w:rFonts w:ascii="Arial" w:cs="Arial" w:eastAsia="Arial" w:hAnsi="Arial"/>
          <w:sz w:val="14"/>
          <w:szCs w:val="14"/>
          <w:i w:val="1"/>
          <w:iCs w:val="1"/>
          <w:color w:val="auto"/>
        </w:rPr>
        <w:t>Erik Nordstrom and Peter Nordstrom are brothers, great-grandsons of the Company’s founder and the second cousins of James Nordstrom, Jr., Chief Stores Officer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313055</wp:posOffset>
            </wp:positionV>
            <wp:extent cx="1020445"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1997075" cy="3454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9707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1E295B"/>
        </w:rPr>
        <w:t>Independent Director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1E295B"/>
        </w:rPr>
        <w:t>Joined the Board: 2023</w:t>
      </w:r>
    </w:p>
    <w:p>
      <w:pPr>
        <w:ind w:left="1280"/>
        <w:spacing w:after="0"/>
        <w:rPr>
          <w:sz w:val="20"/>
          <w:szCs w:val="20"/>
          <w:color w:val="auto"/>
        </w:rPr>
      </w:pPr>
      <w:r>
        <w:rPr>
          <w:rFonts w:ascii="Arial" w:cs="Arial" w:eastAsia="Arial" w:hAnsi="Arial"/>
          <w:sz w:val="18"/>
          <w:szCs w:val="18"/>
          <w:b w:val="1"/>
          <w:bCs w:val="1"/>
          <w:color w:val="1E295B"/>
        </w:rPr>
        <w:t>Age 59</w:t>
      </w:r>
    </w:p>
    <w:p>
      <w:pPr>
        <w:spacing w:after="0" w:line="26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1E295B"/>
        </w:rPr>
        <w:t>Nordstrom Board</w:t>
      </w:r>
    </w:p>
    <w:p>
      <w:pPr>
        <w:spacing w:after="0" w:line="14"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1E295B"/>
        </w:rPr>
        <w:t>Committee Memberships</w:t>
      </w:r>
    </w:p>
    <w:p>
      <w:pPr>
        <w:spacing w:after="0" w:line="7"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1103630</wp:posOffset>
            </wp:positionV>
            <wp:extent cx="1997075" cy="29317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997075" cy="2931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4826000" cy="768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826000" cy="76835"/>
                    </a:xfrm>
                    <a:prstGeom prst="rect">
                      <a:avLst/>
                    </a:prstGeom>
                    <a:noFill/>
                  </pic:spPr>
                </pic:pic>
              </a:graphicData>
            </a:graphic>
          </wp:anchor>
        </w:drawing>
      </w:r>
    </w:p>
    <w:p>
      <w:pPr>
        <w:spacing w:after="0" w:line="350" w:lineRule="exact"/>
        <w:rPr>
          <w:sz w:val="20"/>
          <w:szCs w:val="20"/>
          <w:color w:val="auto"/>
        </w:rPr>
      </w:pPr>
    </w:p>
    <w:p>
      <w:pPr>
        <w:ind w:left="5"/>
        <w:spacing w:after="0"/>
        <w:rPr>
          <w:sz w:val="20"/>
          <w:szCs w:val="20"/>
          <w:color w:val="auto"/>
        </w:rPr>
      </w:pPr>
      <w:r>
        <w:rPr>
          <w:rFonts w:ascii="Arial" w:cs="Arial" w:eastAsia="Arial" w:hAnsi="Arial"/>
          <w:sz w:val="29"/>
          <w:szCs w:val="29"/>
          <w:b w:val="1"/>
          <w:bCs w:val="1"/>
          <w:i w:val="1"/>
          <w:iCs w:val="1"/>
          <w:u w:val="single" w:color="auto"/>
          <w:color w:val="1E295B"/>
        </w:rPr>
        <w:t>Eric D. Sprunk</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49"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Mr. Sprunk brings to the Board more than 25 years of leadership experience in the consumer retail industry and a track record of driving financial performance and large-scale transformations within a complex global business. He has significant experience in marketing, finance and accounting as well as operational expertise in key functions that include manufacturing, sourcing, sales and procurement, and product development. His service on public company boards provides additional experience with corporate governance matters, assessing risk and overseeing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2459990" cy="2489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59990" cy="2489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216" w:lineRule="exact"/>
        <w:rPr>
          <w:sz w:val="20"/>
          <w:szCs w:val="20"/>
          <w:color w:val="auto"/>
        </w:rPr>
      </w:pPr>
    </w:p>
    <w:p>
      <w:pPr>
        <w:ind w:left="225" w:hanging="225"/>
        <w:spacing w:after="0"/>
        <w:tabs>
          <w:tab w:leader="none" w:pos="225"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2013 to 2020: Chief Operating Officer of Nike Inc., a global apparel company</w:t>
      </w:r>
    </w:p>
    <w:p>
      <w:pPr>
        <w:spacing w:after="0" w:line="21" w:lineRule="exact"/>
        <w:rPr>
          <w:rFonts w:ascii="Arial" w:cs="Arial" w:eastAsia="Arial" w:hAnsi="Arial"/>
          <w:sz w:val="16"/>
          <w:szCs w:val="16"/>
          <w:color w:val="auto"/>
        </w:rPr>
      </w:pPr>
    </w:p>
    <w:p>
      <w:pPr>
        <w:ind w:left="225" w:hanging="225"/>
        <w:spacing w:after="0"/>
        <w:tabs>
          <w:tab w:leader="none" w:pos="225"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2008 to 2015: Executive Vice President of Global Product and Merchandising of Nike</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2001 to 2008: Executive Vice President of Global Footwear of Nike</w:t>
      </w:r>
    </w:p>
    <w:p>
      <w:pPr>
        <w:spacing w:after="0" w:line="5" w:lineRule="exact"/>
        <w:rPr>
          <w:rFonts w:ascii="Arial" w:cs="Arial" w:eastAsia="Arial" w:hAnsi="Arial"/>
          <w:sz w:val="16"/>
          <w:szCs w:val="16"/>
          <w:color w:val="auto"/>
        </w:rPr>
      </w:pPr>
    </w:p>
    <w:p>
      <w:pPr>
        <w:jc w:val="both"/>
        <w:ind w:left="225" w:hanging="225"/>
        <w:spacing w:after="0" w:line="246" w:lineRule="auto"/>
        <w:tabs>
          <w:tab w:leader="none" w:pos="227" w:val="left"/>
        </w:tabs>
        <w:numPr>
          <w:ilvl w:val="0"/>
          <w:numId w:val="48"/>
        </w:numPr>
        <w:rPr>
          <w:rFonts w:ascii="Arial" w:cs="Arial" w:eastAsia="Arial" w:hAnsi="Arial"/>
          <w:sz w:val="16"/>
          <w:szCs w:val="16"/>
          <w:color w:val="auto"/>
        </w:rPr>
      </w:pPr>
      <w:r>
        <w:rPr>
          <w:rFonts w:ascii="Arial" w:cs="Arial" w:eastAsia="Arial" w:hAnsi="Arial"/>
          <w:sz w:val="16"/>
          <w:szCs w:val="16"/>
          <w:color w:val="auto"/>
        </w:rPr>
        <w:t>1993 to 2001: Various executive roles at Nike, including Vice/General Manager of America’s Region, General Manager of Footwear Europe, Middle East and Africa, and Chief Financial Officer of Europe, Middle East and Africa</w:t>
      </w:r>
    </w:p>
    <w:p>
      <w:pPr>
        <w:spacing w:after="0" w:line="1" w:lineRule="exact"/>
        <w:rPr>
          <w:rFonts w:ascii="Arial" w:cs="Arial" w:eastAsia="Arial" w:hAnsi="Arial"/>
          <w:sz w:val="16"/>
          <w:szCs w:val="16"/>
          <w:color w:val="auto"/>
        </w:rPr>
      </w:pPr>
    </w:p>
    <w:p>
      <w:pPr>
        <w:ind w:left="225" w:hanging="225"/>
        <w:spacing w:after="0"/>
        <w:tabs>
          <w:tab w:leader="none" w:pos="225" w:val="left"/>
        </w:tabs>
        <w:numPr>
          <w:ilvl w:val="0"/>
          <w:numId w:val="48"/>
        </w:numPr>
        <w:rPr>
          <w:rFonts w:ascii="Arial" w:cs="Arial" w:eastAsia="Arial" w:hAnsi="Arial"/>
          <w:sz w:val="16"/>
          <w:szCs w:val="16"/>
          <w:color w:val="auto"/>
        </w:rPr>
      </w:pPr>
      <w:r>
        <w:rPr>
          <w:rFonts w:ascii="Arial" w:cs="Arial" w:eastAsia="Arial" w:hAnsi="Arial"/>
          <w:sz w:val="16"/>
          <w:szCs w:val="16"/>
          <w:color w:val="auto"/>
        </w:rPr>
        <w:t>1987 to 1993: Certified public accountant at Price-Waterhouse</w:t>
      </w:r>
    </w:p>
    <w:p>
      <w:pPr>
        <w:spacing w:after="0" w:line="93"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640" w:type="dxa"/>
            <w:vAlign w:val="bottom"/>
          </w:tcPr>
          <w:p>
            <w:pPr>
              <w:spacing w:after="0"/>
              <w:rPr>
                <w:sz w:val="17"/>
                <w:szCs w:val="17"/>
                <w:color w:val="auto"/>
              </w:rPr>
            </w:pPr>
          </w:p>
        </w:tc>
        <w:tc>
          <w:tcPr>
            <w:tcW w:w="3860" w:type="dxa"/>
            <w:vAlign w:val="bottom"/>
            <w:gridSpan w:val="2"/>
          </w:tcPr>
          <w:p>
            <w:pPr>
              <w:ind w:left="520"/>
              <w:spacing w:after="0"/>
              <w:rPr>
                <w:sz w:val="20"/>
                <w:szCs w:val="20"/>
                <w:color w:val="auto"/>
              </w:rPr>
            </w:pPr>
            <w:r>
              <w:rPr>
                <w:rFonts w:ascii="Arial" w:cs="Arial" w:eastAsia="Arial" w:hAnsi="Arial"/>
                <w:sz w:val="18"/>
                <w:szCs w:val="18"/>
                <w:b w:val="1"/>
                <w:bCs w:val="1"/>
                <w:color w:val="1E295B"/>
                <w:w w:val="99"/>
              </w:rPr>
              <w:t>Previous Public Boards in Past 5 Years</w:t>
            </w:r>
          </w:p>
        </w:tc>
      </w:tr>
      <w:tr>
        <w:trPr>
          <w:trHeight w:val="20"/>
        </w:trPr>
        <w:tc>
          <w:tcPr>
            <w:tcW w:w="2440" w:type="dxa"/>
            <w:vAlign w:val="bottom"/>
            <w:shd w:val="clear" w:color="auto" w:fill="1E295B"/>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r>
      <w:tr>
        <w:trPr>
          <w:trHeight w:val="315"/>
        </w:trPr>
        <w:tc>
          <w:tcPr>
            <w:tcW w:w="2440" w:type="dxa"/>
            <w:vAlign w:val="bottom"/>
          </w:tcPr>
          <w:p>
            <w:pPr>
              <w:spacing w:after="0"/>
              <w:rPr>
                <w:sz w:val="20"/>
                <w:szCs w:val="20"/>
                <w:color w:val="auto"/>
              </w:rPr>
            </w:pPr>
            <w:r>
              <w:rPr>
                <w:rFonts w:ascii="Arial" w:cs="Arial" w:eastAsia="Arial" w:hAnsi="Arial"/>
                <w:sz w:val="16"/>
                <w:szCs w:val="16"/>
                <w:color w:val="auto"/>
              </w:rPr>
              <w:t>Bombardier Inc. (2021 to present)</w:t>
            </w:r>
          </w:p>
        </w:tc>
        <w:tc>
          <w:tcPr>
            <w:tcW w:w="640" w:type="dxa"/>
            <w:vAlign w:val="bottom"/>
          </w:tcPr>
          <w:p>
            <w:pPr>
              <w:spacing w:after="0"/>
              <w:rPr>
                <w:sz w:val="24"/>
                <w:szCs w:val="24"/>
                <w:color w:val="auto"/>
              </w:rPr>
            </w:pPr>
          </w:p>
        </w:tc>
        <w:tc>
          <w:tcPr>
            <w:tcW w:w="3860" w:type="dxa"/>
            <w:vAlign w:val="bottom"/>
            <w:gridSpan w:val="2"/>
          </w:tcPr>
          <w:p>
            <w:pPr>
              <w:ind w:left="520"/>
              <w:spacing w:after="0"/>
              <w:rPr>
                <w:sz w:val="20"/>
                <w:szCs w:val="20"/>
                <w:color w:val="auto"/>
              </w:rPr>
            </w:pPr>
            <w:r>
              <w:rPr>
                <w:rFonts w:ascii="Arial" w:cs="Arial" w:eastAsia="Arial" w:hAnsi="Arial"/>
                <w:sz w:val="16"/>
                <w:szCs w:val="16"/>
                <w:color w:val="auto"/>
              </w:rPr>
              <w:t>None</w:t>
            </w:r>
          </w:p>
        </w:tc>
      </w:tr>
      <w:tr>
        <w:trPr>
          <w:trHeight w:val="284"/>
        </w:trPr>
        <w:tc>
          <w:tcPr>
            <w:tcW w:w="3080" w:type="dxa"/>
            <w:vAlign w:val="bottom"/>
            <w:gridSpan w:val="2"/>
          </w:tcPr>
          <w:p>
            <w:pPr>
              <w:spacing w:after="0"/>
              <w:rPr>
                <w:sz w:val="20"/>
                <w:szCs w:val="20"/>
                <w:color w:val="auto"/>
              </w:rPr>
            </w:pPr>
            <w:r>
              <w:rPr>
                <w:rFonts w:ascii="Arial" w:cs="Arial" w:eastAsia="Arial" w:hAnsi="Arial"/>
                <w:sz w:val="16"/>
                <w:szCs w:val="16"/>
                <w:color w:val="auto"/>
              </w:rPr>
              <w:t>General Mills, Inc. (2015 to present)</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4826000" cy="768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826000" cy="76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655"/>
            <w:col w:w="7605"/>
          </w:cols>
          <w:pgMar w:left="500" w:top="27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1E295B"/>
        </w:rPr>
        <w:t>Independent Director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1E295B"/>
        </w:rPr>
        <w:t>Joined the Board: 2022</w:t>
      </w:r>
    </w:p>
    <w:p>
      <w:pPr>
        <w:ind w:left="1280"/>
        <w:spacing w:after="0"/>
        <w:rPr>
          <w:sz w:val="20"/>
          <w:szCs w:val="20"/>
          <w:color w:val="auto"/>
        </w:rPr>
      </w:pPr>
      <w:r>
        <w:rPr>
          <w:rFonts w:ascii="Arial" w:cs="Arial" w:eastAsia="Arial" w:hAnsi="Arial"/>
          <w:sz w:val="18"/>
          <w:szCs w:val="18"/>
          <w:b w:val="1"/>
          <w:bCs w:val="1"/>
          <w:color w:val="1E295B"/>
        </w:rPr>
        <w:t>Age 48</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E295B"/>
        </w:rPr>
        <w:t>Committee Memberships</w:t>
      </w:r>
    </w:p>
    <w:p>
      <w:pPr>
        <w:spacing w:after="0" w:line="3"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AFC (Chair)</w:t>
      </w:r>
    </w:p>
    <w:p>
      <w:pPr>
        <w:jc w:val="center"/>
        <w:ind w:left="520"/>
        <w:spacing w:after="0"/>
        <w:rPr>
          <w:sz w:val="20"/>
          <w:szCs w:val="20"/>
          <w:color w:val="auto"/>
        </w:rPr>
      </w:pPr>
      <w:r>
        <w:rPr>
          <w:rFonts w:ascii="Arial" w:cs="Arial" w:eastAsia="Arial" w:hAnsi="Arial"/>
          <w:sz w:val="18"/>
          <w:szCs w:val="18"/>
          <w:b w:val="1"/>
          <w:bCs w:val="1"/>
          <w:color w:val="auto"/>
        </w:rPr>
        <w:t>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666115</wp:posOffset>
            </wp:positionV>
            <wp:extent cx="1019810"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
        <w:spacing w:after="0"/>
        <w:rPr>
          <w:sz w:val="20"/>
          <w:szCs w:val="20"/>
          <w:color w:val="auto"/>
        </w:rPr>
      </w:pPr>
      <w:r>
        <w:rPr>
          <w:rFonts w:ascii="Arial" w:cs="Arial" w:eastAsia="Arial" w:hAnsi="Arial"/>
          <w:sz w:val="29"/>
          <w:szCs w:val="29"/>
          <w:b w:val="1"/>
          <w:bCs w:val="1"/>
          <w:i w:val="1"/>
          <w:iCs w:val="1"/>
          <w:u w:val="single" w:color="auto"/>
          <w:color w:val="1E295B"/>
        </w:rPr>
        <w:t>Amie Thuener O’Toole</w:t>
      </w:r>
    </w:p>
    <w:p>
      <w:pPr>
        <w:spacing w:after="0" w:line="150"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49"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Ms. Thuener O’Toole brings to the Board more than 25 years of finance and accounting experience. Her experience in a variety of senior leadership roles at some of the world’s most innovative companies brings valuable perspectives in finance and accounting matters, including financial planning and reporting, risk assessment, incentive compensation plans and finance advice and support for all mergers and acquisitions activities. She brings to the Board a wealth of knowledge and expertise regarding strategic finance in the context of a rapidly growing and quickly-changing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124460</wp:posOffset>
            </wp:positionV>
            <wp:extent cx="188595" cy="1968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115570</wp:posOffset>
            </wp:positionV>
            <wp:extent cx="1234440" cy="2057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34440" cy="20574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216" w:lineRule="exact"/>
        <w:rPr>
          <w:sz w:val="20"/>
          <w:szCs w:val="20"/>
          <w:color w:val="auto"/>
        </w:rPr>
      </w:pPr>
    </w:p>
    <w:p>
      <w:pPr>
        <w:ind w:left="225" w:right="20" w:hanging="225"/>
        <w:spacing w:after="0" w:line="256" w:lineRule="auto"/>
        <w:tabs>
          <w:tab w:leader="none" w:pos="227" w:val="left"/>
        </w:tabs>
        <w:numPr>
          <w:ilvl w:val="0"/>
          <w:numId w:val="49"/>
        </w:numPr>
        <w:rPr>
          <w:rFonts w:ascii="Arial" w:cs="Arial" w:eastAsia="Arial" w:hAnsi="Arial"/>
          <w:sz w:val="16"/>
          <w:szCs w:val="16"/>
          <w:color w:val="auto"/>
        </w:rPr>
      </w:pPr>
      <w:r>
        <w:rPr>
          <w:rFonts w:ascii="Arial" w:cs="Arial" w:eastAsia="Arial" w:hAnsi="Arial"/>
          <w:sz w:val="16"/>
          <w:szCs w:val="16"/>
          <w:color w:val="auto"/>
        </w:rPr>
        <w:t>2018 to present: Vice President and Chief Accounting Officer of Alphabet Inc., one of the world’s leading technology conglomerate holding companies</w:t>
      </w:r>
    </w:p>
    <w:p>
      <w:pPr>
        <w:spacing w:after="0" w:line="1" w:lineRule="exact"/>
        <w:rPr>
          <w:rFonts w:ascii="Arial" w:cs="Arial" w:eastAsia="Arial" w:hAnsi="Arial"/>
          <w:sz w:val="16"/>
          <w:szCs w:val="16"/>
          <w:color w:val="auto"/>
        </w:rPr>
      </w:pPr>
    </w:p>
    <w:p>
      <w:pPr>
        <w:ind w:left="225" w:hanging="225"/>
        <w:spacing w:after="0"/>
        <w:tabs>
          <w:tab w:leader="none" w:pos="225" w:val="left"/>
        </w:tabs>
        <w:numPr>
          <w:ilvl w:val="0"/>
          <w:numId w:val="49"/>
        </w:numPr>
        <w:rPr>
          <w:rFonts w:ascii="Arial" w:cs="Arial" w:eastAsia="Arial" w:hAnsi="Arial"/>
          <w:sz w:val="16"/>
          <w:szCs w:val="16"/>
          <w:color w:val="auto"/>
        </w:rPr>
      </w:pPr>
      <w:r>
        <w:rPr>
          <w:rFonts w:ascii="Arial" w:cs="Arial" w:eastAsia="Arial" w:hAnsi="Arial"/>
          <w:sz w:val="16"/>
          <w:szCs w:val="16"/>
          <w:color w:val="auto"/>
        </w:rPr>
        <w:t>2013 to 2018: Vice President and Chief Accountant of Alphabet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49"/>
        </w:numPr>
        <w:rPr>
          <w:rFonts w:ascii="Arial" w:cs="Arial" w:eastAsia="Arial" w:hAnsi="Arial"/>
          <w:sz w:val="16"/>
          <w:szCs w:val="16"/>
          <w:color w:val="auto"/>
        </w:rPr>
      </w:pPr>
      <w:r>
        <w:rPr>
          <w:rFonts w:ascii="Arial" w:cs="Arial" w:eastAsia="Arial" w:hAnsi="Arial"/>
          <w:sz w:val="16"/>
          <w:szCs w:val="16"/>
          <w:color w:val="auto"/>
        </w:rPr>
        <w:t>1996 to 2012: Managing Director, Transaction Services of PricewaterhouseCoopers</w:t>
      </w:r>
    </w:p>
    <w:p>
      <w:pPr>
        <w:spacing w:after="0" w:line="120"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580" w:type="dxa"/>
            <w:vAlign w:val="bottom"/>
          </w:tcPr>
          <w:p>
            <w:pPr>
              <w:spacing w:after="0"/>
              <w:rPr>
                <w:sz w:val="18"/>
                <w:szCs w:val="18"/>
                <w:color w:val="auto"/>
              </w:rPr>
            </w:pPr>
          </w:p>
        </w:tc>
        <w:tc>
          <w:tcPr>
            <w:tcW w:w="3920" w:type="dxa"/>
            <w:vAlign w:val="bottom"/>
            <w:gridSpan w:val="2"/>
          </w:tcPr>
          <w:p>
            <w:pPr>
              <w:ind w:left="580"/>
              <w:spacing w:after="0"/>
              <w:rPr>
                <w:sz w:val="20"/>
                <w:szCs w:val="20"/>
                <w:color w:val="auto"/>
              </w:rPr>
            </w:pPr>
            <w:r>
              <w:rPr>
                <w:rFonts w:ascii="Arial" w:cs="Arial" w:eastAsia="Arial" w:hAnsi="Arial"/>
                <w:sz w:val="18"/>
                <w:szCs w:val="18"/>
                <w:b w:val="1"/>
                <w:bCs w:val="1"/>
                <w:color w:val="1E295B"/>
                <w:w w:val="99"/>
              </w:rPr>
              <w:t>Previous Public Boards in Past 5 Years</w:t>
            </w:r>
          </w:p>
        </w:tc>
        <w:tc>
          <w:tcPr>
            <w:tcW w:w="660" w:type="dxa"/>
            <w:vAlign w:val="bottom"/>
          </w:tcPr>
          <w:p>
            <w:pPr>
              <w:spacing w:after="0"/>
              <w:rPr>
                <w:sz w:val="18"/>
                <w:szCs w:val="18"/>
                <w:color w:val="auto"/>
              </w:rPr>
            </w:pPr>
          </w:p>
        </w:tc>
      </w:tr>
      <w:tr>
        <w:trPr>
          <w:trHeight w:val="20"/>
        </w:trPr>
        <w:tc>
          <w:tcPr>
            <w:tcW w:w="2440" w:type="dxa"/>
            <w:vAlign w:val="bottom"/>
            <w:shd w:val="clear" w:color="auto" w:fill="1E295B"/>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2"/>
        </w:trPr>
        <w:tc>
          <w:tcPr>
            <w:tcW w:w="2440" w:type="dxa"/>
            <w:vAlign w:val="bottom"/>
          </w:tcPr>
          <w:p>
            <w:pPr>
              <w:spacing w:after="0"/>
              <w:rPr>
                <w:sz w:val="20"/>
                <w:szCs w:val="20"/>
                <w:color w:val="auto"/>
              </w:rPr>
            </w:pPr>
            <w:r>
              <w:rPr>
                <w:rFonts w:ascii="Arial" w:cs="Arial" w:eastAsia="Arial" w:hAnsi="Arial"/>
                <w:sz w:val="16"/>
                <w:szCs w:val="16"/>
                <w:color w:val="auto"/>
              </w:rPr>
              <w:t>None</w:t>
            </w:r>
          </w:p>
        </w:tc>
        <w:tc>
          <w:tcPr>
            <w:tcW w:w="580" w:type="dxa"/>
            <w:vAlign w:val="bottom"/>
          </w:tcPr>
          <w:p>
            <w:pPr>
              <w:spacing w:after="0"/>
              <w:rPr>
                <w:sz w:val="24"/>
                <w:szCs w:val="24"/>
                <w:color w:val="auto"/>
              </w:rPr>
            </w:pPr>
          </w:p>
        </w:tc>
        <w:tc>
          <w:tcPr>
            <w:tcW w:w="3920" w:type="dxa"/>
            <w:vAlign w:val="bottom"/>
            <w:gridSpan w:val="2"/>
          </w:tcPr>
          <w:p>
            <w:pPr>
              <w:ind w:left="580"/>
              <w:spacing w:after="0"/>
              <w:rPr>
                <w:sz w:val="20"/>
                <w:szCs w:val="20"/>
                <w:color w:val="auto"/>
              </w:rPr>
            </w:pPr>
            <w:r>
              <w:rPr>
                <w:rFonts w:ascii="Arial" w:cs="Arial" w:eastAsia="Arial" w:hAnsi="Arial"/>
                <w:sz w:val="16"/>
                <w:szCs w:val="16"/>
                <w:color w:val="auto"/>
              </w:rPr>
              <w:t>None</w:t>
            </w:r>
          </w:p>
        </w:tc>
        <w:tc>
          <w:tcPr>
            <w:tcW w:w="660" w:type="dxa"/>
            <w:vAlign w:val="bottom"/>
          </w:tcPr>
          <w:p>
            <w:pPr>
              <w:spacing w:after="0"/>
              <w:rPr>
                <w:sz w:val="24"/>
                <w:szCs w:val="24"/>
                <w:color w:val="auto"/>
              </w:rPr>
            </w:pPr>
          </w:p>
        </w:tc>
      </w:tr>
      <w:tr>
        <w:trPr>
          <w:trHeight w:val="783"/>
        </w:trPr>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tcPr>
          <w:p>
            <w:pPr>
              <w:ind w:left="1740"/>
              <w:spacing w:after="0"/>
              <w:rPr>
                <w:sz w:val="20"/>
                <w:szCs w:val="20"/>
                <w:color w:val="auto"/>
              </w:rPr>
            </w:pPr>
            <w:r>
              <w:rPr>
                <w:rFonts w:ascii="Arial" w:cs="Arial" w:eastAsia="Arial" w:hAnsi="Arial"/>
                <w:sz w:val="14"/>
                <w:szCs w:val="14"/>
                <w:b w:val="1"/>
                <w:bCs w:val="1"/>
                <w:color w:val="auto"/>
              </w:rPr>
              <w:t>2023 Proxy Statement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258445</wp:posOffset>
            </wp:positionV>
            <wp:extent cx="69094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2">
            <w:col w:w="2660" w:space="615"/>
            <w:col w:w="7605"/>
          </w:cols>
          <w:pgMar w:left="500" w:top="270" w:right="5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1997075" cy="32746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99707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1E295B"/>
        </w:rPr>
        <w:t>Independent Director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1E295B"/>
        </w:rPr>
        <w:t>Joined the Board: 2016</w:t>
      </w:r>
    </w:p>
    <w:p>
      <w:pPr>
        <w:ind w:left="1280"/>
        <w:spacing w:after="0"/>
        <w:rPr>
          <w:sz w:val="20"/>
          <w:szCs w:val="20"/>
          <w:color w:val="auto"/>
        </w:rPr>
      </w:pPr>
      <w:r>
        <w:rPr>
          <w:rFonts w:ascii="Arial" w:cs="Arial" w:eastAsia="Arial" w:hAnsi="Arial"/>
          <w:sz w:val="18"/>
          <w:szCs w:val="18"/>
          <w:b w:val="1"/>
          <w:bCs w:val="1"/>
          <w:color w:val="1E295B"/>
        </w:rPr>
        <w:t>Age 62</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1E295B"/>
        </w:rPr>
        <w:t>Committee Memberships</w:t>
      </w:r>
    </w:p>
    <w:p>
      <w:pPr>
        <w:jc w:val="center"/>
        <w:ind w:left="280"/>
        <w:spacing w:after="0"/>
        <w:rPr>
          <w:sz w:val="20"/>
          <w:szCs w:val="20"/>
          <w:color w:val="auto"/>
        </w:rPr>
      </w:pPr>
      <w:r>
        <w:rPr>
          <w:rFonts w:ascii="Arial" w:cs="Arial" w:eastAsia="Arial" w:hAnsi="Arial"/>
          <w:sz w:val="18"/>
          <w:szCs w:val="18"/>
          <w:b w:val="1"/>
          <w:bCs w:val="1"/>
          <w:color w:val="auto"/>
        </w:rPr>
        <w:t>CGNC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906145</wp:posOffset>
            </wp:positionV>
            <wp:extent cx="1997075" cy="31546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97075" cy="3154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
        <w:spacing w:after="0"/>
        <w:rPr>
          <w:sz w:val="20"/>
          <w:szCs w:val="20"/>
          <w:color w:val="auto"/>
        </w:rPr>
      </w:pPr>
      <w:r>
        <w:rPr>
          <w:rFonts w:ascii="Arial" w:cs="Arial" w:eastAsia="Arial" w:hAnsi="Arial"/>
          <w:sz w:val="29"/>
          <w:szCs w:val="29"/>
          <w:b w:val="1"/>
          <w:bCs w:val="1"/>
          <w:i w:val="1"/>
          <w:iCs w:val="1"/>
          <w:u w:val="single" w:color="auto"/>
          <w:color w:val="1E295B"/>
        </w:rPr>
        <w:t>Bradley D. Tilden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-320675</wp:posOffset>
            </wp:positionV>
            <wp:extent cx="4826000" cy="768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26000" cy="76835"/>
                    </a:xfrm>
                    <a:prstGeom prst="rect">
                      <a:avLst/>
                    </a:prstGeom>
                    <a:noFill/>
                  </pic:spPr>
                </pic:pic>
              </a:graphicData>
            </a:graphic>
          </wp:anchor>
        </w:drawing>
      </w:r>
    </w:p>
    <w:p>
      <w:pPr>
        <w:spacing w:after="0" w:line="144"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49" w:lineRule="exact"/>
        <w:rPr>
          <w:sz w:val="20"/>
          <w:szCs w:val="20"/>
          <w:color w:val="auto"/>
        </w:rPr>
      </w:pPr>
    </w:p>
    <w:p>
      <w:pPr>
        <w:jc w:val="both"/>
        <w:ind w:left="5"/>
        <w:spacing w:after="0" w:line="256" w:lineRule="auto"/>
        <w:rPr>
          <w:sz w:val="20"/>
          <w:szCs w:val="20"/>
          <w:color w:val="auto"/>
        </w:rPr>
      </w:pPr>
      <w:r>
        <w:rPr>
          <w:rFonts w:ascii="Arial" w:cs="Arial" w:eastAsia="Arial" w:hAnsi="Arial"/>
          <w:sz w:val="16"/>
          <w:szCs w:val="16"/>
          <w:color w:val="auto"/>
        </w:rPr>
        <w:t>Mr. Tilden brings to the Board executive, operational, strategic planning and financial experience, as well as insights with respect to customer rewards programs in the consumer services industry. Mr. Tilden’s public company board service provides him with experience with corporate governance matters and key skills in working with directors, understanding board processes and functions, assessing risk and overseeing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106045</wp:posOffset>
            </wp:positionV>
            <wp:extent cx="814070" cy="1974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14070" cy="19748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97155</wp:posOffset>
            </wp:positionV>
            <wp:extent cx="480060" cy="205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0060" cy="20574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216" w:lineRule="exact"/>
        <w:rPr>
          <w:sz w:val="20"/>
          <w:szCs w:val="20"/>
          <w:color w:val="auto"/>
        </w:rPr>
      </w:pPr>
    </w:p>
    <w:p>
      <w:pPr>
        <w:ind w:left="225" w:right="20" w:hanging="225"/>
        <w:spacing w:after="0" w:line="256" w:lineRule="auto"/>
        <w:tabs>
          <w:tab w:leader="none" w:pos="227"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2021 to 2022: Chairman of Alaska Air Group, Inc., an airline holding company comprised of Alaska Airlines, Inc., and Horizon Air, Inc.</w:t>
      </w:r>
    </w:p>
    <w:p>
      <w:pPr>
        <w:spacing w:after="0" w:line="1" w:lineRule="exact"/>
        <w:rPr>
          <w:rFonts w:ascii="Arial" w:cs="Arial" w:eastAsia="Arial" w:hAnsi="Arial"/>
          <w:sz w:val="16"/>
          <w:szCs w:val="16"/>
          <w:color w:val="auto"/>
        </w:rPr>
      </w:pPr>
    </w:p>
    <w:p>
      <w:pPr>
        <w:ind w:left="225" w:hanging="225"/>
        <w:spacing w:after="0"/>
        <w:tabs>
          <w:tab w:leader="none" w:pos="2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2014 to 2021: Chairman and Chief Executive Officer of Alaska Air Group,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2012 to 2014: President and Chief Executive Officer of Alaska Air Group,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2008 to 2012: President of Alaska Air Group,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2002 to 2008: Executive Vice President of Finance and Planning of Alaska Air Group,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2000 to 2008: Chief Financial Officer of Alaska Air Group, Inc.</w:t>
      </w:r>
    </w:p>
    <w:p>
      <w:pPr>
        <w:spacing w:after="0" w:line="5" w:lineRule="exact"/>
        <w:rPr>
          <w:rFonts w:ascii="Arial" w:cs="Arial" w:eastAsia="Arial" w:hAnsi="Arial"/>
          <w:sz w:val="16"/>
          <w:szCs w:val="16"/>
          <w:color w:val="auto"/>
        </w:rPr>
      </w:pPr>
    </w:p>
    <w:p>
      <w:pPr>
        <w:ind w:left="225" w:hanging="225"/>
        <w:spacing w:after="0"/>
        <w:tabs>
          <w:tab w:leader="none" w:pos="2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Prior to 2000: Vice President of Finance at Alaska Air Group, Inc.; PricewaterhouseCoopers</w:t>
      </w:r>
    </w:p>
    <w:p>
      <w:pPr>
        <w:spacing w:after="0" w:line="93"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580" w:type="dxa"/>
            <w:vAlign w:val="bottom"/>
          </w:tcPr>
          <w:p>
            <w:pPr>
              <w:spacing w:after="0"/>
              <w:rPr>
                <w:sz w:val="17"/>
                <w:szCs w:val="17"/>
                <w:color w:val="auto"/>
              </w:rPr>
            </w:pPr>
          </w:p>
        </w:tc>
        <w:tc>
          <w:tcPr>
            <w:tcW w:w="3920" w:type="dxa"/>
            <w:vAlign w:val="bottom"/>
            <w:gridSpan w:val="2"/>
          </w:tcPr>
          <w:p>
            <w:pPr>
              <w:ind w:left="580"/>
              <w:spacing w:after="0"/>
              <w:rPr>
                <w:sz w:val="20"/>
                <w:szCs w:val="20"/>
                <w:color w:val="auto"/>
              </w:rPr>
            </w:pPr>
            <w:r>
              <w:rPr>
                <w:rFonts w:ascii="Arial" w:cs="Arial" w:eastAsia="Arial" w:hAnsi="Arial"/>
                <w:sz w:val="18"/>
                <w:szCs w:val="18"/>
                <w:b w:val="1"/>
                <w:bCs w:val="1"/>
                <w:color w:val="1E295B"/>
                <w:w w:val="99"/>
              </w:rPr>
              <w:t>Previous Public Boards in Past 5 Years</w:t>
            </w:r>
          </w:p>
        </w:tc>
      </w:tr>
      <w:tr>
        <w:trPr>
          <w:trHeight w:val="20"/>
        </w:trPr>
        <w:tc>
          <w:tcPr>
            <w:tcW w:w="2440" w:type="dxa"/>
            <w:vAlign w:val="bottom"/>
            <w:shd w:val="clear" w:color="auto" w:fill="1E295B"/>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r>
      <w:tr>
        <w:trPr>
          <w:trHeight w:val="315"/>
        </w:trPr>
        <w:tc>
          <w:tcPr>
            <w:tcW w:w="2440" w:type="dxa"/>
            <w:vAlign w:val="bottom"/>
          </w:tcPr>
          <w:p>
            <w:pPr>
              <w:spacing w:after="0"/>
              <w:rPr>
                <w:sz w:val="20"/>
                <w:szCs w:val="20"/>
                <w:color w:val="auto"/>
              </w:rPr>
            </w:pPr>
            <w:r>
              <w:rPr>
                <w:rFonts w:ascii="Arial" w:cs="Arial" w:eastAsia="Arial" w:hAnsi="Arial"/>
                <w:sz w:val="16"/>
                <w:szCs w:val="16"/>
                <w:color w:val="auto"/>
              </w:rPr>
              <w:t>None</w:t>
            </w:r>
          </w:p>
        </w:tc>
        <w:tc>
          <w:tcPr>
            <w:tcW w:w="580" w:type="dxa"/>
            <w:vAlign w:val="bottom"/>
          </w:tcPr>
          <w:p>
            <w:pPr>
              <w:spacing w:after="0"/>
              <w:rPr>
                <w:sz w:val="24"/>
                <w:szCs w:val="24"/>
                <w:color w:val="auto"/>
              </w:rPr>
            </w:pPr>
          </w:p>
        </w:tc>
        <w:tc>
          <w:tcPr>
            <w:tcW w:w="3920" w:type="dxa"/>
            <w:vAlign w:val="bottom"/>
            <w:gridSpan w:val="2"/>
          </w:tcPr>
          <w:p>
            <w:pPr>
              <w:ind w:left="580"/>
              <w:spacing w:after="0"/>
              <w:rPr>
                <w:sz w:val="20"/>
                <w:szCs w:val="20"/>
                <w:color w:val="auto"/>
              </w:rPr>
            </w:pPr>
            <w:r>
              <w:rPr>
                <w:rFonts w:ascii="Arial" w:cs="Arial" w:eastAsia="Arial" w:hAnsi="Arial"/>
                <w:sz w:val="16"/>
                <w:szCs w:val="16"/>
                <w:color w:val="auto"/>
              </w:rPr>
              <w:t>Alaska Air Group, Inc. (2010 to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4826000" cy="774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82600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395"/>
            <w:col w:w="7605"/>
          </w:cols>
          <w:pgMar w:left="500" w:top="27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1E295B"/>
        </w:rPr>
        <w:t>Independent Director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1E295B"/>
        </w:rPr>
        <w:t>Joined the Board: 2020</w:t>
      </w:r>
    </w:p>
    <w:p>
      <w:pPr>
        <w:ind w:left="1280"/>
        <w:spacing w:after="0"/>
        <w:rPr>
          <w:sz w:val="20"/>
          <w:szCs w:val="20"/>
          <w:color w:val="auto"/>
        </w:rPr>
      </w:pPr>
      <w:r>
        <w:rPr>
          <w:rFonts w:ascii="Arial" w:cs="Arial" w:eastAsia="Arial" w:hAnsi="Arial"/>
          <w:sz w:val="18"/>
          <w:szCs w:val="18"/>
          <w:b w:val="1"/>
          <w:bCs w:val="1"/>
          <w:color w:val="1E295B"/>
        </w:rPr>
        <w:t>Age 59</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1E295B"/>
        </w:rPr>
        <w:t>Committee Memberships</w:t>
      </w:r>
    </w:p>
    <w:p>
      <w:pPr>
        <w:ind w:left="1320"/>
        <w:spacing w:after="0" w:line="234" w:lineRule="auto"/>
        <w:rPr>
          <w:sz w:val="20"/>
          <w:szCs w:val="20"/>
          <w:color w:val="auto"/>
        </w:rPr>
      </w:pPr>
      <w:r>
        <w:rPr>
          <w:rFonts w:ascii="Arial" w:cs="Arial" w:eastAsia="Arial" w:hAnsi="Arial"/>
          <w:sz w:val="18"/>
          <w:szCs w:val="18"/>
          <w:b w:val="1"/>
          <w:bCs w:val="1"/>
          <w:color w:val="auto"/>
        </w:rPr>
        <w:t>CPCC</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CGNC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
        <w:spacing w:after="0"/>
        <w:rPr>
          <w:sz w:val="20"/>
          <w:szCs w:val="20"/>
          <w:color w:val="auto"/>
        </w:rPr>
      </w:pPr>
      <w:r>
        <w:rPr>
          <w:rFonts w:ascii="Arial" w:cs="Arial" w:eastAsia="Arial" w:hAnsi="Arial"/>
          <w:sz w:val="29"/>
          <w:szCs w:val="29"/>
          <w:b w:val="1"/>
          <w:bCs w:val="1"/>
          <w:i w:val="1"/>
          <w:iCs w:val="1"/>
          <w:u w:val="single" w:color="auto"/>
          <w:color w:val="1E295B"/>
        </w:rPr>
        <w:t>Mark J. Tritton</w:t>
      </w:r>
    </w:p>
    <w:p>
      <w:pPr>
        <w:spacing w:after="0" w:line="150"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49" w:lineRule="exact"/>
        <w:rPr>
          <w:sz w:val="20"/>
          <w:szCs w:val="20"/>
          <w:color w:val="auto"/>
        </w:rPr>
      </w:pPr>
    </w:p>
    <w:p>
      <w:pPr>
        <w:jc w:val="both"/>
        <w:ind w:left="5"/>
        <w:spacing w:after="0" w:line="259" w:lineRule="auto"/>
        <w:rPr>
          <w:sz w:val="20"/>
          <w:szCs w:val="20"/>
          <w:color w:val="auto"/>
        </w:rPr>
      </w:pPr>
      <w:r>
        <w:rPr>
          <w:rFonts w:ascii="Arial" w:cs="Arial" w:eastAsia="Arial" w:hAnsi="Arial"/>
          <w:sz w:val="16"/>
          <w:szCs w:val="16"/>
          <w:color w:val="auto"/>
        </w:rPr>
        <w:t>Mr. Tritton brings to the Board over 30 years of experience in retail and apparel businesses, providing him deep insights into consumer behavior, brand building and operational matters which are key to the Company’s business. In addition, as a former CEO of a public company retailer, Mr. Tritton has unique insights into the challenges facing our Company and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53340</wp:posOffset>
            </wp:positionV>
            <wp:extent cx="2768600" cy="2571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768600" cy="2571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216" w:lineRule="exact"/>
        <w:rPr>
          <w:sz w:val="20"/>
          <w:szCs w:val="20"/>
          <w:color w:val="auto"/>
        </w:rPr>
      </w:pPr>
    </w:p>
    <w:p>
      <w:pPr>
        <w:jc w:val="both"/>
        <w:ind w:left="225" w:hanging="225"/>
        <w:spacing w:after="0" w:line="253" w:lineRule="auto"/>
        <w:tabs>
          <w:tab w:leader="none" w:pos="2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2019 to 2022: President and Chief Executive Officer of Bed Bath &amp; Beyond Inc., an omnichannel retailer selling a wide assortment of domestic merchandise and home furnishings online and through several brand retail storefronts</w:t>
      </w:r>
    </w:p>
    <w:p>
      <w:pPr>
        <w:spacing w:after="0" w:line="1" w:lineRule="exact"/>
        <w:rPr>
          <w:rFonts w:ascii="Arial" w:cs="Arial" w:eastAsia="Arial" w:hAnsi="Arial"/>
          <w:sz w:val="16"/>
          <w:szCs w:val="16"/>
          <w:color w:val="auto"/>
        </w:rPr>
      </w:pPr>
    </w:p>
    <w:p>
      <w:pPr>
        <w:jc w:val="both"/>
        <w:ind w:left="225" w:right="20" w:hanging="225"/>
        <w:spacing w:after="0" w:line="246" w:lineRule="auto"/>
        <w:tabs>
          <w:tab w:leader="none" w:pos="2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2016 to 2019: Executive Vice President and Chief Merchandising Officer of Target Corporation, an omnichannel retailer selling everyday essentials and fashionable, differentiated merchandise at discounted prices online and through several brand retail storefronts</w:t>
      </w:r>
    </w:p>
    <w:p>
      <w:pPr>
        <w:spacing w:after="0" w:line="1" w:lineRule="exact"/>
        <w:rPr>
          <w:rFonts w:ascii="Arial" w:cs="Arial" w:eastAsia="Arial" w:hAnsi="Arial"/>
          <w:sz w:val="16"/>
          <w:szCs w:val="16"/>
          <w:color w:val="auto"/>
        </w:rPr>
      </w:pPr>
    </w:p>
    <w:p>
      <w:pPr>
        <w:ind w:left="225" w:right="20" w:hanging="225"/>
        <w:spacing w:after="0" w:line="265" w:lineRule="auto"/>
        <w:tabs>
          <w:tab w:leader="none" w:pos="227"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2009 to 2016: Executive Vice President and Division President of the Nordstrom Product Group of Nordstrom, Inc.</w:t>
      </w:r>
    </w:p>
    <w:p>
      <w:pPr>
        <w:spacing w:after="0" w:line="73"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580" w:type="dxa"/>
            <w:vAlign w:val="bottom"/>
          </w:tcPr>
          <w:p>
            <w:pPr>
              <w:spacing w:after="0"/>
              <w:rPr>
                <w:sz w:val="18"/>
                <w:szCs w:val="18"/>
                <w:color w:val="auto"/>
              </w:rPr>
            </w:pPr>
          </w:p>
        </w:tc>
        <w:tc>
          <w:tcPr>
            <w:tcW w:w="3920" w:type="dxa"/>
            <w:vAlign w:val="bottom"/>
            <w:gridSpan w:val="2"/>
          </w:tcPr>
          <w:p>
            <w:pPr>
              <w:ind w:left="580"/>
              <w:spacing w:after="0"/>
              <w:rPr>
                <w:sz w:val="20"/>
                <w:szCs w:val="20"/>
                <w:color w:val="auto"/>
              </w:rPr>
            </w:pPr>
            <w:r>
              <w:rPr>
                <w:rFonts w:ascii="Arial" w:cs="Arial" w:eastAsia="Arial" w:hAnsi="Arial"/>
                <w:sz w:val="18"/>
                <w:szCs w:val="18"/>
                <w:b w:val="1"/>
                <w:bCs w:val="1"/>
                <w:color w:val="1E295B"/>
                <w:w w:val="99"/>
              </w:rPr>
              <w:t>Previous Public Boards in Past 5 Years</w:t>
            </w:r>
          </w:p>
        </w:tc>
      </w:tr>
      <w:tr>
        <w:trPr>
          <w:trHeight w:val="20"/>
        </w:trPr>
        <w:tc>
          <w:tcPr>
            <w:tcW w:w="2440" w:type="dxa"/>
            <w:vAlign w:val="bottom"/>
            <w:shd w:val="clear" w:color="auto" w:fill="1E295B"/>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r>
      <w:tr>
        <w:trPr>
          <w:trHeight w:val="302"/>
        </w:trPr>
        <w:tc>
          <w:tcPr>
            <w:tcW w:w="2440" w:type="dxa"/>
            <w:vAlign w:val="bottom"/>
          </w:tcPr>
          <w:p>
            <w:pPr>
              <w:spacing w:after="0"/>
              <w:rPr>
                <w:sz w:val="20"/>
                <w:szCs w:val="20"/>
                <w:color w:val="auto"/>
              </w:rPr>
            </w:pPr>
            <w:r>
              <w:rPr>
                <w:rFonts w:ascii="Arial" w:cs="Arial" w:eastAsia="Arial" w:hAnsi="Arial"/>
                <w:sz w:val="16"/>
                <w:szCs w:val="16"/>
                <w:color w:val="auto"/>
              </w:rPr>
              <w:t>None</w:t>
            </w:r>
          </w:p>
        </w:tc>
        <w:tc>
          <w:tcPr>
            <w:tcW w:w="580" w:type="dxa"/>
            <w:vAlign w:val="bottom"/>
          </w:tcPr>
          <w:p>
            <w:pPr>
              <w:spacing w:after="0"/>
              <w:rPr>
                <w:sz w:val="24"/>
                <w:szCs w:val="24"/>
                <w:color w:val="auto"/>
              </w:rPr>
            </w:pPr>
          </w:p>
        </w:tc>
        <w:tc>
          <w:tcPr>
            <w:tcW w:w="3920" w:type="dxa"/>
            <w:vAlign w:val="bottom"/>
            <w:gridSpan w:val="2"/>
          </w:tcPr>
          <w:p>
            <w:pPr>
              <w:ind w:left="580"/>
              <w:spacing w:after="0"/>
              <w:rPr>
                <w:sz w:val="20"/>
                <w:szCs w:val="20"/>
                <w:color w:val="auto"/>
              </w:rPr>
            </w:pPr>
            <w:r>
              <w:rPr>
                <w:rFonts w:ascii="Arial" w:cs="Arial" w:eastAsia="Arial" w:hAnsi="Arial"/>
                <w:sz w:val="16"/>
                <w:szCs w:val="16"/>
                <w:color w:val="auto"/>
              </w:rPr>
              <w:t>Bed Bath &amp; Beyond Inc. (2019 to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755650</wp:posOffset>
            </wp:positionV>
            <wp:extent cx="6909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361315</wp:posOffset>
            </wp:positionV>
            <wp:extent cx="1020445"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ectPr>
          <w:pgSz w:w="11900" w:h="16838" w:orient="portrait"/>
          <w:cols w:equalWidth="0" w:num="2">
            <w:col w:w="2660" w:space="615"/>
            <w:col w:w="7605"/>
          </w:cols>
          <w:pgMar w:left="500" w:top="270" w:right="5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1997075" cy="2922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9707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1E295B"/>
        </w:rPr>
        <w:t>Independent Director</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1E295B"/>
        </w:rPr>
        <w:t>Joined the Board: 2023</w:t>
      </w:r>
    </w:p>
    <w:p>
      <w:pPr>
        <w:ind w:left="1280"/>
        <w:spacing w:after="0"/>
        <w:rPr>
          <w:sz w:val="20"/>
          <w:szCs w:val="20"/>
          <w:color w:val="auto"/>
        </w:rPr>
      </w:pPr>
      <w:r>
        <w:rPr>
          <w:rFonts w:ascii="Arial" w:cs="Arial" w:eastAsia="Arial" w:hAnsi="Arial"/>
          <w:sz w:val="18"/>
          <w:szCs w:val="18"/>
          <w:b w:val="1"/>
          <w:bCs w:val="1"/>
          <w:color w:val="1E295B"/>
        </w:rPr>
        <w:t>Age 57</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1E295B"/>
        </w:rPr>
        <w:t>Nordstrom Board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1E295B"/>
        </w:rPr>
        <w:t>Committee Memberships</w:t>
      </w:r>
    </w:p>
    <w:p>
      <w:pPr>
        <w:jc w:val="center"/>
        <w:ind w:left="52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786130</wp:posOffset>
            </wp:positionV>
            <wp:extent cx="1019810" cy="1200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4826000" cy="768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826000" cy="76835"/>
                    </a:xfrm>
                    <a:prstGeom prst="rect">
                      <a:avLst/>
                    </a:prstGeom>
                    <a:noFill/>
                  </pic:spPr>
                </pic:pic>
              </a:graphicData>
            </a:graphic>
          </wp:anchor>
        </w:drawing>
      </w:r>
    </w:p>
    <w:p>
      <w:pPr>
        <w:spacing w:after="0" w:line="350" w:lineRule="exact"/>
        <w:rPr>
          <w:sz w:val="20"/>
          <w:szCs w:val="20"/>
          <w:color w:val="auto"/>
        </w:rPr>
      </w:pPr>
    </w:p>
    <w:p>
      <w:pPr>
        <w:ind w:left="5"/>
        <w:spacing w:after="0"/>
        <w:rPr>
          <w:sz w:val="20"/>
          <w:szCs w:val="20"/>
          <w:color w:val="auto"/>
        </w:rPr>
      </w:pPr>
      <w:r>
        <w:rPr>
          <w:rFonts w:ascii="Arial" w:cs="Arial" w:eastAsia="Arial" w:hAnsi="Arial"/>
          <w:sz w:val="29"/>
          <w:szCs w:val="29"/>
          <w:b w:val="1"/>
          <w:bCs w:val="1"/>
          <w:i w:val="1"/>
          <w:iCs w:val="1"/>
          <w:u w:val="single" w:color="auto"/>
          <w:color w:val="1E295B"/>
        </w:rPr>
        <w:t>Atticus N. Tysen</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Skills and Qualifications</w:t>
      </w:r>
    </w:p>
    <w:p>
      <w:pPr>
        <w:spacing w:after="0" w:line="149" w:lineRule="exact"/>
        <w:rPr>
          <w:sz w:val="20"/>
          <w:szCs w:val="20"/>
          <w:color w:val="auto"/>
        </w:rPr>
      </w:pPr>
    </w:p>
    <w:p>
      <w:pPr>
        <w:jc w:val="both"/>
        <w:ind w:left="5"/>
        <w:spacing w:after="0" w:line="256" w:lineRule="auto"/>
        <w:rPr>
          <w:sz w:val="20"/>
          <w:szCs w:val="20"/>
          <w:color w:val="auto"/>
        </w:rPr>
      </w:pPr>
      <w:r>
        <w:rPr>
          <w:rFonts w:ascii="Arial" w:cs="Arial" w:eastAsia="Arial" w:hAnsi="Arial"/>
          <w:sz w:val="16"/>
          <w:szCs w:val="16"/>
          <w:color w:val="auto"/>
        </w:rPr>
        <w:t>Mr. Tysen brings to the board more than three decades of engineering and information security experience. Mr. Tysen also has a wealth of knowledge and expertise regarding technology, cybersecurity and fraud prevention in the context of a rapidly growing and quickly-changing business. His background will add to the diversity of experience already represented across our Board and help us hone an increasingly important area of focus for the retail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106045</wp:posOffset>
            </wp:positionV>
            <wp:extent cx="1560195" cy="2057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60195" cy="20574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1E295B"/>
        </w:rPr>
        <w:t>Career Highlights</w:t>
      </w:r>
    </w:p>
    <w:p>
      <w:pPr>
        <w:spacing w:after="0" w:line="216" w:lineRule="exact"/>
        <w:rPr>
          <w:sz w:val="20"/>
          <w:szCs w:val="20"/>
          <w:color w:val="auto"/>
        </w:rPr>
      </w:pPr>
    </w:p>
    <w:p>
      <w:pPr>
        <w:ind w:left="225" w:hanging="225"/>
        <w:spacing w:after="0" w:line="256" w:lineRule="auto"/>
        <w:tabs>
          <w:tab w:leader="none" w:pos="2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2021 to present: SVP Product Development, Chief Information Security and Fraud Prevention Officer of Intuit Inc., a global provider of business and financial management solutions</w:t>
      </w:r>
    </w:p>
    <w:p>
      <w:pPr>
        <w:spacing w:after="0" w:line="1" w:lineRule="exact"/>
        <w:rPr>
          <w:rFonts w:ascii="Arial" w:cs="Arial" w:eastAsia="Arial" w:hAnsi="Arial"/>
          <w:sz w:val="16"/>
          <w:szCs w:val="16"/>
          <w:color w:val="auto"/>
        </w:rPr>
      </w:pPr>
    </w:p>
    <w:p>
      <w:pPr>
        <w:ind w:left="225" w:right="20" w:hanging="225"/>
        <w:spacing w:after="0" w:line="246" w:lineRule="auto"/>
        <w:tabs>
          <w:tab w:leader="none" w:pos="2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2020 to 2021: SVP, Chief Information Security Officer, Chief Fraud Prevention Officer and Chief Information Officer of Intuit Inc.</w:t>
      </w:r>
    </w:p>
    <w:p>
      <w:pPr>
        <w:ind w:left="225" w:hanging="225"/>
        <w:spacing w:after="0"/>
        <w:tabs>
          <w:tab w:leader="none" w:pos="2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2013 to 2020: SVP and CIO of Intuit Inc.</w:t>
      </w:r>
    </w:p>
    <w:p>
      <w:pPr>
        <w:spacing w:after="0" w:line="107"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b w:val="1"/>
                <w:bCs w:val="1"/>
                <w:color w:val="1E295B"/>
                <w:w w:val="99"/>
              </w:rPr>
              <w:t>Other Current Public Boards</w:t>
            </w:r>
          </w:p>
        </w:tc>
        <w:tc>
          <w:tcPr>
            <w:tcW w:w="580" w:type="dxa"/>
            <w:vAlign w:val="bottom"/>
          </w:tcPr>
          <w:p>
            <w:pPr>
              <w:spacing w:after="0"/>
              <w:rPr>
                <w:sz w:val="17"/>
                <w:szCs w:val="17"/>
                <w:color w:val="auto"/>
              </w:rPr>
            </w:pPr>
          </w:p>
        </w:tc>
        <w:tc>
          <w:tcPr>
            <w:tcW w:w="3920" w:type="dxa"/>
            <w:vAlign w:val="bottom"/>
            <w:gridSpan w:val="2"/>
          </w:tcPr>
          <w:p>
            <w:pPr>
              <w:ind w:left="580"/>
              <w:spacing w:after="0"/>
              <w:rPr>
                <w:sz w:val="20"/>
                <w:szCs w:val="20"/>
                <w:color w:val="auto"/>
              </w:rPr>
            </w:pPr>
            <w:r>
              <w:rPr>
                <w:rFonts w:ascii="Arial" w:cs="Arial" w:eastAsia="Arial" w:hAnsi="Arial"/>
                <w:sz w:val="18"/>
                <w:szCs w:val="18"/>
                <w:b w:val="1"/>
                <w:bCs w:val="1"/>
                <w:color w:val="1E295B"/>
                <w:w w:val="99"/>
              </w:rPr>
              <w:t>Previous Public Boards in Past 5 Years</w:t>
            </w:r>
          </w:p>
        </w:tc>
        <w:tc>
          <w:tcPr>
            <w:tcW w:w="660" w:type="dxa"/>
            <w:vAlign w:val="bottom"/>
          </w:tcPr>
          <w:p>
            <w:pPr>
              <w:spacing w:after="0"/>
              <w:rPr>
                <w:sz w:val="17"/>
                <w:szCs w:val="17"/>
                <w:color w:val="auto"/>
              </w:rPr>
            </w:pPr>
          </w:p>
        </w:tc>
      </w:tr>
      <w:tr>
        <w:trPr>
          <w:trHeight w:val="20"/>
        </w:trPr>
        <w:tc>
          <w:tcPr>
            <w:tcW w:w="2440" w:type="dxa"/>
            <w:vAlign w:val="bottom"/>
            <w:shd w:val="clear" w:color="auto" w:fill="1E295B"/>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shd w:val="clear" w:color="auto" w:fill="1E295B"/>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5"/>
        </w:trPr>
        <w:tc>
          <w:tcPr>
            <w:tcW w:w="2440" w:type="dxa"/>
            <w:vAlign w:val="bottom"/>
          </w:tcPr>
          <w:p>
            <w:pPr>
              <w:spacing w:after="0"/>
              <w:rPr>
                <w:sz w:val="20"/>
                <w:szCs w:val="20"/>
                <w:color w:val="auto"/>
              </w:rPr>
            </w:pPr>
            <w:r>
              <w:rPr>
                <w:rFonts w:ascii="Arial" w:cs="Arial" w:eastAsia="Arial" w:hAnsi="Arial"/>
                <w:sz w:val="16"/>
                <w:szCs w:val="16"/>
                <w:color w:val="auto"/>
              </w:rPr>
              <w:t>None</w:t>
            </w:r>
          </w:p>
        </w:tc>
        <w:tc>
          <w:tcPr>
            <w:tcW w:w="580" w:type="dxa"/>
            <w:vAlign w:val="bottom"/>
          </w:tcPr>
          <w:p>
            <w:pPr>
              <w:spacing w:after="0"/>
              <w:rPr>
                <w:sz w:val="24"/>
                <w:szCs w:val="24"/>
                <w:color w:val="auto"/>
              </w:rPr>
            </w:pPr>
          </w:p>
        </w:tc>
        <w:tc>
          <w:tcPr>
            <w:tcW w:w="3920" w:type="dxa"/>
            <w:vAlign w:val="bottom"/>
            <w:gridSpan w:val="2"/>
          </w:tcPr>
          <w:p>
            <w:pPr>
              <w:ind w:left="580"/>
              <w:spacing w:after="0"/>
              <w:rPr>
                <w:sz w:val="20"/>
                <w:szCs w:val="20"/>
                <w:color w:val="auto"/>
              </w:rPr>
            </w:pPr>
            <w:r>
              <w:rPr>
                <w:rFonts w:ascii="Arial" w:cs="Arial" w:eastAsia="Arial" w:hAnsi="Arial"/>
                <w:sz w:val="16"/>
                <w:szCs w:val="16"/>
                <w:color w:val="auto"/>
              </w:rPr>
              <w:t>None</w:t>
            </w:r>
          </w:p>
        </w:tc>
        <w:tc>
          <w:tcPr>
            <w:tcW w:w="660" w:type="dxa"/>
            <w:vAlign w:val="bottom"/>
          </w:tcPr>
          <w:p>
            <w:pPr>
              <w:spacing w:after="0"/>
              <w:rPr>
                <w:sz w:val="24"/>
                <w:szCs w:val="24"/>
                <w:color w:val="auto"/>
              </w:rPr>
            </w:pPr>
          </w:p>
        </w:tc>
      </w:tr>
      <w:tr>
        <w:trPr>
          <w:trHeight w:val="783"/>
        </w:trPr>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tcPr>
          <w:p>
            <w:pPr>
              <w:ind w:left="1740"/>
              <w:spacing w:after="0"/>
              <w:rPr>
                <w:sz w:val="20"/>
                <w:szCs w:val="20"/>
                <w:color w:val="auto"/>
              </w:rPr>
            </w:pPr>
            <w:r>
              <w:rPr>
                <w:rFonts w:ascii="Arial" w:cs="Arial" w:eastAsia="Arial" w:hAnsi="Arial"/>
                <w:sz w:val="14"/>
                <w:szCs w:val="14"/>
                <w:b w:val="1"/>
                <w:bCs w:val="1"/>
                <w:color w:val="auto"/>
              </w:rPr>
              <w:t>2023 Proxy Statement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250190</wp:posOffset>
            </wp:positionV>
            <wp:extent cx="6909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2">
            <w:col w:w="2660" w:space="615"/>
            <w:col w:w="7605"/>
          </w:cols>
          <w:pgMar w:left="500" w:top="270"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13245" cy="73399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13245" cy="733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Arial" w:cs="Arial" w:eastAsia="Arial" w:hAnsi="Arial"/>
          <w:sz w:val="40"/>
          <w:szCs w:val="40"/>
          <w:b w:val="1"/>
          <w:bCs w:val="1"/>
          <w:color w:val="1E295B"/>
        </w:rPr>
        <w:t>AUDIT AND FINANCE COMMITTEE REPORT</w:t>
      </w:r>
    </w:p>
    <w:p>
      <w:pPr>
        <w:spacing w:after="0" w:line="127" w:lineRule="exact"/>
        <w:rPr>
          <w:sz w:val="20"/>
          <w:szCs w:val="20"/>
          <w:color w:val="auto"/>
        </w:rPr>
      </w:pPr>
    </w:p>
    <w:p>
      <w:pPr>
        <w:jc w:val="both"/>
        <w:ind w:left="100"/>
        <w:spacing w:after="0" w:line="286" w:lineRule="auto"/>
        <w:rPr>
          <w:sz w:val="20"/>
          <w:szCs w:val="20"/>
          <w:color w:val="auto"/>
        </w:rPr>
      </w:pPr>
      <w:r>
        <w:rPr>
          <w:rFonts w:ascii="Arial" w:cs="Arial" w:eastAsia="Arial" w:hAnsi="Arial"/>
          <w:sz w:val="16"/>
          <w:szCs w:val="16"/>
          <w:color w:val="auto"/>
        </w:rPr>
        <w:t>The AFC operates under a written charter adopted by the Board. The charter contains a detailed description of the scope of the AFC’s responsibilities and how they will be carried out. The AFC’s charter is available on our Investor Relations Website.</w:t>
      </w:r>
    </w:p>
    <w:p>
      <w:pPr>
        <w:spacing w:after="0" w:line="48" w:lineRule="exact"/>
        <w:rPr>
          <w:sz w:val="20"/>
          <w:szCs w:val="20"/>
          <w:color w:val="auto"/>
        </w:rPr>
      </w:pPr>
    </w:p>
    <w:p>
      <w:pPr>
        <w:jc w:val="both"/>
        <w:ind w:left="100"/>
        <w:spacing w:after="0" w:line="266" w:lineRule="auto"/>
        <w:rPr>
          <w:sz w:val="20"/>
          <w:szCs w:val="20"/>
          <w:color w:val="auto"/>
        </w:rPr>
      </w:pPr>
      <w:r>
        <w:rPr>
          <w:rFonts w:ascii="Arial" w:cs="Arial" w:eastAsia="Arial" w:hAnsi="Arial"/>
          <w:sz w:val="16"/>
          <w:szCs w:val="16"/>
          <w:color w:val="auto"/>
        </w:rPr>
        <w:t>The AFC currently consists of four Directors, each of whom has been determined by the Board to meet the heightened independence requirements under SEC and NYSE Listed Company Rules. In addition, the Board has determined that each member of the AFC is an “audit committee financial expert” under SEC rules.</w:t>
      </w:r>
    </w:p>
    <w:p>
      <w:pPr>
        <w:spacing w:after="0" w:line="63" w:lineRule="exact"/>
        <w:rPr>
          <w:sz w:val="20"/>
          <w:szCs w:val="20"/>
          <w:color w:val="auto"/>
        </w:rPr>
      </w:pPr>
    </w:p>
    <w:p>
      <w:pPr>
        <w:jc w:val="both"/>
        <w:ind w:left="100"/>
        <w:spacing w:after="0" w:line="254" w:lineRule="auto"/>
        <w:rPr>
          <w:sz w:val="20"/>
          <w:szCs w:val="20"/>
          <w:color w:val="auto"/>
        </w:rPr>
      </w:pPr>
      <w:r>
        <w:rPr>
          <w:rFonts w:ascii="Arial" w:cs="Arial" w:eastAsia="Arial" w:hAnsi="Arial"/>
          <w:sz w:val="16"/>
          <w:szCs w:val="16"/>
          <w:color w:val="auto"/>
        </w:rPr>
        <w:t>The AFC serves in an oversight capacity and is not part of the Company’s managerial or operational decision-making process. As part of its responsibilities for oversight of the Company’s Enterprise Risk Management process, the AFC reviews and discusses Company policies and processes with respect to risk assessment and risk management, including discussions of individual risk areas. Management is responsible for the Company’s internal controls and the financial reporting process. Deloitte, the Company’s independent registered public accounting firm, reports to the AFC, and is responsible for performing an integrated audit of the Company’s consolidated financial statements and internal control over financial reporting in accordance with auditing standards generally accepted in the United States of America.</w:t>
      </w:r>
    </w:p>
    <w:p>
      <w:pPr>
        <w:spacing w:after="0" w:line="74" w:lineRule="exact"/>
        <w:rPr>
          <w:sz w:val="20"/>
          <w:szCs w:val="20"/>
          <w:color w:val="auto"/>
        </w:rPr>
      </w:pPr>
    </w:p>
    <w:p>
      <w:pPr>
        <w:jc w:val="both"/>
        <w:ind w:left="100"/>
        <w:spacing w:after="0" w:line="252" w:lineRule="auto"/>
        <w:rPr>
          <w:rFonts w:ascii="Arial" w:cs="Arial" w:eastAsia="Arial" w:hAnsi="Arial"/>
          <w:sz w:val="16"/>
          <w:szCs w:val="16"/>
          <w:color w:val="auto"/>
        </w:rPr>
      </w:pPr>
      <w:r>
        <w:rPr>
          <w:rFonts w:ascii="Arial" w:cs="Arial" w:eastAsia="Arial" w:hAnsi="Arial"/>
          <w:sz w:val="16"/>
          <w:szCs w:val="16"/>
          <w:color w:val="auto"/>
        </w:rPr>
        <w:t xml:space="preserve">Deloitte and the Company’s internal auditors have full access to the AFC. The auditors meet with the AFC at each of the AFC’s regularly scheduled meetings, with and without management being present, to discuss appropriate matters. The AFC has also discussed with the independent auditors the matters required to be discussed under the applicable rules of the Public Company Accounting Oversight Board and the SEC. The AFC has the sole authority to engage, evaluate and terminate the Company’s independent auditors. The AFC also pre-approves all auditing services, internal control-related services and permitted non-audit services to be performed by the Company’s independent auditors, and periodically reviews whether to request proposals for the engagement of the independent audit firm. The AFC recommended to the Board that the audited consolidated financial statements for the fiscal year ended January 28, 2023 be included in the Company’s 2022 </w:t>
      </w:r>
      <w:hyperlink r:id="rId315">
        <w:r>
          <w:rPr>
            <w:rFonts w:ascii="Arial" w:cs="Arial" w:eastAsia="Arial" w:hAnsi="Arial"/>
            <w:sz w:val="16"/>
            <w:szCs w:val="16"/>
            <w:u w:val="single" w:color="auto"/>
            <w:color w:val="0000EE"/>
          </w:rPr>
          <w:t>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such fiscal year, based on the following actions by the Committee:</w:t>
      </w:r>
    </w:p>
    <w:p>
      <w:pPr>
        <w:spacing w:after="0" w:line="34" w:lineRule="exact"/>
        <w:rPr>
          <w:sz w:val="20"/>
          <w:szCs w:val="20"/>
          <w:color w:val="auto"/>
        </w:rPr>
      </w:pPr>
    </w:p>
    <w:p>
      <w:pPr>
        <w:ind w:left="300" w:hanging="202"/>
        <w:spacing w:after="0"/>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of the Company’s audited consolidated financial statements with management;</w:t>
      </w:r>
    </w:p>
    <w:p>
      <w:pPr>
        <w:spacing w:after="0" w:line="72" w:lineRule="exact"/>
        <w:rPr>
          <w:rFonts w:ascii="Arial" w:cs="Arial" w:eastAsia="Arial" w:hAnsi="Arial"/>
          <w:sz w:val="16"/>
          <w:szCs w:val="16"/>
          <w:color w:val="auto"/>
        </w:rPr>
      </w:pPr>
    </w:p>
    <w:p>
      <w:pPr>
        <w:ind w:left="300" w:hanging="202"/>
        <w:spacing w:after="0"/>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of the unaudited interim financial statements and Forms 10-Q prepared each quarter by the Company;</w:t>
      </w:r>
    </w:p>
    <w:p>
      <w:pPr>
        <w:spacing w:after="0" w:line="86" w:lineRule="exact"/>
        <w:rPr>
          <w:rFonts w:ascii="Arial" w:cs="Arial" w:eastAsia="Arial" w:hAnsi="Arial"/>
          <w:sz w:val="16"/>
          <w:szCs w:val="16"/>
          <w:color w:val="auto"/>
        </w:rPr>
      </w:pPr>
    </w:p>
    <w:p>
      <w:pPr>
        <w:ind w:left="300" w:hanging="202"/>
        <w:spacing w:after="0" w:line="286" w:lineRule="auto"/>
        <w:tabs>
          <w:tab w:leader="none" w:pos="3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of the Company’s Disclosure Committee practices and the certifications prepared each quarter in accordance with Sections 302 and 906 of the Sarbanes-Oxley Act of 2002;</w:t>
      </w:r>
    </w:p>
    <w:p>
      <w:pPr>
        <w:spacing w:after="0" w:line="7" w:lineRule="exact"/>
        <w:rPr>
          <w:rFonts w:ascii="Arial" w:cs="Arial" w:eastAsia="Arial" w:hAnsi="Arial"/>
          <w:sz w:val="16"/>
          <w:szCs w:val="16"/>
          <w:color w:val="auto"/>
        </w:rPr>
      </w:pPr>
    </w:p>
    <w:p>
      <w:pPr>
        <w:ind w:left="300" w:hanging="202"/>
        <w:spacing w:after="0" w:line="286" w:lineRule="auto"/>
        <w:tabs>
          <w:tab w:leader="none" w:pos="3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with management of the critical accounting estimates on which the financial statements are based, as well as its evaluation of alternative accounting treatments;</w:t>
      </w:r>
    </w:p>
    <w:p>
      <w:pPr>
        <w:spacing w:after="0" w:line="7" w:lineRule="exact"/>
        <w:rPr>
          <w:rFonts w:ascii="Arial" w:cs="Arial" w:eastAsia="Arial" w:hAnsi="Arial"/>
          <w:sz w:val="16"/>
          <w:szCs w:val="16"/>
          <w:color w:val="auto"/>
        </w:rPr>
      </w:pPr>
    </w:p>
    <w:p>
      <w:pPr>
        <w:ind w:left="300" w:hanging="202"/>
        <w:spacing w:after="0"/>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receipt of management representations that the Company’s financial statements were prepared in accordance with GAAP;</w:t>
      </w:r>
    </w:p>
    <w:p>
      <w:pPr>
        <w:spacing w:after="0" w:line="86" w:lineRule="exact"/>
        <w:rPr>
          <w:rFonts w:ascii="Arial" w:cs="Arial" w:eastAsia="Arial" w:hAnsi="Arial"/>
          <w:sz w:val="16"/>
          <w:szCs w:val="16"/>
          <w:color w:val="auto"/>
        </w:rPr>
      </w:pPr>
    </w:p>
    <w:p>
      <w:pPr>
        <w:ind w:left="300" w:hanging="202"/>
        <w:spacing w:after="0" w:line="286" w:lineRule="auto"/>
        <w:tabs>
          <w:tab w:leader="none" w:pos="3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with management, the internal auditors and Deloitte, of management’s assessment of the effectiveness of the Company’s internal control over financial reporting and Deloitte’s evaluation of the Company’s internal control over financial reporting;</w:t>
      </w:r>
    </w:p>
    <w:p>
      <w:pPr>
        <w:spacing w:after="0" w:line="7" w:lineRule="exact"/>
        <w:rPr>
          <w:rFonts w:ascii="Arial" w:cs="Arial" w:eastAsia="Arial" w:hAnsi="Arial"/>
          <w:sz w:val="16"/>
          <w:szCs w:val="16"/>
          <w:color w:val="auto"/>
        </w:rPr>
      </w:pPr>
    </w:p>
    <w:p>
      <w:pPr>
        <w:ind w:left="300" w:hanging="202"/>
        <w:spacing w:after="0"/>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with legal counsel and management, of contingent liabilities;</w:t>
      </w:r>
    </w:p>
    <w:p>
      <w:pPr>
        <w:spacing w:after="0" w:line="72" w:lineRule="exact"/>
        <w:rPr>
          <w:rFonts w:ascii="Arial" w:cs="Arial" w:eastAsia="Arial" w:hAnsi="Arial"/>
          <w:sz w:val="16"/>
          <w:szCs w:val="16"/>
          <w:color w:val="auto"/>
        </w:rPr>
      </w:pPr>
    </w:p>
    <w:p>
      <w:pPr>
        <w:ind w:left="300" w:hanging="202"/>
        <w:spacing w:after="0" w:line="286" w:lineRule="auto"/>
        <w:tabs>
          <w:tab w:leader="none" w:pos="3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receipt of the written disclosures and letter from Deloitte required by the Public Company Accounting Oversight Board Ethics and Independence Rule 3526, Communication with AFCs Concerning Independence; and</w:t>
      </w:r>
    </w:p>
    <w:p>
      <w:pPr>
        <w:spacing w:after="0" w:line="20" w:lineRule="exact"/>
        <w:rPr>
          <w:rFonts w:ascii="Arial" w:cs="Arial" w:eastAsia="Arial" w:hAnsi="Arial"/>
          <w:sz w:val="16"/>
          <w:szCs w:val="16"/>
          <w:color w:val="auto"/>
        </w:rPr>
      </w:pPr>
    </w:p>
    <w:p>
      <w:pPr>
        <w:ind w:left="300" w:hanging="202"/>
        <w:spacing w:after="0" w:line="286" w:lineRule="auto"/>
        <w:tabs>
          <w:tab w:leader="none" w:pos="3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with Deloitte, of Deloitte’s independence, the audited consolidated financial statements, the matters required to be discussed by Auditing Standard No. 16 Communications with AFCs, as amended, and other matters, including Rule 2-07 of SEC Regulation S-X.</w:t>
      </w:r>
    </w:p>
    <w:p>
      <w:pPr>
        <w:spacing w:after="0" w:line="264"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Audit and Finance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140"/>
        <w:spacing w:after="0"/>
        <w:tabs>
          <w:tab w:leader="none" w:pos="4600" w:val="left"/>
          <w:tab w:leader="none" w:pos="6900" w:val="left"/>
          <w:tab w:leader="none" w:pos="9080" w:val="left"/>
        </w:tabs>
        <w:rPr>
          <w:sz w:val="20"/>
          <w:szCs w:val="20"/>
          <w:color w:val="auto"/>
        </w:rPr>
      </w:pPr>
      <w:r>
        <w:rPr>
          <w:rFonts w:ascii="Arial" w:cs="Arial" w:eastAsia="Arial" w:hAnsi="Arial"/>
          <w:sz w:val="16"/>
          <w:szCs w:val="16"/>
          <w:color w:val="auto"/>
        </w:rPr>
        <w:t>Amie Thuener O’Toole, Chair</w:t>
      </w:r>
      <w:r>
        <w:rPr>
          <w:sz w:val="20"/>
          <w:szCs w:val="20"/>
          <w:color w:val="auto"/>
        </w:rPr>
        <w:tab/>
      </w:r>
      <w:r>
        <w:rPr>
          <w:rFonts w:ascii="Arial" w:cs="Arial" w:eastAsia="Arial" w:hAnsi="Arial"/>
          <w:sz w:val="16"/>
          <w:szCs w:val="16"/>
          <w:color w:val="auto"/>
        </w:rPr>
        <w:t>Stacy Brown-Philpot</w:t>
      </w:r>
      <w:r>
        <w:rPr>
          <w:sz w:val="20"/>
          <w:szCs w:val="20"/>
          <w:color w:val="auto"/>
        </w:rPr>
        <w:tab/>
      </w:r>
      <w:r>
        <w:rPr>
          <w:rFonts w:ascii="Arial" w:cs="Arial" w:eastAsia="Arial" w:hAnsi="Arial"/>
          <w:sz w:val="16"/>
          <w:szCs w:val="16"/>
          <w:color w:val="auto"/>
        </w:rPr>
        <w:t>James L. Donald</w:t>
      </w:r>
      <w:r>
        <w:rPr>
          <w:sz w:val="20"/>
          <w:szCs w:val="20"/>
          <w:color w:val="auto"/>
        </w:rPr>
        <w:tab/>
      </w:r>
      <w:r>
        <w:rPr>
          <w:rFonts w:ascii="Arial" w:cs="Arial" w:eastAsia="Arial" w:hAnsi="Arial"/>
          <w:sz w:val="16"/>
          <w:szCs w:val="16"/>
          <w:color w:val="auto"/>
        </w:rPr>
        <w:t>Kirsten A.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621030</wp:posOffset>
            </wp:positionV>
            <wp:extent cx="1020445" cy="1282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02044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780"/>
          </w:cols>
          <w:pgMar w:left="500" w:top="270" w:right="6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5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960" w:right="160" w:hanging="2951"/>
        <w:spacing w:after="0" w:line="262" w:lineRule="auto"/>
        <w:rPr>
          <w:sz w:val="20"/>
          <w:szCs w:val="20"/>
          <w:color w:val="auto"/>
        </w:rPr>
      </w:pPr>
      <w:r>
        <w:rPr>
          <w:rFonts w:ascii="Arial" w:cs="Arial" w:eastAsia="Arial" w:hAnsi="Arial"/>
          <w:sz w:val="40"/>
          <w:szCs w:val="40"/>
          <w:b w:val="1"/>
          <w:bCs w:val="1"/>
          <w:color w:val="1E295B"/>
        </w:rPr>
        <w:t>PROPOSAL 2: RATIFICATION OF THE APPOINTMENT OF INDEPENDENT REGISTERED PUBLIC ACCOUNTING FIRM</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FOR this proposal.</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AFC, consistent with NYSE and SEC rules, has appointed Deloitte to be the Company’s independent registered public accounting firm for the fiscal year ending February 3, 2024. Deloitte and its predecessors have served as the Company’s independent registered public accounting firm for over 50 years, including the fiscal year ended January 28, 2023. As a matter of good corporate practice to provide shareholders an avenue to express their views on this matter, the Board has determined to seek shareholder ratification of Deloitte’s appointment at this time. If the shareholders do not ratify the appointment of Deloitte, the Board will reconsider the appointment. A representative of Deloitte will attend the Annual Meeting to respond to questions and to make a statement if desired.</w:t>
      </w:r>
    </w:p>
    <w:p>
      <w:pPr>
        <w:spacing w:after="0" w:line="85"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Audit Fees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fees billed or expected to be billed to the Company in connection with services by Deloitte: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19"/>
                <w:szCs w:val="19"/>
                <w:color w:val="auto"/>
              </w:rPr>
            </w:pPr>
          </w:p>
        </w:tc>
        <w:tc>
          <w:tcPr>
            <w:tcW w:w="3360" w:type="dxa"/>
            <w:vAlign w:val="bottom"/>
            <w:gridSpan w:val="3"/>
          </w:tcPr>
          <w:p>
            <w:pPr>
              <w:ind w:left="400"/>
              <w:spacing w:after="0"/>
              <w:rPr>
                <w:sz w:val="20"/>
                <w:szCs w:val="20"/>
                <w:color w:val="auto"/>
              </w:rPr>
            </w:pPr>
            <w:r>
              <w:rPr>
                <w:rFonts w:ascii="Arial" w:cs="Arial" w:eastAsia="Arial" w:hAnsi="Arial"/>
                <w:sz w:val="16"/>
                <w:szCs w:val="16"/>
                <w:b w:val="1"/>
                <w:bCs w:val="1"/>
                <w:color w:val="auto"/>
              </w:rPr>
              <w:t>Fiscal Year Ended January 28, 2023</w:t>
            </w:r>
          </w:p>
        </w:tc>
        <w:tc>
          <w:tcPr>
            <w:tcW w:w="32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Fiscal Year Ended January 29, 2022</w:t>
            </w:r>
          </w:p>
        </w:tc>
        <w:tc>
          <w:tcPr>
            <w:tcW w:w="0" w:type="dxa"/>
            <w:vAlign w:val="bottom"/>
          </w:tcPr>
          <w:p>
            <w:pPr>
              <w:spacing w:after="0"/>
              <w:rPr>
                <w:sz w:val="1"/>
                <w:szCs w:val="1"/>
                <w:color w:val="auto"/>
              </w:rPr>
            </w:pPr>
          </w:p>
        </w:tc>
      </w:tr>
      <w:tr>
        <w:trPr>
          <w:trHeight w:val="21"/>
        </w:trPr>
        <w:tc>
          <w:tcPr>
            <w:tcW w:w="42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Type of Fee</w:t>
            </w:r>
          </w:p>
        </w:tc>
        <w:tc>
          <w:tcPr>
            <w:tcW w:w="2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240" w:type="dxa"/>
            <w:vAlign w:val="bottom"/>
            <w:vMerge w:val="continue"/>
          </w:tcPr>
          <w:p>
            <w:pPr>
              <w:spacing w:after="0"/>
              <w:rPr>
                <w:sz w:val="19"/>
                <w:szCs w:val="19"/>
                <w:color w:val="auto"/>
              </w:rPr>
            </w:pPr>
          </w:p>
        </w:tc>
        <w:tc>
          <w:tcPr>
            <w:tcW w:w="25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26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240" w:type="dxa"/>
            <w:vAlign w:val="bottom"/>
            <w:shd w:val="clear" w:color="auto" w:fill="DCDDDE"/>
          </w:tcPr>
          <w:p>
            <w:pPr>
              <w:ind w:left="60"/>
              <w:spacing w:after="0"/>
              <w:rPr>
                <w:sz w:val="20"/>
                <w:szCs w:val="20"/>
                <w:color w:val="auto"/>
              </w:rPr>
            </w:pPr>
            <w:r>
              <w:rPr>
                <w:rFonts w:ascii="Arial" w:cs="Arial" w:eastAsia="Arial" w:hAnsi="Arial"/>
                <w:sz w:val="16"/>
                <w:szCs w:val="16"/>
                <w:color w:val="auto"/>
              </w:rPr>
              <w:t>Audit Fees</w:t>
            </w:r>
            <w:r>
              <w:rPr>
                <w:rFonts w:ascii="Arial" w:cs="Arial" w:eastAsia="Arial" w:hAnsi="Arial"/>
                <w:sz w:val="18"/>
                <w:szCs w:val="18"/>
                <w:color w:val="auto"/>
                <w:vertAlign w:val="superscript"/>
              </w:rPr>
              <w:t>(a)</w:t>
            </w:r>
          </w:p>
        </w:tc>
        <w:tc>
          <w:tcPr>
            <w:tcW w:w="2580" w:type="dxa"/>
            <w:vAlign w:val="bottom"/>
            <w:shd w:val="clear" w:color="auto" w:fill="DCDDDE"/>
          </w:tcPr>
          <w:p>
            <w:pPr>
              <w:jc w:val="right"/>
              <w:ind w:right="219"/>
              <w:spacing w:after="0"/>
              <w:rPr>
                <w:sz w:val="20"/>
                <w:szCs w:val="20"/>
                <w:color w:val="auto"/>
              </w:rPr>
            </w:pPr>
            <w:r>
              <w:rPr>
                <w:rFonts w:ascii="Arial" w:cs="Arial" w:eastAsia="Arial" w:hAnsi="Arial"/>
                <w:sz w:val="16"/>
                <w:szCs w:val="16"/>
                <w:color w:val="auto"/>
              </w:rPr>
              <w:t>3,658,000</w:t>
            </w:r>
          </w:p>
        </w:tc>
        <w:tc>
          <w:tcPr>
            <w:tcW w:w="620" w:type="dxa"/>
            <w:vAlign w:val="bottom"/>
            <w:shd w:val="clear" w:color="auto" w:fill="DCDDDE"/>
          </w:tcPr>
          <w:p>
            <w:pPr>
              <w:jc w:val="right"/>
              <w:spacing w:after="0"/>
              <w:rPr>
                <w:sz w:val="20"/>
                <w:szCs w:val="20"/>
                <w:color w:val="auto"/>
              </w:rPr>
            </w:pPr>
            <w:r>
              <w:rPr>
                <w:rFonts w:ascii="Arial" w:cs="Arial" w:eastAsia="Arial" w:hAnsi="Arial"/>
                <w:sz w:val="16"/>
                <w:szCs w:val="16"/>
                <w:color w:val="auto"/>
              </w:rPr>
              <w:t>89</w:t>
            </w:r>
          </w:p>
        </w:tc>
        <w:tc>
          <w:tcPr>
            <w:tcW w:w="160" w:type="dxa"/>
            <w:vAlign w:val="bottom"/>
            <w:shd w:val="clear" w:color="auto" w:fill="DCDDDE"/>
          </w:tcPr>
          <w:p>
            <w:pPr>
              <w:spacing w:after="0"/>
              <w:rPr>
                <w:sz w:val="24"/>
                <w:szCs w:val="24"/>
                <w:color w:val="auto"/>
              </w:rPr>
            </w:pPr>
          </w:p>
        </w:tc>
        <w:tc>
          <w:tcPr>
            <w:tcW w:w="2600" w:type="dxa"/>
            <w:vAlign w:val="bottom"/>
            <w:shd w:val="clear" w:color="auto" w:fill="DCDDDE"/>
          </w:tcPr>
          <w:p>
            <w:pPr>
              <w:jc w:val="right"/>
              <w:ind w:right="279"/>
              <w:spacing w:after="0"/>
              <w:rPr>
                <w:sz w:val="20"/>
                <w:szCs w:val="20"/>
                <w:color w:val="auto"/>
              </w:rPr>
            </w:pPr>
            <w:r>
              <w:rPr>
                <w:rFonts w:ascii="Arial" w:cs="Arial" w:eastAsia="Arial" w:hAnsi="Arial"/>
                <w:sz w:val="16"/>
                <w:szCs w:val="16"/>
                <w:color w:val="auto"/>
              </w:rPr>
              <w:t>3,411,000</w:t>
            </w:r>
          </w:p>
        </w:tc>
        <w:tc>
          <w:tcPr>
            <w:tcW w:w="6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83"/>
        </w:trPr>
        <w:tc>
          <w:tcPr>
            <w:tcW w:w="4240" w:type="dxa"/>
            <w:vAlign w:val="bottom"/>
          </w:tcPr>
          <w:p>
            <w:pPr>
              <w:ind w:left="6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18"/>
                <w:szCs w:val="18"/>
                <w:color w:val="auto"/>
                <w:vertAlign w:val="superscript"/>
              </w:rPr>
              <w:t>(b)</w:t>
            </w:r>
          </w:p>
        </w:tc>
        <w:tc>
          <w:tcPr>
            <w:tcW w:w="2580" w:type="dxa"/>
            <w:vAlign w:val="bottom"/>
          </w:tcPr>
          <w:p>
            <w:pPr>
              <w:jc w:val="right"/>
              <w:ind w:right="219"/>
              <w:spacing w:after="0"/>
              <w:rPr>
                <w:sz w:val="20"/>
                <w:szCs w:val="20"/>
                <w:color w:val="auto"/>
              </w:rPr>
            </w:pPr>
            <w:r>
              <w:rPr>
                <w:rFonts w:ascii="Arial" w:cs="Arial" w:eastAsia="Arial" w:hAnsi="Arial"/>
                <w:sz w:val="16"/>
                <w:szCs w:val="16"/>
                <w:color w:val="auto"/>
              </w:rPr>
              <w:t>389,000</w:t>
            </w: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4"/>
                <w:szCs w:val="24"/>
                <w:color w:val="auto"/>
              </w:rPr>
            </w:pPr>
          </w:p>
        </w:tc>
        <w:tc>
          <w:tcPr>
            <w:tcW w:w="2600" w:type="dxa"/>
            <w:vAlign w:val="bottom"/>
          </w:tcPr>
          <w:p>
            <w:pPr>
              <w:jc w:val="right"/>
              <w:ind w:right="279"/>
              <w:spacing w:after="0"/>
              <w:rPr>
                <w:sz w:val="20"/>
                <w:szCs w:val="20"/>
                <w:color w:val="auto"/>
              </w:rPr>
            </w:pPr>
            <w:r>
              <w:rPr>
                <w:rFonts w:ascii="Arial" w:cs="Arial" w:eastAsia="Arial" w:hAnsi="Arial"/>
                <w:sz w:val="16"/>
                <w:szCs w:val="16"/>
                <w:color w:val="auto"/>
              </w:rPr>
              <w:t>465,000</w:t>
            </w: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4"/>
        </w:trPr>
        <w:tc>
          <w:tcPr>
            <w:tcW w:w="4240" w:type="dxa"/>
            <w:vAlign w:val="bottom"/>
            <w:shd w:val="clear" w:color="auto" w:fill="DCDDDE"/>
          </w:tcPr>
          <w:p>
            <w:pPr>
              <w:ind w:left="60"/>
              <w:spacing w:after="0"/>
              <w:rPr>
                <w:sz w:val="20"/>
                <w:szCs w:val="20"/>
                <w:color w:val="auto"/>
              </w:rPr>
            </w:pPr>
            <w:r>
              <w:rPr>
                <w:rFonts w:ascii="Arial" w:cs="Arial" w:eastAsia="Arial" w:hAnsi="Arial"/>
                <w:sz w:val="16"/>
                <w:szCs w:val="16"/>
                <w:color w:val="auto"/>
              </w:rPr>
              <w:t>Tax Fees</w:t>
            </w:r>
            <w:r>
              <w:rPr>
                <w:rFonts w:ascii="Arial" w:cs="Arial" w:eastAsia="Arial" w:hAnsi="Arial"/>
                <w:sz w:val="18"/>
                <w:szCs w:val="18"/>
                <w:color w:val="auto"/>
                <w:vertAlign w:val="superscript"/>
              </w:rPr>
              <w:t>(c)</w:t>
            </w:r>
          </w:p>
        </w:tc>
        <w:tc>
          <w:tcPr>
            <w:tcW w:w="2580" w:type="dxa"/>
            <w:vAlign w:val="bottom"/>
            <w:shd w:val="clear" w:color="auto" w:fill="DCDDDE"/>
          </w:tcPr>
          <w:p>
            <w:pPr>
              <w:jc w:val="right"/>
              <w:ind w:right="219"/>
              <w:spacing w:after="0"/>
              <w:rPr>
                <w:sz w:val="20"/>
                <w:szCs w:val="20"/>
                <w:color w:val="auto"/>
              </w:rPr>
            </w:pPr>
            <w:r>
              <w:rPr>
                <w:rFonts w:ascii="Arial" w:cs="Arial" w:eastAsia="Arial" w:hAnsi="Arial"/>
                <w:sz w:val="16"/>
                <w:szCs w:val="16"/>
                <w:color w:val="auto"/>
              </w:rPr>
              <w:t>67,000</w:t>
            </w:r>
          </w:p>
        </w:tc>
        <w:tc>
          <w:tcPr>
            <w:tcW w:w="62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DCDDDE"/>
          </w:tcPr>
          <w:p>
            <w:pPr>
              <w:spacing w:after="0"/>
              <w:rPr>
                <w:sz w:val="24"/>
                <w:szCs w:val="24"/>
                <w:color w:val="auto"/>
              </w:rPr>
            </w:pPr>
          </w:p>
        </w:tc>
        <w:tc>
          <w:tcPr>
            <w:tcW w:w="2600" w:type="dxa"/>
            <w:vAlign w:val="bottom"/>
            <w:shd w:val="clear" w:color="auto" w:fill="DCDDDE"/>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All Other Fees</w:t>
            </w:r>
            <w:r>
              <w:rPr>
                <w:rFonts w:ascii="Arial" w:cs="Arial" w:eastAsia="Arial" w:hAnsi="Arial"/>
                <w:sz w:val="18"/>
                <w:szCs w:val="18"/>
                <w:color w:val="auto"/>
                <w:vertAlign w:val="superscript"/>
              </w:rPr>
              <w:t>(d)</w:t>
            </w:r>
          </w:p>
        </w:tc>
        <w:tc>
          <w:tcPr>
            <w:tcW w:w="2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68,000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0"/>
        </w:trPr>
        <w:tc>
          <w:tcPr>
            <w:tcW w:w="424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TOTAL</w:t>
            </w:r>
          </w:p>
        </w:tc>
        <w:tc>
          <w:tcPr>
            <w:tcW w:w="2580" w:type="dxa"/>
            <w:vAlign w:val="bottom"/>
            <w:tcBorders>
              <w:bottom w:val="single" w:sz="8" w:color="auto"/>
            </w:tcBorders>
            <w:shd w:val="clear" w:color="auto" w:fill="DCDDDE"/>
          </w:tcPr>
          <w:p>
            <w:pPr>
              <w:jc w:val="right"/>
              <w:ind w:right="219"/>
              <w:spacing w:after="0"/>
              <w:rPr>
                <w:sz w:val="20"/>
                <w:szCs w:val="20"/>
                <w:color w:val="auto"/>
              </w:rPr>
            </w:pPr>
            <w:r>
              <w:rPr>
                <w:rFonts w:ascii="Arial" w:cs="Arial" w:eastAsia="Arial" w:hAnsi="Arial"/>
                <w:sz w:val="16"/>
                <w:szCs w:val="16"/>
                <w:b w:val="1"/>
                <w:bCs w:val="1"/>
                <w:color w:val="auto"/>
              </w:rPr>
              <w:t>4,114,000</w:t>
            </w:r>
          </w:p>
        </w:tc>
        <w:tc>
          <w:tcPr>
            <w:tcW w:w="6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100</w:t>
            </w:r>
          </w:p>
        </w:tc>
        <w:tc>
          <w:tcPr>
            <w:tcW w:w="160" w:type="dxa"/>
            <w:vAlign w:val="bottom"/>
            <w:tcBorders>
              <w:bottom w:val="single" w:sz="8" w:color="auto"/>
            </w:tcBorders>
            <w:shd w:val="clear" w:color="auto" w:fill="DCDDDE"/>
          </w:tcPr>
          <w:p>
            <w:pPr>
              <w:spacing w:after="0"/>
              <w:rPr>
                <w:sz w:val="22"/>
                <w:szCs w:val="22"/>
                <w:color w:val="auto"/>
              </w:rPr>
            </w:pPr>
          </w:p>
        </w:tc>
        <w:tc>
          <w:tcPr>
            <w:tcW w:w="2600" w:type="dxa"/>
            <w:vAlign w:val="bottom"/>
            <w:tcBorders>
              <w:bottom w:val="single" w:sz="8" w:color="auto"/>
            </w:tcBorders>
            <w:shd w:val="clear" w:color="auto" w:fill="DCDDDE"/>
          </w:tcPr>
          <w:p>
            <w:pPr>
              <w:jc w:val="right"/>
              <w:ind w:right="279"/>
              <w:spacing w:after="0"/>
              <w:rPr>
                <w:sz w:val="20"/>
                <w:szCs w:val="20"/>
                <w:color w:val="auto"/>
              </w:rPr>
            </w:pPr>
            <w:r>
              <w:rPr>
                <w:rFonts w:ascii="Arial" w:cs="Arial" w:eastAsia="Arial" w:hAnsi="Arial"/>
                <w:sz w:val="16"/>
                <w:szCs w:val="16"/>
                <w:b w:val="1"/>
                <w:bCs w:val="1"/>
                <w:color w:val="auto"/>
              </w:rPr>
              <w:t>3,944,000</w:t>
            </w:r>
          </w:p>
        </w:tc>
        <w:tc>
          <w:tcPr>
            <w:tcW w:w="6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left="180" w:hanging="179"/>
        <w:spacing w:after="0" w:line="249" w:lineRule="auto"/>
        <w:rPr>
          <w:sz w:val="20"/>
          <w:szCs w:val="20"/>
          <w:color w:val="auto"/>
        </w:rPr>
      </w:pPr>
      <w:r>
        <w:rPr>
          <w:rFonts w:ascii="Arial" w:cs="Arial" w:eastAsia="Arial" w:hAnsi="Arial"/>
          <w:sz w:val="18"/>
          <w:szCs w:val="18"/>
          <w:b w:val="1"/>
          <w:bCs w:val="1"/>
          <w:i w:val="1"/>
          <w:iCs w:val="1"/>
          <w:color w:val="auto"/>
          <w:vertAlign w:val="superscript"/>
        </w:rPr>
        <w:t>(a)</w:t>
      </w:r>
      <w:r>
        <w:rPr>
          <w:rFonts w:ascii="Arial" w:cs="Arial" w:eastAsia="Arial" w:hAnsi="Arial"/>
          <w:sz w:val="16"/>
          <w:szCs w:val="16"/>
          <w:i w:val="1"/>
          <w:iCs w:val="1"/>
          <w:color w:val="auto"/>
        </w:rPr>
        <w:t>​ Audit Fees primarily relate to fees for services for: (i) auditing the consolidated financial statements of the Company; (ii) reviewing the interim financial information of the Company included in its Form 10-Qs; and (iii) auditing the Company’s internal control over financial reporting. Substantially all of Deloitte’s work on these audits was performed by full-time, regular employees and partners of Deloitte and its affiliates.</w:t>
      </w:r>
    </w:p>
    <w:p>
      <w:pPr>
        <w:spacing w:after="0" w:line="24" w:lineRule="exact"/>
        <w:rPr>
          <w:sz w:val="20"/>
          <w:szCs w:val="20"/>
          <w:color w:val="auto"/>
        </w:rPr>
      </w:pPr>
    </w:p>
    <w:p>
      <w:pPr>
        <w:jc w:val="both"/>
        <w:ind w:left="180" w:hanging="179"/>
        <w:spacing w:after="0" w:line="248" w:lineRule="auto"/>
        <w:rPr>
          <w:sz w:val="20"/>
          <w:szCs w:val="20"/>
          <w:color w:val="auto"/>
        </w:rPr>
      </w:pPr>
      <w:r>
        <w:rPr>
          <w:rFonts w:ascii="Arial" w:cs="Arial" w:eastAsia="Arial" w:hAnsi="Arial"/>
          <w:sz w:val="18"/>
          <w:szCs w:val="18"/>
          <w:b w:val="1"/>
          <w:bCs w:val="1"/>
          <w:i w:val="1"/>
          <w:iCs w:val="1"/>
          <w:color w:val="auto"/>
          <w:vertAlign w:val="superscript"/>
        </w:rPr>
        <w:t>(b)</w:t>
      </w:r>
      <w:r>
        <w:rPr>
          <w:rFonts w:ascii="Arial" w:cs="Arial" w:eastAsia="Arial" w:hAnsi="Arial"/>
          <w:sz w:val="16"/>
          <w:szCs w:val="16"/>
          <w:i w:val="1"/>
          <w:iCs w:val="1"/>
          <w:color w:val="auto"/>
        </w:rPr>
        <w:t>​ Audit-Related Fees are fees for assurance and related services that are reasonably related to the performance of the audit or review of the Company’s financial statements and internal control over financial reporting, services related to the issuance of the Company’s securities and accounting research tool subscription fees. This amount does not reflect additional amounts of $ 383,246 for fiscal year ended January 28, 2023 and $364,500 for fiscal year ended January 29, 2022 which were reimbursed to the Company by its banking partner in connection with the System and Organization Controls report related to the Company’s credit card servicing activities.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vertAlign w:val="superscript"/>
        </w:rPr>
        <w:t>(c)</w:t>
      </w:r>
      <w:r>
        <w:rPr>
          <w:rFonts w:ascii="Arial" w:cs="Arial" w:eastAsia="Arial" w:hAnsi="Arial"/>
          <w:sz w:val="16"/>
          <w:szCs w:val="16"/>
          <w:i w:val="1"/>
          <w:iCs w:val="1"/>
          <w:color w:val="auto"/>
        </w:rPr>
        <w:t>​ Tax Fees related to advice and recommendations on Canadian customs and import duty filings for the fiscal year ended January 28, 2023.</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8"/>
          <w:szCs w:val="18"/>
          <w:b w:val="1"/>
          <w:bCs w:val="1"/>
          <w:i w:val="1"/>
          <w:iCs w:val="1"/>
          <w:color w:val="auto"/>
          <w:vertAlign w:val="superscript"/>
        </w:rPr>
        <w:t>(d)</w:t>
      </w:r>
      <w:r>
        <w:rPr>
          <w:rFonts w:ascii="Arial" w:cs="Arial" w:eastAsia="Arial" w:hAnsi="Arial"/>
          <w:sz w:val="16"/>
          <w:szCs w:val="16"/>
          <w:i w:val="1"/>
          <w:iCs w:val="1"/>
          <w:color w:val="auto"/>
        </w:rPr>
        <w:t xml:space="preserve"> All Other Fees related human resources benchmarking services for the fiscal year ended January 29, 2022.</w:t>
      </w:r>
    </w:p>
    <w:p>
      <w:pPr>
        <w:spacing w:after="0" w:line="101"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Pre-Approval Policy</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Consistent with SEC policies regarding auditor independence, the services performed by Deloitte for the fiscal years ended January 28, 2023 and January 29, 2022 were pre-approved in accordance with the policies and procedures adopted by the AFC. The pre-approval policy is periodically reviewed and updated. It describes the permitted audit, audit-related, tax and other services that Deloitte may perform.</w:t>
      </w:r>
    </w:p>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Normally, pre-approval is provided at regularly scheduled AFC meetings. However, the authority to grant specific pre-approval between meetings, as necessary, has been assigned to the Chair of the AFC. The Chair is responsible for updating the AFC at the next regularly scheduled meeting of any services that were pre-approved between meetings.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AFC approves proposed services, which incorporates appropriate oversight and control of the Deloitte relationship, while permitting the Company to receive immediate assistance from Deloitte when time is of the essence.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Committee also reviews on a regular basis:</w:t>
      </w:r>
    </w:p>
    <w:p>
      <w:pPr>
        <w:spacing w:after="0" w:line="100"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listing of approved services since its last review;</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report summarizing the year-to-date services provided by Deloitte, including fees paid for those services; and</w:t>
      </w:r>
    </w:p>
    <w:p>
      <w:pPr>
        <w:spacing w:after="0" w:line="45" w:lineRule="exact"/>
        <w:rPr>
          <w:rFonts w:ascii="Arial" w:cs="Arial" w:eastAsia="Arial" w:hAnsi="Arial"/>
          <w:sz w:val="16"/>
          <w:szCs w:val="16"/>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projection for the current fiscal year of estimated fees.</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policy prohibits the Company from engaging the independent registered public accountants for services billed on a contingent fee basis and from hiring current or former employees of the independent auditor who have not satisfied the statutory cooling-off period for certain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5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EXECUTIVE OFFICERS</w:t>
      </w:r>
    </w:p>
    <w:p>
      <w:pPr>
        <w:spacing w:after="0" w:line="12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The Executive Officers of the Company are appointed annually by the Board following each year’s annual meeting and serve at the discretion of the Board. In addition to Erik Nordstrom and Peter Nordstrom, whose biographical information is provided under Election of Directors on page </w:t>
      </w:r>
      <w:r>
        <w:rPr>
          <w:rFonts w:ascii="Arial" w:cs="Arial" w:eastAsia="Arial" w:hAnsi="Arial"/>
          <w:sz w:val="16"/>
          <w:szCs w:val="16"/>
          <w:u w:val="single" w:color="auto"/>
          <w:color w:val="0000EE"/>
        </w:rPr>
        <w:t>25</w:t>
      </w:r>
      <w:r>
        <w:rPr>
          <w:rFonts w:ascii="Arial" w:cs="Arial" w:eastAsia="Arial" w:hAnsi="Arial"/>
          <w:sz w:val="16"/>
          <w:szCs w:val="16"/>
          <w:color w:val="auto"/>
        </w:rPr>
        <w:t>, the following are the other Executive Officers of the Company on the filing date of this Proxy Statement.</w:t>
      </w:r>
    </w:p>
    <w:p>
      <w:pPr>
        <w:spacing w:after="0" w:line="187" w:lineRule="exact"/>
        <w:rPr>
          <w:sz w:val="20"/>
          <w:szCs w:val="20"/>
          <w:color w:val="auto"/>
        </w:rPr>
      </w:pPr>
    </w:p>
    <w:p>
      <w:pPr>
        <w:ind w:left="1600"/>
        <w:spacing w:after="0"/>
        <w:rPr>
          <w:sz w:val="20"/>
          <w:szCs w:val="20"/>
          <w:color w:val="auto"/>
        </w:rPr>
      </w:pPr>
      <w:r>
        <w:rPr>
          <w:rFonts w:ascii="Arial" w:cs="Arial" w:eastAsia="Arial" w:hAnsi="Arial"/>
          <w:sz w:val="16"/>
          <w:szCs w:val="16"/>
          <w:b w:val="1"/>
          <w:bCs w:val="1"/>
          <w:i w:val="1"/>
          <w:iCs w:val="1"/>
          <w:color w:val="1E295B"/>
        </w:rPr>
        <w:t>Teri J. Bariquit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857250" cy="9429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57250" cy="942975"/>
                    </a:xfrm>
                    <a:prstGeom prst="rect">
                      <a:avLst/>
                    </a:prstGeom>
                    <a:noFill/>
                  </pic:spPr>
                </pic:pic>
              </a:graphicData>
            </a:graphic>
          </wp:anchor>
        </w:drawing>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Employee since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-115570</wp:posOffset>
            </wp:positionV>
            <wp:extent cx="58889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Age 57</w:t>
      </w:r>
    </w:p>
    <w:p>
      <w:pPr>
        <w:spacing w:after="0" w:line="46" w:lineRule="exact"/>
        <w:rPr>
          <w:sz w:val="20"/>
          <w:szCs w:val="20"/>
          <w:color w:val="auto"/>
        </w:rPr>
      </w:pPr>
    </w:p>
    <w:p>
      <w:pPr>
        <w:jc w:val="both"/>
        <w:ind w:left="1600" w:right="20"/>
        <w:spacing w:after="0" w:line="256" w:lineRule="auto"/>
        <w:rPr>
          <w:sz w:val="20"/>
          <w:szCs w:val="20"/>
          <w:color w:val="auto"/>
        </w:rPr>
      </w:pPr>
      <w:r>
        <w:rPr>
          <w:rFonts w:ascii="Arial" w:cs="Arial" w:eastAsia="Arial" w:hAnsi="Arial"/>
          <w:sz w:val="16"/>
          <w:szCs w:val="16"/>
          <w:i w:val="1"/>
          <w:iCs w:val="1"/>
          <w:color w:val="auto"/>
        </w:rPr>
        <w:t xml:space="preserve">Chief Merchandising Officer </w:t>
      </w:r>
      <w:r>
        <w:rPr>
          <w:rFonts w:ascii="Arial" w:cs="Arial" w:eastAsia="Arial" w:hAnsi="Arial"/>
          <w:sz w:val="16"/>
          <w:szCs w:val="16"/>
          <w:color w:val="auto"/>
        </w:rPr>
        <w:t>since August 2019. From 2004 to 2019, Ms. Bariquit served as Vice President and then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Nordstrom Merchandising Group, where she was responsible for Inventory, Planning, Solutions and Business Integration. In her prior role, she led inventory planning, merchandising strategy, brand programs and business transformation initiatives for both Nordstrom and Nordstrom Rack. Prior to 2004, she held various management roles in Merchandising, including Business Integration Director, Business Information &amp; Technology Director and Inventory Audit Manager.</w:t>
      </w:r>
    </w:p>
    <w:p>
      <w:pPr>
        <w:spacing w:after="0" w:line="290" w:lineRule="exact"/>
        <w:rPr>
          <w:sz w:val="20"/>
          <w:szCs w:val="20"/>
          <w:color w:val="auto"/>
        </w:rPr>
      </w:pPr>
    </w:p>
    <w:p>
      <w:pPr>
        <w:ind w:left="1600"/>
        <w:spacing w:after="0"/>
        <w:rPr>
          <w:sz w:val="20"/>
          <w:szCs w:val="20"/>
          <w:color w:val="auto"/>
        </w:rPr>
      </w:pPr>
      <w:r>
        <w:rPr>
          <w:rFonts w:ascii="Arial" w:cs="Arial" w:eastAsia="Arial" w:hAnsi="Arial"/>
          <w:sz w:val="16"/>
          <w:szCs w:val="16"/>
          <w:b w:val="1"/>
          <w:bCs w:val="1"/>
          <w:i w:val="1"/>
          <w:iCs w:val="1"/>
          <w:color w:val="1E295B"/>
        </w:rPr>
        <w:t>Alexis DePree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857250" cy="9429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57250" cy="942975"/>
                    </a:xfrm>
                    <a:prstGeom prst="rect">
                      <a:avLst/>
                    </a:prstGeom>
                    <a:noFill/>
                  </pic:spPr>
                </pic:pic>
              </a:graphicData>
            </a:graphic>
          </wp:anchor>
        </w:drawing>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Employee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-115570</wp:posOffset>
            </wp:positionV>
            <wp:extent cx="58889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Age 44</w:t>
      </w:r>
    </w:p>
    <w:p>
      <w:pPr>
        <w:spacing w:after="0" w:line="46" w:lineRule="exact"/>
        <w:rPr>
          <w:sz w:val="20"/>
          <w:szCs w:val="20"/>
          <w:color w:val="auto"/>
        </w:rPr>
      </w:pPr>
    </w:p>
    <w:p>
      <w:pPr>
        <w:jc w:val="both"/>
        <w:ind w:left="1600"/>
        <w:spacing w:after="0" w:line="259" w:lineRule="auto"/>
        <w:rPr>
          <w:sz w:val="20"/>
          <w:szCs w:val="20"/>
          <w:color w:val="auto"/>
        </w:rPr>
      </w:pPr>
      <w:r>
        <w:rPr>
          <w:rFonts w:ascii="Arial" w:cs="Arial" w:eastAsia="Arial" w:hAnsi="Arial"/>
          <w:sz w:val="16"/>
          <w:szCs w:val="16"/>
          <w:i w:val="1"/>
          <w:iCs w:val="1"/>
          <w:color w:val="auto"/>
        </w:rPr>
        <w:t xml:space="preserve">Chief Supply Chain Officer </w:t>
      </w:r>
      <w:r>
        <w:rPr>
          <w:rFonts w:ascii="Arial" w:cs="Arial" w:eastAsia="Arial" w:hAnsi="Arial"/>
          <w:sz w:val="16"/>
          <w:szCs w:val="16"/>
          <w:color w:val="auto"/>
        </w:rPr>
        <w:t>since January 2020, when she joined the Company. Ms. DePree previously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of Americas sort centers and planning at Amazon.com, Inc. from 2018 to 2020, and as Amazon’s Vice President of global supply chain operations from 2016 to 2018. From 2007 to 2016, she held executive positions with increasing responsibility at Target Corporation, prior to which she was employed at Dell Technologies Inc. in various leadership positions from 2001 to 2005.</w:t>
      </w:r>
    </w:p>
    <w:p>
      <w:pPr>
        <w:spacing w:after="0" w:line="315" w:lineRule="exact"/>
        <w:rPr>
          <w:sz w:val="20"/>
          <w:szCs w:val="20"/>
          <w:color w:val="auto"/>
        </w:rPr>
      </w:pPr>
    </w:p>
    <w:p>
      <w:pPr>
        <w:ind w:left="1600"/>
        <w:spacing w:after="0"/>
        <w:rPr>
          <w:sz w:val="20"/>
          <w:szCs w:val="20"/>
          <w:color w:val="auto"/>
        </w:rPr>
      </w:pPr>
      <w:r>
        <w:rPr>
          <w:rFonts w:ascii="Arial" w:cs="Arial" w:eastAsia="Arial" w:hAnsi="Arial"/>
          <w:sz w:val="16"/>
          <w:szCs w:val="16"/>
          <w:b w:val="1"/>
          <w:bCs w:val="1"/>
          <w:i w:val="1"/>
          <w:iCs w:val="1"/>
          <w:color w:val="1E295B"/>
        </w:rPr>
        <w:t>Michael W.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857250" cy="9429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57250" cy="942975"/>
                    </a:xfrm>
                    <a:prstGeom prst="rect">
                      <a:avLst/>
                    </a:prstGeom>
                    <a:noFill/>
                  </pic:spPr>
                </pic:pic>
              </a:graphicData>
            </a:graphic>
          </wp:anchor>
        </w:drawing>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Employee since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-115570</wp:posOffset>
            </wp:positionV>
            <wp:extent cx="58889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Age 49</w:t>
      </w:r>
    </w:p>
    <w:p>
      <w:pPr>
        <w:spacing w:after="0" w:line="46" w:lineRule="exact"/>
        <w:rPr>
          <w:sz w:val="20"/>
          <w:szCs w:val="20"/>
          <w:color w:val="auto"/>
        </w:rPr>
      </w:pPr>
    </w:p>
    <w:p>
      <w:pPr>
        <w:jc w:val="both"/>
        <w:ind w:left="1600"/>
        <w:spacing w:after="0" w:line="253" w:lineRule="auto"/>
        <w:rPr>
          <w:sz w:val="20"/>
          <w:szCs w:val="20"/>
          <w:color w:val="auto"/>
        </w:rPr>
      </w:pPr>
      <w:r>
        <w:rPr>
          <w:rFonts w:ascii="Arial" w:cs="Arial" w:eastAsia="Arial" w:hAnsi="Arial"/>
          <w:sz w:val="16"/>
          <w:szCs w:val="16"/>
          <w:i w:val="1"/>
          <w:iCs w:val="1"/>
          <w:color w:val="auto"/>
        </w:rPr>
        <w:t xml:space="preserve">Interim Chief Financial Officer and Chief Accounting Officer </w:t>
      </w:r>
      <w:r>
        <w:rPr>
          <w:rFonts w:ascii="Arial" w:cs="Arial" w:eastAsia="Arial" w:hAnsi="Arial"/>
          <w:sz w:val="16"/>
          <w:szCs w:val="16"/>
          <w:color w:val="auto"/>
        </w:rPr>
        <w:t>since December 2022. Mr. Maher previously served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Officer from January 2020 to December 2022 and SVP, Finance from May 2017 to January 2020. From October 2011 to April 2017, he held various leadership finance roles for the Company’s Full-Line stores and Full-Price business. He previously served as the Company’s Controller from November 2009, when he joined the Company, until September 2011. Prior to joining Nordstrom, he served as the Vice President, Retail Division Controller for Longs Drug Stores Corporation, the Assistant Corporate Controller at 24 Hour Fitness, and as a Manager of Assurance and Advisory Services and a Certified Public Accountant with Deloitte &amp; Touche LLP.</w:t>
      </w:r>
    </w:p>
    <w:p>
      <w:pPr>
        <w:spacing w:after="0" w:line="291" w:lineRule="exact"/>
        <w:rPr>
          <w:sz w:val="20"/>
          <w:szCs w:val="20"/>
          <w:color w:val="auto"/>
        </w:rPr>
      </w:pPr>
    </w:p>
    <w:p>
      <w:pPr>
        <w:ind w:left="1600"/>
        <w:spacing w:after="0"/>
        <w:rPr>
          <w:sz w:val="20"/>
          <w:szCs w:val="20"/>
          <w:color w:val="auto"/>
        </w:rPr>
      </w:pPr>
      <w:r>
        <w:rPr>
          <w:rFonts w:ascii="Arial" w:cs="Arial" w:eastAsia="Arial" w:hAnsi="Arial"/>
          <w:sz w:val="16"/>
          <w:szCs w:val="16"/>
          <w:b w:val="1"/>
          <w:bCs w:val="1"/>
          <w:i w:val="1"/>
          <w:iCs w:val="1"/>
          <w:color w:val="1E295B"/>
        </w:rPr>
        <w:t>James F. Nordstrom,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857250" cy="9429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57250" cy="942975"/>
                    </a:xfrm>
                    <a:prstGeom prst="rect">
                      <a:avLst/>
                    </a:prstGeom>
                    <a:noFill/>
                  </pic:spPr>
                </pic:pic>
              </a:graphicData>
            </a:graphic>
          </wp:anchor>
        </w:drawing>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Employee since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-115570</wp:posOffset>
            </wp:positionV>
            <wp:extent cx="58889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Age 50</w:t>
      </w:r>
    </w:p>
    <w:p>
      <w:pPr>
        <w:spacing w:after="0" w:line="46" w:lineRule="exact"/>
        <w:rPr>
          <w:sz w:val="20"/>
          <w:szCs w:val="20"/>
          <w:color w:val="auto"/>
        </w:rPr>
      </w:pPr>
    </w:p>
    <w:p>
      <w:pPr>
        <w:jc w:val="both"/>
        <w:ind w:left="1600" w:right="20"/>
        <w:spacing w:after="0" w:line="256" w:lineRule="auto"/>
        <w:rPr>
          <w:sz w:val="20"/>
          <w:szCs w:val="20"/>
          <w:color w:val="auto"/>
        </w:rPr>
      </w:pPr>
      <w:r>
        <w:rPr>
          <w:rFonts w:ascii="Arial" w:cs="Arial" w:eastAsia="Arial" w:hAnsi="Arial"/>
          <w:sz w:val="16"/>
          <w:szCs w:val="16"/>
          <w:i w:val="1"/>
          <w:iCs w:val="1"/>
          <w:color w:val="auto"/>
        </w:rPr>
        <w:t xml:space="preserve">Chief Stores Officer </w:t>
      </w:r>
      <w:r>
        <w:rPr>
          <w:rFonts w:ascii="Arial" w:cs="Arial" w:eastAsia="Arial" w:hAnsi="Arial"/>
          <w:sz w:val="16"/>
          <w:szCs w:val="16"/>
          <w:color w:val="auto"/>
        </w:rPr>
        <w:t>since April 2022. Previously, he served as President, Stores from May 2014 to April 2022. From 2005 to</w:t>
      </w:r>
      <w:r>
        <w:rPr>
          <w:rFonts w:ascii="Arial" w:cs="Arial" w:eastAsia="Arial" w:hAnsi="Arial"/>
          <w:sz w:val="16"/>
          <w:szCs w:val="16"/>
          <w:i w:val="1"/>
          <w:iCs w:val="1"/>
          <w:color w:val="auto"/>
        </w:rPr>
        <w:t xml:space="preserve"> </w:t>
      </w:r>
      <w:r>
        <w:rPr>
          <w:rFonts w:ascii="Arial" w:cs="Arial" w:eastAsia="Arial" w:hAnsi="Arial"/>
          <w:sz w:val="16"/>
          <w:szCs w:val="16"/>
          <w:color w:val="auto"/>
        </w:rPr>
        <w:t>2014, Mr. Nordstrom served as Executive Vice President and President, Nordstrom.com. He previously served as Corporate Merchandise Manager, Children’s Shoes, from May 2002 to February 2005, and as a project manager for the design and implementation of the Company’s inventory management system from 1999 to May 2002. Mr. Nordstrom is a great-grandson of the Company’s founder.</w:t>
      </w:r>
    </w:p>
    <w:p>
      <w:pPr>
        <w:spacing w:after="0" w:line="290" w:lineRule="exact"/>
        <w:rPr>
          <w:sz w:val="20"/>
          <w:szCs w:val="20"/>
          <w:color w:val="auto"/>
        </w:rPr>
      </w:pPr>
    </w:p>
    <w:p>
      <w:pPr>
        <w:ind w:left="1600"/>
        <w:spacing w:after="0"/>
        <w:rPr>
          <w:sz w:val="20"/>
          <w:szCs w:val="20"/>
          <w:color w:val="auto"/>
        </w:rPr>
      </w:pPr>
      <w:r>
        <w:rPr>
          <w:rFonts w:ascii="Arial" w:cs="Arial" w:eastAsia="Arial" w:hAnsi="Arial"/>
          <w:sz w:val="16"/>
          <w:szCs w:val="16"/>
          <w:b w:val="1"/>
          <w:bCs w:val="1"/>
          <w:i w:val="1"/>
          <w:iCs w:val="1"/>
          <w:color w:val="1E295B"/>
        </w:rPr>
        <w:t>Farrell B. Redwine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857250" cy="9429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57250" cy="942975"/>
                    </a:xfrm>
                    <a:prstGeom prst="rect">
                      <a:avLst/>
                    </a:prstGeom>
                    <a:noFill/>
                  </pic:spPr>
                </pic:pic>
              </a:graphicData>
            </a:graphic>
          </wp:anchor>
        </w:drawing>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Employee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-115570</wp:posOffset>
            </wp:positionV>
            <wp:extent cx="58889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5888990" cy="8890"/>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Age 51</w:t>
      </w:r>
    </w:p>
    <w:p>
      <w:pPr>
        <w:spacing w:after="0" w:line="46" w:lineRule="exact"/>
        <w:rPr>
          <w:sz w:val="20"/>
          <w:szCs w:val="20"/>
          <w:color w:val="auto"/>
        </w:rPr>
      </w:pPr>
    </w:p>
    <w:p>
      <w:pPr>
        <w:jc w:val="both"/>
        <w:ind w:left="1600"/>
        <w:spacing w:after="0" w:line="253" w:lineRule="auto"/>
        <w:rPr>
          <w:sz w:val="20"/>
          <w:szCs w:val="20"/>
          <w:color w:val="auto"/>
        </w:rPr>
      </w:pPr>
      <w:r>
        <w:rPr>
          <w:rFonts w:ascii="Arial" w:cs="Arial" w:eastAsia="Arial" w:hAnsi="Arial"/>
          <w:sz w:val="16"/>
          <w:szCs w:val="16"/>
          <w:i w:val="1"/>
          <w:iCs w:val="1"/>
          <w:color w:val="auto"/>
        </w:rPr>
        <w:t xml:space="preserve">Chief Human Resources Officer </w:t>
      </w:r>
      <w:r>
        <w:rPr>
          <w:rFonts w:ascii="Arial" w:cs="Arial" w:eastAsia="Arial" w:hAnsi="Arial"/>
          <w:sz w:val="16"/>
          <w:szCs w:val="16"/>
          <w:color w:val="auto"/>
        </w:rPr>
        <w:t>since July 2021. In addition, Ms. Redwine has responsibility for the Company’s Diversity,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Inclusion and Belonging strategy and co-chairs the Nordstrom Diversity Action Council. Ms. Redwine joined Nordstrom in 2016 as Vice President, Human Resources supporting eCommerce, call centers and stores, and subsequently served as Senior Vice President, Human Resources, overseeing the talent, culture, diversity and total rewards functions for the Company. From 2014 to 2016, Ms. Redwine was a change management consultant and leadership coach. From 2008 to 2013, she was Global Head of Diversity &amp; Talent Management for Barclays Capital. Prior to 2008, Ms. Redwine held various global HR leadership positions with increasing responsibility at several large corporations, including Lehman Brothers, ExxonMobil and Time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355600</wp:posOffset>
            </wp:positionV>
            <wp:extent cx="1020445"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EXECUTIVE OFFICERS</w:t>
      </w:r>
    </w:p>
    <w:p>
      <w:pPr>
        <w:spacing w:after="0" w:line="185" w:lineRule="exact"/>
        <w:rPr>
          <w:sz w:val="20"/>
          <w:szCs w:val="20"/>
          <w:color w:val="auto"/>
        </w:rPr>
      </w:pPr>
    </w:p>
    <w:p>
      <w:pPr>
        <w:ind w:left="1680"/>
        <w:spacing w:after="0"/>
        <w:rPr>
          <w:sz w:val="20"/>
          <w:szCs w:val="20"/>
          <w:color w:val="auto"/>
        </w:rPr>
      </w:pPr>
      <w:r>
        <w:rPr>
          <w:rFonts w:ascii="Arial" w:cs="Arial" w:eastAsia="Arial" w:hAnsi="Arial"/>
          <w:sz w:val="16"/>
          <w:szCs w:val="16"/>
          <w:b w:val="1"/>
          <w:bCs w:val="1"/>
          <w:i w:val="1"/>
          <w:iCs w:val="1"/>
          <w:color w:val="1E295B"/>
        </w:rPr>
        <w:t>Ann Munson Steines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857250" cy="9429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857250" cy="942975"/>
                    </a:xfrm>
                    <a:prstGeom prst="rect">
                      <a:avLst/>
                    </a:prstGeom>
                    <a:noFill/>
                  </pic:spPr>
                </pic:pic>
              </a:graphicData>
            </a:graphic>
          </wp:anchor>
        </w:drawing>
      </w:r>
    </w:p>
    <w:p>
      <w:pPr>
        <w:spacing w:after="0" w:line="3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Employee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-115570</wp:posOffset>
            </wp:positionV>
            <wp:extent cx="58464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6"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Age 57</w:t>
      </w:r>
    </w:p>
    <w:p>
      <w:pPr>
        <w:spacing w:after="0" w:line="46" w:lineRule="exact"/>
        <w:rPr>
          <w:sz w:val="20"/>
          <w:szCs w:val="20"/>
          <w:color w:val="auto"/>
        </w:rPr>
      </w:pPr>
    </w:p>
    <w:p>
      <w:pPr>
        <w:jc w:val="both"/>
        <w:ind w:left="1680"/>
        <w:spacing w:after="0" w:line="253" w:lineRule="auto"/>
        <w:rPr>
          <w:sz w:val="20"/>
          <w:szCs w:val="20"/>
          <w:color w:val="auto"/>
        </w:rPr>
      </w:pPr>
      <w:r>
        <w:rPr>
          <w:rFonts w:ascii="Arial" w:cs="Arial" w:eastAsia="Arial" w:hAnsi="Arial"/>
          <w:sz w:val="16"/>
          <w:szCs w:val="16"/>
          <w:i w:val="1"/>
          <w:iCs w:val="1"/>
          <w:color w:val="auto"/>
        </w:rPr>
        <w:t xml:space="preserve">Chief Legal Officer, General Counsel and Corporate Secretary </w:t>
      </w:r>
      <w:r>
        <w:rPr>
          <w:rFonts w:ascii="Arial" w:cs="Arial" w:eastAsia="Arial" w:hAnsi="Arial"/>
          <w:sz w:val="16"/>
          <w:szCs w:val="16"/>
          <w:color w:val="auto"/>
        </w:rPr>
        <w:t>since April 2022. Ms. Steines joined the Company as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and Corporate Secretary in July 2019. Previously, she was Senior Vice President, Deputy General Counsel and Assistant Secretary for Macy’s, Inc. for approximately ten years. Ms. Steines joined Macy’s, Inc. in 1998 as Assistant Counsel, Employment Law, and rose through positions of increasing responsibility until her appointment as Deputy General Counsel and Assistant Secretary. Prior to Macy’s, Ms. Steines was a Senior Attorney with the Overnite Transportation Company, a subsidiary of Union Pacific Corporation. Ms. Steines began her legal career with Dinsmore &amp; Shohl in Cincinnati, Ohio in 1990 and then practiced law with the law firm of Michael Best &amp; Friedrich in Milwaukee, Wisconsin.</w:t>
      </w:r>
    </w:p>
    <w:p>
      <w:pPr>
        <w:spacing w:after="0" w:line="291" w:lineRule="exact"/>
        <w:rPr>
          <w:sz w:val="20"/>
          <w:szCs w:val="20"/>
          <w:color w:val="auto"/>
        </w:rPr>
      </w:pPr>
    </w:p>
    <w:p>
      <w:pPr>
        <w:ind w:left="1680"/>
        <w:spacing w:after="0"/>
        <w:rPr>
          <w:sz w:val="20"/>
          <w:szCs w:val="20"/>
          <w:color w:val="auto"/>
        </w:rPr>
      </w:pPr>
      <w:r>
        <w:rPr>
          <w:rFonts w:ascii="Arial" w:cs="Arial" w:eastAsia="Arial" w:hAnsi="Arial"/>
          <w:sz w:val="16"/>
          <w:szCs w:val="16"/>
          <w:b w:val="1"/>
          <w:bCs w:val="1"/>
          <w:i w:val="1"/>
          <w:iCs w:val="1"/>
          <w:color w:val="1E295B"/>
        </w:rPr>
        <w:t>Kenneth J. Worzel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857250" cy="9429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857250" cy="942975"/>
                    </a:xfrm>
                    <a:prstGeom prst="rect">
                      <a:avLst/>
                    </a:prstGeom>
                    <a:noFill/>
                  </pic:spPr>
                </pic:pic>
              </a:graphicData>
            </a:graphic>
          </wp:anchor>
        </w:drawing>
      </w:r>
    </w:p>
    <w:p>
      <w:pPr>
        <w:spacing w:after="0" w:line="3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Employee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-115570</wp:posOffset>
            </wp:positionV>
            <wp:extent cx="58464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6"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Age 58</w:t>
      </w:r>
    </w:p>
    <w:p>
      <w:pPr>
        <w:spacing w:after="0" w:line="46" w:lineRule="exact"/>
        <w:rPr>
          <w:sz w:val="20"/>
          <w:szCs w:val="20"/>
          <w:color w:val="auto"/>
        </w:rPr>
      </w:pPr>
    </w:p>
    <w:p>
      <w:pPr>
        <w:jc w:val="both"/>
        <w:ind w:left="1680"/>
        <w:spacing w:after="0" w:line="253" w:lineRule="auto"/>
        <w:rPr>
          <w:sz w:val="20"/>
          <w:szCs w:val="20"/>
          <w:color w:val="auto"/>
        </w:rPr>
      </w:pPr>
      <w:r>
        <w:rPr>
          <w:rFonts w:ascii="Arial" w:cs="Arial" w:eastAsia="Arial" w:hAnsi="Arial"/>
          <w:sz w:val="16"/>
          <w:szCs w:val="16"/>
          <w:i w:val="1"/>
          <w:iCs w:val="1"/>
          <w:color w:val="auto"/>
        </w:rPr>
        <w:t xml:space="preserve">Chief Customer Officer </w:t>
      </w:r>
      <w:r>
        <w:rPr>
          <w:rFonts w:ascii="Arial" w:cs="Arial" w:eastAsia="Arial" w:hAnsi="Arial"/>
          <w:sz w:val="16"/>
          <w:szCs w:val="16"/>
          <w:color w:val="auto"/>
        </w:rPr>
        <w:t>since April 2022. Previously, he served as Chief Operating Officer from August 2019 to April 2022. From</w:t>
      </w:r>
      <w:r>
        <w:rPr>
          <w:rFonts w:ascii="Arial" w:cs="Arial" w:eastAsia="Arial" w:hAnsi="Arial"/>
          <w:sz w:val="16"/>
          <w:szCs w:val="16"/>
          <w:i w:val="1"/>
          <w:iCs w:val="1"/>
          <w:color w:val="auto"/>
        </w:rPr>
        <w:t xml:space="preserve"> </w:t>
      </w:r>
      <w:r>
        <w:rPr>
          <w:rFonts w:ascii="Arial" w:cs="Arial" w:eastAsia="Arial" w:hAnsi="Arial"/>
          <w:sz w:val="16"/>
          <w:szCs w:val="16"/>
          <w:color w:val="auto"/>
        </w:rPr>
        <w:t>2018 to August 2019, Mr. Worzel served as Chief Digital Officer, from 2016 to 2019 as President of Nordstrom.com, and from 2010 to 2016, he served as Executive Vice President, Strategy and Development. Prior to joining the Company, he was a partner with McKinsey &amp; Company, a global management consulting firm, from 2009 to 2010. While at McKinsey, he provided the Company and other clients with management strategy and organizational services. Prior to joining McKinsey, he was a managing partner at Marakon Associates, an international strategy consulting firm, from 1992 to 2008. As a partner at Marakon Associates, he provided consulting services to the Company from 1997 to 2008.</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previously disclosed by the Company, Nordstrom Canada Retail, Inc., Nordstrom Canada Holdings, LLC and Nordstrom Canada Holdings II, LLC, which are subsidiaries of the Company, have commenced a wind -down of their business operations, obtaining an Initial Order from the Ontario Superior Court of Justice under the Companies’ Creditor Arrangement Act on March 2, 2023 to facilitate the wind-down in an orderly fashion. Erik Nordstrom and Michael Maher served as directors and/or officers of such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1019810"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5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00545" cy="23399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6900545" cy="233997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67686B"/>
        </w:rPr>
        <w:t>Compensation, People and Culture Committee Report</w:t>
      </w:r>
    </w:p>
    <w:p>
      <w:pPr>
        <w:spacing w:after="0" w:line="188" w:lineRule="exact"/>
        <w:rPr>
          <w:sz w:val="20"/>
          <w:szCs w:val="20"/>
          <w:color w:val="auto"/>
        </w:rPr>
      </w:pPr>
    </w:p>
    <w:p>
      <w:pPr>
        <w:jc w:val="both"/>
        <w:ind w:left="120" w:right="120"/>
        <w:spacing w:after="0" w:line="258" w:lineRule="auto"/>
        <w:rPr>
          <w:sz w:val="20"/>
          <w:szCs w:val="20"/>
          <w:color w:val="auto"/>
        </w:rPr>
      </w:pPr>
      <w:r>
        <w:rPr>
          <w:rFonts w:ascii="Arial" w:cs="Arial" w:eastAsia="Arial" w:hAnsi="Arial"/>
          <w:sz w:val="16"/>
          <w:szCs w:val="16"/>
          <w:color w:val="auto"/>
        </w:rPr>
        <w:t>The CPCC has reviewed and discussed with management the CD&amp;A included in this Proxy Statement. The CPCC believes the CD&amp;A represents the intent and actions of the CPCC with regard to executive compensation and has recommended to the Board that it be included in this Proxy Statement for filing with the SEC.</w:t>
      </w:r>
    </w:p>
    <w:p>
      <w:pPr>
        <w:spacing w:after="0" w:line="1"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Compensation, People and Culture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20"/>
        <w:spacing w:after="0"/>
        <w:tabs>
          <w:tab w:leader="none" w:pos="6540" w:val="left"/>
          <w:tab w:leader="none" w:pos="8980" w:val="left"/>
        </w:tabs>
        <w:rPr>
          <w:sz w:val="20"/>
          <w:szCs w:val="20"/>
          <w:color w:val="auto"/>
        </w:rPr>
      </w:pPr>
      <w:r>
        <w:rPr>
          <w:rFonts w:ascii="Arial" w:cs="Arial" w:eastAsia="Arial" w:hAnsi="Arial"/>
          <w:sz w:val="16"/>
          <w:szCs w:val="16"/>
          <w:color w:val="auto"/>
        </w:rPr>
        <w:t>James L. Donald, Chair</w:t>
      </w:r>
      <w:r>
        <w:rPr>
          <w:sz w:val="20"/>
          <w:szCs w:val="20"/>
          <w:color w:val="auto"/>
        </w:rPr>
        <w:tab/>
      </w:r>
      <w:r>
        <w:rPr>
          <w:rFonts w:ascii="Arial" w:cs="Arial" w:eastAsia="Arial" w:hAnsi="Arial"/>
          <w:sz w:val="16"/>
          <w:szCs w:val="16"/>
          <w:color w:val="auto"/>
        </w:rPr>
        <w:t>Glenda G. McNeal</w:t>
      </w:r>
      <w:r>
        <w:rPr>
          <w:sz w:val="20"/>
          <w:szCs w:val="20"/>
          <w:color w:val="auto"/>
        </w:rPr>
        <w:tab/>
      </w:r>
      <w:r>
        <w:rPr>
          <w:rFonts w:ascii="Arial" w:cs="Arial" w:eastAsia="Arial" w:hAnsi="Arial"/>
          <w:sz w:val="15"/>
          <w:szCs w:val="15"/>
          <w:color w:val="auto"/>
        </w:rPr>
        <w:t>Mark J. Tritton</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Compensation Discussion and Analysis</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690054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005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324" w:lineRule="exact"/>
        <w:rPr>
          <w:sz w:val="20"/>
          <w:szCs w:val="20"/>
          <w:color w:val="auto"/>
        </w:rPr>
      </w:pPr>
    </w:p>
    <w:p>
      <w:pPr>
        <w:ind w:left="580" w:hanging="518"/>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0000EE"/>
        </w:rPr>
        <w:t>Executive Summary</w:t>
      </w:r>
    </w:p>
    <w:p>
      <w:pPr>
        <w:spacing w:after="0" w:line="46" w:lineRule="exact"/>
        <w:rPr>
          <w:sz w:val="20"/>
          <w:szCs w:val="20"/>
          <w:color w:val="auto"/>
        </w:rPr>
      </w:pPr>
    </w:p>
    <w:p>
      <w:pPr>
        <w:ind w:left="580" w:hanging="518"/>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0000EE"/>
        </w:rPr>
        <w:t>Framework for Executive Compensation</w:t>
      </w:r>
    </w:p>
    <w:p>
      <w:pPr>
        <w:spacing w:after="0" w:line="45" w:lineRule="exact"/>
        <w:rPr>
          <w:rFonts w:ascii="Arial" w:cs="Arial" w:eastAsia="Arial" w:hAnsi="Arial"/>
          <w:sz w:val="16"/>
          <w:szCs w:val="16"/>
          <w:color w:val="auto"/>
        </w:rPr>
      </w:pPr>
    </w:p>
    <w:p>
      <w:pPr>
        <w:ind w:left="580" w:hanging="518"/>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0000EE"/>
        </w:rPr>
        <w:t>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690054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4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This section describes our executive compensation program and the compensation decisions made for our fiscal year 2022 NEOs. Anne Bramman separated on December 2, 2022 and Edmond Mesrobian separated on October 14,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560" w:type="dxa"/>
            <w:vAlign w:val="bottom"/>
            <w:tcBorders>
              <w:top w:val="single" w:sz="8" w:color="auto"/>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Erik B. Nordstrom</w:t>
            </w:r>
          </w:p>
        </w:tc>
        <w:tc>
          <w:tcPr>
            <w:tcW w:w="8320" w:type="dxa"/>
            <w:vAlign w:val="bottom"/>
            <w:tcBorders>
              <w:top w:val="single" w:sz="8" w:color="auto"/>
              <w:bottom w:val="single" w:sz="8" w:color="DCDDDE"/>
            </w:tcBorders>
            <w:shd w:val="clear" w:color="auto" w:fill="DCDDDE"/>
          </w:tcPr>
          <w:p>
            <w:pPr>
              <w:ind w:left="1000"/>
              <w:spacing w:after="0"/>
              <w:rPr>
                <w:sz w:val="20"/>
                <w:szCs w:val="20"/>
                <w:color w:val="auto"/>
              </w:rPr>
            </w:pPr>
            <w:r>
              <w:rPr>
                <w:rFonts w:ascii="Arial" w:cs="Arial" w:eastAsia="Arial" w:hAnsi="Arial"/>
                <w:sz w:val="16"/>
                <w:szCs w:val="16"/>
                <w:color w:val="auto"/>
              </w:rPr>
              <w:t>Chief Executive Officer</w:t>
            </w:r>
          </w:p>
        </w:tc>
      </w:tr>
      <w:tr>
        <w:trPr>
          <w:trHeight w:val="249"/>
        </w:trPr>
        <w:tc>
          <w:tcPr>
            <w:tcW w:w="2560" w:type="dxa"/>
            <w:vAlign w:val="bottom"/>
          </w:tcPr>
          <w:p>
            <w:pPr>
              <w:ind w:left="60"/>
              <w:spacing w:after="0"/>
              <w:rPr>
                <w:sz w:val="20"/>
                <w:szCs w:val="20"/>
                <w:color w:val="auto"/>
              </w:rPr>
            </w:pPr>
            <w:r>
              <w:rPr>
                <w:rFonts w:ascii="Arial" w:cs="Arial" w:eastAsia="Arial" w:hAnsi="Arial"/>
                <w:sz w:val="16"/>
                <w:szCs w:val="16"/>
                <w:b w:val="1"/>
                <w:bCs w:val="1"/>
                <w:color w:val="auto"/>
              </w:rPr>
              <w:t>Michael W. Maher</w:t>
            </w:r>
          </w:p>
        </w:tc>
        <w:tc>
          <w:tcPr>
            <w:tcW w:w="8320" w:type="dxa"/>
            <w:vAlign w:val="bottom"/>
          </w:tcPr>
          <w:p>
            <w:pPr>
              <w:ind w:left="1000"/>
              <w:spacing w:after="0"/>
              <w:rPr>
                <w:sz w:val="20"/>
                <w:szCs w:val="20"/>
                <w:color w:val="auto"/>
              </w:rPr>
            </w:pPr>
            <w:r>
              <w:rPr>
                <w:rFonts w:ascii="Arial" w:cs="Arial" w:eastAsia="Arial" w:hAnsi="Arial"/>
                <w:sz w:val="16"/>
                <w:szCs w:val="16"/>
                <w:color w:val="auto"/>
              </w:rPr>
              <w:t>Interim Chief Financial Officer and Chief Accounting Officer</w:t>
            </w:r>
          </w:p>
        </w:tc>
      </w:tr>
      <w:tr>
        <w:trPr>
          <w:trHeight w:val="35"/>
        </w:trPr>
        <w:tc>
          <w:tcPr>
            <w:tcW w:w="2560" w:type="dxa"/>
            <w:vAlign w:val="bottom"/>
          </w:tcPr>
          <w:p>
            <w:pPr>
              <w:spacing w:after="0"/>
              <w:rPr>
                <w:sz w:val="3"/>
                <w:szCs w:val="3"/>
                <w:color w:val="auto"/>
              </w:rPr>
            </w:pPr>
          </w:p>
        </w:tc>
        <w:tc>
          <w:tcPr>
            <w:tcW w:w="8320" w:type="dxa"/>
            <w:vAlign w:val="bottom"/>
          </w:tcPr>
          <w:p>
            <w:pPr>
              <w:spacing w:after="0"/>
              <w:rPr>
                <w:sz w:val="3"/>
                <w:szCs w:val="3"/>
                <w:color w:val="auto"/>
              </w:rPr>
            </w:pPr>
          </w:p>
        </w:tc>
      </w:tr>
      <w:tr>
        <w:trPr>
          <w:trHeight w:val="263"/>
        </w:trPr>
        <w:tc>
          <w:tcPr>
            <w:tcW w:w="25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Peter E. Nordstrom</w:t>
            </w:r>
          </w:p>
        </w:tc>
        <w:tc>
          <w:tcPr>
            <w:tcW w:w="8320" w:type="dxa"/>
            <w:vAlign w:val="bottom"/>
            <w:tcBorders>
              <w:bottom w:val="single" w:sz="8" w:color="DCDDDE"/>
            </w:tcBorders>
            <w:shd w:val="clear" w:color="auto" w:fill="DCDDDE"/>
          </w:tcPr>
          <w:p>
            <w:pPr>
              <w:ind w:left="1000"/>
              <w:spacing w:after="0"/>
              <w:rPr>
                <w:sz w:val="20"/>
                <w:szCs w:val="20"/>
                <w:color w:val="auto"/>
              </w:rPr>
            </w:pPr>
            <w:r>
              <w:rPr>
                <w:rFonts w:ascii="Arial" w:cs="Arial" w:eastAsia="Arial" w:hAnsi="Arial"/>
                <w:sz w:val="16"/>
                <w:szCs w:val="16"/>
                <w:color w:val="auto"/>
              </w:rPr>
              <w:t>President &amp; Chief Brand Officer</w:t>
            </w:r>
          </w:p>
        </w:tc>
      </w:tr>
      <w:tr>
        <w:trPr>
          <w:trHeight w:val="249"/>
        </w:trPr>
        <w:tc>
          <w:tcPr>
            <w:tcW w:w="2560" w:type="dxa"/>
            <w:vAlign w:val="bottom"/>
          </w:tcPr>
          <w:p>
            <w:pPr>
              <w:ind w:left="60"/>
              <w:spacing w:after="0"/>
              <w:rPr>
                <w:sz w:val="20"/>
                <w:szCs w:val="20"/>
                <w:color w:val="auto"/>
              </w:rPr>
            </w:pPr>
            <w:r>
              <w:rPr>
                <w:rFonts w:ascii="Arial" w:cs="Arial" w:eastAsia="Arial" w:hAnsi="Arial"/>
                <w:sz w:val="16"/>
                <w:szCs w:val="16"/>
                <w:b w:val="1"/>
                <w:bCs w:val="1"/>
                <w:color w:val="auto"/>
              </w:rPr>
              <w:t>Kenneth J. Worzel</w:t>
            </w:r>
          </w:p>
        </w:tc>
        <w:tc>
          <w:tcPr>
            <w:tcW w:w="8320" w:type="dxa"/>
            <w:vAlign w:val="bottom"/>
          </w:tcPr>
          <w:p>
            <w:pPr>
              <w:ind w:left="1000"/>
              <w:spacing w:after="0"/>
              <w:rPr>
                <w:sz w:val="20"/>
                <w:szCs w:val="20"/>
                <w:color w:val="auto"/>
              </w:rPr>
            </w:pPr>
            <w:r>
              <w:rPr>
                <w:rFonts w:ascii="Arial" w:cs="Arial" w:eastAsia="Arial" w:hAnsi="Arial"/>
                <w:sz w:val="16"/>
                <w:szCs w:val="16"/>
                <w:color w:val="auto"/>
              </w:rPr>
              <w:t>Chief Customer Officer</w:t>
            </w:r>
          </w:p>
        </w:tc>
      </w:tr>
      <w:tr>
        <w:trPr>
          <w:trHeight w:val="35"/>
        </w:trPr>
        <w:tc>
          <w:tcPr>
            <w:tcW w:w="2560" w:type="dxa"/>
            <w:vAlign w:val="bottom"/>
          </w:tcPr>
          <w:p>
            <w:pPr>
              <w:spacing w:after="0"/>
              <w:rPr>
                <w:sz w:val="3"/>
                <w:szCs w:val="3"/>
                <w:color w:val="auto"/>
              </w:rPr>
            </w:pPr>
          </w:p>
        </w:tc>
        <w:tc>
          <w:tcPr>
            <w:tcW w:w="8320" w:type="dxa"/>
            <w:vAlign w:val="bottom"/>
          </w:tcPr>
          <w:p>
            <w:pPr>
              <w:spacing w:after="0"/>
              <w:rPr>
                <w:sz w:val="3"/>
                <w:szCs w:val="3"/>
                <w:color w:val="auto"/>
              </w:rPr>
            </w:pPr>
          </w:p>
        </w:tc>
      </w:tr>
      <w:tr>
        <w:trPr>
          <w:trHeight w:val="264"/>
        </w:trPr>
        <w:tc>
          <w:tcPr>
            <w:tcW w:w="25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Alexis DePree</w:t>
            </w:r>
          </w:p>
        </w:tc>
        <w:tc>
          <w:tcPr>
            <w:tcW w:w="8320" w:type="dxa"/>
            <w:vAlign w:val="bottom"/>
            <w:tcBorders>
              <w:bottom w:val="single" w:sz="8" w:color="DCDDDE"/>
            </w:tcBorders>
            <w:shd w:val="clear" w:color="auto" w:fill="DCDDDE"/>
          </w:tcPr>
          <w:p>
            <w:pPr>
              <w:ind w:left="1000"/>
              <w:spacing w:after="0"/>
              <w:rPr>
                <w:sz w:val="20"/>
                <w:szCs w:val="20"/>
                <w:color w:val="auto"/>
              </w:rPr>
            </w:pPr>
            <w:r>
              <w:rPr>
                <w:rFonts w:ascii="Arial" w:cs="Arial" w:eastAsia="Arial" w:hAnsi="Arial"/>
                <w:sz w:val="16"/>
                <w:szCs w:val="16"/>
                <w:color w:val="auto"/>
              </w:rPr>
              <w:t>Chief Supply Chain Officer</w:t>
            </w:r>
          </w:p>
        </w:tc>
      </w:tr>
      <w:tr>
        <w:trPr>
          <w:trHeight w:val="249"/>
        </w:trPr>
        <w:tc>
          <w:tcPr>
            <w:tcW w:w="2560" w:type="dxa"/>
            <w:vAlign w:val="bottom"/>
          </w:tcPr>
          <w:p>
            <w:pPr>
              <w:ind w:left="60"/>
              <w:spacing w:after="0"/>
              <w:rPr>
                <w:sz w:val="20"/>
                <w:szCs w:val="20"/>
                <w:color w:val="auto"/>
              </w:rPr>
            </w:pPr>
            <w:r>
              <w:rPr>
                <w:rFonts w:ascii="Arial" w:cs="Arial" w:eastAsia="Arial" w:hAnsi="Arial"/>
                <w:sz w:val="16"/>
                <w:szCs w:val="16"/>
                <w:b w:val="1"/>
                <w:bCs w:val="1"/>
                <w:color w:val="auto"/>
              </w:rPr>
              <w:t>Anne L. Bramman</w:t>
            </w:r>
          </w:p>
        </w:tc>
        <w:tc>
          <w:tcPr>
            <w:tcW w:w="8320" w:type="dxa"/>
            <w:vAlign w:val="bottom"/>
          </w:tcPr>
          <w:p>
            <w:pPr>
              <w:ind w:left="1000"/>
              <w:spacing w:after="0"/>
              <w:rPr>
                <w:sz w:val="20"/>
                <w:szCs w:val="20"/>
                <w:color w:val="auto"/>
              </w:rPr>
            </w:pPr>
            <w:r>
              <w:rPr>
                <w:rFonts w:ascii="Arial" w:cs="Arial" w:eastAsia="Arial" w:hAnsi="Arial"/>
                <w:sz w:val="16"/>
                <w:szCs w:val="16"/>
                <w:color w:val="auto"/>
              </w:rPr>
              <w:t>Former Chief Financial Officer</w:t>
            </w:r>
          </w:p>
        </w:tc>
      </w:tr>
      <w:tr>
        <w:trPr>
          <w:trHeight w:val="35"/>
        </w:trPr>
        <w:tc>
          <w:tcPr>
            <w:tcW w:w="2560" w:type="dxa"/>
            <w:vAlign w:val="bottom"/>
          </w:tcPr>
          <w:p>
            <w:pPr>
              <w:spacing w:after="0"/>
              <w:rPr>
                <w:sz w:val="3"/>
                <w:szCs w:val="3"/>
                <w:color w:val="auto"/>
              </w:rPr>
            </w:pPr>
          </w:p>
        </w:tc>
        <w:tc>
          <w:tcPr>
            <w:tcW w:w="8320" w:type="dxa"/>
            <w:vAlign w:val="bottom"/>
          </w:tcPr>
          <w:p>
            <w:pPr>
              <w:spacing w:after="0"/>
              <w:rPr>
                <w:sz w:val="3"/>
                <w:szCs w:val="3"/>
                <w:color w:val="auto"/>
              </w:rPr>
            </w:pPr>
          </w:p>
        </w:tc>
      </w:tr>
      <w:tr>
        <w:trPr>
          <w:trHeight w:val="263"/>
        </w:trPr>
        <w:tc>
          <w:tcPr>
            <w:tcW w:w="25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Edmond Mesrobian</w:t>
            </w:r>
          </w:p>
        </w:tc>
        <w:tc>
          <w:tcPr>
            <w:tcW w:w="8320" w:type="dxa"/>
            <w:vAlign w:val="bottom"/>
            <w:tcBorders>
              <w:bottom w:val="single" w:sz="8" w:color="DCDDDE"/>
            </w:tcBorders>
            <w:shd w:val="clear" w:color="auto" w:fill="DCDDDE"/>
          </w:tcPr>
          <w:p>
            <w:pPr>
              <w:ind w:left="1000"/>
              <w:spacing w:after="0"/>
              <w:rPr>
                <w:sz w:val="20"/>
                <w:szCs w:val="20"/>
                <w:color w:val="auto"/>
              </w:rPr>
            </w:pPr>
            <w:r>
              <w:rPr>
                <w:rFonts w:ascii="Arial" w:cs="Arial" w:eastAsia="Arial" w:hAnsi="Arial"/>
                <w:sz w:val="16"/>
                <w:szCs w:val="16"/>
                <w:color w:val="auto"/>
              </w:rPr>
              <w:t>Former Chief Technology &amp; Information Officer</w:t>
            </w:r>
          </w:p>
        </w:tc>
      </w:tr>
      <w:tr>
        <w:trPr>
          <w:trHeight w:val="20"/>
        </w:trPr>
        <w:tc>
          <w:tcPr>
            <w:tcW w:w="2560" w:type="dxa"/>
            <w:vAlign w:val="bottom"/>
            <w:shd w:val="clear" w:color="auto" w:fill="000000"/>
          </w:tcPr>
          <w:p>
            <w:pPr>
              <w:spacing w:after="0" w:line="20" w:lineRule="exact"/>
              <w:rPr>
                <w:sz w:val="1"/>
                <w:szCs w:val="1"/>
                <w:color w:val="auto"/>
              </w:rPr>
            </w:pPr>
          </w:p>
        </w:tc>
        <w:tc>
          <w:tcPr>
            <w:tcW w:w="8320" w:type="dxa"/>
            <w:vAlign w:val="bottom"/>
            <w:shd w:val="clear" w:color="auto" w:fill="000000"/>
          </w:tcPr>
          <w:p>
            <w:pPr>
              <w:spacing w:after="0" w:line="20" w:lineRule="exact"/>
              <w:rPr>
                <w:sz w:val="1"/>
                <w:szCs w:val="1"/>
                <w:color w:val="auto"/>
              </w:rPr>
            </w:pPr>
          </w:p>
        </w:tc>
      </w:tr>
    </w:tbl>
    <w:p>
      <w:pPr>
        <w:spacing w:after="0" w:line="38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challenging environment, we have been executing with agility since we saw softening trends in late June. We took action to navigate the macroeconomic uncertainty and position our business for success. This included managing expenses to align with sales expectations, optimizing product mix and clearing through excess inventory. While this strategy required more markdowns than we had initially planned in 2022, we exited the year with inventory levels down 15% and are positioned for greater agility amidst continuing macroeconomic uncertainty.</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While we navigate this ever-shifting landscape, we remain committed to our long-term strategic and financial goals. We also continue building capabilities to better serve customers and deliver increased profitability, with a focus on improving Nordstrom Rack performance, winning in our most important markets and leveraging our digital capabilities. We have a loyal customer base and acquired approximately 10 million new customers and 2.5 million new Nordy Club members in 2022. In 2023, we will build on these successes through three priorities: improving Nordstrom Rack performance, increasing our inventory productivity and optimizing our supply chain.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Improve Nordstrom Rack Performance: </w:t>
      </w:r>
      <w:r>
        <w:rPr>
          <w:rFonts w:ascii="Arial" w:cs="Arial" w:eastAsia="Arial" w:hAnsi="Arial"/>
          <w:sz w:val="16"/>
          <w:szCs w:val="16"/>
          <w:color w:val="auto"/>
        </w:rPr>
        <w:t>We are committed to delivering profitable growth while improving the customer experience through three key</w:t>
      </w:r>
      <w:r>
        <w:rPr>
          <w:rFonts w:ascii="Arial" w:cs="Arial" w:eastAsia="Arial" w:hAnsi="Arial"/>
          <w:sz w:val="16"/>
          <w:szCs w:val="16"/>
          <w:b w:val="1"/>
          <w:bCs w:val="1"/>
          <w:color w:val="auto"/>
        </w:rPr>
        <w:t xml:space="preserve"> </w:t>
      </w:r>
      <w:r>
        <w:rPr>
          <w:rFonts w:ascii="Arial" w:cs="Arial" w:eastAsia="Arial" w:hAnsi="Arial"/>
          <w:sz w:val="16"/>
          <w:szCs w:val="16"/>
          <w:color w:val="auto"/>
        </w:rPr>
        <w:t>initiatives. The first is increasing our supply of premium brands at Nordstrom Rack by prioritizing 100 nationally recognized strategic brands that help us drive sales and grow market share. We are dedicated to having great brands at great prices at each of our locations, and these brands are a differentiator for the Rack as many are not widely available in the off-price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327660</wp:posOffset>
            </wp:positionV>
            <wp:extent cx="1020445" cy="1289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7860"/>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brands accounted for half of Rack sales in 2022, and they make up 60% of our on-order for the first half of 2023. The second is focusing on expanding our reach and convenience for customers through opening new Rack stores. Rack stores are our largest source of new customer acquisition and we have an opportunity to attract more customers and drive profitable growth through a proven model. We opened two new Rack stores in 2022 and have announced plans to open many more in 2023 and beyond. Finally, we aim to drive greater engagement and higher profitability at NordstromRack.com. Our digital capabilities are unique in the off-price space, and we see opportunities to leverage our digital assets to increase engagement with Rack customers. We also continue to optimize our operational model to drive improved profitability. In the third quarter of 2022, we reduced Rack store-based order fulfillment and raised the minimum order amount to receive free ship-to-store delivery on NordstromRack.com.</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Increase Inventory Productivity: </w:t>
      </w:r>
      <w:r>
        <w:rPr>
          <w:rFonts w:ascii="Arial" w:cs="Arial" w:eastAsia="Arial" w:hAnsi="Arial"/>
          <w:sz w:val="16"/>
          <w:szCs w:val="16"/>
          <w:color w:val="auto"/>
        </w:rPr>
        <w:t>Better inventory discipline across our operations provides customers with relevant and new assortments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world’s best brands. Supply chain disruptions and volatility over the past three years had a significant impact on our inventory management and outcomes. As supply chains have stabilized, we have a significant opportunity to improve our earnings and returns on invested capital through increased productivity from our merchandise inventory, which is our largest annual investment.</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Optimize Our Supply Chain: </w:t>
      </w:r>
      <w:r>
        <w:rPr>
          <w:rFonts w:ascii="Arial" w:cs="Arial" w:eastAsia="Arial" w:hAnsi="Arial"/>
          <w:sz w:val="16"/>
          <w:szCs w:val="16"/>
          <w:color w:val="auto"/>
        </w:rPr>
        <w:t>We made significant progress on our supply chain initiatives in 2022, which drove improvement in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and profitability despite ongoing cost pressures. We made progress on optimizing unit flow, improved productivity in our distribution and fulfillment centers and increased delivery speed. In 2023, we expect to see further benefits from these and additional supply chain optimization actions.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Although there is continued macroeconomic uncertainty heading into 2023, our priorities, along with the capabilities we have built with our Closer to You strategy and digital assets, prepare us to manage short-term pressures. With our strong balance sheet and cash position, we also have the flexibility to respond to shifting demand. We are navigating short-term headwinds, while also continuing to build capabilities to better serve our customers, drive profitable growth and increase shareholder value.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Shareholders Support our Compensation Program</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shareholders approved our Board’s recommendation to hold executive compensation advisory votes on an annual basis so that they may frequently and openly express their views about the compensation of our NEOs. Each year since 2011, more than 90% of the votes cast have been supportive of our compensation programs. The CPCC took investors’ sustained support into account as it continued to implement similar compensation policies and programs in fiscal year 2022.</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We Emphasize Variable Pay and Balance Short- and Long-Term Incentive Values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accordance with our pay-for-performance philosophy, the compensation program for our NEOs is straightforward in design and includes four primary elements: base salary, performance-based bonus, LTIs and benefits. Within these pay elements, we emphasize variable pay over fixed pay, with at least 70% of each NEO’s target compensation linked to our financial or market results, with the exception of the Interim Chief Financial Officer and Chief Accounting Officer for whom 55% of target compensation is variable, consistent with other similarly leveled executives. The program also balances the importance of these executives achieving both critical short-term objectives and strategic long-term priorities. The following graphics represent fiscal year 2022 target direct compensation (excluding benefits) for the CEO and the President &amp; Chief Brand Officer, and for the other NEOs.</w:t>
      </w:r>
    </w:p>
    <w:p>
      <w:pPr>
        <w:sectPr>
          <w:pgSz w:w="11900" w:h="16838" w:orient="portrait"/>
          <w:cols w:equalWidth="0" w:num="1">
            <w:col w:w="10880"/>
          </w:cols>
          <w:pgMar w:left="500" w:top="270" w:right="519" w:bottom="1440" w:gutter="0" w:footer="0" w:header="0"/>
        </w:sectPr>
      </w:pPr>
    </w:p>
    <w:p>
      <w:pPr>
        <w:spacing w:after="0" w:line="141"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1E295B"/>
        </w:rPr>
        <w:t>CEO and</w:t>
      </w:r>
    </w:p>
    <w:p>
      <w:pPr>
        <w:spacing w:after="0" w:line="21"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1E295B"/>
        </w:rPr>
        <w:t>President &amp; Chief Brand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96520</wp:posOffset>
            </wp:positionV>
            <wp:extent cx="1209040" cy="12084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1209040" cy="1208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106680</wp:posOffset>
            </wp:positionV>
            <wp:extent cx="1208405" cy="12172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1208405" cy="121729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560" w:space="720"/>
            <w:col w:w="4600"/>
          </w:cols>
          <w:pgMar w:left="500" w:top="27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620"/>
        <w:spacing w:after="0"/>
        <w:rPr>
          <w:sz w:val="20"/>
          <w:szCs w:val="20"/>
          <w:color w:val="auto"/>
        </w:rPr>
      </w:pPr>
      <w:r>
        <w:rPr>
          <w:rFonts w:ascii="Arial" w:cs="Arial" w:eastAsia="Arial" w:hAnsi="Arial"/>
          <w:sz w:val="22"/>
          <w:szCs w:val="22"/>
          <w:color w:val="1E295B"/>
        </w:rPr>
        <w:t>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40"/>
        <w:spacing w:after="0"/>
        <w:rPr>
          <w:sz w:val="20"/>
          <w:szCs w:val="20"/>
          <w:color w:val="auto"/>
        </w:rPr>
      </w:pPr>
      <w:r>
        <w:rPr>
          <w:rFonts w:ascii="Arial" w:cs="Arial" w:eastAsia="Arial" w:hAnsi="Arial"/>
          <w:sz w:val="22"/>
          <w:szCs w:val="22"/>
          <w:color w:val="1E295B"/>
        </w:rPr>
        <w:t>73%</w:t>
      </w:r>
    </w:p>
    <w:p>
      <w:pPr>
        <w:spacing w:after="0" w:line="75" w:lineRule="exact"/>
        <w:rPr>
          <w:sz w:val="20"/>
          <w:szCs w:val="20"/>
          <w:color w:val="auto"/>
        </w:rPr>
      </w:pPr>
    </w:p>
    <w:p>
      <w:pPr>
        <w:sectPr>
          <w:pgSz w:w="11900" w:h="16838" w:orient="portrait"/>
          <w:cols w:equalWidth="0" w:num="2">
            <w:col w:w="6360" w:space="720"/>
            <w:col w:w="3800"/>
          </w:cols>
          <w:pgMar w:left="500" w:top="270" w:right="519" w:bottom="1440" w:gutter="0" w:footer="0" w:header="0"/>
          <w:type w:val="continuous"/>
        </w:sectPr>
      </w:pPr>
    </w:p>
    <w:p>
      <w:pPr>
        <w:ind w:left="2780"/>
        <w:spacing w:after="0"/>
        <w:rPr>
          <w:sz w:val="20"/>
          <w:szCs w:val="20"/>
          <w:color w:val="auto"/>
        </w:rPr>
      </w:pPr>
      <w:r>
        <w:rPr>
          <w:rFonts w:ascii="Arial" w:cs="Arial" w:eastAsia="Arial" w:hAnsi="Arial"/>
          <w:sz w:val="16"/>
          <w:szCs w:val="16"/>
          <w:color w:val="auto"/>
        </w:rPr>
        <w:t>Performance Based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Performance Based</w:t>
      </w:r>
    </w:p>
    <w:p>
      <w:pPr>
        <w:spacing w:after="0" w:line="200" w:lineRule="exact"/>
        <w:rPr>
          <w:sz w:val="20"/>
          <w:szCs w:val="20"/>
          <w:color w:val="auto"/>
        </w:rPr>
      </w:pPr>
    </w:p>
    <w:p>
      <w:pPr>
        <w:sectPr>
          <w:pgSz w:w="11900" w:h="16838" w:orient="portrait"/>
          <w:cols w:equalWidth="0" w:num="2">
            <w:col w:w="5860" w:space="720"/>
            <w:col w:w="4300"/>
          </w:cols>
          <w:pgMar w:left="500" w:top="270" w:right="51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Our Variable Pay Reflects Company Performance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pay-for-performance design includes rigorous performance goals and high performance standards. Further, with a substantial portion of pay in the form of Common Stock, pay outcomes align with our shareholders’ interests. This is evidenced by our NEOs’ recent incentive compensation payouts and grant realizable values as of fiscal year end 2022, as shown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1019810" cy="1200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INCENTIVE COMPENSATION PAYOUTS</w:t>
            </w:r>
          </w:p>
        </w:tc>
        <w:tc>
          <w:tcPr>
            <w:tcW w:w="12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172"/>
        </w:trPr>
        <w:tc>
          <w:tcPr>
            <w:tcW w:w="5180" w:type="dxa"/>
            <w:vAlign w:val="bottom"/>
            <w:shd w:val="clear" w:color="auto" w:fill="DCDDDE"/>
          </w:tcPr>
          <w:p>
            <w:pPr>
              <w:ind w:left="60"/>
              <w:spacing w:after="0" w:line="172" w:lineRule="exact"/>
              <w:rPr>
                <w:sz w:val="20"/>
                <w:szCs w:val="20"/>
                <w:color w:val="auto"/>
              </w:rPr>
            </w:pPr>
            <w:r>
              <w:rPr>
                <w:rFonts w:ascii="Arial" w:cs="Arial" w:eastAsia="Arial" w:hAnsi="Arial"/>
                <w:sz w:val="16"/>
                <w:szCs w:val="16"/>
                <w:color w:val="auto"/>
              </w:rPr>
              <w:t>Annual bonus payout as a % of target on Incentive Adjusted EBIT</w:t>
            </w:r>
          </w:p>
        </w:tc>
        <w:tc>
          <w:tcPr>
            <w:tcW w:w="1220" w:type="dxa"/>
            <w:vAlign w:val="bottom"/>
            <w:shd w:val="clear" w:color="auto" w:fill="DCDDDE"/>
          </w:tcPr>
          <w:p>
            <w:pPr>
              <w:spacing w:after="0"/>
              <w:rPr>
                <w:sz w:val="14"/>
                <w:szCs w:val="14"/>
                <w:color w:val="auto"/>
              </w:rPr>
            </w:pPr>
          </w:p>
        </w:tc>
        <w:tc>
          <w:tcPr>
            <w:tcW w:w="1200" w:type="dxa"/>
            <w:vAlign w:val="bottom"/>
            <w:shd w:val="clear" w:color="auto" w:fill="DCDDDE"/>
          </w:tcPr>
          <w:p>
            <w:pPr>
              <w:spacing w:after="0"/>
              <w:rPr>
                <w:sz w:val="14"/>
                <w:szCs w:val="14"/>
                <w:color w:val="auto"/>
              </w:rPr>
            </w:pPr>
          </w:p>
        </w:tc>
        <w:tc>
          <w:tcPr>
            <w:tcW w:w="1180" w:type="dxa"/>
            <w:vAlign w:val="bottom"/>
            <w:shd w:val="clear" w:color="auto" w:fill="DCDDDE"/>
          </w:tcPr>
          <w:p>
            <w:pPr>
              <w:spacing w:after="0"/>
              <w:rPr>
                <w:sz w:val="14"/>
                <w:szCs w:val="14"/>
                <w:color w:val="auto"/>
              </w:rPr>
            </w:pPr>
          </w:p>
        </w:tc>
        <w:tc>
          <w:tcPr>
            <w:tcW w:w="1260" w:type="dxa"/>
            <w:vAlign w:val="bottom"/>
            <w:shd w:val="clear" w:color="auto" w:fill="DCDDDE"/>
          </w:tcPr>
          <w:p>
            <w:pPr>
              <w:spacing w:after="0"/>
              <w:rPr>
                <w:sz w:val="14"/>
                <w:szCs w:val="14"/>
                <w:color w:val="auto"/>
              </w:rPr>
            </w:pPr>
          </w:p>
        </w:tc>
        <w:tc>
          <w:tcPr>
            <w:tcW w:w="840" w:type="dxa"/>
            <w:vAlign w:val="bottom"/>
            <w:shd w:val="clear" w:color="auto" w:fill="DCDDDE"/>
          </w:tcPr>
          <w:p>
            <w:pPr>
              <w:spacing w:after="0"/>
              <w:rPr>
                <w:sz w:val="14"/>
                <w:szCs w:val="14"/>
                <w:color w:val="auto"/>
              </w:rPr>
            </w:pPr>
          </w:p>
        </w:tc>
      </w:tr>
      <w:tr>
        <w:trPr>
          <w:trHeight w:val="244"/>
        </w:trPr>
        <w:tc>
          <w:tcPr>
            <w:tcW w:w="5180" w:type="dxa"/>
            <w:vAlign w:val="bottom"/>
            <w:shd w:val="clear" w:color="auto" w:fill="DCDDDE"/>
          </w:tcPr>
          <w:p>
            <w:pPr>
              <w:ind w:left="60"/>
              <w:spacing w:after="0"/>
              <w:rPr>
                <w:sz w:val="20"/>
                <w:szCs w:val="20"/>
                <w:color w:val="auto"/>
              </w:rPr>
            </w:pPr>
            <w:r>
              <w:rPr>
                <w:rFonts w:ascii="Arial" w:cs="Arial" w:eastAsia="Arial" w:hAnsi="Arial"/>
                <w:sz w:val="16"/>
                <w:szCs w:val="16"/>
                <w:color w:val="auto"/>
              </w:rPr>
              <w:t>measure</w:t>
            </w:r>
            <w:r>
              <w:rPr>
                <w:rFonts w:ascii="Arial" w:cs="Arial" w:eastAsia="Arial" w:hAnsi="Arial"/>
                <w:sz w:val="18"/>
                <w:szCs w:val="18"/>
                <w:color w:val="auto"/>
                <w:vertAlign w:val="superscript"/>
              </w:rPr>
              <w:t>(a)</w:t>
            </w:r>
          </w:p>
        </w:tc>
        <w:tc>
          <w:tcPr>
            <w:tcW w:w="1220" w:type="dxa"/>
            <w:vAlign w:val="bottom"/>
            <w:shd w:val="clear" w:color="auto" w:fill="DCDDDE"/>
          </w:tcPr>
          <w:p>
            <w:pPr>
              <w:jc w:val="right"/>
              <w:ind w:right="359"/>
              <w:spacing w:after="0"/>
              <w:rPr>
                <w:sz w:val="20"/>
                <w:szCs w:val="20"/>
                <w:color w:val="auto"/>
              </w:rPr>
            </w:pPr>
            <w:r>
              <w:rPr>
                <w:rFonts w:ascii="Arial" w:cs="Arial" w:eastAsia="Arial" w:hAnsi="Arial"/>
                <w:sz w:val="16"/>
                <w:szCs w:val="16"/>
                <w:color w:val="auto"/>
              </w:rPr>
              <w:t>89%</w:t>
            </w:r>
          </w:p>
        </w:tc>
        <w:tc>
          <w:tcPr>
            <w:tcW w:w="1200" w:type="dxa"/>
            <w:vAlign w:val="bottom"/>
            <w:shd w:val="clear" w:color="auto" w:fill="DCDDDE"/>
          </w:tcPr>
          <w:p>
            <w:pPr>
              <w:jc w:val="right"/>
              <w:ind w:right="359"/>
              <w:spacing w:after="0"/>
              <w:rPr>
                <w:sz w:val="20"/>
                <w:szCs w:val="20"/>
                <w:color w:val="auto"/>
              </w:rPr>
            </w:pPr>
            <w:r>
              <w:rPr>
                <w:rFonts w:ascii="Arial" w:cs="Arial" w:eastAsia="Arial" w:hAnsi="Arial"/>
                <w:sz w:val="16"/>
                <w:szCs w:val="16"/>
                <w:color w:val="auto"/>
              </w:rPr>
              <w:t>44%</w:t>
            </w:r>
          </w:p>
        </w:tc>
        <w:tc>
          <w:tcPr>
            <w:tcW w:w="1180" w:type="dxa"/>
            <w:vAlign w:val="bottom"/>
            <w:shd w:val="clear" w:color="auto" w:fill="DCDDDE"/>
          </w:tcPr>
          <w:p>
            <w:pPr>
              <w:jc w:val="right"/>
              <w:ind w:right="379"/>
              <w:spacing w:after="0"/>
              <w:rPr>
                <w:sz w:val="20"/>
                <w:szCs w:val="20"/>
                <w:color w:val="auto"/>
              </w:rPr>
            </w:pPr>
            <w:r>
              <w:rPr>
                <w:rFonts w:ascii="Arial" w:cs="Arial" w:eastAsia="Arial" w:hAnsi="Arial"/>
                <w:sz w:val="16"/>
                <w:szCs w:val="16"/>
                <w:color w:val="auto"/>
              </w:rPr>
              <w:t>0%</w:t>
            </w:r>
          </w:p>
        </w:tc>
        <w:tc>
          <w:tcPr>
            <w:tcW w:w="1260" w:type="dxa"/>
            <w:vAlign w:val="bottom"/>
            <w:shd w:val="clear" w:color="auto" w:fill="DCDDDE"/>
          </w:tcPr>
          <w:p>
            <w:pPr>
              <w:jc w:val="right"/>
              <w:ind w:right="359"/>
              <w:spacing w:after="0"/>
              <w:rPr>
                <w:sz w:val="20"/>
                <w:szCs w:val="20"/>
                <w:color w:val="auto"/>
              </w:rPr>
            </w:pPr>
            <w:r>
              <w:rPr>
                <w:rFonts w:ascii="Arial" w:cs="Arial" w:eastAsia="Arial" w:hAnsi="Arial"/>
                <w:sz w:val="16"/>
                <w:szCs w:val="16"/>
                <w:color w:val="auto"/>
              </w:rPr>
              <w:t>128%</w:t>
            </w:r>
          </w:p>
        </w:tc>
        <w:tc>
          <w:tcPr>
            <w:tcW w:w="8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0%</w:t>
            </w:r>
          </w:p>
        </w:tc>
      </w:tr>
      <w:tr>
        <w:trPr>
          <w:trHeight w:val="243"/>
        </w:trPr>
        <w:tc>
          <w:tcPr>
            <w:tcW w:w="51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PSU vesting (payout as a % of target)</w:t>
            </w:r>
            <w:r>
              <w:rPr>
                <w:rFonts w:ascii="Arial" w:cs="Arial" w:eastAsia="Arial" w:hAnsi="Arial"/>
                <w:sz w:val="18"/>
                <w:szCs w:val="18"/>
                <w:color w:val="auto"/>
                <w:vertAlign w:val="superscript"/>
              </w:rPr>
              <w:t>(b)</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w:t>
            </w: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N/A</w:t>
            </w: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6925945" cy="336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6925945" cy="33655"/>
                    </a:xfrm>
                    <a:prstGeom prst="rect">
                      <a:avLst/>
                    </a:prstGeom>
                    <a:noFill/>
                  </pic:spPr>
                </pic:pic>
              </a:graphicData>
            </a:graphic>
          </wp:anchor>
        </w:drawing>
      </w:r>
    </w:p>
    <w:p>
      <w:pPr>
        <w:spacing w:after="0" w:line="103" w:lineRule="exact"/>
        <w:rPr>
          <w:sz w:val="20"/>
          <w:szCs w:val="20"/>
          <w:color w:val="auto"/>
        </w:rPr>
      </w:pPr>
    </w:p>
    <w:p>
      <w:pPr>
        <w:jc w:val="both"/>
        <w:ind w:left="180" w:hanging="179"/>
        <w:spacing w:after="0" w:line="253" w:lineRule="auto"/>
        <w:rPr>
          <w:sz w:val="20"/>
          <w:szCs w:val="20"/>
          <w:color w:val="auto"/>
        </w:rPr>
      </w:pPr>
      <w:r>
        <w:rPr>
          <w:rFonts w:ascii="Arial" w:cs="Arial" w:eastAsia="Arial" w:hAnsi="Arial"/>
          <w:sz w:val="18"/>
          <w:szCs w:val="18"/>
          <w:i w:val="1"/>
          <w:iCs w:val="1"/>
          <w:color w:val="auto"/>
          <w:vertAlign w:val="superscript"/>
        </w:rPr>
        <w:t>(a)</w:t>
      </w:r>
      <w:r>
        <w:rPr>
          <w:rFonts w:ascii="Arial" w:cs="Arial" w:eastAsia="Arial" w:hAnsi="Arial"/>
          <w:sz w:val="16"/>
          <w:szCs w:val="16"/>
          <w:i w:val="1"/>
          <w:iCs w:val="1"/>
          <w:color w:val="auto"/>
        </w:rPr>
        <w:t>​ For the CEO and the President &amp; Chief Brand Officer actual bonus payouts as a percent of target for fiscal years 2018, 2019, 2020, 2021 and 2022 were 63%, 47%, 0%, 128% and 0%, respectively.</w:t>
      </w:r>
    </w:p>
    <w:p>
      <w:pPr>
        <w:spacing w:after="0" w:line="60" w:lineRule="exact"/>
        <w:rPr>
          <w:sz w:val="20"/>
          <w:szCs w:val="20"/>
          <w:color w:val="auto"/>
        </w:rPr>
      </w:pPr>
    </w:p>
    <w:p>
      <w:pPr>
        <w:jc w:val="both"/>
        <w:ind w:left="180" w:right="20" w:hanging="179"/>
        <w:spacing w:after="0" w:line="253" w:lineRule="auto"/>
        <w:rPr>
          <w:sz w:val="20"/>
          <w:szCs w:val="20"/>
          <w:color w:val="auto"/>
        </w:rPr>
      </w:pPr>
      <w:r>
        <w:rPr>
          <w:rFonts w:ascii="Arial" w:cs="Arial" w:eastAsia="Arial" w:hAnsi="Arial"/>
          <w:sz w:val="18"/>
          <w:szCs w:val="18"/>
          <w:i w:val="1"/>
          <w:iCs w:val="1"/>
          <w:color w:val="auto"/>
          <w:vertAlign w:val="superscript"/>
        </w:rPr>
        <w:t>(b)</w:t>
      </w:r>
      <w:r>
        <w:rPr>
          <w:rFonts w:ascii="Arial" w:cs="Arial" w:eastAsia="Arial" w:hAnsi="Arial"/>
          <w:sz w:val="16"/>
          <w:szCs w:val="16"/>
          <w:i w:val="1"/>
          <w:iCs w:val="1"/>
          <w:color w:val="auto"/>
        </w:rPr>
        <w:t>​ PSU vesting corresponds to the performance periods ending fiscal years 2018, 2019 and 2021. No PSU performance cycles ended in fiscal years 2020 or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7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GRANT REALIZABLE VALUES</w:t>
            </w:r>
          </w:p>
        </w:tc>
        <w:tc>
          <w:tcPr>
            <w:tcW w:w="16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1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26"/>
        </w:trPr>
        <w:tc>
          <w:tcPr>
            <w:tcW w:w="4740" w:type="dxa"/>
            <w:vAlign w:val="bottom"/>
            <w:shd w:val="clear" w:color="auto" w:fill="DCDDDE"/>
          </w:tcPr>
          <w:p>
            <w:pPr>
              <w:ind w:left="60"/>
              <w:spacing w:after="0"/>
              <w:rPr>
                <w:sz w:val="20"/>
                <w:szCs w:val="20"/>
                <w:color w:val="auto"/>
              </w:rPr>
            </w:pPr>
            <w:r>
              <w:rPr>
                <w:rFonts w:ascii="Arial" w:cs="Arial" w:eastAsia="Arial" w:hAnsi="Arial"/>
                <w:sz w:val="16"/>
                <w:szCs w:val="16"/>
                <w:color w:val="auto"/>
              </w:rPr>
              <w:t>PSUs (realizable value as a % of grant value)</w:t>
            </w:r>
          </w:p>
        </w:tc>
        <w:tc>
          <w:tcPr>
            <w:tcW w:w="1660" w:type="dxa"/>
            <w:vAlign w:val="bottom"/>
            <w:shd w:val="clear" w:color="auto" w:fill="DCDDDE"/>
          </w:tcPr>
          <w:p>
            <w:pPr>
              <w:ind w:left="920"/>
              <w:spacing w:after="0"/>
              <w:rPr>
                <w:sz w:val="20"/>
                <w:szCs w:val="20"/>
                <w:color w:val="auto"/>
              </w:rPr>
            </w:pPr>
            <w:r>
              <w:rPr>
                <w:rFonts w:ascii="Arial" w:cs="Arial" w:eastAsia="Arial" w:hAnsi="Arial"/>
                <w:sz w:val="16"/>
                <w:szCs w:val="16"/>
                <w:color w:val="auto"/>
              </w:rPr>
              <w:t>N/A</w:t>
            </w:r>
          </w:p>
        </w:tc>
        <w:tc>
          <w:tcPr>
            <w:tcW w:w="1160" w:type="dxa"/>
            <w:vAlign w:val="bottom"/>
            <w:shd w:val="clear" w:color="auto" w:fill="DCDDDE"/>
          </w:tcPr>
          <w:p>
            <w:pPr>
              <w:ind w:left="480"/>
              <w:spacing w:after="0"/>
              <w:rPr>
                <w:sz w:val="20"/>
                <w:szCs w:val="20"/>
                <w:color w:val="auto"/>
              </w:rPr>
            </w:pPr>
            <w:r>
              <w:rPr>
                <w:rFonts w:ascii="Arial" w:cs="Arial" w:eastAsia="Arial" w:hAnsi="Arial"/>
                <w:sz w:val="16"/>
                <w:szCs w:val="16"/>
                <w:color w:val="auto"/>
              </w:rPr>
              <w:t>0%</w:t>
            </w:r>
          </w:p>
        </w:tc>
        <w:tc>
          <w:tcPr>
            <w:tcW w:w="1240" w:type="dxa"/>
            <w:vAlign w:val="bottom"/>
            <w:shd w:val="clear" w:color="auto" w:fill="DCDDDE"/>
          </w:tcPr>
          <w:p>
            <w:pPr>
              <w:jc w:val="right"/>
              <w:ind w:right="379"/>
              <w:spacing w:after="0"/>
              <w:rPr>
                <w:sz w:val="20"/>
                <w:szCs w:val="20"/>
                <w:color w:val="auto"/>
              </w:rPr>
            </w:pPr>
            <w:r>
              <w:rPr>
                <w:rFonts w:ascii="Arial" w:cs="Arial" w:eastAsia="Arial" w:hAnsi="Arial"/>
                <w:sz w:val="16"/>
                <w:szCs w:val="16"/>
                <w:color w:val="auto"/>
              </w:rPr>
              <w:t>N/A</w:t>
            </w:r>
          </w:p>
        </w:tc>
        <w:tc>
          <w:tcPr>
            <w:tcW w:w="1220" w:type="dxa"/>
            <w:vAlign w:val="bottom"/>
            <w:shd w:val="clear" w:color="auto" w:fill="DCDDDE"/>
          </w:tcPr>
          <w:p>
            <w:pPr>
              <w:jc w:val="center"/>
              <w:spacing w:after="0"/>
              <w:rPr>
                <w:sz w:val="20"/>
                <w:szCs w:val="20"/>
                <w:color w:val="auto"/>
              </w:rPr>
            </w:pPr>
            <w:r>
              <w:rPr>
                <w:rFonts w:ascii="Arial" w:cs="Arial" w:eastAsia="Arial" w:hAnsi="Arial"/>
                <w:sz w:val="16"/>
                <w:szCs w:val="16"/>
                <w:color w:val="auto"/>
              </w:rPr>
              <w:t>0%</w:t>
            </w:r>
          </w:p>
        </w:tc>
        <w:tc>
          <w:tcPr>
            <w:tcW w:w="860" w:type="dxa"/>
            <w:vAlign w:val="bottom"/>
            <w:shd w:val="clear" w:color="auto" w:fill="DCDDDE"/>
          </w:tcPr>
          <w:p>
            <w:pPr>
              <w:jc w:val="right"/>
              <w:spacing w:after="0"/>
              <w:rPr>
                <w:sz w:val="20"/>
                <w:szCs w:val="20"/>
                <w:color w:val="auto"/>
              </w:rPr>
            </w:pPr>
            <w:r>
              <w:rPr>
                <w:rFonts w:ascii="Arial" w:cs="Arial" w:eastAsia="Arial" w:hAnsi="Arial"/>
                <w:sz w:val="16"/>
                <w:szCs w:val="16"/>
                <w:color w:val="auto"/>
              </w:rPr>
              <w:t>44%</w:t>
            </w:r>
          </w:p>
        </w:tc>
      </w:tr>
      <w:tr>
        <w:trPr>
          <w:trHeight w:val="222"/>
        </w:trPr>
        <w:tc>
          <w:tcPr>
            <w:tcW w:w="4740" w:type="dxa"/>
            <w:vAlign w:val="bottom"/>
          </w:tcPr>
          <w:p>
            <w:pPr>
              <w:ind w:left="60"/>
              <w:spacing w:after="0"/>
              <w:rPr>
                <w:sz w:val="20"/>
                <w:szCs w:val="20"/>
                <w:color w:val="auto"/>
              </w:rPr>
            </w:pPr>
            <w:r>
              <w:rPr>
                <w:rFonts w:ascii="Arial" w:cs="Arial" w:eastAsia="Arial" w:hAnsi="Arial"/>
                <w:sz w:val="16"/>
                <w:szCs w:val="16"/>
                <w:color w:val="auto"/>
              </w:rPr>
              <w:t>RSUs (realizable value as a % of grant value)</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64%</w:t>
            </w:r>
          </w:p>
        </w:tc>
        <w:tc>
          <w:tcPr>
            <w:tcW w:w="1160" w:type="dxa"/>
            <w:vAlign w:val="bottom"/>
          </w:tcPr>
          <w:p>
            <w:pPr>
              <w:ind w:left="480"/>
              <w:spacing w:after="0"/>
              <w:rPr>
                <w:sz w:val="20"/>
                <w:szCs w:val="20"/>
                <w:color w:val="auto"/>
              </w:rPr>
            </w:pPr>
            <w:r>
              <w:rPr>
                <w:rFonts w:ascii="Arial" w:cs="Arial" w:eastAsia="Arial" w:hAnsi="Arial"/>
                <w:sz w:val="16"/>
                <w:szCs w:val="16"/>
                <w:color w:val="auto"/>
              </w:rPr>
              <w:t>65%</w:t>
            </w:r>
          </w:p>
        </w:tc>
        <w:tc>
          <w:tcPr>
            <w:tcW w:w="1240" w:type="dxa"/>
            <w:vAlign w:val="bottom"/>
          </w:tcPr>
          <w:p>
            <w:pPr>
              <w:jc w:val="right"/>
              <w:ind w:right="379"/>
              <w:spacing w:after="0"/>
              <w:rPr>
                <w:sz w:val="20"/>
                <w:szCs w:val="20"/>
                <w:color w:val="auto"/>
              </w:rPr>
            </w:pPr>
            <w:r>
              <w:rPr>
                <w:rFonts w:ascii="Arial" w:cs="Arial" w:eastAsia="Arial" w:hAnsi="Arial"/>
                <w:sz w:val="16"/>
                <w:szCs w:val="16"/>
                <w:color w:val="auto"/>
              </w:rPr>
              <w:t>101%</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38%</w:t>
            </w: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30"/>
        </w:trPr>
        <w:tc>
          <w:tcPr>
            <w:tcW w:w="474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Stock options (realizable value as a % of grant value)</w:t>
            </w:r>
          </w:p>
        </w:tc>
        <w:tc>
          <w:tcPr>
            <w:tcW w:w="1660" w:type="dxa"/>
            <w:vAlign w:val="bottom"/>
            <w:tcBorders>
              <w:bottom w:val="single" w:sz="8" w:color="auto"/>
            </w:tcBorders>
            <w:shd w:val="clear" w:color="auto" w:fill="DCDDDE"/>
          </w:tcPr>
          <w:p>
            <w:pPr>
              <w:ind w:left="920"/>
              <w:spacing w:after="0"/>
              <w:rPr>
                <w:sz w:val="20"/>
                <w:szCs w:val="20"/>
                <w:color w:val="auto"/>
              </w:rPr>
            </w:pPr>
            <w:r>
              <w:rPr>
                <w:rFonts w:ascii="Arial" w:cs="Arial" w:eastAsia="Arial" w:hAnsi="Arial"/>
                <w:sz w:val="16"/>
                <w:szCs w:val="16"/>
                <w:color w:val="auto"/>
              </w:rPr>
              <w:t>N/A</w:t>
            </w:r>
          </w:p>
        </w:tc>
        <w:tc>
          <w:tcPr>
            <w:tcW w:w="1160" w:type="dxa"/>
            <w:vAlign w:val="bottom"/>
            <w:tcBorders>
              <w:bottom w:val="single" w:sz="8" w:color="auto"/>
            </w:tcBorders>
            <w:shd w:val="clear" w:color="auto" w:fill="DCDDDE"/>
          </w:tcPr>
          <w:p>
            <w:pPr>
              <w:ind w:left="480"/>
              <w:spacing w:after="0"/>
              <w:rPr>
                <w:sz w:val="20"/>
                <w:szCs w:val="20"/>
                <w:color w:val="auto"/>
              </w:rPr>
            </w:pPr>
            <w:r>
              <w:rPr>
                <w:rFonts w:ascii="Arial" w:cs="Arial" w:eastAsia="Arial" w:hAnsi="Arial"/>
                <w:sz w:val="16"/>
                <w:szCs w:val="16"/>
                <w:color w:val="auto"/>
              </w:rPr>
              <w:t>0%</w:t>
            </w:r>
          </w:p>
        </w:tc>
        <w:tc>
          <w:tcPr>
            <w:tcW w:w="1240" w:type="dxa"/>
            <w:vAlign w:val="bottom"/>
            <w:tcBorders>
              <w:bottom w:val="single" w:sz="8" w:color="auto"/>
            </w:tcBorders>
            <w:shd w:val="clear" w:color="auto" w:fill="DCDDDE"/>
          </w:tcPr>
          <w:p>
            <w:pPr>
              <w:jc w:val="right"/>
              <w:ind w:right="359"/>
              <w:spacing w:after="0"/>
              <w:rPr>
                <w:sz w:val="20"/>
                <w:szCs w:val="20"/>
                <w:color w:val="auto"/>
              </w:rPr>
            </w:pPr>
            <w:r>
              <w:rPr>
                <w:rFonts w:ascii="Arial" w:cs="Arial" w:eastAsia="Arial" w:hAnsi="Arial"/>
                <w:sz w:val="16"/>
                <w:szCs w:val="16"/>
                <w:color w:val="auto"/>
              </w:rPr>
              <w:t>70%</w:t>
            </w:r>
          </w:p>
        </w:tc>
        <w:tc>
          <w:tcPr>
            <w:tcW w:w="1220" w:type="dxa"/>
            <w:vAlign w:val="bottom"/>
            <w:tcBorders>
              <w:bottom w:val="single" w:sz="8" w:color="auto"/>
            </w:tcBorders>
            <w:shd w:val="clear" w:color="auto" w:fill="DCDDDE"/>
          </w:tcPr>
          <w:p>
            <w:pPr>
              <w:jc w:val="center"/>
              <w:spacing w:after="0"/>
              <w:rPr>
                <w:sz w:val="20"/>
                <w:szCs w:val="20"/>
                <w:color w:val="auto"/>
              </w:rPr>
            </w:pPr>
            <w:r>
              <w:rPr>
                <w:rFonts w:ascii="Arial" w:cs="Arial" w:eastAsia="Arial" w:hAnsi="Arial"/>
                <w:sz w:val="16"/>
                <w:szCs w:val="16"/>
                <w:color w:val="auto"/>
              </w:rPr>
              <w:t>0%</w:t>
            </w:r>
          </w:p>
        </w:tc>
        <w:tc>
          <w:tcPr>
            <w:tcW w:w="8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color w:val="auto"/>
              </w:rPr>
              <w:t>0%</w:t>
            </w:r>
          </w:p>
        </w:tc>
      </w:tr>
    </w:tbl>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table above reflects realizable values shown as a percent of grant values, based on the actual values at time of vest and current unvested values using our 2022 fiscal year-end stock price of $18.42 and a 75% payout percentage for the 2022 PSU awards (the minimum percentage that would have been earned as of fiscal year end 2022). PSUs, RSUs and stock options are shown in the column matching the year of grant.</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PSUs granted on March 9, 2020 were cancelled on August 18, 2020, as discussed in footnote (c) of the Summary Compensation Table, and are not reflected in the above table.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CPCC reviews these results and other analyses with the goal of ensuring that the NEOs’ aggregate compensation aligns with shareholder interests. Based on these and other outcomes, the CPCC believes that total direct compensation for our NEOs reflects our pay-for-performance philosophy and is well aligned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323215</wp:posOffset>
            </wp:positionV>
            <wp:extent cx="1020445" cy="1200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Effective Corporate Governance Reinforces Our Compensation Program</w:t>
      </w:r>
    </w:p>
    <w:p>
      <w:pPr>
        <w:spacing w:after="0" w:line="13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compensation philosophy for our executive team, including our NEOs, is reflected in governance practices that support the needs of our business, drive performance and align with our shareholders’ long-term interests. Below is a summary of what we do and don’t do in that regard.</w:t>
      </w:r>
    </w:p>
    <w:p>
      <w:pPr>
        <w:sectPr>
          <w:pgSz w:w="11900" w:h="16838" w:orient="portrait"/>
          <w:cols w:equalWidth="0" w:num="1">
            <w:col w:w="10880"/>
          </w:cols>
          <w:pgMar w:left="500" w:top="270" w:right="519" w:bottom="1440" w:gutter="0" w:footer="0" w:header="0"/>
        </w:sect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WHAT WE DO</w:t>
      </w:r>
    </w:p>
    <w:p>
      <w:pPr>
        <w:spacing w:after="0" w:line="100" w:lineRule="exact"/>
        <w:rPr>
          <w:sz w:val="20"/>
          <w:szCs w:val="20"/>
          <w:color w:val="auto"/>
        </w:rPr>
      </w:pPr>
    </w:p>
    <w:p>
      <w:pPr>
        <w:jc w:val="both"/>
        <w:ind w:left="480" w:hanging="472"/>
        <w:spacing w:after="0" w:line="180" w:lineRule="auto"/>
        <w:tabs>
          <w:tab w:leader="none" w:pos="480" w:val="left"/>
        </w:tabs>
        <w:numPr>
          <w:ilvl w:val="0"/>
          <w:numId w:val="58"/>
        </w:numPr>
        <w:rPr>
          <w:rFonts w:ascii="MS PGothic" w:cs="MS PGothic" w:eastAsia="MS PGothic" w:hAnsi="MS PGothic"/>
          <w:sz w:val="69"/>
          <w:szCs w:val="69"/>
          <w:color w:val="1E295B"/>
          <w:vertAlign w:val="subscript"/>
        </w:rPr>
      </w:pPr>
      <w:r>
        <w:rPr>
          <w:rFonts w:ascii="Arial" w:cs="Arial" w:eastAsia="Arial" w:hAnsi="Arial"/>
          <w:sz w:val="16"/>
          <w:szCs w:val="16"/>
          <w:b w:val="1"/>
          <w:bCs w:val="1"/>
          <w:color w:val="auto"/>
        </w:rPr>
        <w:t xml:space="preserve">Pay-for-performance: </w:t>
      </w:r>
      <w:r>
        <w:rPr>
          <w:rFonts w:ascii="Arial" w:cs="Arial" w:eastAsia="Arial" w:hAnsi="Arial"/>
          <w:sz w:val="16"/>
          <w:szCs w:val="16"/>
          <w:color w:val="auto"/>
        </w:rPr>
        <w:t>Our compensation program for NEOs</w:t>
      </w:r>
      <w:r>
        <w:rPr>
          <w:rFonts w:ascii="Arial" w:cs="Arial" w:eastAsia="Arial" w:hAnsi="Arial"/>
          <w:sz w:val="16"/>
          <w:szCs w:val="16"/>
          <w:b w:val="1"/>
          <w:bCs w:val="1"/>
          <w:color w:val="auto"/>
        </w:rPr>
        <w:t xml:space="preserve"> </w:t>
      </w:r>
      <w:r>
        <w:rPr>
          <w:rFonts w:ascii="Arial" w:cs="Arial" w:eastAsia="Arial" w:hAnsi="Arial"/>
          <w:sz w:val="16"/>
          <w:szCs w:val="16"/>
          <w:color w:val="auto"/>
        </w:rPr>
        <w:t>emphasizes variable pay over fixed pay, with at least 70% of each NEO’s target compensation linked to our financial or market results, with the exception of the Interim Chief Financial Officer and Chief Accounting Officer, for whom 55% of target compensation is variable, consistent with other similarly leveled executives.</w:t>
      </w:r>
    </w:p>
    <w:p>
      <w:pPr>
        <w:spacing w:after="0" w:line="72" w:lineRule="exact"/>
        <w:rPr>
          <w:rFonts w:ascii="MS PGothic" w:cs="MS PGothic" w:eastAsia="MS PGothic" w:hAnsi="MS PGothic"/>
          <w:sz w:val="69"/>
          <w:szCs w:val="69"/>
          <w:color w:val="1E295B"/>
          <w:vertAlign w:val="subscript"/>
        </w:rPr>
      </w:pPr>
    </w:p>
    <w:p>
      <w:pPr>
        <w:jc w:val="both"/>
        <w:ind w:left="480" w:right="20" w:hanging="472"/>
        <w:spacing w:after="0" w:line="181" w:lineRule="auto"/>
        <w:tabs>
          <w:tab w:leader="none" w:pos="480" w:val="left"/>
        </w:tabs>
        <w:numPr>
          <w:ilvl w:val="0"/>
          <w:numId w:val="58"/>
        </w:numPr>
        <w:rPr>
          <w:rFonts w:ascii="MS PGothic" w:cs="MS PGothic" w:eastAsia="MS PGothic" w:hAnsi="MS PGothic"/>
          <w:sz w:val="46"/>
          <w:szCs w:val="46"/>
          <w:color w:val="1E295B"/>
          <w:vertAlign w:val="subscript"/>
        </w:rPr>
      </w:pPr>
      <w:r>
        <w:rPr>
          <w:rFonts w:ascii="Arial" w:cs="Arial" w:eastAsia="Arial" w:hAnsi="Arial"/>
          <w:sz w:val="14"/>
          <w:szCs w:val="14"/>
          <w:b w:val="1"/>
          <w:bCs w:val="1"/>
          <w:color w:val="auto"/>
        </w:rPr>
        <w:t xml:space="preserve">Retain meaningful stock ownership guidelines: </w:t>
      </w:r>
      <w:r>
        <w:rPr>
          <w:rFonts w:ascii="Arial" w:cs="Arial" w:eastAsia="Arial" w:hAnsi="Arial"/>
          <w:sz w:val="14"/>
          <w:szCs w:val="14"/>
          <w:color w:val="auto"/>
        </w:rPr>
        <w:t>Our</w:t>
      </w:r>
      <w:r>
        <w:rPr>
          <w:rFonts w:ascii="Arial" w:cs="Arial" w:eastAsia="Arial" w:hAnsi="Arial"/>
          <w:sz w:val="14"/>
          <w:szCs w:val="14"/>
          <w:b w:val="1"/>
          <w:bCs w:val="1"/>
          <w:color w:val="auto"/>
        </w:rPr>
        <w:t xml:space="preserve"> </w:t>
      </w:r>
      <w:r>
        <w:rPr>
          <w:rFonts w:ascii="Arial" w:cs="Arial" w:eastAsia="Arial" w:hAnsi="Arial"/>
          <w:sz w:val="14"/>
          <w:szCs w:val="14"/>
          <w:color w:val="auto"/>
        </w:rPr>
        <w:t>expectations for ownership align executives’ interests with those of our shareholders, and all NEOs have exceeded their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33089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-1299210</wp:posOffset>
            </wp:positionV>
            <wp:extent cx="330898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32746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Provide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327469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63" w:lineRule="exact"/>
        <w:rPr>
          <w:sz w:val="20"/>
          <w:szCs w:val="20"/>
          <w:color w:val="auto"/>
        </w:rPr>
      </w:pPr>
    </w:p>
    <w:p>
      <w:pPr>
        <w:ind w:left="480" w:right="260"/>
        <w:spacing w:after="0" w:line="296" w:lineRule="auto"/>
        <w:rPr>
          <w:sz w:val="20"/>
          <w:szCs w:val="20"/>
          <w:color w:val="auto"/>
        </w:rPr>
      </w:pPr>
      <w:r>
        <w:rPr>
          <w:rFonts w:ascii="Arial" w:cs="Arial" w:eastAsia="Arial" w:hAnsi="Arial"/>
          <w:sz w:val="16"/>
          <w:szCs w:val="16"/>
          <w:b w:val="1"/>
          <w:bCs w:val="1"/>
          <w:color w:val="auto"/>
        </w:rPr>
        <w:t>Offer separation benefits to our NEOs who are Nordstrom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327469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-278765</wp:posOffset>
            </wp:positionV>
            <wp:extent cx="154305" cy="146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154305" cy="146050"/>
                    </a:xfrm>
                    <a:prstGeom prst="rect">
                      <a:avLst/>
                    </a:prstGeom>
                    <a:noFill/>
                  </pic:spPr>
                </pic:pic>
              </a:graphicData>
            </a:graphic>
          </wp:anchor>
        </w:drawing>
      </w:r>
    </w:p>
    <w:p>
      <w:pPr>
        <w:spacing w:after="0" w:line="37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Offer special perquisites to our NEOs.</w:t>
      </w:r>
    </w:p>
    <w:p>
      <w:pPr>
        <w:spacing w:after="0" w:line="477" w:lineRule="exact"/>
        <w:rPr>
          <w:sz w:val="20"/>
          <w:szCs w:val="20"/>
          <w:color w:val="auto"/>
        </w:rPr>
      </w:pPr>
    </w:p>
    <w:p>
      <w:pPr>
        <w:sectPr>
          <w:pgSz w:w="11900" w:h="16838" w:orient="portrait"/>
          <w:cols w:equalWidth="0" w:num="2">
            <w:col w:w="5220" w:space="500"/>
            <w:col w:w="5160"/>
          </w:cols>
          <w:pgMar w:left="500" w:top="270" w:right="519" w:bottom="1440" w:gutter="0" w:footer="0" w:header="0"/>
          <w:type w:val="continuous"/>
        </w:sectPr>
      </w:pPr>
    </w:p>
    <w:p>
      <w:pPr>
        <w:jc w:val="both"/>
        <w:ind w:left="480" w:right="260" w:hanging="472"/>
        <w:spacing w:after="0" w:line="204" w:lineRule="auto"/>
        <w:tabs>
          <w:tab w:leader="none" w:pos="480" w:val="left"/>
        </w:tabs>
        <w:numPr>
          <w:ilvl w:val="0"/>
          <w:numId w:val="59"/>
        </w:numPr>
        <w:rPr>
          <w:rFonts w:ascii="MS PGothic" w:cs="MS PGothic" w:eastAsia="MS PGothic" w:hAnsi="MS PGothic"/>
          <w:sz w:val="62"/>
          <w:szCs w:val="62"/>
          <w:color w:val="1E295B"/>
          <w:vertAlign w:val="subscript"/>
        </w:rPr>
      </w:pPr>
      <w:r>
        <w:rPr>
          <w:rFonts w:ascii="Arial" w:cs="Arial" w:eastAsia="Arial" w:hAnsi="Arial"/>
          <w:sz w:val="15"/>
          <w:szCs w:val="15"/>
          <w:b w:val="1"/>
          <w:bCs w:val="1"/>
          <w:color w:val="auto"/>
        </w:rPr>
        <w:t xml:space="preserve">Mitigate undue risk: </w:t>
      </w:r>
      <w:r>
        <w:rPr>
          <w:rFonts w:ascii="Arial" w:cs="Arial" w:eastAsia="Arial" w:hAnsi="Arial"/>
          <w:sz w:val="15"/>
          <w:szCs w:val="15"/>
          <w:color w:val="auto"/>
        </w:rPr>
        <w:t>We have caps on potential performance-based bonus payments, a clawback policy on performance-based compensation and active and engaged oversight and risk management systems, including those related to compensation-related risk.</w:t>
      </w:r>
    </w:p>
    <w:p>
      <w:pPr>
        <w:spacing w:after="0" w:line="72" w:lineRule="exact"/>
        <w:rPr>
          <w:rFonts w:ascii="MS PGothic" w:cs="MS PGothic" w:eastAsia="MS PGothic" w:hAnsi="MS PGothic"/>
          <w:sz w:val="62"/>
          <w:szCs w:val="62"/>
          <w:color w:val="1E295B"/>
          <w:vertAlign w:val="subscript"/>
        </w:rPr>
      </w:pPr>
    </w:p>
    <w:p>
      <w:pPr>
        <w:jc w:val="both"/>
        <w:ind w:left="480" w:right="260" w:hanging="472"/>
        <w:spacing w:after="0" w:line="225" w:lineRule="auto"/>
        <w:tabs>
          <w:tab w:leader="none" w:pos="480" w:val="left"/>
        </w:tabs>
        <w:numPr>
          <w:ilvl w:val="0"/>
          <w:numId w:val="59"/>
        </w:numPr>
        <w:rPr>
          <w:rFonts w:ascii="MS PGothic" w:cs="MS PGothic" w:eastAsia="MS PGothic" w:hAnsi="MS PGothic"/>
          <w:sz w:val="47"/>
          <w:szCs w:val="47"/>
          <w:color w:val="1E295B"/>
          <w:vertAlign w:val="subscript"/>
        </w:rPr>
      </w:pPr>
      <w:r>
        <w:rPr>
          <w:rFonts w:ascii="Arial" w:cs="Arial" w:eastAsia="Arial" w:hAnsi="Arial"/>
          <w:sz w:val="14"/>
          <w:szCs w:val="14"/>
          <w:b w:val="1"/>
          <w:bCs w:val="1"/>
          <w:color w:val="auto"/>
        </w:rPr>
        <w:t xml:space="preserve">Engage an independent compensation consulting firm: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CPCC’s consultant does not provide any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-400050</wp:posOffset>
            </wp:positionV>
            <wp:extent cx="330898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-1060450</wp:posOffset>
            </wp:positionV>
            <wp:extent cx="330898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Maintain separate change in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123825</wp:posOffset>
            </wp:positionV>
            <wp:extent cx="32746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-141605</wp:posOffset>
            </wp:positionV>
            <wp:extent cx="32746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5"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b w:val="1"/>
          <w:bCs w:val="1"/>
          <w:color w:val="auto"/>
        </w:rPr>
        <w:t>Gross up taxes, except in the case of selected relocation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80645</wp:posOffset>
            </wp:positionV>
            <wp:extent cx="32746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Reprice underwater stock options.</w:t>
      </w:r>
    </w:p>
    <w:p>
      <w:pPr>
        <w:spacing w:after="0" w:line="477" w:lineRule="exact"/>
        <w:rPr>
          <w:sz w:val="20"/>
          <w:szCs w:val="20"/>
          <w:color w:val="auto"/>
        </w:rPr>
      </w:pPr>
    </w:p>
    <w:p>
      <w:pPr>
        <w:sectPr>
          <w:pgSz w:w="11900" w:h="16838" w:orient="portrait"/>
          <w:cols w:equalWidth="0" w:num="2">
            <w:col w:w="5480" w:space="720"/>
            <w:col w:w="4680"/>
          </w:cols>
          <w:pgMar w:left="500" w:top="270" w:right="519" w:bottom="1440" w:gutter="0" w:footer="0" w:header="0"/>
          <w:type w:val="continuous"/>
        </w:sectPr>
      </w:pPr>
    </w:p>
    <w:p>
      <w:pPr>
        <w:ind w:left="480" w:right="260" w:hanging="472"/>
        <w:spacing w:after="0" w:line="182" w:lineRule="auto"/>
        <w:tabs>
          <w:tab w:leader="none" w:pos="480" w:val="left"/>
        </w:tabs>
        <w:numPr>
          <w:ilvl w:val="0"/>
          <w:numId w:val="60"/>
        </w:numPr>
        <w:rPr>
          <w:rFonts w:ascii="MS PGothic" w:cs="MS PGothic" w:eastAsia="MS PGothic" w:hAnsi="MS PGothic"/>
          <w:sz w:val="38"/>
          <w:szCs w:val="38"/>
          <w:color w:val="1E295B"/>
          <w:vertAlign w:val="subscript"/>
        </w:rPr>
      </w:pPr>
      <w:r>
        <w:rPr>
          <w:rFonts w:ascii="Arial" w:cs="Arial" w:eastAsia="Arial" w:hAnsi="Arial"/>
          <w:sz w:val="14"/>
          <w:szCs w:val="14"/>
          <w:b w:val="1"/>
          <w:bCs w:val="1"/>
          <w:color w:val="auto"/>
        </w:rPr>
        <w:t>Apply conservative post-employment and change in control provisions.</w:t>
      </w:r>
    </w:p>
    <w:p>
      <w:pPr>
        <w:spacing w:after="0" w:line="116" w:lineRule="exact"/>
        <w:rPr>
          <w:rFonts w:ascii="MS PGothic" w:cs="MS PGothic" w:eastAsia="MS PGothic" w:hAnsi="MS PGothic"/>
          <w:sz w:val="38"/>
          <w:szCs w:val="38"/>
          <w:color w:val="1E295B"/>
          <w:vertAlign w:val="subscript"/>
        </w:rPr>
      </w:pPr>
    </w:p>
    <w:p>
      <w:pPr>
        <w:jc w:val="both"/>
        <w:ind w:left="480" w:right="260" w:hanging="472"/>
        <w:spacing w:after="0" w:line="204" w:lineRule="auto"/>
        <w:tabs>
          <w:tab w:leader="none" w:pos="480" w:val="left"/>
        </w:tabs>
        <w:numPr>
          <w:ilvl w:val="0"/>
          <w:numId w:val="60"/>
        </w:numPr>
        <w:rPr>
          <w:rFonts w:ascii="MS PGothic" w:cs="MS PGothic" w:eastAsia="MS PGothic" w:hAnsi="MS PGothic"/>
          <w:sz w:val="62"/>
          <w:szCs w:val="62"/>
          <w:color w:val="1E295B"/>
          <w:vertAlign w:val="subscript"/>
        </w:rPr>
      </w:pPr>
      <w:r>
        <w:rPr>
          <w:rFonts w:ascii="Arial" w:cs="Arial" w:eastAsia="Arial" w:hAnsi="Arial"/>
          <w:sz w:val="15"/>
          <w:szCs w:val="15"/>
          <w:b w:val="1"/>
          <w:bCs w:val="1"/>
          <w:color w:val="auto"/>
        </w:rPr>
        <w:t xml:space="preserve">Limit accelerated vesting: </w:t>
      </w:r>
      <w:r>
        <w:rPr>
          <w:rFonts w:ascii="Arial" w:cs="Arial" w:eastAsia="Arial" w:hAnsi="Arial"/>
          <w:sz w:val="15"/>
          <w:szCs w:val="15"/>
          <w:color w:val="auto"/>
        </w:rPr>
        <w:t>Our equity plan provides for</w:t>
      </w:r>
      <w:r>
        <w:rPr>
          <w:rFonts w:ascii="Arial" w:cs="Arial" w:eastAsia="Arial" w:hAnsi="Arial"/>
          <w:sz w:val="15"/>
          <w:szCs w:val="15"/>
          <w:b w:val="1"/>
          <w:bCs w:val="1"/>
          <w:color w:val="auto"/>
        </w:rPr>
        <w:t xml:space="preserve"> </w:t>
      </w:r>
      <w:r>
        <w:rPr>
          <w:rFonts w:ascii="Arial" w:cs="Arial" w:eastAsia="Arial" w:hAnsi="Arial"/>
          <w:sz w:val="15"/>
          <w:szCs w:val="15"/>
          <w:color w:val="auto"/>
        </w:rPr>
        <w:t>accelerated vesting of equity awards after a change in control only if an executive is involuntarily terminated by the Company without cause or resigns for good reason, a provision referred to as a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-638810</wp:posOffset>
            </wp:positionV>
            <wp:extent cx="33089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33089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-972820</wp:posOffset>
            </wp:positionV>
            <wp:extent cx="330898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Issue grants below 100%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192405</wp:posOffset>
            </wp:positionV>
            <wp:extent cx="32746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-141605</wp:posOffset>
            </wp:positionV>
            <wp:extent cx="327469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dividends on any unearned or unvested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183515</wp:posOffset>
            </wp:positionV>
            <wp:extent cx="32746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Permit hedging or short-sale transactions.</w:t>
      </w:r>
    </w:p>
    <w:p>
      <w:pPr>
        <w:spacing w:after="0" w:line="342" w:lineRule="exact"/>
        <w:rPr>
          <w:sz w:val="20"/>
          <w:szCs w:val="20"/>
          <w:color w:val="auto"/>
        </w:rPr>
      </w:pPr>
    </w:p>
    <w:p>
      <w:pPr>
        <w:sectPr>
          <w:pgSz w:w="11900" w:h="16838" w:orient="portrait"/>
          <w:cols w:equalWidth="0" w:num="2">
            <w:col w:w="5480" w:space="720"/>
            <w:col w:w="4680"/>
          </w:cols>
          <w:pgMar w:left="500" w:top="270" w:right="519" w:bottom="1440" w:gutter="0" w:footer="0" w:header="0"/>
          <w:type w:val="continuous"/>
        </w:sectPr>
      </w:pPr>
    </w:p>
    <w:p>
      <w:pPr>
        <w:ind w:left="480" w:right="260" w:hanging="472"/>
        <w:spacing w:after="0" w:line="182" w:lineRule="auto"/>
        <w:tabs>
          <w:tab w:leader="none" w:pos="480" w:val="left"/>
        </w:tabs>
        <w:numPr>
          <w:ilvl w:val="0"/>
          <w:numId w:val="61"/>
        </w:numPr>
        <w:rPr>
          <w:rFonts w:ascii="MS PGothic" w:cs="MS PGothic" w:eastAsia="MS PGothic" w:hAnsi="MS PGothic"/>
          <w:sz w:val="37"/>
          <w:szCs w:val="37"/>
          <w:color w:val="1E295B"/>
          <w:vertAlign w:val="subscript"/>
        </w:rPr>
      </w:pPr>
      <w:r>
        <w:rPr>
          <w:rFonts w:ascii="Arial" w:cs="Arial" w:eastAsia="Arial" w:hAnsi="Arial"/>
          <w:sz w:val="14"/>
          <w:szCs w:val="14"/>
          <w:b w:val="1"/>
          <w:bCs w:val="1"/>
          <w:color w:val="auto"/>
        </w:rPr>
        <w:t xml:space="preserve">Restrict pledging activity: </w:t>
      </w:r>
      <w:r>
        <w:rPr>
          <w:rFonts w:ascii="Arial" w:cs="Arial" w:eastAsia="Arial" w:hAnsi="Arial"/>
          <w:sz w:val="14"/>
          <w:szCs w:val="14"/>
          <w:color w:val="auto"/>
        </w:rPr>
        <w:t>All Executive Officers are subject to</w:t>
      </w:r>
      <w:r>
        <w:rPr>
          <w:rFonts w:ascii="Arial" w:cs="Arial" w:eastAsia="Arial" w:hAnsi="Arial"/>
          <w:sz w:val="14"/>
          <w:szCs w:val="14"/>
          <w:b w:val="1"/>
          <w:bCs w:val="1"/>
          <w:color w:val="auto"/>
        </w:rPr>
        <w:t xml:space="preserve"> </w:t>
      </w:r>
      <w:r>
        <w:rPr>
          <w:rFonts w:ascii="Arial" w:cs="Arial" w:eastAsia="Arial" w:hAnsi="Arial"/>
          <w:sz w:val="14"/>
          <w:szCs w:val="14"/>
          <w:color w:val="auto"/>
        </w:rPr>
        <w:t>pre-clearance requirements and restrictions.</w:t>
      </w:r>
    </w:p>
    <w:p>
      <w:pPr>
        <w:spacing w:after="0" w:line="123" w:lineRule="exact"/>
        <w:rPr>
          <w:rFonts w:ascii="MS PGothic" w:cs="MS PGothic" w:eastAsia="MS PGothic" w:hAnsi="MS PGothic"/>
          <w:sz w:val="37"/>
          <w:szCs w:val="37"/>
          <w:color w:val="1E295B"/>
          <w:vertAlign w:val="subscript"/>
        </w:rPr>
      </w:pPr>
    </w:p>
    <w:p>
      <w:pPr>
        <w:jc w:val="both"/>
        <w:ind w:left="480" w:right="280" w:hanging="472"/>
        <w:spacing w:after="0" w:line="225" w:lineRule="auto"/>
        <w:tabs>
          <w:tab w:leader="none" w:pos="480" w:val="left"/>
        </w:tabs>
        <w:numPr>
          <w:ilvl w:val="0"/>
          <w:numId w:val="61"/>
        </w:numPr>
        <w:rPr>
          <w:rFonts w:ascii="MS PGothic" w:cs="MS PGothic" w:eastAsia="MS PGothic" w:hAnsi="MS PGothic"/>
          <w:sz w:val="47"/>
          <w:szCs w:val="47"/>
          <w:color w:val="1E295B"/>
          <w:vertAlign w:val="subscript"/>
        </w:rPr>
      </w:pPr>
      <w:r>
        <w:rPr>
          <w:rFonts w:ascii="Arial" w:cs="Arial" w:eastAsia="Arial" w:hAnsi="Arial"/>
          <w:sz w:val="14"/>
          <w:szCs w:val="14"/>
          <w:b w:val="1"/>
          <w:bCs w:val="1"/>
          <w:color w:val="auto"/>
        </w:rPr>
        <w:t xml:space="preserve">Receive strong shareholder support: </w:t>
      </w:r>
      <w:r>
        <w:rPr>
          <w:rFonts w:ascii="Arial" w:cs="Arial" w:eastAsia="Arial" w:hAnsi="Arial"/>
          <w:sz w:val="14"/>
          <w:szCs w:val="14"/>
          <w:color w:val="auto"/>
        </w:rPr>
        <w:t>Each year since 2011,</w:t>
      </w:r>
      <w:r>
        <w:rPr>
          <w:rFonts w:ascii="Arial" w:cs="Arial" w:eastAsia="Arial" w:hAnsi="Arial"/>
          <w:sz w:val="14"/>
          <w:szCs w:val="14"/>
          <w:b w:val="1"/>
          <w:bCs w:val="1"/>
          <w:color w:val="auto"/>
        </w:rPr>
        <w:t xml:space="preserve"> </w:t>
      </w:r>
      <w:r>
        <w:rPr>
          <w:rFonts w:ascii="Arial" w:cs="Arial" w:eastAsia="Arial" w:hAnsi="Arial"/>
          <w:sz w:val="14"/>
          <w:szCs w:val="14"/>
          <w:color w:val="auto"/>
        </w:rPr>
        <w:t>more than 90% of the votes cast have been supportive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330898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33089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-400050</wp:posOffset>
            </wp:positionV>
            <wp:extent cx="330898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-734695</wp:posOffset>
            </wp:positionV>
            <wp:extent cx="33089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Count pledged shares toward stock ownership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612140</wp:posOffset>
            </wp:positionV>
            <wp:extent cx="32746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-141605</wp:posOffset>
            </wp:positionV>
            <wp:extent cx="32746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134" w:lineRule="exact"/>
        <w:rPr>
          <w:sz w:val="20"/>
          <w:szCs w:val="20"/>
          <w:color w:val="auto"/>
        </w:rPr>
      </w:pPr>
    </w:p>
    <w:p>
      <w:pPr>
        <w:sectPr>
          <w:pgSz w:w="11900" w:h="16838" w:orient="portrait"/>
          <w:cols w:equalWidth="0" w:num="2">
            <w:col w:w="5480" w:space="720"/>
            <w:col w:w="4680"/>
          </w:cols>
          <w:pgMar w:left="500" w:top="270" w:right="519" w:bottom="1440" w:gutter="0" w:footer="0" w:header="0"/>
          <w:type w:val="continuous"/>
        </w:sectPr>
      </w:pPr>
    </w:p>
    <w:p>
      <w:pPr>
        <w:spacing w:after="0" w:line="76"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Framework for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690054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Our Pay and Benefits Philosophy</w:t>
      </w:r>
    </w:p>
    <w:p>
      <w:pPr>
        <w:spacing w:after="0" w:line="124"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We believe that </w:t>
      </w:r>
      <w:r>
        <w:rPr>
          <w:rFonts w:ascii="Arial" w:cs="Arial" w:eastAsia="Arial" w:hAnsi="Arial"/>
          <w:sz w:val="16"/>
          <w:szCs w:val="16"/>
          <w:b w:val="1"/>
          <w:bCs w:val="1"/>
          <w:color w:val="auto"/>
        </w:rPr>
        <w:t>if our customers win, our employees and shareholders win</w:t>
      </w:r>
      <w:r>
        <w:rPr>
          <w:rFonts w:ascii="Arial" w:cs="Arial" w:eastAsia="Arial" w:hAnsi="Arial"/>
          <w:sz w:val="16"/>
          <w:szCs w:val="16"/>
          <w:color w:val="auto"/>
        </w:rPr>
        <w:t xml:space="preserve"> – our interests are aligned.</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We </w:t>
      </w:r>
      <w:r>
        <w:rPr>
          <w:rFonts w:ascii="Arial" w:cs="Arial" w:eastAsia="Arial" w:hAnsi="Arial"/>
          <w:sz w:val="16"/>
          <w:szCs w:val="16"/>
          <w:b w:val="1"/>
          <w:bCs w:val="1"/>
          <w:color w:val="auto"/>
        </w:rPr>
        <w:t>pay for performance</w:t>
      </w:r>
      <w:r>
        <w:rPr>
          <w:rFonts w:ascii="Arial" w:cs="Arial" w:eastAsia="Arial" w:hAnsi="Arial"/>
          <w:sz w:val="16"/>
          <w:szCs w:val="16"/>
          <w:color w:val="auto"/>
        </w:rPr>
        <w:t xml:space="preserve"> by investing in talent that delivers results and demonstrates the behaviors that drive our success, while not encouraging excessive risk taking.</w:t>
      </w:r>
    </w:p>
    <w:p>
      <w:pPr>
        <w:spacing w:after="0" w:line="20" w:lineRule="exact"/>
        <w:rPr>
          <w:rFonts w:ascii="Arial" w:cs="Arial" w:eastAsia="Arial" w:hAnsi="Arial"/>
          <w:sz w:val="16"/>
          <w:szCs w:val="16"/>
          <w:color w:val="auto"/>
        </w:rPr>
      </w:pPr>
    </w:p>
    <w:p>
      <w:pPr>
        <w:ind w:left="220" w:hanging="212"/>
        <w:spacing w:after="0"/>
        <w:tabs>
          <w:tab w:leader="none" w:pos="2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We deliver </w:t>
      </w:r>
      <w:r>
        <w:rPr>
          <w:rFonts w:ascii="Arial" w:cs="Arial" w:eastAsia="Arial" w:hAnsi="Arial"/>
          <w:sz w:val="16"/>
          <w:szCs w:val="16"/>
          <w:b w:val="1"/>
          <w:bCs w:val="1"/>
          <w:color w:val="auto"/>
        </w:rPr>
        <w:t>competitive pay and benefits</w:t>
      </w:r>
      <w:r>
        <w:rPr>
          <w:rFonts w:ascii="Arial" w:cs="Arial" w:eastAsia="Arial" w:hAnsi="Arial"/>
          <w:sz w:val="16"/>
          <w:szCs w:val="16"/>
          <w:color w:val="auto"/>
        </w:rPr>
        <w:t xml:space="preserve"> for all jobs and </w:t>
      </w:r>
      <w:r>
        <w:rPr>
          <w:rFonts w:ascii="Arial" w:cs="Arial" w:eastAsia="Arial" w:hAnsi="Arial"/>
          <w:sz w:val="16"/>
          <w:szCs w:val="16"/>
          <w:b w:val="1"/>
          <w:bCs w:val="1"/>
          <w:color w:val="auto"/>
        </w:rPr>
        <w:t>differentiate pay for critical jobs</w:t>
      </w:r>
      <w:r>
        <w:rPr>
          <w:rFonts w:ascii="Arial" w:cs="Arial" w:eastAsia="Arial" w:hAnsi="Arial"/>
          <w:sz w:val="16"/>
          <w:szCs w:val="16"/>
          <w:color w:val="auto"/>
        </w:rPr>
        <w:t xml:space="preserve"> that directly impact our ability to deliver on our strategy.</w:t>
      </w:r>
    </w:p>
    <w:p>
      <w:pPr>
        <w:spacing w:after="0" w:line="72" w:lineRule="exact"/>
        <w:rPr>
          <w:rFonts w:ascii="Arial" w:cs="Arial" w:eastAsia="Arial" w:hAnsi="Arial"/>
          <w:sz w:val="16"/>
          <w:szCs w:val="16"/>
          <w:color w:val="auto"/>
        </w:rPr>
      </w:pPr>
    </w:p>
    <w:p>
      <w:pPr>
        <w:ind w:left="200" w:right="20" w:hanging="192"/>
        <w:spacing w:after="0" w:line="286" w:lineRule="auto"/>
        <w:tabs>
          <w:tab w:leader="none" w:pos="20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We use </w:t>
      </w:r>
      <w:r>
        <w:rPr>
          <w:rFonts w:ascii="Arial" w:cs="Arial" w:eastAsia="Arial" w:hAnsi="Arial"/>
          <w:sz w:val="16"/>
          <w:szCs w:val="16"/>
          <w:b w:val="1"/>
          <w:bCs w:val="1"/>
          <w:color w:val="auto"/>
        </w:rPr>
        <w:t>objective market data</w:t>
      </w:r>
      <w:r>
        <w:rPr>
          <w:rFonts w:ascii="Arial" w:cs="Arial" w:eastAsia="Arial" w:hAnsi="Arial"/>
          <w:sz w:val="16"/>
          <w:szCs w:val="16"/>
          <w:color w:val="auto"/>
        </w:rPr>
        <w:t xml:space="preserve"> to design flexible pay and benefits programs to help attract, retain, motivate and reward our employees and meet the needs of specific talent groups.</w:t>
      </w:r>
    </w:p>
    <w:p>
      <w:pPr>
        <w:spacing w:after="0" w:line="7"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We provide </w:t>
      </w:r>
      <w:r>
        <w:rPr>
          <w:rFonts w:ascii="Arial" w:cs="Arial" w:eastAsia="Arial" w:hAnsi="Arial"/>
          <w:sz w:val="16"/>
          <w:szCs w:val="16"/>
          <w:b w:val="1"/>
          <w:bCs w:val="1"/>
          <w:color w:val="auto"/>
        </w:rPr>
        <w:t>equal pay and promotion opportunities</w:t>
      </w:r>
      <w:r>
        <w:rPr>
          <w:rFonts w:ascii="Arial" w:cs="Arial" w:eastAsia="Arial" w:hAnsi="Arial"/>
          <w:sz w:val="16"/>
          <w:szCs w:val="16"/>
          <w:color w:val="auto"/>
        </w:rPr>
        <w:t xml:space="preserve"> for all employees and give them the information they need to clearly understand their pay and effectively manage their careers.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89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Each Element of Compensation Has Its Own Purpose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compensation program for NEOs is made up of four primary elements outlined on the following table. Each element has its own purpose based on our fundamental premise of pay-for-performance and our pay and benefits philosophy, as previously described. Additional information is provided on the following pages.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212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Compensation Element</w:t>
            </w:r>
          </w:p>
        </w:tc>
        <w:tc>
          <w:tcPr>
            <w:tcW w:w="8240" w:type="dxa"/>
            <w:vAlign w:val="bottom"/>
            <w:gridSpan w:val="2"/>
          </w:tcPr>
          <w:p>
            <w:pPr>
              <w:ind w:left="3920"/>
              <w:spacing w:after="0"/>
              <w:rPr>
                <w:sz w:val="20"/>
                <w:szCs w:val="20"/>
                <w:color w:val="auto"/>
              </w:rPr>
            </w:pPr>
            <w:r>
              <w:rPr>
                <w:rFonts w:ascii="Arial" w:cs="Arial" w:eastAsia="Arial" w:hAnsi="Arial"/>
                <w:sz w:val="16"/>
                <w:szCs w:val="16"/>
                <w:b w:val="1"/>
                <w:bCs w:val="1"/>
                <w:color w:val="auto"/>
              </w:rPr>
              <w:t>Purpose</w:t>
            </w:r>
          </w:p>
        </w:tc>
        <w:tc>
          <w:tcPr>
            <w:tcW w:w="0" w:type="dxa"/>
            <w:vAlign w:val="bottom"/>
          </w:tcPr>
          <w:p>
            <w:pPr>
              <w:spacing w:after="0"/>
              <w:rPr>
                <w:sz w:val="1"/>
                <w:szCs w:val="1"/>
                <w:color w:val="auto"/>
              </w:rPr>
            </w:pP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660" w:type="dxa"/>
            <w:vAlign w:val="bottom"/>
            <w:gridSpan w:val="3"/>
            <w:shd w:val="clear" w:color="auto" w:fill="DCDDDE"/>
          </w:tcPr>
          <w:p>
            <w:pPr>
              <w:ind w:left="60"/>
              <w:spacing w:after="0" w:line="168" w:lineRule="exact"/>
              <w:rPr>
                <w:sz w:val="20"/>
                <w:szCs w:val="20"/>
                <w:color w:val="auto"/>
              </w:rPr>
            </w:pPr>
            <w:r>
              <w:rPr>
                <w:rFonts w:ascii="Arial" w:cs="Arial" w:eastAsia="Arial" w:hAnsi="Arial"/>
                <w:sz w:val="16"/>
                <w:szCs w:val="16"/>
                <w:b w:val="1"/>
                <w:bCs w:val="1"/>
                <w:color w:val="auto"/>
              </w:rPr>
              <w:t>Base Salary</w:t>
            </w:r>
          </w:p>
        </w:tc>
        <w:tc>
          <w:tcPr>
            <w:tcW w:w="8220" w:type="dxa"/>
            <w:vAlign w:val="bottom"/>
            <w:shd w:val="clear" w:color="auto" w:fill="DCDDDE"/>
          </w:tcPr>
          <w:p>
            <w:pPr>
              <w:ind w:left="300"/>
              <w:spacing w:after="0" w:line="168" w:lineRule="exact"/>
              <w:rPr>
                <w:sz w:val="20"/>
                <w:szCs w:val="20"/>
                <w:color w:val="auto"/>
              </w:rPr>
            </w:pPr>
            <w:r>
              <w:rPr>
                <w:rFonts w:ascii="Arial" w:cs="Arial" w:eastAsia="Arial" w:hAnsi="Arial"/>
                <w:sz w:val="16"/>
                <w:szCs w:val="16"/>
                <w:color w:val="auto"/>
              </w:rPr>
              <w:t>Reflect scope of the role and individual performance through base-line cash compensation.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60" w:type="dxa"/>
            <w:vAlign w:val="bottom"/>
            <w:gridSpan w:val="3"/>
            <w:shd w:val="clear" w:color="auto" w:fill="DCDDDE"/>
          </w:tcPr>
          <w:p>
            <w:pPr>
              <w:ind w:left="60"/>
              <w:spacing w:after="0" w:line="176" w:lineRule="exact"/>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color w:val="0000EE"/>
              </w:rPr>
              <w:t>41</w:t>
            </w:r>
            <w:r>
              <w:rPr>
                <w:rFonts w:ascii="Arial" w:cs="Arial" w:eastAsia="Arial" w:hAnsi="Arial"/>
                <w:sz w:val="16"/>
                <w:szCs w:val="16"/>
                <w:color w:val="auto"/>
              </w:rPr>
              <w:t>)</w:t>
            </w:r>
          </w:p>
        </w:tc>
        <w:tc>
          <w:tcPr>
            <w:tcW w:w="8220" w:type="dxa"/>
            <w:vAlign w:val="bottom"/>
            <w:shd w:val="clear" w:color="auto" w:fill="DCDDD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40" w:type="dxa"/>
            <w:vAlign w:val="bottom"/>
            <w:tcBorders>
              <w:top w:val="single" w:sz="8" w:color="DCDDDE"/>
            </w:tcBorders>
            <w:shd w:val="clear" w:color="auto" w:fill="DCDDDE"/>
          </w:tcPr>
          <w:p>
            <w:pPr>
              <w:spacing w:after="0"/>
              <w:rPr>
                <w:sz w:val="4"/>
                <w:szCs w:val="4"/>
                <w:color w:val="auto"/>
              </w:rPr>
            </w:pPr>
          </w:p>
        </w:tc>
        <w:tc>
          <w:tcPr>
            <w:tcW w:w="180" w:type="dxa"/>
            <w:vAlign w:val="bottom"/>
            <w:tcBorders>
              <w:top w:val="single" w:sz="8" w:color="0000EE"/>
            </w:tcBorders>
            <w:shd w:val="clear" w:color="auto" w:fill="DCDDDE"/>
          </w:tcPr>
          <w:p>
            <w:pPr>
              <w:spacing w:after="0"/>
              <w:rPr>
                <w:sz w:val="4"/>
                <w:szCs w:val="4"/>
                <w:color w:val="auto"/>
              </w:rPr>
            </w:pPr>
          </w:p>
        </w:tc>
        <w:tc>
          <w:tcPr>
            <w:tcW w:w="1940" w:type="dxa"/>
            <w:vAlign w:val="bottom"/>
            <w:tcBorders>
              <w:top w:val="single" w:sz="8" w:color="DCDDDE"/>
            </w:tcBorders>
            <w:shd w:val="clear" w:color="auto" w:fill="DCDDDE"/>
          </w:tcPr>
          <w:p>
            <w:pPr>
              <w:spacing w:after="0"/>
              <w:rPr>
                <w:sz w:val="4"/>
                <w:szCs w:val="4"/>
                <w:color w:val="auto"/>
              </w:rPr>
            </w:pPr>
          </w:p>
        </w:tc>
        <w:tc>
          <w:tcPr>
            <w:tcW w:w="8220" w:type="dxa"/>
            <w:vAlign w:val="bottom"/>
            <w:tcBorders>
              <w:top w:val="single" w:sz="8" w:color="DCDDDE"/>
            </w:tcBorders>
            <w:shd w:val="clear" w:color="auto" w:fill="DCDDDE"/>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660" w:type="dxa"/>
            <w:vAlign w:val="bottom"/>
            <w:gridSpan w:val="3"/>
          </w:tcPr>
          <w:p>
            <w:pPr>
              <w:ind w:left="60"/>
              <w:spacing w:after="0" w:line="175" w:lineRule="exact"/>
              <w:rPr>
                <w:sz w:val="20"/>
                <w:szCs w:val="20"/>
                <w:color w:val="auto"/>
              </w:rPr>
            </w:pPr>
            <w:r>
              <w:rPr>
                <w:rFonts w:ascii="Arial" w:cs="Arial" w:eastAsia="Arial" w:hAnsi="Arial"/>
                <w:sz w:val="16"/>
                <w:szCs w:val="16"/>
                <w:b w:val="1"/>
                <w:bCs w:val="1"/>
                <w:color w:val="auto"/>
              </w:rPr>
              <w:t>Performance-Based Annual</w:t>
            </w:r>
          </w:p>
        </w:tc>
        <w:tc>
          <w:tcPr>
            <w:tcW w:w="8220" w:type="dxa"/>
            <w:vAlign w:val="bottom"/>
          </w:tcPr>
          <w:p>
            <w:pPr>
              <w:ind w:left="300"/>
              <w:spacing w:after="0" w:line="175" w:lineRule="exact"/>
              <w:rPr>
                <w:sz w:val="20"/>
                <w:szCs w:val="20"/>
                <w:color w:val="auto"/>
              </w:rPr>
            </w:pPr>
            <w:r>
              <w:rPr>
                <w:rFonts w:ascii="Arial" w:cs="Arial" w:eastAsia="Arial" w:hAnsi="Arial"/>
                <w:sz w:val="16"/>
                <w:szCs w:val="16"/>
                <w:color w:val="auto"/>
              </w:rPr>
              <w:t>Motivate and reward contributions to annual operating performance and long-term business strategy with cash</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Bonus</w:t>
            </w:r>
          </w:p>
        </w:tc>
        <w:tc>
          <w:tcPr>
            <w:tcW w:w="8240" w:type="dxa"/>
            <w:vAlign w:val="bottom"/>
            <w:gridSpan w:val="2"/>
          </w:tcPr>
          <w:p>
            <w:pPr>
              <w:ind w:left="300"/>
              <w:spacing w:after="0"/>
              <w:rPr>
                <w:sz w:val="20"/>
                <w:szCs w:val="20"/>
                <w:color w:val="auto"/>
              </w:rPr>
            </w:pPr>
            <w:r>
              <w:rPr>
                <w:rFonts w:ascii="Arial" w:cs="Arial" w:eastAsia="Arial" w:hAnsi="Arial"/>
                <w:sz w:val="16"/>
                <w:szCs w:val="16"/>
                <w:color w:val="auto"/>
              </w:rPr>
              <w:t>that varies based on results.</w:t>
            </w:r>
          </w:p>
        </w:tc>
        <w:tc>
          <w:tcPr>
            <w:tcW w:w="0" w:type="dxa"/>
            <w:vAlign w:val="bottom"/>
          </w:tcPr>
          <w:p>
            <w:pPr>
              <w:spacing w:after="0"/>
              <w:rPr>
                <w:sz w:val="1"/>
                <w:szCs w:val="1"/>
                <w:color w:val="auto"/>
              </w:rPr>
            </w:pPr>
          </w:p>
        </w:tc>
      </w:tr>
      <w:tr>
        <w:trPr>
          <w:trHeight w:val="176"/>
        </w:trPr>
        <w:tc>
          <w:tcPr>
            <w:tcW w:w="2660" w:type="dxa"/>
            <w:vAlign w:val="bottom"/>
            <w:gridSpan w:val="3"/>
          </w:tcPr>
          <w:p>
            <w:pPr>
              <w:ind w:left="60"/>
              <w:spacing w:after="0" w:line="176" w:lineRule="exact"/>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color w:val="0000EE"/>
              </w:rPr>
              <w:t>42</w:t>
            </w:r>
            <w:r>
              <w:rPr>
                <w:rFonts w:ascii="Arial" w:cs="Arial" w:eastAsia="Arial" w:hAnsi="Arial"/>
                <w:sz w:val="16"/>
                <w:szCs w:val="16"/>
                <w:color w:val="auto"/>
              </w:rPr>
              <w:t>)</w:t>
            </w:r>
          </w:p>
        </w:tc>
        <w:tc>
          <w:tcPr>
            <w:tcW w:w="8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940" w:type="dxa"/>
            <w:vAlign w:val="bottom"/>
          </w:tcPr>
          <w:p>
            <w:pPr>
              <w:spacing w:after="0"/>
              <w:rPr>
                <w:sz w:val="4"/>
                <w:szCs w:val="4"/>
                <w:color w:val="auto"/>
              </w:rPr>
            </w:pPr>
          </w:p>
        </w:tc>
        <w:tc>
          <w:tcPr>
            <w:tcW w:w="82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660" w:type="dxa"/>
            <w:vAlign w:val="bottom"/>
            <w:gridSpan w:val="3"/>
            <w:shd w:val="clear" w:color="auto" w:fill="DCDDDE"/>
          </w:tcPr>
          <w:p>
            <w:pPr>
              <w:ind w:left="60"/>
              <w:spacing w:after="0" w:line="175" w:lineRule="exact"/>
              <w:rPr>
                <w:sz w:val="20"/>
                <w:szCs w:val="20"/>
                <w:color w:val="auto"/>
              </w:rPr>
            </w:pPr>
            <w:r>
              <w:rPr>
                <w:rFonts w:ascii="Arial" w:cs="Arial" w:eastAsia="Arial" w:hAnsi="Arial"/>
                <w:sz w:val="16"/>
                <w:szCs w:val="16"/>
                <w:b w:val="1"/>
                <w:bCs w:val="1"/>
                <w:color w:val="auto"/>
              </w:rPr>
              <w:t>LTIs</w:t>
            </w:r>
          </w:p>
        </w:tc>
        <w:tc>
          <w:tcPr>
            <w:tcW w:w="8220" w:type="dxa"/>
            <w:vAlign w:val="bottom"/>
            <w:shd w:val="clear" w:color="auto" w:fill="DCDDDE"/>
          </w:tcPr>
          <w:p>
            <w:pPr>
              <w:ind w:left="300"/>
              <w:spacing w:after="0" w:line="175" w:lineRule="exact"/>
              <w:rPr>
                <w:sz w:val="20"/>
                <w:szCs w:val="20"/>
                <w:color w:val="auto"/>
              </w:rPr>
            </w:pPr>
            <w:r>
              <w:rPr>
                <w:rFonts w:ascii="Arial" w:cs="Arial" w:eastAsia="Arial" w:hAnsi="Arial"/>
                <w:sz w:val="16"/>
                <w:szCs w:val="16"/>
                <w:color w:val="auto"/>
              </w:rPr>
              <w:t>Promote alignment of executive decisions with Company goals and shareholder interests where value varies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gridSpan w:val="3"/>
            <w:shd w:val="clear" w:color="auto" w:fill="DCDDDE"/>
          </w:tcPr>
          <w:p>
            <w:pPr>
              <w:ind w:left="60"/>
              <w:spacing w:after="0" w:line="176" w:lineRule="exact"/>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color w:val="0000EE"/>
              </w:rPr>
              <w:t>42</w:t>
            </w:r>
            <w:r>
              <w:rPr>
                <w:rFonts w:ascii="Arial" w:cs="Arial" w:eastAsia="Arial" w:hAnsi="Arial"/>
                <w:sz w:val="16"/>
                <w:szCs w:val="16"/>
                <w:color w:val="auto"/>
              </w:rPr>
              <w:t>)</w:t>
            </w:r>
          </w:p>
        </w:tc>
        <w:tc>
          <w:tcPr>
            <w:tcW w:w="8220" w:type="dxa"/>
            <w:vAlign w:val="bottom"/>
            <w:shd w:val="clear" w:color="auto" w:fill="DCDDDE"/>
          </w:tcPr>
          <w:p>
            <w:pPr>
              <w:ind w:left="300"/>
              <w:spacing w:after="0" w:line="176" w:lineRule="exact"/>
              <w:rPr>
                <w:sz w:val="20"/>
                <w:szCs w:val="20"/>
                <w:color w:val="auto"/>
              </w:rPr>
            </w:pPr>
            <w:r>
              <w:rPr>
                <w:rFonts w:ascii="Arial" w:cs="Arial" w:eastAsia="Arial" w:hAnsi="Arial"/>
                <w:sz w:val="16"/>
                <w:szCs w:val="16"/>
                <w:color w:val="auto"/>
              </w:rPr>
              <w:t>with Company stock performance.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40" w:type="dxa"/>
            <w:vAlign w:val="bottom"/>
            <w:tcBorders>
              <w:top w:val="single" w:sz="8" w:color="DCDDDE"/>
            </w:tcBorders>
            <w:shd w:val="clear" w:color="auto" w:fill="DCDDDE"/>
          </w:tcPr>
          <w:p>
            <w:pPr>
              <w:spacing w:after="0"/>
              <w:rPr>
                <w:sz w:val="4"/>
                <w:szCs w:val="4"/>
                <w:color w:val="auto"/>
              </w:rPr>
            </w:pPr>
          </w:p>
        </w:tc>
        <w:tc>
          <w:tcPr>
            <w:tcW w:w="180" w:type="dxa"/>
            <w:vAlign w:val="bottom"/>
            <w:tcBorders>
              <w:top w:val="single" w:sz="8" w:color="0000EE"/>
            </w:tcBorders>
            <w:shd w:val="clear" w:color="auto" w:fill="DCDDDE"/>
          </w:tcPr>
          <w:p>
            <w:pPr>
              <w:spacing w:after="0"/>
              <w:rPr>
                <w:sz w:val="4"/>
                <w:szCs w:val="4"/>
                <w:color w:val="auto"/>
              </w:rPr>
            </w:pPr>
          </w:p>
        </w:tc>
        <w:tc>
          <w:tcPr>
            <w:tcW w:w="1940" w:type="dxa"/>
            <w:vAlign w:val="bottom"/>
            <w:tcBorders>
              <w:top w:val="single" w:sz="8" w:color="DCDDDE"/>
            </w:tcBorders>
            <w:shd w:val="clear" w:color="auto" w:fill="DCDDDE"/>
          </w:tcPr>
          <w:p>
            <w:pPr>
              <w:spacing w:after="0"/>
              <w:rPr>
                <w:sz w:val="4"/>
                <w:szCs w:val="4"/>
                <w:color w:val="auto"/>
              </w:rPr>
            </w:pPr>
          </w:p>
        </w:tc>
        <w:tc>
          <w:tcPr>
            <w:tcW w:w="8220" w:type="dxa"/>
            <w:vAlign w:val="bottom"/>
            <w:tcBorders>
              <w:top w:val="single" w:sz="8" w:color="DCDDDE"/>
            </w:tcBorders>
            <w:shd w:val="clear" w:color="auto" w:fill="DCDDDE"/>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660" w:type="dxa"/>
            <w:vAlign w:val="bottom"/>
            <w:gridSpan w:val="3"/>
          </w:tcPr>
          <w:p>
            <w:pPr>
              <w:ind w:left="60"/>
              <w:spacing w:after="0" w:line="175" w:lineRule="exact"/>
              <w:rPr>
                <w:sz w:val="20"/>
                <w:szCs w:val="20"/>
                <w:color w:val="auto"/>
              </w:rPr>
            </w:pPr>
            <w:r>
              <w:rPr>
                <w:rFonts w:ascii="Arial" w:cs="Arial" w:eastAsia="Arial" w:hAnsi="Arial"/>
                <w:sz w:val="16"/>
                <w:szCs w:val="16"/>
                <w:b w:val="1"/>
                <w:bCs w:val="1"/>
                <w:color w:val="auto"/>
              </w:rPr>
              <w:t>Benefits</w:t>
            </w:r>
          </w:p>
        </w:tc>
        <w:tc>
          <w:tcPr>
            <w:tcW w:w="8220" w:type="dxa"/>
            <w:vAlign w:val="bottom"/>
          </w:tcPr>
          <w:p>
            <w:pPr>
              <w:ind w:left="300"/>
              <w:spacing w:after="0" w:line="175" w:lineRule="exact"/>
              <w:rPr>
                <w:sz w:val="20"/>
                <w:szCs w:val="20"/>
                <w:color w:val="auto"/>
              </w:rPr>
            </w:pPr>
            <w:r>
              <w:rPr>
                <w:rFonts w:ascii="Arial" w:cs="Arial" w:eastAsia="Arial" w:hAnsi="Arial"/>
                <w:sz w:val="16"/>
                <w:szCs w:val="16"/>
                <w:color w:val="auto"/>
              </w:rPr>
              <w:t>Provide meaningful and competitive broad-based, leadership and retirement benefits that support healthy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gridSpan w:val="3"/>
          </w:tcPr>
          <w:p>
            <w:pPr>
              <w:ind w:left="60"/>
              <w:spacing w:after="0" w:line="176" w:lineRule="exact"/>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color w:val="0000EE"/>
              </w:rPr>
              <w:t>44</w:t>
            </w:r>
            <w:r>
              <w:rPr>
                <w:rFonts w:ascii="Arial" w:cs="Arial" w:eastAsia="Arial" w:hAnsi="Arial"/>
                <w:sz w:val="16"/>
                <w:szCs w:val="16"/>
                <w:color w:val="auto"/>
              </w:rPr>
              <w:t>)</w:t>
            </w:r>
          </w:p>
        </w:tc>
        <w:tc>
          <w:tcPr>
            <w:tcW w:w="8240" w:type="dxa"/>
            <w:vAlign w:val="bottom"/>
            <w:gridSpan w:val="2"/>
          </w:tcPr>
          <w:p>
            <w:pPr>
              <w:ind w:left="300"/>
              <w:spacing w:after="0" w:line="176" w:lineRule="exact"/>
              <w:rPr>
                <w:sz w:val="20"/>
                <w:szCs w:val="20"/>
                <w:color w:val="auto"/>
              </w:rPr>
            </w:pPr>
            <w:r>
              <w:rPr>
                <w:rFonts w:ascii="Arial" w:cs="Arial" w:eastAsia="Arial" w:hAnsi="Arial"/>
                <w:sz w:val="16"/>
                <w:szCs w:val="16"/>
                <w:color w:val="auto"/>
              </w:rPr>
              <w:t>lifestyles and contribute to financial security.</w:t>
            </w:r>
          </w:p>
        </w:tc>
        <w:tc>
          <w:tcPr>
            <w:tcW w:w="0" w:type="dxa"/>
            <w:vAlign w:val="bottom"/>
          </w:tcPr>
          <w:p>
            <w:pPr>
              <w:spacing w:after="0"/>
              <w:rPr>
                <w:sz w:val="1"/>
                <w:szCs w:val="1"/>
                <w:color w:val="auto"/>
              </w:rPr>
            </w:pPr>
          </w:p>
        </w:tc>
      </w:tr>
      <w:tr>
        <w:trPr>
          <w:trHeight w:val="48"/>
        </w:trPr>
        <w:tc>
          <w:tcPr>
            <w:tcW w:w="54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8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Pay Changes for 2022</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On an annual basis, the CPCC reviews base salary, performance-based bonus target opportunity and LTI target grant value for each of the NEOs in consideration of the upcoming fiscal year. CPCC decisions for fiscal year 2022 targets are summarized in this section and shown as a year over year comparison. See LTIs on page </w:t>
      </w:r>
      <w:r>
        <w:rPr>
          <w:rFonts w:ascii="Arial" w:cs="Arial" w:eastAsia="Arial" w:hAnsi="Arial"/>
          <w:sz w:val="16"/>
          <w:szCs w:val="16"/>
          <w:u w:val="single" w:color="auto"/>
          <w:color w:val="0000EE"/>
        </w:rPr>
        <w:t>42</w:t>
      </w:r>
      <w:r>
        <w:rPr>
          <w:rFonts w:ascii="Arial" w:cs="Arial" w:eastAsia="Arial" w:hAnsi="Arial"/>
          <w:sz w:val="16"/>
          <w:szCs w:val="16"/>
          <w:color w:val="auto"/>
        </w:rPr>
        <w:t xml:space="preserve"> for information on special equity grants and CPCC discretion to increase the 2022 LTI grant value for Michael Maher.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4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rPr>
              <w:t>Performance-Based</w:t>
            </w:r>
          </w:p>
        </w:tc>
        <w:tc>
          <w:tcPr>
            <w:tcW w:w="1200" w:type="dxa"/>
            <w:vAlign w:val="bottom"/>
          </w:tcPr>
          <w:p>
            <w:pPr>
              <w:spacing w:after="0"/>
              <w:rPr>
                <w:sz w:val="16"/>
                <w:szCs w:val="16"/>
                <w:color w:val="auto"/>
              </w:rPr>
            </w:pPr>
          </w:p>
        </w:tc>
        <w:tc>
          <w:tcPr>
            <w:tcW w:w="1240" w:type="dxa"/>
            <w:vAlign w:val="bottom"/>
          </w:tcPr>
          <w:p>
            <w:pPr>
              <w:jc w:val="center"/>
              <w:ind w:right="939"/>
              <w:spacing w:after="0"/>
              <w:rPr>
                <w:sz w:val="20"/>
                <w:szCs w:val="20"/>
                <w:color w:val="auto"/>
              </w:rPr>
            </w:pPr>
            <w:r>
              <w:rPr>
                <w:rFonts w:ascii="Arial" w:cs="Arial" w:eastAsia="Arial" w:hAnsi="Arial"/>
                <w:sz w:val="16"/>
                <w:szCs w:val="16"/>
                <w:b w:val="1"/>
                <w:bCs w:val="1"/>
                <w:color w:val="auto"/>
                <w:w w:val="91"/>
              </w:rPr>
              <w:t>LTI</w:t>
            </w:r>
          </w:p>
        </w:tc>
      </w:tr>
      <w:tr>
        <w:trPr>
          <w:trHeight w:val="189"/>
        </w:trPr>
        <w:tc>
          <w:tcPr>
            <w:tcW w:w="2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4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rPr>
              <w:t>Annual Cash Bonus</w:t>
            </w:r>
          </w:p>
        </w:tc>
        <w:tc>
          <w:tcPr>
            <w:tcW w:w="244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rPr>
              <w:t>Annual Grant</w:t>
            </w:r>
          </w:p>
        </w:tc>
      </w:tr>
      <w:tr>
        <w:trPr>
          <w:trHeight w:val="189"/>
        </w:trPr>
        <w:tc>
          <w:tcPr>
            <w:tcW w:w="2120" w:type="dxa"/>
            <w:vAlign w:val="bottom"/>
          </w:tcPr>
          <w:p>
            <w:pPr>
              <w:spacing w:after="0"/>
              <w:rPr>
                <w:sz w:val="16"/>
                <w:szCs w:val="16"/>
                <w:color w:val="auto"/>
              </w:rPr>
            </w:pPr>
          </w:p>
        </w:tc>
        <w:tc>
          <w:tcPr>
            <w:tcW w:w="2000" w:type="dxa"/>
            <w:vAlign w:val="bottom"/>
          </w:tcPr>
          <w:p>
            <w:pPr>
              <w:jc w:val="center"/>
              <w:ind w:left="899"/>
              <w:spacing w:after="0"/>
              <w:rPr>
                <w:sz w:val="20"/>
                <w:szCs w:val="20"/>
                <w:color w:val="auto"/>
              </w:rPr>
            </w:pPr>
            <w:r>
              <w:rPr>
                <w:rFonts w:ascii="Arial" w:cs="Arial" w:eastAsia="Arial" w:hAnsi="Arial"/>
                <w:sz w:val="16"/>
                <w:szCs w:val="16"/>
                <w:b w:val="1"/>
                <w:bCs w:val="1"/>
                <w:color w:val="auto"/>
                <w:w w:val="99"/>
              </w:rPr>
              <w:t>Base Salary</w:t>
            </w:r>
          </w:p>
        </w:tc>
        <w:tc>
          <w:tcPr>
            <w:tcW w:w="1280" w:type="dxa"/>
            <w:vAlign w:val="bottom"/>
          </w:tcPr>
          <w:p>
            <w:pPr>
              <w:spacing w:after="0"/>
              <w:rPr>
                <w:sz w:val="16"/>
                <w:szCs w:val="16"/>
                <w:color w:val="auto"/>
              </w:rPr>
            </w:pPr>
          </w:p>
        </w:tc>
        <w:tc>
          <w:tcPr>
            <w:tcW w:w="304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rPr>
              <w:t>(Target Opportunity</w:t>
            </w:r>
          </w:p>
        </w:tc>
        <w:tc>
          <w:tcPr>
            <w:tcW w:w="244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99"/>
              </w:rPr>
              <w:t>(Target Grant Value</w:t>
            </w:r>
          </w:p>
        </w:tc>
      </w:tr>
      <w:tr>
        <w:trPr>
          <w:trHeight w:val="223"/>
        </w:trPr>
        <w:tc>
          <w:tcPr>
            <w:tcW w:w="2120" w:type="dxa"/>
            <w:vAlign w:val="bottom"/>
          </w:tcPr>
          <w:p>
            <w:pPr>
              <w:spacing w:after="0"/>
              <w:rPr>
                <w:sz w:val="19"/>
                <w:szCs w:val="19"/>
                <w:color w:val="auto"/>
              </w:rPr>
            </w:pPr>
          </w:p>
        </w:tc>
        <w:tc>
          <w:tcPr>
            <w:tcW w:w="20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spacing w:after="0"/>
              <w:rPr>
                <w:sz w:val="19"/>
                <w:szCs w:val="19"/>
                <w:color w:val="auto"/>
              </w:rPr>
            </w:pPr>
          </w:p>
        </w:tc>
        <w:tc>
          <w:tcPr>
            <w:tcW w:w="304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rPr>
              <w:t>as a % of Base Salary)</w:t>
            </w:r>
          </w:p>
        </w:tc>
        <w:tc>
          <w:tcPr>
            <w:tcW w:w="244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rPr>
              <w:t>as a % of Base Salary)</w:t>
            </w: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6"/>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rPr>
              <w:t>FYE 2021</w:t>
            </w:r>
          </w:p>
        </w:tc>
        <w:tc>
          <w:tcPr>
            <w:tcW w:w="1280" w:type="dxa"/>
            <w:vAlign w:val="bottom"/>
          </w:tcPr>
          <w:p>
            <w:pPr>
              <w:jc w:val="center"/>
              <w:ind w:right="359"/>
              <w:spacing w:after="0"/>
              <w:rPr>
                <w:sz w:val="20"/>
                <w:szCs w:val="20"/>
                <w:color w:val="auto"/>
              </w:rPr>
            </w:pPr>
            <w:r>
              <w:rPr>
                <w:rFonts w:ascii="Arial" w:cs="Arial" w:eastAsia="Arial" w:hAnsi="Arial"/>
                <w:sz w:val="16"/>
                <w:szCs w:val="16"/>
                <w:b w:val="1"/>
                <w:bCs w:val="1"/>
                <w:color w:val="auto"/>
              </w:rPr>
              <w:t>FYE 2022</w:t>
            </w:r>
          </w:p>
        </w:tc>
        <w:tc>
          <w:tcPr>
            <w:tcW w:w="1540" w:type="dxa"/>
            <w:vAlign w:val="bottom"/>
          </w:tcPr>
          <w:p>
            <w:pPr>
              <w:jc w:val="right"/>
              <w:ind w:right="199"/>
              <w:spacing w:after="0"/>
              <w:rPr>
                <w:sz w:val="20"/>
                <w:szCs w:val="20"/>
                <w:color w:val="auto"/>
              </w:rPr>
            </w:pPr>
            <w:r>
              <w:rPr>
                <w:rFonts w:ascii="Arial" w:cs="Arial" w:eastAsia="Arial" w:hAnsi="Arial"/>
                <w:sz w:val="16"/>
                <w:szCs w:val="16"/>
                <w:b w:val="1"/>
                <w:bCs w:val="1"/>
                <w:color w:val="auto"/>
              </w:rPr>
              <w:t>FYE 2021</w:t>
            </w: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FYE 2022</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FYE 2021</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FYE 2022</w:t>
            </w: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7"/>
        </w:trPr>
        <w:tc>
          <w:tcPr>
            <w:tcW w:w="21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Erik B. Nordstrom</w:t>
            </w:r>
          </w:p>
        </w:tc>
        <w:tc>
          <w:tcPr>
            <w:tcW w:w="2000" w:type="dxa"/>
            <w:vAlign w:val="bottom"/>
            <w:tcBorders>
              <w:bottom w:val="single" w:sz="8" w:color="DCDDDE"/>
            </w:tcBorders>
            <w:shd w:val="clear" w:color="auto" w:fill="DCDDDE"/>
          </w:tcPr>
          <w:p>
            <w:pPr>
              <w:jc w:val="center"/>
              <w:spacing w:after="0"/>
              <w:rPr>
                <w:sz w:val="20"/>
                <w:szCs w:val="20"/>
                <w:color w:val="auto"/>
              </w:rPr>
            </w:pPr>
            <w:r>
              <w:rPr>
                <w:rFonts w:ascii="Arial" w:cs="Arial" w:eastAsia="Arial" w:hAnsi="Arial"/>
                <w:sz w:val="16"/>
                <w:szCs w:val="16"/>
                <w:color w:val="auto"/>
              </w:rPr>
              <w:t>758,500</w:t>
            </w:r>
          </w:p>
        </w:tc>
        <w:tc>
          <w:tcPr>
            <w:tcW w:w="1280" w:type="dxa"/>
            <w:vAlign w:val="bottom"/>
            <w:tcBorders>
              <w:bottom w:val="single" w:sz="8" w:color="DCDDDE"/>
            </w:tcBorders>
            <w:shd w:val="clear" w:color="auto" w:fill="DCDDDE"/>
          </w:tcPr>
          <w:p>
            <w:pPr>
              <w:jc w:val="center"/>
              <w:ind w:right="339"/>
              <w:spacing w:after="0"/>
              <w:rPr>
                <w:sz w:val="20"/>
                <w:szCs w:val="20"/>
                <w:color w:val="auto"/>
              </w:rPr>
            </w:pPr>
            <w:r>
              <w:rPr>
                <w:rFonts w:ascii="Arial" w:cs="Arial" w:eastAsia="Arial" w:hAnsi="Arial"/>
                <w:sz w:val="16"/>
                <w:szCs w:val="16"/>
                <w:color w:val="auto"/>
              </w:rPr>
              <w:t>758,500</w:t>
            </w:r>
          </w:p>
        </w:tc>
        <w:tc>
          <w:tcPr>
            <w:tcW w:w="1540" w:type="dxa"/>
            <w:vAlign w:val="bottom"/>
            <w:tcBorders>
              <w:bottom w:val="single" w:sz="8" w:color="DCDDDE"/>
            </w:tcBorders>
            <w:shd w:val="clear" w:color="auto" w:fill="DCDDDE"/>
          </w:tcPr>
          <w:p>
            <w:pPr>
              <w:jc w:val="right"/>
              <w:ind w:right="259"/>
              <w:spacing w:after="0"/>
              <w:rPr>
                <w:sz w:val="20"/>
                <w:szCs w:val="20"/>
                <w:color w:val="auto"/>
              </w:rPr>
            </w:pPr>
            <w:r>
              <w:rPr>
                <w:rFonts w:ascii="Arial" w:cs="Arial" w:eastAsia="Arial" w:hAnsi="Arial"/>
                <w:sz w:val="16"/>
                <w:szCs w:val="16"/>
                <w:color w:val="auto"/>
              </w:rPr>
              <w:t>200</w:t>
            </w:r>
          </w:p>
        </w:tc>
        <w:tc>
          <w:tcPr>
            <w:tcW w:w="1500" w:type="dxa"/>
            <w:vAlign w:val="bottom"/>
            <w:tcBorders>
              <w:bottom w:val="single" w:sz="8" w:color="DCDDDE"/>
            </w:tcBorders>
            <w:shd w:val="clear" w:color="auto" w:fill="DCDDDE"/>
          </w:tcPr>
          <w:p>
            <w:pPr>
              <w:jc w:val="right"/>
              <w:ind w:right="459"/>
              <w:spacing w:after="0"/>
              <w:rPr>
                <w:sz w:val="20"/>
                <w:szCs w:val="20"/>
                <w:color w:val="auto"/>
              </w:rPr>
            </w:pPr>
            <w:r>
              <w:rPr>
                <w:rFonts w:ascii="Arial" w:cs="Arial" w:eastAsia="Arial" w:hAnsi="Arial"/>
                <w:sz w:val="16"/>
                <w:szCs w:val="16"/>
                <w:color w:val="auto"/>
              </w:rPr>
              <w:t>200</w:t>
            </w:r>
          </w:p>
        </w:tc>
        <w:tc>
          <w:tcPr>
            <w:tcW w:w="12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350</w:t>
            </w:r>
          </w:p>
        </w:tc>
        <w:tc>
          <w:tcPr>
            <w:tcW w:w="12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350</w:t>
            </w:r>
          </w:p>
        </w:tc>
      </w:tr>
      <w:tr>
        <w:trPr>
          <w:trHeight w:val="255"/>
        </w:trPr>
        <w:tc>
          <w:tcPr>
            <w:tcW w:w="2120" w:type="dxa"/>
            <w:vAlign w:val="bottom"/>
          </w:tcPr>
          <w:p>
            <w:pPr>
              <w:ind w:left="60"/>
              <w:spacing w:after="0"/>
              <w:rPr>
                <w:sz w:val="20"/>
                <w:szCs w:val="20"/>
                <w:color w:val="auto"/>
              </w:rPr>
            </w:pPr>
            <w:r>
              <w:rPr>
                <w:rFonts w:ascii="Arial" w:cs="Arial" w:eastAsia="Arial" w:hAnsi="Arial"/>
                <w:sz w:val="16"/>
                <w:szCs w:val="16"/>
                <w:color w:val="auto"/>
              </w:rPr>
              <w:t>Michael W. Maher</w:t>
            </w:r>
          </w:p>
        </w:tc>
        <w:tc>
          <w:tcPr>
            <w:tcW w:w="2000" w:type="dxa"/>
            <w:vAlign w:val="bottom"/>
          </w:tcPr>
          <w:p>
            <w:pPr>
              <w:jc w:val="center"/>
              <w:spacing w:after="0"/>
              <w:rPr>
                <w:sz w:val="20"/>
                <w:szCs w:val="20"/>
                <w:color w:val="auto"/>
              </w:rPr>
            </w:pPr>
            <w:r>
              <w:rPr>
                <w:rFonts w:ascii="Arial" w:cs="Arial" w:eastAsia="Arial" w:hAnsi="Arial"/>
                <w:sz w:val="16"/>
                <w:szCs w:val="16"/>
                <w:color w:val="auto"/>
              </w:rPr>
              <w:t>441,000</w:t>
            </w:r>
          </w:p>
        </w:tc>
        <w:tc>
          <w:tcPr>
            <w:tcW w:w="1280" w:type="dxa"/>
            <w:vAlign w:val="bottom"/>
          </w:tcPr>
          <w:p>
            <w:pPr>
              <w:jc w:val="center"/>
              <w:ind w:right="339"/>
              <w:spacing w:after="0"/>
              <w:rPr>
                <w:sz w:val="20"/>
                <w:szCs w:val="20"/>
                <w:color w:val="auto"/>
              </w:rPr>
            </w:pPr>
            <w:r>
              <w:rPr>
                <w:rFonts w:ascii="Arial" w:cs="Arial" w:eastAsia="Arial" w:hAnsi="Arial"/>
                <w:sz w:val="16"/>
                <w:szCs w:val="16"/>
                <w:color w:val="auto"/>
              </w:rPr>
              <w:t>525,000</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50</w:t>
            </w:r>
          </w:p>
        </w:tc>
        <w:tc>
          <w:tcPr>
            <w:tcW w:w="1500" w:type="dxa"/>
            <w:vAlign w:val="bottom"/>
          </w:tcPr>
          <w:p>
            <w:pPr>
              <w:jc w:val="right"/>
              <w:ind w:right="459"/>
              <w:spacing w:after="0"/>
              <w:rPr>
                <w:sz w:val="20"/>
                <w:szCs w:val="20"/>
                <w:color w:val="auto"/>
              </w:rPr>
            </w:pPr>
            <w:r>
              <w:rPr>
                <w:rFonts w:ascii="Arial" w:cs="Arial" w:eastAsia="Arial" w:hAnsi="Arial"/>
                <w:sz w:val="16"/>
                <w:szCs w:val="16"/>
                <w:color w:val="auto"/>
              </w:rPr>
              <w:t>50</w:t>
            </w: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29"/>
        </w:trPr>
        <w:tc>
          <w:tcPr>
            <w:tcW w:w="2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21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Peter E. Nordstrom</w:t>
            </w:r>
          </w:p>
        </w:tc>
        <w:tc>
          <w:tcPr>
            <w:tcW w:w="2000" w:type="dxa"/>
            <w:vAlign w:val="bottom"/>
            <w:tcBorders>
              <w:bottom w:val="single" w:sz="8" w:color="DCDDDE"/>
            </w:tcBorders>
            <w:shd w:val="clear" w:color="auto" w:fill="DCDDDE"/>
          </w:tcPr>
          <w:p>
            <w:pPr>
              <w:jc w:val="center"/>
              <w:spacing w:after="0"/>
              <w:rPr>
                <w:sz w:val="20"/>
                <w:szCs w:val="20"/>
                <w:color w:val="auto"/>
              </w:rPr>
            </w:pPr>
            <w:r>
              <w:rPr>
                <w:rFonts w:ascii="Arial" w:cs="Arial" w:eastAsia="Arial" w:hAnsi="Arial"/>
                <w:sz w:val="16"/>
                <w:szCs w:val="16"/>
                <w:color w:val="auto"/>
              </w:rPr>
              <w:t>758,500</w:t>
            </w:r>
          </w:p>
        </w:tc>
        <w:tc>
          <w:tcPr>
            <w:tcW w:w="1280" w:type="dxa"/>
            <w:vAlign w:val="bottom"/>
            <w:tcBorders>
              <w:bottom w:val="single" w:sz="8" w:color="DCDDDE"/>
            </w:tcBorders>
            <w:shd w:val="clear" w:color="auto" w:fill="DCDDDE"/>
          </w:tcPr>
          <w:p>
            <w:pPr>
              <w:jc w:val="center"/>
              <w:ind w:right="339"/>
              <w:spacing w:after="0"/>
              <w:rPr>
                <w:sz w:val="20"/>
                <w:szCs w:val="20"/>
                <w:color w:val="auto"/>
              </w:rPr>
            </w:pPr>
            <w:r>
              <w:rPr>
                <w:rFonts w:ascii="Arial" w:cs="Arial" w:eastAsia="Arial" w:hAnsi="Arial"/>
                <w:sz w:val="16"/>
                <w:szCs w:val="16"/>
                <w:color w:val="auto"/>
              </w:rPr>
              <w:t>758,500</w:t>
            </w:r>
          </w:p>
        </w:tc>
        <w:tc>
          <w:tcPr>
            <w:tcW w:w="1540" w:type="dxa"/>
            <w:vAlign w:val="bottom"/>
            <w:tcBorders>
              <w:bottom w:val="single" w:sz="8" w:color="DCDDDE"/>
            </w:tcBorders>
            <w:shd w:val="clear" w:color="auto" w:fill="DCDDDE"/>
          </w:tcPr>
          <w:p>
            <w:pPr>
              <w:jc w:val="right"/>
              <w:ind w:right="259"/>
              <w:spacing w:after="0"/>
              <w:rPr>
                <w:sz w:val="20"/>
                <w:szCs w:val="20"/>
                <w:color w:val="auto"/>
              </w:rPr>
            </w:pPr>
            <w:r>
              <w:rPr>
                <w:rFonts w:ascii="Arial" w:cs="Arial" w:eastAsia="Arial" w:hAnsi="Arial"/>
                <w:sz w:val="16"/>
                <w:szCs w:val="16"/>
                <w:color w:val="auto"/>
              </w:rPr>
              <w:t>200</w:t>
            </w:r>
          </w:p>
        </w:tc>
        <w:tc>
          <w:tcPr>
            <w:tcW w:w="1500" w:type="dxa"/>
            <w:vAlign w:val="bottom"/>
            <w:tcBorders>
              <w:bottom w:val="single" w:sz="8" w:color="DCDDDE"/>
            </w:tcBorders>
            <w:shd w:val="clear" w:color="auto" w:fill="DCDDDE"/>
          </w:tcPr>
          <w:p>
            <w:pPr>
              <w:jc w:val="right"/>
              <w:ind w:right="459"/>
              <w:spacing w:after="0"/>
              <w:rPr>
                <w:sz w:val="20"/>
                <w:szCs w:val="20"/>
                <w:color w:val="auto"/>
              </w:rPr>
            </w:pPr>
            <w:r>
              <w:rPr>
                <w:rFonts w:ascii="Arial" w:cs="Arial" w:eastAsia="Arial" w:hAnsi="Arial"/>
                <w:sz w:val="16"/>
                <w:szCs w:val="16"/>
                <w:color w:val="auto"/>
              </w:rPr>
              <w:t>200</w:t>
            </w:r>
          </w:p>
        </w:tc>
        <w:tc>
          <w:tcPr>
            <w:tcW w:w="12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350</w:t>
            </w:r>
          </w:p>
        </w:tc>
        <w:tc>
          <w:tcPr>
            <w:tcW w:w="12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350</w:t>
            </w:r>
          </w:p>
        </w:tc>
      </w:tr>
      <w:tr>
        <w:trPr>
          <w:trHeight w:val="255"/>
        </w:trPr>
        <w:tc>
          <w:tcPr>
            <w:tcW w:w="2120" w:type="dxa"/>
            <w:vAlign w:val="bottom"/>
          </w:tcPr>
          <w:p>
            <w:pPr>
              <w:ind w:left="60"/>
              <w:spacing w:after="0"/>
              <w:rPr>
                <w:sz w:val="20"/>
                <w:szCs w:val="20"/>
                <w:color w:val="auto"/>
              </w:rPr>
            </w:pPr>
            <w:r>
              <w:rPr>
                <w:rFonts w:ascii="Arial" w:cs="Arial" w:eastAsia="Arial" w:hAnsi="Arial"/>
                <w:sz w:val="16"/>
                <w:szCs w:val="16"/>
                <w:color w:val="auto"/>
              </w:rPr>
              <w:t>Kenneth J. Worzel</w:t>
            </w:r>
          </w:p>
        </w:tc>
        <w:tc>
          <w:tcPr>
            <w:tcW w:w="2000" w:type="dxa"/>
            <w:vAlign w:val="bottom"/>
          </w:tcPr>
          <w:p>
            <w:pPr>
              <w:jc w:val="center"/>
              <w:spacing w:after="0"/>
              <w:rPr>
                <w:sz w:val="20"/>
                <w:szCs w:val="20"/>
                <w:color w:val="auto"/>
              </w:rPr>
            </w:pPr>
            <w:r>
              <w:rPr>
                <w:rFonts w:ascii="Arial" w:cs="Arial" w:eastAsia="Arial" w:hAnsi="Arial"/>
                <w:sz w:val="16"/>
                <w:szCs w:val="16"/>
                <w:color w:val="auto"/>
              </w:rPr>
              <w:t>895,000</w:t>
            </w:r>
          </w:p>
        </w:tc>
        <w:tc>
          <w:tcPr>
            <w:tcW w:w="1280" w:type="dxa"/>
            <w:vAlign w:val="bottom"/>
          </w:tcPr>
          <w:p>
            <w:pPr>
              <w:jc w:val="center"/>
              <w:ind w:right="339"/>
              <w:spacing w:after="0"/>
              <w:rPr>
                <w:sz w:val="20"/>
                <w:szCs w:val="20"/>
                <w:color w:val="auto"/>
              </w:rPr>
            </w:pPr>
            <w:r>
              <w:rPr>
                <w:rFonts w:ascii="Arial" w:cs="Arial" w:eastAsia="Arial" w:hAnsi="Arial"/>
                <w:sz w:val="16"/>
                <w:szCs w:val="16"/>
                <w:color w:val="auto"/>
              </w:rPr>
              <w:t>895,000</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125</w:t>
            </w:r>
          </w:p>
        </w:tc>
        <w:tc>
          <w:tcPr>
            <w:tcW w:w="1500" w:type="dxa"/>
            <w:vAlign w:val="bottom"/>
          </w:tcPr>
          <w:p>
            <w:pPr>
              <w:jc w:val="right"/>
              <w:ind w:right="459"/>
              <w:spacing w:after="0"/>
              <w:rPr>
                <w:sz w:val="20"/>
                <w:szCs w:val="20"/>
                <w:color w:val="auto"/>
              </w:rPr>
            </w:pPr>
            <w:r>
              <w:rPr>
                <w:rFonts w:ascii="Arial" w:cs="Arial" w:eastAsia="Arial" w:hAnsi="Arial"/>
                <w:sz w:val="16"/>
                <w:szCs w:val="16"/>
                <w:color w:val="auto"/>
              </w:rPr>
              <w:t>125</w:t>
            </w:r>
          </w:p>
        </w:tc>
        <w:tc>
          <w:tcPr>
            <w:tcW w:w="1200" w:type="dxa"/>
            <w:vAlign w:val="bottom"/>
          </w:tcPr>
          <w:p>
            <w:pPr>
              <w:jc w:val="right"/>
              <w:spacing w:after="0"/>
              <w:rPr>
                <w:sz w:val="20"/>
                <w:szCs w:val="20"/>
                <w:color w:val="auto"/>
              </w:rPr>
            </w:pPr>
            <w:r>
              <w:rPr>
                <w:rFonts w:ascii="Arial" w:cs="Arial" w:eastAsia="Arial" w:hAnsi="Arial"/>
                <w:sz w:val="16"/>
                <w:szCs w:val="16"/>
                <w:color w:val="auto"/>
              </w:rPr>
              <w:t>250</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29"/>
        </w:trPr>
        <w:tc>
          <w:tcPr>
            <w:tcW w:w="2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21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Alexis DePree</w:t>
            </w:r>
          </w:p>
        </w:tc>
        <w:tc>
          <w:tcPr>
            <w:tcW w:w="2000" w:type="dxa"/>
            <w:vAlign w:val="bottom"/>
            <w:tcBorders>
              <w:bottom w:val="single" w:sz="8" w:color="DCDDDE"/>
            </w:tcBorders>
            <w:shd w:val="clear" w:color="auto" w:fill="DCDDDE"/>
          </w:tcPr>
          <w:p>
            <w:pPr>
              <w:jc w:val="center"/>
              <w:spacing w:after="0"/>
              <w:rPr>
                <w:sz w:val="20"/>
                <w:szCs w:val="20"/>
                <w:color w:val="auto"/>
              </w:rPr>
            </w:pPr>
            <w:r>
              <w:rPr>
                <w:rFonts w:ascii="Arial" w:cs="Arial" w:eastAsia="Arial" w:hAnsi="Arial"/>
                <w:sz w:val="16"/>
                <w:szCs w:val="16"/>
                <w:color w:val="auto"/>
              </w:rPr>
              <w:t>570,000</w:t>
            </w:r>
          </w:p>
        </w:tc>
        <w:tc>
          <w:tcPr>
            <w:tcW w:w="1280" w:type="dxa"/>
            <w:vAlign w:val="bottom"/>
            <w:tcBorders>
              <w:bottom w:val="single" w:sz="8" w:color="DCDDDE"/>
            </w:tcBorders>
            <w:shd w:val="clear" w:color="auto" w:fill="DCDDDE"/>
          </w:tcPr>
          <w:p>
            <w:pPr>
              <w:jc w:val="center"/>
              <w:ind w:right="339"/>
              <w:spacing w:after="0"/>
              <w:rPr>
                <w:sz w:val="20"/>
                <w:szCs w:val="20"/>
                <w:color w:val="auto"/>
              </w:rPr>
            </w:pPr>
            <w:r>
              <w:rPr>
                <w:rFonts w:ascii="Arial" w:cs="Arial" w:eastAsia="Arial" w:hAnsi="Arial"/>
                <w:sz w:val="16"/>
                <w:szCs w:val="16"/>
                <w:color w:val="auto"/>
              </w:rPr>
              <w:t>650,000</w:t>
            </w:r>
          </w:p>
        </w:tc>
        <w:tc>
          <w:tcPr>
            <w:tcW w:w="1540" w:type="dxa"/>
            <w:vAlign w:val="bottom"/>
            <w:tcBorders>
              <w:bottom w:val="single" w:sz="8" w:color="DCDDDE"/>
            </w:tcBorders>
            <w:shd w:val="clear" w:color="auto" w:fill="DCDDDE"/>
          </w:tcPr>
          <w:p>
            <w:pPr>
              <w:jc w:val="right"/>
              <w:ind w:right="259"/>
              <w:spacing w:after="0"/>
              <w:rPr>
                <w:sz w:val="20"/>
                <w:szCs w:val="20"/>
                <w:color w:val="auto"/>
              </w:rPr>
            </w:pPr>
            <w:r>
              <w:rPr>
                <w:rFonts w:ascii="Arial" w:cs="Arial" w:eastAsia="Arial" w:hAnsi="Arial"/>
                <w:sz w:val="16"/>
                <w:szCs w:val="16"/>
                <w:color w:val="auto"/>
              </w:rPr>
              <w:t>80</w:t>
            </w:r>
          </w:p>
        </w:tc>
        <w:tc>
          <w:tcPr>
            <w:tcW w:w="1500" w:type="dxa"/>
            <w:vAlign w:val="bottom"/>
            <w:tcBorders>
              <w:bottom w:val="single" w:sz="8" w:color="DCDDDE"/>
            </w:tcBorders>
            <w:shd w:val="clear" w:color="auto" w:fill="DCDDDE"/>
          </w:tcPr>
          <w:p>
            <w:pPr>
              <w:jc w:val="right"/>
              <w:ind w:right="459"/>
              <w:spacing w:after="0"/>
              <w:rPr>
                <w:sz w:val="20"/>
                <w:szCs w:val="20"/>
                <w:color w:val="auto"/>
              </w:rPr>
            </w:pPr>
            <w:r>
              <w:rPr>
                <w:rFonts w:ascii="Arial" w:cs="Arial" w:eastAsia="Arial" w:hAnsi="Arial"/>
                <w:sz w:val="16"/>
                <w:szCs w:val="16"/>
                <w:color w:val="auto"/>
              </w:rPr>
              <w:t>80</w:t>
            </w:r>
          </w:p>
        </w:tc>
        <w:tc>
          <w:tcPr>
            <w:tcW w:w="12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150</w:t>
            </w:r>
          </w:p>
        </w:tc>
        <w:tc>
          <w:tcPr>
            <w:tcW w:w="12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150</w:t>
            </w:r>
          </w:p>
        </w:tc>
      </w:tr>
      <w:tr>
        <w:trPr>
          <w:trHeight w:val="255"/>
        </w:trPr>
        <w:tc>
          <w:tcPr>
            <w:tcW w:w="2120" w:type="dxa"/>
            <w:vAlign w:val="bottom"/>
          </w:tcPr>
          <w:p>
            <w:pPr>
              <w:ind w:left="60"/>
              <w:spacing w:after="0"/>
              <w:rPr>
                <w:sz w:val="20"/>
                <w:szCs w:val="20"/>
                <w:color w:val="auto"/>
              </w:rPr>
            </w:pPr>
            <w:r>
              <w:rPr>
                <w:rFonts w:ascii="Arial" w:cs="Arial" w:eastAsia="Arial" w:hAnsi="Arial"/>
                <w:sz w:val="16"/>
                <w:szCs w:val="16"/>
                <w:color w:val="auto"/>
              </w:rPr>
              <w:t>Anne L. Bramman</w:t>
            </w:r>
          </w:p>
        </w:tc>
        <w:tc>
          <w:tcPr>
            <w:tcW w:w="2000" w:type="dxa"/>
            <w:vAlign w:val="bottom"/>
          </w:tcPr>
          <w:p>
            <w:pPr>
              <w:jc w:val="center"/>
              <w:spacing w:after="0"/>
              <w:rPr>
                <w:sz w:val="20"/>
                <w:szCs w:val="20"/>
                <w:color w:val="auto"/>
              </w:rPr>
            </w:pPr>
            <w:r>
              <w:rPr>
                <w:rFonts w:ascii="Arial" w:cs="Arial" w:eastAsia="Arial" w:hAnsi="Arial"/>
                <w:sz w:val="16"/>
                <w:szCs w:val="16"/>
                <w:color w:val="auto"/>
              </w:rPr>
              <w:t>815,000</w:t>
            </w:r>
          </w:p>
        </w:tc>
        <w:tc>
          <w:tcPr>
            <w:tcW w:w="1280" w:type="dxa"/>
            <w:vAlign w:val="bottom"/>
          </w:tcPr>
          <w:p>
            <w:pPr>
              <w:jc w:val="center"/>
              <w:ind w:right="339"/>
              <w:spacing w:after="0"/>
              <w:rPr>
                <w:sz w:val="20"/>
                <w:szCs w:val="20"/>
                <w:color w:val="auto"/>
              </w:rPr>
            </w:pPr>
            <w:r>
              <w:rPr>
                <w:rFonts w:ascii="Arial" w:cs="Arial" w:eastAsia="Arial" w:hAnsi="Arial"/>
                <w:sz w:val="16"/>
                <w:szCs w:val="16"/>
                <w:color w:val="auto"/>
              </w:rPr>
              <w:t>845,000</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100</w:t>
            </w:r>
          </w:p>
        </w:tc>
        <w:tc>
          <w:tcPr>
            <w:tcW w:w="1500" w:type="dxa"/>
            <w:vAlign w:val="bottom"/>
          </w:tcPr>
          <w:p>
            <w:pPr>
              <w:jc w:val="right"/>
              <w:ind w:right="459"/>
              <w:spacing w:after="0"/>
              <w:rPr>
                <w:sz w:val="20"/>
                <w:szCs w:val="20"/>
                <w:color w:val="auto"/>
              </w:rPr>
            </w:pPr>
            <w:r>
              <w:rPr>
                <w:rFonts w:ascii="Arial" w:cs="Arial" w:eastAsia="Arial" w:hAnsi="Arial"/>
                <w:sz w:val="16"/>
                <w:szCs w:val="16"/>
                <w:color w:val="auto"/>
              </w:rPr>
              <w:t>100</w:t>
            </w:r>
          </w:p>
        </w:tc>
        <w:tc>
          <w:tcPr>
            <w:tcW w:w="1200" w:type="dxa"/>
            <w:vAlign w:val="bottom"/>
          </w:tcPr>
          <w:p>
            <w:pPr>
              <w:jc w:val="right"/>
              <w:spacing w:after="0"/>
              <w:rPr>
                <w:sz w:val="20"/>
                <w:szCs w:val="20"/>
                <w:color w:val="auto"/>
              </w:rPr>
            </w:pPr>
            <w:r>
              <w:rPr>
                <w:rFonts w:ascii="Arial" w:cs="Arial" w:eastAsia="Arial" w:hAnsi="Arial"/>
                <w:sz w:val="16"/>
                <w:szCs w:val="16"/>
                <w:color w:val="auto"/>
              </w:rPr>
              <w:t>200</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29"/>
        </w:trPr>
        <w:tc>
          <w:tcPr>
            <w:tcW w:w="2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212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Edmond Mesrobian</w:t>
            </w:r>
          </w:p>
        </w:tc>
        <w:tc>
          <w:tcPr>
            <w:tcW w:w="2000" w:type="dxa"/>
            <w:vAlign w:val="bottom"/>
            <w:tcBorders>
              <w:bottom w:val="single" w:sz="8" w:color="auto"/>
            </w:tcBorders>
            <w:shd w:val="clear" w:color="auto" w:fill="DCDDDE"/>
          </w:tcPr>
          <w:p>
            <w:pPr>
              <w:jc w:val="center"/>
              <w:spacing w:after="0"/>
              <w:rPr>
                <w:sz w:val="20"/>
                <w:szCs w:val="20"/>
                <w:color w:val="auto"/>
              </w:rPr>
            </w:pPr>
            <w:r>
              <w:rPr>
                <w:rFonts w:ascii="Arial" w:cs="Arial" w:eastAsia="Arial" w:hAnsi="Arial"/>
                <w:sz w:val="16"/>
                <w:szCs w:val="16"/>
                <w:color w:val="auto"/>
              </w:rPr>
              <w:t>800,000</w:t>
            </w:r>
          </w:p>
        </w:tc>
        <w:tc>
          <w:tcPr>
            <w:tcW w:w="1280" w:type="dxa"/>
            <w:vAlign w:val="bottom"/>
            <w:tcBorders>
              <w:bottom w:val="single" w:sz="8" w:color="auto"/>
            </w:tcBorders>
            <w:shd w:val="clear" w:color="auto" w:fill="DCDDDE"/>
          </w:tcPr>
          <w:p>
            <w:pPr>
              <w:jc w:val="center"/>
              <w:ind w:right="339"/>
              <w:spacing w:after="0"/>
              <w:rPr>
                <w:sz w:val="20"/>
                <w:szCs w:val="20"/>
                <w:color w:val="auto"/>
              </w:rPr>
            </w:pPr>
            <w:r>
              <w:rPr>
                <w:rFonts w:ascii="Arial" w:cs="Arial" w:eastAsia="Arial" w:hAnsi="Arial"/>
                <w:sz w:val="16"/>
                <w:szCs w:val="16"/>
                <w:color w:val="auto"/>
              </w:rPr>
              <w:t>825,000</w:t>
            </w:r>
          </w:p>
        </w:tc>
        <w:tc>
          <w:tcPr>
            <w:tcW w:w="1540" w:type="dxa"/>
            <w:vAlign w:val="bottom"/>
            <w:tcBorders>
              <w:bottom w:val="single" w:sz="8" w:color="auto"/>
            </w:tcBorders>
            <w:shd w:val="clear" w:color="auto" w:fill="DCDDDE"/>
          </w:tcPr>
          <w:p>
            <w:pPr>
              <w:jc w:val="right"/>
              <w:ind w:right="259"/>
              <w:spacing w:after="0"/>
              <w:rPr>
                <w:sz w:val="20"/>
                <w:szCs w:val="20"/>
                <w:color w:val="auto"/>
              </w:rPr>
            </w:pPr>
            <w:r>
              <w:rPr>
                <w:rFonts w:ascii="Arial" w:cs="Arial" w:eastAsia="Arial" w:hAnsi="Arial"/>
                <w:sz w:val="16"/>
                <w:szCs w:val="16"/>
                <w:color w:val="auto"/>
              </w:rPr>
              <w:t>80</w:t>
            </w:r>
          </w:p>
        </w:tc>
        <w:tc>
          <w:tcPr>
            <w:tcW w:w="1500" w:type="dxa"/>
            <w:vAlign w:val="bottom"/>
            <w:tcBorders>
              <w:bottom w:val="single" w:sz="8" w:color="auto"/>
            </w:tcBorders>
            <w:shd w:val="clear" w:color="auto" w:fill="DCDDDE"/>
          </w:tcPr>
          <w:p>
            <w:pPr>
              <w:jc w:val="right"/>
              <w:ind w:right="459"/>
              <w:spacing w:after="0"/>
              <w:rPr>
                <w:sz w:val="20"/>
                <w:szCs w:val="20"/>
                <w:color w:val="auto"/>
              </w:rPr>
            </w:pPr>
            <w:r>
              <w:rPr>
                <w:rFonts w:ascii="Arial" w:cs="Arial" w:eastAsia="Arial" w:hAnsi="Arial"/>
                <w:sz w:val="16"/>
                <w:szCs w:val="16"/>
                <w:color w:val="auto"/>
              </w:rPr>
              <w:t>80</w:t>
            </w:r>
          </w:p>
        </w:tc>
        <w:tc>
          <w:tcPr>
            <w:tcW w:w="12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color w:val="auto"/>
              </w:rPr>
              <w:t>150</w:t>
            </w:r>
          </w:p>
        </w:tc>
        <w:tc>
          <w:tcPr>
            <w:tcW w:w="124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color w:val="auto"/>
              </w:rPr>
              <w:t>150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2022, the CPCC approved increases to base salaries for Michael Maher, Alexis DePree, Anne Bramman and Edmond Mesrobian.</w:t>
      </w:r>
    </w:p>
    <w:p>
      <w:pPr>
        <w:spacing w:after="0" w:line="113" w:lineRule="exact"/>
        <w:rPr>
          <w:sz w:val="20"/>
          <w:szCs w:val="20"/>
          <w:color w:val="auto"/>
        </w:rPr>
      </w:pPr>
    </w:p>
    <w:p>
      <w:pPr>
        <w:jc w:val="both"/>
        <w:ind w:left="200" w:hanging="192"/>
        <w:spacing w:after="0" w:line="275" w:lineRule="auto"/>
        <w:tabs>
          <w:tab w:leader="none" w:pos="20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maintain his relative market competitiveness, Michael Maher’s base salary increased from $441,000 to $456,435 on March 27, 2022, and then from $456,435 to $525,000 on November 27, 2022 to reflect his expanded responsibilities as Interim Chief Financial Officer and Chief Accounting Officer.</w:t>
      </w:r>
    </w:p>
    <w:p>
      <w:pPr>
        <w:spacing w:after="0" w:line="253"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maintain relative market competitiveness, the CPCC also approved the following base salary increases: Alexis DePree’s base salary increased from $570,000 to $595,000 on March 27, 2022 and from $595,000 to $650,000 on June 5, 2022, Anne Bramman’s base salary increased from $815,000 to $845,000 on March 27, 2022 and Edmond Mesrobian’s base salary increased from $800,000 to $825,000 on June 5, 2022.</w:t>
      </w:r>
    </w:p>
    <w:p>
      <w:pPr>
        <w:spacing w:after="0" w:line="63" w:lineRule="exact"/>
        <w:rPr>
          <w:rFonts w:ascii="Arial" w:cs="Arial" w:eastAsia="Arial" w:hAnsi="Arial"/>
          <w:sz w:val="16"/>
          <w:szCs w:val="16"/>
          <w:color w:val="auto"/>
        </w:rPr>
      </w:pPr>
    </w:p>
    <w:p>
      <w:pPr>
        <w:ind w:left="220" w:hanging="212"/>
        <w:spacing w:after="0"/>
        <w:tabs>
          <w:tab w:leader="none" w:pos="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base salaries of all other NEOs remained unchanged.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CPCC made no changes to target bonus opportunities for any of the NEOs.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2022, the CPCC approved an increase of Anne Bramman’s target LTI grant value as a percent of base salary from 200% to 250% to maintain her relative market competitiveness. The target LTI grant as a percent of base salary of all other NEOs remained unchanged.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Base Salary</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CPCC begins its annual review of base salary for the NEOs through discussion with the CEO and the President &amp; Chief Brand Officer on the expectations and achievements of each executive during the previous year, as well as their pay history and pay equity with other internal roles. The CPCC then references similar roles in peer companies to ensure they are within a competitive range of the peer group median. NEOs do not necessarily receive increases in base salary every year. When they do, the changes are generally effective on or about April 1st following their annual performance review, which includes a discussion about individual results against defined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328930</wp:posOffset>
            </wp:positionV>
            <wp:extent cx="1020445" cy="1282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1020445" cy="12827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Performance-Based Annual Cash Bonus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opportunity for annual performance-based cash awards under our shareholder-approved Nordstrom, Inc. EMBP is designed to focus the NEOs on the alignment between annual operating performance and long-term business strategy.</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determining the target bonus opportunities, the CPCC takes into account the mix of pay elements, market pay information for similar roles within our peer group and the internal relationship between roles within the Company.</w:t>
      </w:r>
    </w:p>
    <w:p>
      <w:pPr>
        <w:spacing w:after="0" w:line="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support of our pay-for-performance philosophy, the maximum bonus payout, which is associated with superior performance, is 2.5 times an executive’s target bonus opportunity. This maximum is higher than is common among our retail peers because we believe it is important to continue encouraging and paying rewards when we achieve truly superior results. Under our approach, truly superior results are rarely achieved. In the past ten years, we have not paid out bonuses in excess of 150% of target.</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For fiscal year 2022, the CPCC maintained the same financial performance measures and weighting of Incentive Adjusted EBIT, which emphasizes the importance of earnings and its role in driving shareholder value, and Incentive Adjusted ROIC, which ensures our overall performance aligns directly with shareholder returns over the long term. The CPCC retained the ability to differentiate payouts for eligible roles, indicated in the following table, based on individual contributions and execution against goals. For the portion of the year prior to assuming the Interim Chief Financial Officer role, Michael Maher was eligible for the broad-based bonus plan, for which the measures were Net Sales and Incentive Adjusted EBIT.</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980" w:type="dxa"/>
            <w:vAlign w:val="bottom"/>
            <w:tcBorders>
              <w:top w:val="single" w:sz="8" w:color="828282"/>
              <w:left w:val="single" w:sz="8" w:color="828282"/>
              <w:bottom w:val="single" w:sz="8" w:color="828282"/>
              <w:right w:val="single" w:sz="8" w:color="828282"/>
            </w:tcBorders>
          </w:tcPr>
          <w:p>
            <w:pPr>
              <w:spacing w:after="0"/>
              <w:rPr>
                <w:sz w:val="22"/>
                <w:szCs w:val="22"/>
                <w:color w:val="auto"/>
              </w:rPr>
            </w:pPr>
          </w:p>
        </w:tc>
        <w:tc>
          <w:tcPr>
            <w:tcW w:w="4440" w:type="dxa"/>
            <w:vAlign w:val="bottom"/>
            <w:tcBorders>
              <w:top w:val="single" w:sz="8" w:color="828282"/>
              <w:bottom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rPr>
              <w:t>Measure and Weighting</w:t>
            </w:r>
          </w:p>
        </w:tc>
        <w:tc>
          <w:tcPr>
            <w:tcW w:w="4460" w:type="dxa"/>
            <w:vAlign w:val="bottom"/>
            <w:tcBorders>
              <w:top w:val="single" w:sz="8" w:color="828282"/>
              <w:bottom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rPr>
              <w:t>Opportunity for Individual Bonus Differentiation</w:t>
            </w:r>
          </w:p>
        </w:tc>
        <w:tc>
          <w:tcPr>
            <w:tcW w:w="0" w:type="dxa"/>
            <w:vAlign w:val="bottom"/>
          </w:tcPr>
          <w:p>
            <w:pPr>
              <w:spacing w:after="0"/>
              <w:rPr>
                <w:sz w:val="1"/>
                <w:szCs w:val="1"/>
                <w:color w:val="auto"/>
              </w:rPr>
            </w:pPr>
          </w:p>
        </w:tc>
      </w:tr>
      <w:tr>
        <w:trPr>
          <w:trHeight w:val="283"/>
        </w:trPr>
        <w:tc>
          <w:tcPr>
            <w:tcW w:w="198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rPr>
              <w:t>CEO and President &amp;</w:t>
            </w:r>
          </w:p>
        </w:tc>
        <w:tc>
          <w:tcPr>
            <w:tcW w:w="4440" w:type="dxa"/>
            <w:vAlign w:val="bottom"/>
            <w:tcBorders>
              <w:right w:val="single" w:sz="8" w:color="828282"/>
            </w:tcBorders>
          </w:tcPr>
          <w:p>
            <w:pPr>
              <w:jc w:val="center"/>
              <w:spacing w:after="0"/>
              <w:rPr>
                <w:sz w:val="20"/>
                <w:szCs w:val="20"/>
                <w:color w:val="auto"/>
              </w:rPr>
            </w:pPr>
            <w:r>
              <w:rPr>
                <w:rFonts w:ascii="Arial" w:cs="Arial" w:eastAsia="Arial" w:hAnsi="Arial"/>
                <w:sz w:val="16"/>
                <w:szCs w:val="16"/>
                <w:b w:val="1"/>
                <w:bCs w:val="1"/>
                <w:color w:val="auto"/>
              </w:rPr>
              <w:t xml:space="preserve">100% </w:t>
            </w:r>
            <w:r>
              <w:rPr>
                <w:rFonts w:ascii="Arial" w:cs="Arial" w:eastAsia="Arial" w:hAnsi="Arial"/>
                <w:sz w:val="16"/>
                <w:szCs w:val="16"/>
                <w:color w:val="auto"/>
              </w:rPr>
              <w:t>Incentive Adjusted EBIT subject to achievement of</w:t>
            </w:r>
          </w:p>
        </w:tc>
        <w:tc>
          <w:tcPr>
            <w:tcW w:w="446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6"/>
                <w:szCs w:val="16"/>
                <w:color w:val="auto"/>
                <w:w w:val="97"/>
              </w:rPr>
              <w:t>No</w:t>
            </w:r>
          </w:p>
        </w:tc>
        <w:tc>
          <w:tcPr>
            <w:tcW w:w="0" w:type="dxa"/>
            <w:vAlign w:val="bottom"/>
          </w:tcPr>
          <w:p>
            <w:pPr>
              <w:spacing w:after="0"/>
              <w:rPr>
                <w:sz w:val="1"/>
                <w:szCs w:val="1"/>
                <w:color w:val="auto"/>
              </w:rPr>
            </w:pPr>
          </w:p>
        </w:tc>
      </w:tr>
      <w:tr>
        <w:trPr>
          <w:trHeight w:val="120"/>
        </w:trPr>
        <w:tc>
          <w:tcPr>
            <w:tcW w:w="1980" w:type="dxa"/>
            <w:vAlign w:val="bottom"/>
            <w:tcBorders>
              <w:left w:val="single" w:sz="8" w:color="828282"/>
              <w:right w:val="single" w:sz="8" w:color="828282"/>
            </w:tcBorders>
            <w:vMerge w:val="restart"/>
          </w:tcPr>
          <w:p>
            <w:pPr>
              <w:jc w:val="center"/>
              <w:spacing w:after="0"/>
              <w:rPr>
                <w:sz w:val="20"/>
                <w:szCs w:val="20"/>
                <w:color w:val="auto"/>
              </w:rPr>
            </w:pPr>
            <w:r>
              <w:rPr>
                <w:rFonts w:ascii="Arial" w:cs="Arial" w:eastAsia="Arial" w:hAnsi="Arial"/>
                <w:sz w:val="16"/>
                <w:szCs w:val="16"/>
                <w:b w:val="1"/>
                <w:bCs w:val="1"/>
                <w:color w:val="auto"/>
              </w:rPr>
              <w:t>Chief Brand Officer</w:t>
            </w:r>
          </w:p>
        </w:tc>
        <w:tc>
          <w:tcPr>
            <w:tcW w:w="444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6"/>
                <w:szCs w:val="16"/>
                <w:color w:val="auto"/>
              </w:rPr>
              <w:t>the Incentive Adjusted ROIC threshold</w:t>
            </w:r>
          </w:p>
        </w:tc>
        <w:tc>
          <w:tcPr>
            <w:tcW w:w="4460" w:type="dxa"/>
            <w:vAlign w:val="bottom"/>
            <w:tcBorders>
              <w:right w:val="single" w:sz="8" w:color="828282"/>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980" w:type="dxa"/>
            <w:vAlign w:val="bottom"/>
            <w:tcBorders>
              <w:left w:val="single" w:sz="8" w:color="828282"/>
              <w:right w:val="single" w:sz="8" w:color="828282"/>
            </w:tcBorders>
            <w:vMerge w:val="continue"/>
          </w:tcPr>
          <w:p>
            <w:pPr>
              <w:spacing w:after="0"/>
              <w:rPr>
                <w:sz w:val="8"/>
                <w:szCs w:val="8"/>
                <w:color w:val="auto"/>
              </w:rPr>
            </w:pPr>
          </w:p>
        </w:tc>
        <w:tc>
          <w:tcPr>
            <w:tcW w:w="4440" w:type="dxa"/>
            <w:vAlign w:val="bottom"/>
            <w:tcBorders>
              <w:right w:val="single" w:sz="8" w:color="828282"/>
            </w:tcBorders>
            <w:vMerge w:val="continue"/>
          </w:tcPr>
          <w:p>
            <w:pPr>
              <w:spacing w:after="0"/>
              <w:rPr>
                <w:sz w:val="8"/>
                <w:szCs w:val="8"/>
                <w:color w:val="auto"/>
              </w:rPr>
            </w:pPr>
          </w:p>
        </w:tc>
        <w:tc>
          <w:tcPr>
            <w:tcW w:w="4460" w:type="dxa"/>
            <w:vAlign w:val="bottom"/>
            <w:tcBorders>
              <w:right w:val="single" w:sz="8" w:color="828282"/>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980" w:type="dxa"/>
            <w:vAlign w:val="bottom"/>
            <w:tcBorders>
              <w:left w:val="single" w:sz="8" w:color="828282"/>
              <w:bottom w:val="single" w:sz="8" w:color="828282"/>
              <w:right w:val="single" w:sz="8" w:color="828282"/>
            </w:tcBorders>
          </w:tcPr>
          <w:p>
            <w:pPr>
              <w:spacing w:after="0"/>
              <w:rPr>
                <w:sz w:val="11"/>
                <w:szCs w:val="11"/>
                <w:color w:val="auto"/>
              </w:rPr>
            </w:pPr>
          </w:p>
        </w:tc>
        <w:tc>
          <w:tcPr>
            <w:tcW w:w="4440" w:type="dxa"/>
            <w:vAlign w:val="bottom"/>
            <w:tcBorders>
              <w:bottom w:val="single" w:sz="8" w:color="828282"/>
              <w:right w:val="single" w:sz="8" w:color="828282"/>
            </w:tcBorders>
          </w:tcPr>
          <w:p>
            <w:pPr>
              <w:spacing w:after="0"/>
              <w:rPr>
                <w:sz w:val="11"/>
                <w:szCs w:val="11"/>
                <w:color w:val="auto"/>
              </w:rPr>
            </w:pPr>
          </w:p>
        </w:tc>
        <w:tc>
          <w:tcPr>
            <w:tcW w:w="4460" w:type="dxa"/>
            <w:vAlign w:val="bottom"/>
            <w:tcBorders>
              <w:bottom w:val="single" w:sz="8" w:color="828282"/>
              <w:right w:val="single" w:sz="8" w:color="828282"/>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980" w:type="dxa"/>
            <w:vAlign w:val="bottom"/>
            <w:tcBorders>
              <w:left w:val="single" w:sz="8" w:color="828282"/>
              <w:right w:val="single" w:sz="8" w:color="828282"/>
            </w:tcBorders>
          </w:tcPr>
          <w:p>
            <w:pPr>
              <w:jc w:val="center"/>
              <w:spacing w:after="0"/>
              <w:rPr>
                <w:sz w:val="20"/>
                <w:szCs w:val="20"/>
                <w:color w:val="auto"/>
              </w:rPr>
            </w:pPr>
            <w:r>
              <w:rPr>
                <w:rFonts w:ascii="Arial" w:cs="Arial" w:eastAsia="Arial" w:hAnsi="Arial"/>
                <w:sz w:val="16"/>
                <w:szCs w:val="16"/>
                <w:b w:val="1"/>
                <w:bCs w:val="1"/>
                <w:color w:val="auto"/>
              </w:rPr>
              <w:t>Other NEOs</w:t>
            </w:r>
          </w:p>
        </w:tc>
        <w:tc>
          <w:tcPr>
            <w:tcW w:w="4440" w:type="dxa"/>
            <w:vAlign w:val="bottom"/>
            <w:tcBorders>
              <w:right w:val="single" w:sz="8" w:color="828282"/>
            </w:tcBorders>
          </w:tcPr>
          <w:p>
            <w:pPr>
              <w:jc w:val="center"/>
              <w:spacing w:after="0"/>
              <w:rPr>
                <w:sz w:val="20"/>
                <w:szCs w:val="20"/>
                <w:color w:val="auto"/>
              </w:rPr>
            </w:pPr>
            <w:r>
              <w:rPr>
                <w:rFonts w:ascii="Arial" w:cs="Arial" w:eastAsia="Arial" w:hAnsi="Arial"/>
                <w:sz w:val="16"/>
                <w:szCs w:val="16"/>
                <w:b w:val="1"/>
                <w:bCs w:val="1"/>
                <w:color w:val="auto"/>
              </w:rPr>
              <w:t xml:space="preserve">100% </w:t>
            </w:r>
            <w:r>
              <w:rPr>
                <w:rFonts w:ascii="Arial" w:cs="Arial" w:eastAsia="Arial" w:hAnsi="Arial"/>
                <w:sz w:val="16"/>
                <w:szCs w:val="16"/>
                <w:color w:val="auto"/>
              </w:rPr>
              <w:t>Incentive Adjusted EBIT subject to achievement of</w:t>
            </w:r>
          </w:p>
        </w:tc>
        <w:tc>
          <w:tcPr>
            <w:tcW w:w="446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rPr>
              <w:t>Yes, applied after the calculation of outcomes on the financial</w:t>
            </w:r>
          </w:p>
        </w:tc>
        <w:tc>
          <w:tcPr>
            <w:tcW w:w="0" w:type="dxa"/>
            <w:vAlign w:val="bottom"/>
          </w:tcPr>
          <w:p>
            <w:pPr>
              <w:spacing w:after="0"/>
              <w:rPr>
                <w:sz w:val="1"/>
                <w:szCs w:val="1"/>
                <w:color w:val="auto"/>
              </w:rPr>
            </w:pPr>
          </w:p>
        </w:tc>
      </w:tr>
      <w:tr>
        <w:trPr>
          <w:trHeight w:val="215"/>
        </w:trPr>
        <w:tc>
          <w:tcPr>
            <w:tcW w:w="1980" w:type="dxa"/>
            <w:vAlign w:val="bottom"/>
            <w:tcBorders>
              <w:left w:val="single" w:sz="8" w:color="828282"/>
              <w:right w:val="single" w:sz="8" w:color="828282"/>
            </w:tcBorders>
          </w:tcPr>
          <w:p>
            <w:pPr>
              <w:spacing w:after="0"/>
              <w:rPr>
                <w:sz w:val="18"/>
                <w:szCs w:val="18"/>
                <w:color w:val="auto"/>
              </w:rPr>
            </w:pPr>
          </w:p>
        </w:tc>
        <w:tc>
          <w:tcPr>
            <w:tcW w:w="444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rPr>
              <w:t>the Incentive Adjusted ROIC threshold</w:t>
            </w:r>
          </w:p>
        </w:tc>
        <w:tc>
          <w:tcPr>
            <w:tcW w:w="4460" w:type="dxa"/>
            <w:vAlign w:val="bottom"/>
            <w:tcBorders>
              <w:right w:val="single" w:sz="8" w:color="828282"/>
            </w:tcBorders>
          </w:tcPr>
          <w:p>
            <w:pPr>
              <w:jc w:val="center"/>
              <w:spacing w:after="0"/>
              <w:rPr>
                <w:sz w:val="20"/>
                <w:szCs w:val="20"/>
                <w:color w:val="auto"/>
              </w:rPr>
            </w:pPr>
            <w:r>
              <w:rPr>
                <w:rFonts w:ascii="Arial" w:cs="Arial" w:eastAsia="Arial" w:hAnsi="Arial"/>
                <w:sz w:val="16"/>
                <w:szCs w:val="16"/>
                <w:color w:val="auto"/>
              </w:rPr>
              <w:t>performance measures</w:t>
            </w:r>
          </w:p>
        </w:tc>
        <w:tc>
          <w:tcPr>
            <w:tcW w:w="0" w:type="dxa"/>
            <w:vAlign w:val="bottom"/>
          </w:tcPr>
          <w:p>
            <w:pPr>
              <w:spacing w:after="0"/>
              <w:rPr>
                <w:sz w:val="1"/>
                <w:szCs w:val="1"/>
                <w:color w:val="auto"/>
              </w:rPr>
            </w:pPr>
          </w:p>
        </w:tc>
      </w:tr>
      <w:tr>
        <w:trPr>
          <w:trHeight w:val="144"/>
        </w:trPr>
        <w:tc>
          <w:tcPr>
            <w:tcW w:w="1980" w:type="dxa"/>
            <w:vAlign w:val="bottom"/>
            <w:tcBorders>
              <w:left w:val="single" w:sz="8" w:color="828282"/>
              <w:bottom w:val="single" w:sz="8" w:color="828282"/>
              <w:right w:val="single" w:sz="8" w:color="828282"/>
            </w:tcBorders>
          </w:tcPr>
          <w:p>
            <w:pPr>
              <w:spacing w:after="0"/>
              <w:rPr>
                <w:sz w:val="12"/>
                <w:szCs w:val="12"/>
                <w:color w:val="auto"/>
              </w:rPr>
            </w:pPr>
          </w:p>
        </w:tc>
        <w:tc>
          <w:tcPr>
            <w:tcW w:w="4440" w:type="dxa"/>
            <w:vAlign w:val="bottom"/>
            <w:tcBorders>
              <w:bottom w:val="single" w:sz="8" w:color="828282"/>
              <w:right w:val="single" w:sz="8" w:color="828282"/>
            </w:tcBorders>
          </w:tcPr>
          <w:p>
            <w:pPr>
              <w:spacing w:after="0"/>
              <w:rPr>
                <w:sz w:val="12"/>
                <w:szCs w:val="12"/>
                <w:color w:val="auto"/>
              </w:rPr>
            </w:pPr>
          </w:p>
        </w:tc>
        <w:tc>
          <w:tcPr>
            <w:tcW w:w="4460" w:type="dxa"/>
            <w:vAlign w:val="bottom"/>
            <w:tcBorders>
              <w:bottom w:val="single" w:sz="8" w:color="828282"/>
              <w:right w:val="single" w:sz="8" w:color="828282"/>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CPCC defines financial milestones for Incentive Adjusted ROIC (as a threshold) and Incentive Adjusted EBIT (as a range) that relate to varying percentages of bonus payout. The difficulty level in achieving the milestones reflects the CPCC’s belief that there should be a balance between executive pay opportunity, reinvestment in the Company and return to shareholders.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accordance with our EMBP, Incentive Adjusted EBIT and Incentive Adjusted ROIC achievement used to determine bonus payout may differ from EBIT and Adjusted ROIC, as reported in our 2022 Annual Report. Beginning in fiscal year 2021, our Incentive Adjusted EBIT measure excluded certain performance-based compensation elements in order to be more reflective of business performance. Incentive Adjusted EBIT and Incentive Adjusted ROIC are not measures of financial performance under GAAP and should be considered in addition to, and not a substitute for, return on assets, net earnings, total assets or other GAAP financial measures. See Appendix A for a reconciliation of GAAP and non-GAAP financial measures.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2022 Bonus Measure Outcomes and Payouts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Incentive Adjusted EBIT achievement missed our threshold of $906 million and Incentive Adjusted ROIC missed the threshold of 11.0%, resulting in a 0% bonus payout. The performance-based annual cash bonus results for the EMBP are summarized in the following table. For the portion of the year prior to assuming the Interim Chief Financial Officer role, Michael Maher was eligible for the broad-based bonus plan, for which the measures were Net Sales and Incentive Adjusted EBIT, and for which his payout was also 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jc w:val="right"/>
              <w:ind w:right="281"/>
              <w:spacing w:after="0"/>
              <w:rPr>
                <w:sz w:val="20"/>
                <w:szCs w:val="20"/>
                <w:color w:val="auto"/>
              </w:rPr>
            </w:pPr>
            <w:r>
              <w:rPr>
                <w:rFonts w:ascii="Arial" w:cs="Arial" w:eastAsia="Arial" w:hAnsi="Arial"/>
                <w:sz w:val="16"/>
                <w:szCs w:val="16"/>
                <w:b w:val="1"/>
                <w:bCs w:val="1"/>
                <w:color w:val="auto"/>
              </w:rPr>
              <w:t>Milestones</w:t>
            </w: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8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3720" w:type="dxa"/>
            <w:vAlign w:val="bottom"/>
            <w:vMerge w:val="restart"/>
          </w:tcPr>
          <w:p>
            <w:pPr>
              <w:spacing w:after="0"/>
              <w:rPr>
                <w:sz w:val="20"/>
                <w:szCs w:val="20"/>
                <w:color w:val="auto"/>
              </w:rPr>
            </w:pPr>
            <w:r>
              <w:rPr>
                <w:rFonts w:ascii="Arial" w:cs="Arial" w:eastAsia="Arial" w:hAnsi="Arial"/>
                <w:sz w:val="16"/>
                <w:szCs w:val="16"/>
                <w:b w:val="1"/>
                <w:bCs w:val="1"/>
                <w:color w:val="auto"/>
              </w:rPr>
              <w:t>Bonus Measures</w:t>
            </w: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4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Actual</w:t>
            </w:r>
          </w:p>
        </w:tc>
        <w:tc>
          <w:tcPr>
            <w:tcW w:w="0" w:type="dxa"/>
            <w:vAlign w:val="bottom"/>
          </w:tcPr>
          <w:p>
            <w:pPr>
              <w:spacing w:after="0"/>
              <w:rPr>
                <w:sz w:val="1"/>
                <w:szCs w:val="1"/>
                <w:color w:val="auto"/>
              </w:rPr>
            </w:pPr>
          </w:p>
        </w:tc>
      </w:tr>
      <w:tr>
        <w:trPr>
          <w:trHeight w:val="220"/>
        </w:trPr>
        <w:tc>
          <w:tcPr>
            <w:tcW w:w="1580" w:type="dxa"/>
            <w:vAlign w:val="bottom"/>
            <w:tcBorders>
              <w:bottom w:val="single" w:sz="8" w:color="auto"/>
            </w:tcBorders>
            <w:vMerge w:val="continue"/>
          </w:tcPr>
          <w:p>
            <w:pPr>
              <w:spacing w:after="0"/>
              <w:rPr>
                <w:sz w:val="19"/>
                <w:szCs w:val="19"/>
                <w:color w:val="auto"/>
              </w:rPr>
            </w:pPr>
          </w:p>
        </w:tc>
        <w:tc>
          <w:tcPr>
            <w:tcW w:w="37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Threshold</w:t>
            </w: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Target</w:t>
            </w: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w w:val="97"/>
              </w:rPr>
              <w:t>Superior</w:t>
            </w:r>
          </w:p>
        </w:tc>
        <w:tc>
          <w:tcPr>
            <w:tcW w:w="8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80" w:type="dxa"/>
            <w:vAlign w:val="bottom"/>
          </w:tcPr>
          <w:p>
            <w:pPr>
              <w:spacing w:after="0"/>
              <w:rPr>
                <w:sz w:val="17"/>
                <w:szCs w:val="17"/>
                <w:color w:val="auto"/>
              </w:rPr>
            </w:pPr>
          </w:p>
        </w:tc>
        <w:tc>
          <w:tcPr>
            <w:tcW w:w="372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6"/>
                <w:szCs w:val="16"/>
                <w:color w:val="auto"/>
              </w:rPr>
              <w:t>Incentive Adjusted EBIT</w:t>
            </w:r>
          </w:p>
        </w:tc>
        <w:tc>
          <w:tcPr>
            <w:tcW w:w="12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$906M</w:t>
            </w:r>
          </w:p>
        </w:tc>
        <w:tc>
          <w:tcPr>
            <w:tcW w:w="1260" w:type="dxa"/>
            <w:vAlign w:val="bottom"/>
            <w:tcBorders>
              <w:bottom w:val="single" w:sz="8" w:color="DCDDDE"/>
            </w:tcBorders>
            <w:shd w:val="clear" w:color="auto" w:fill="DCDDDE"/>
          </w:tcPr>
          <w:p>
            <w:pPr>
              <w:jc w:val="right"/>
              <w:ind w:right="161"/>
              <w:spacing w:after="0"/>
              <w:rPr>
                <w:sz w:val="20"/>
                <w:szCs w:val="20"/>
                <w:color w:val="auto"/>
              </w:rPr>
            </w:pPr>
            <w:r>
              <w:rPr>
                <w:rFonts w:ascii="Arial" w:cs="Arial" w:eastAsia="Arial" w:hAnsi="Arial"/>
                <w:sz w:val="16"/>
                <w:szCs w:val="16"/>
                <w:color w:val="auto"/>
              </w:rPr>
              <w:t>$1,158M</w:t>
            </w:r>
          </w:p>
        </w:tc>
        <w:tc>
          <w:tcPr>
            <w:tcW w:w="1700" w:type="dxa"/>
            <w:vAlign w:val="bottom"/>
            <w:tcBorders>
              <w:bottom w:val="single" w:sz="8" w:color="DCDDDE"/>
            </w:tcBorders>
            <w:gridSpan w:val="2"/>
            <w:shd w:val="clear" w:color="auto" w:fill="DCDDDE"/>
          </w:tcPr>
          <w:p>
            <w:pPr>
              <w:jc w:val="right"/>
              <w:ind w:right="820"/>
              <w:spacing w:after="0"/>
              <w:rPr>
                <w:sz w:val="20"/>
                <w:szCs w:val="20"/>
                <w:color w:val="auto"/>
              </w:rPr>
            </w:pPr>
            <w:r>
              <w:rPr>
                <w:rFonts w:ascii="Arial" w:cs="Arial" w:eastAsia="Arial" w:hAnsi="Arial"/>
                <w:sz w:val="16"/>
                <w:szCs w:val="16"/>
                <w:color w:val="auto"/>
              </w:rPr>
              <w:t>$1,662M</w:t>
            </w:r>
          </w:p>
        </w:tc>
        <w:tc>
          <w:tcPr>
            <w:tcW w:w="1420" w:type="dxa"/>
            <w:vAlign w:val="bottom"/>
            <w:tcBorders>
              <w:bottom w:val="single" w:sz="8" w:color="DCDDDE"/>
            </w:tcBorders>
            <w:shd w:val="clear" w:color="auto" w:fill="DCDDDE"/>
          </w:tcPr>
          <w:p>
            <w:pPr>
              <w:jc w:val="right"/>
              <w:ind w:right="21"/>
              <w:spacing w:after="0"/>
              <w:rPr>
                <w:sz w:val="20"/>
                <w:szCs w:val="20"/>
                <w:color w:val="auto"/>
              </w:rPr>
            </w:pPr>
            <w:r>
              <w:rPr>
                <w:rFonts w:ascii="Arial" w:cs="Arial" w:eastAsia="Arial" w:hAnsi="Arial"/>
                <w:sz w:val="16"/>
                <w:szCs w:val="16"/>
                <w:color w:val="auto"/>
              </w:rPr>
              <w:t>$524M</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20"/>
                <w:szCs w:val="20"/>
                <w:color w:val="auto"/>
              </w:rPr>
            </w:pPr>
            <w:r>
              <w:rPr>
                <w:rFonts w:ascii="Arial" w:cs="Arial" w:eastAsia="Arial" w:hAnsi="Arial"/>
                <w:sz w:val="16"/>
                <w:szCs w:val="16"/>
                <w:b w:val="1"/>
                <w:bCs w:val="1"/>
                <w:color w:val="auto"/>
              </w:rPr>
              <w:t>All NEOs</w:t>
            </w:r>
          </w:p>
        </w:tc>
        <w:tc>
          <w:tcPr>
            <w:tcW w:w="3720" w:type="dxa"/>
            <w:vAlign w:val="bottom"/>
          </w:tcPr>
          <w:p>
            <w:pPr>
              <w:spacing w:after="0"/>
              <w:rPr>
                <w:sz w:val="20"/>
                <w:szCs w:val="20"/>
                <w:color w:val="auto"/>
              </w:rPr>
            </w:pPr>
            <w:r>
              <w:rPr>
                <w:rFonts w:ascii="Arial" w:cs="Arial" w:eastAsia="Arial" w:hAnsi="Arial"/>
                <w:sz w:val="16"/>
                <w:szCs w:val="16"/>
                <w:color w:val="auto"/>
              </w:rPr>
              <w:t>% of Payout</w:t>
            </w: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100%</w:t>
            </w:r>
          </w:p>
        </w:tc>
        <w:tc>
          <w:tcPr>
            <w:tcW w:w="1700" w:type="dxa"/>
            <w:vAlign w:val="bottom"/>
            <w:gridSpan w:val="2"/>
          </w:tcPr>
          <w:p>
            <w:pPr>
              <w:jc w:val="right"/>
              <w:ind w:right="820"/>
              <w:spacing w:after="0"/>
              <w:rPr>
                <w:sz w:val="20"/>
                <w:szCs w:val="20"/>
                <w:color w:val="auto"/>
              </w:rPr>
            </w:pPr>
            <w:r>
              <w:rPr>
                <w:rFonts w:ascii="Arial" w:cs="Arial" w:eastAsia="Arial" w:hAnsi="Arial"/>
                <w:sz w:val="16"/>
                <w:szCs w:val="16"/>
                <w:color w:val="auto"/>
              </w:rPr>
              <w:t>250%</w:t>
            </w: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auto"/>
            </w:tcBorders>
          </w:tcPr>
          <w:p>
            <w:pPr>
              <w:spacing w:after="0"/>
              <w:rPr>
                <w:sz w:val="17"/>
                <w:szCs w:val="17"/>
                <w:color w:val="auto"/>
              </w:rPr>
            </w:pPr>
          </w:p>
        </w:tc>
        <w:tc>
          <w:tcPr>
            <w:tcW w:w="3720" w:type="dxa"/>
            <w:vAlign w:val="bottom"/>
            <w:tcBorders>
              <w:top w:val="single" w:sz="8" w:color="DCDDDE"/>
              <w:bottom w:val="single" w:sz="8" w:color="auto"/>
            </w:tcBorders>
            <w:shd w:val="clear" w:color="auto" w:fill="DCDDDE"/>
          </w:tcPr>
          <w:p>
            <w:pPr>
              <w:ind w:left="180"/>
              <w:spacing w:after="0"/>
              <w:rPr>
                <w:sz w:val="20"/>
                <w:szCs w:val="20"/>
                <w:color w:val="auto"/>
              </w:rPr>
            </w:pPr>
            <w:r>
              <w:rPr>
                <w:rFonts w:ascii="Arial" w:cs="Arial" w:eastAsia="Arial" w:hAnsi="Arial"/>
                <w:sz w:val="14"/>
                <w:szCs w:val="14"/>
                <w:i w:val="1"/>
                <w:iCs w:val="1"/>
                <w:color w:val="auto"/>
              </w:rPr>
              <w:t>Subject to Incentive Adjusted ROIC threshold</w:t>
            </w:r>
          </w:p>
        </w:tc>
        <w:tc>
          <w:tcPr>
            <w:tcW w:w="1200" w:type="dxa"/>
            <w:vAlign w:val="bottom"/>
            <w:tcBorders>
              <w:top w:val="single" w:sz="8" w:color="auto"/>
              <w:bottom w:val="single" w:sz="8" w:color="auto"/>
            </w:tcBorders>
            <w:shd w:val="clear" w:color="auto" w:fill="DCDDDE"/>
          </w:tcPr>
          <w:p>
            <w:pPr>
              <w:spacing w:after="0"/>
              <w:rPr>
                <w:sz w:val="17"/>
                <w:szCs w:val="17"/>
                <w:color w:val="auto"/>
              </w:rPr>
            </w:pPr>
          </w:p>
        </w:tc>
        <w:tc>
          <w:tcPr>
            <w:tcW w:w="1260" w:type="dxa"/>
            <w:vAlign w:val="bottom"/>
            <w:tcBorders>
              <w:top w:val="single" w:sz="8" w:color="auto"/>
              <w:bottom w:val="single" w:sz="8" w:color="auto"/>
            </w:tcBorders>
            <w:shd w:val="clear" w:color="auto" w:fill="DCDDDE"/>
          </w:tcPr>
          <w:p>
            <w:pPr>
              <w:jc w:val="right"/>
              <w:ind w:right="501"/>
              <w:spacing w:after="0"/>
              <w:rPr>
                <w:sz w:val="20"/>
                <w:szCs w:val="20"/>
                <w:color w:val="auto"/>
              </w:rPr>
            </w:pPr>
            <w:r>
              <w:rPr>
                <w:rFonts w:ascii="Arial" w:cs="Arial" w:eastAsia="Arial" w:hAnsi="Arial"/>
                <w:sz w:val="14"/>
                <w:szCs w:val="14"/>
                <w:i w:val="1"/>
                <w:iCs w:val="1"/>
                <w:color w:val="auto"/>
              </w:rPr>
              <w:t>11.0%</w:t>
            </w:r>
          </w:p>
        </w:tc>
        <w:tc>
          <w:tcPr>
            <w:tcW w:w="880" w:type="dxa"/>
            <w:vAlign w:val="bottom"/>
            <w:tcBorders>
              <w:top w:val="single" w:sz="8" w:color="auto"/>
              <w:bottom w:val="single" w:sz="8" w:color="auto"/>
            </w:tcBorders>
            <w:shd w:val="clear" w:color="auto" w:fill="DCDDDE"/>
          </w:tcPr>
          <w:p>
            <w:pPr>
              <w:spacing w:after="0"/>
              <w:rPr>
                <w:sz w:val="17"/>
                <w:szCs w:val="17"/>
                <w:color w:val="auto"/>
              </w:rPr>
            </w:pPr>
          </w:p>
        </w:tc>
        <w:tc>
          <w:tcPr>
            <w:tcW w:w="820" w:type="dxa"/>
            <w:vAlign w:val="bottom"/>
            <w:tcBorders>
              <w:top w:val="single" w:sz="8" w:color="DCDDDE"/>
              <w:bottom w:val="single" w:sz="8" w:color="auto"/>
            </w:tcBorders>
            <w:shd w:val="clear" w:color="auto" w:fill="DCDDDE"/>
          </w:tcPr>
          <w:p>
            <w:pPr>
              <w:spacing w:after="0"/>
              <w:rPr>
                <w:sz w:val="17"/>
                <w:szCs w:val="17"/>
                <w:color w:val="auto"/>
              </w:rPr>
            </w:pPr>
          </w:p>
        </w:tc>
        <w:tc>
          <w:tcPr>
            <w:tcW w:w="1420" w:type="dxa"/>
            <w:vAlign w:val="bottom"/>
            <w:tcBorders>
              <w:top w:val="single" w:sz="8" w:color="DCDDDE"/>
              <w:bottom w:val="single" w:sz="8" w:color="auto"/>
            </w:tcBorders>
            <w:shd w:val="clear" w:color="auto" w:fill="DCDDDE"/>
          </w:tcPr>
          <w:p>
            <w:pPr>
              <w:jc w:val="right"/>
              <w:ind w:right="1"/>
              <w:spacing w:after="0"/>
              <w:rPr>
                <w:sz w:val="20"/>
                <w:szCs w:val="20"/>
                <w:color w:val="auto"/>
              </w:rPr>
            </w:pPr>
            <w:r>
              <w:rPr>
                <w:rFonts w:ascii="Arial" w:cs="Arial" w:eastAsia="Arial" w:hAnsi="Arial"/>
                <w:sz w:val="14"/>
                <w:szCs w:val="14"/>
                <w:i w:val="1"/>
                <w:iCs w:val="1"/>
                <w:color w:val="auto"/>
              </w:rPr>
              <w:t>7.7%</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LTIs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Annual grants of LTIs under our shareholder-approved EIP are intended to provide the NEOs with additional incentive to create shareholder value and receive financial rewards. In establishing the LTI annual grant value for each NEO, the CPCC considers the mix of pay elements, market pay information for similar roles within our peer group, our annual share usage and dilution, performance and internal equity of grant size by role. The CPCC typically approves LTI annual grants during the February CPCC meeting, which is scheduled at least a year in advance. The February meeting occurs after performance results for the prior year are known, which allows the CPCC to align compensation elements with our performance and business goals.</w:t>
      </w:r>
    </w:p>
    <w:p>
      <w:pPr>
        <w:spacing w:after="0" w:line="26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2022, performance-based equity was reintroduced into the LTI annual grant mix. The target annual grant mix for all NEOs, except Michael Maher, is 60% PSUs and 40%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8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75" w:lineRule="exact"/>
        <w:rPr>
          <w:sz w:val="20"/>
          <w:szCs w:val="20"/>
          <w:color w:val="auto"/>
        </w:rPr>
      </w:pPr>
    </w:p>
    <w:p>
      <w:pPr>
        <w:jc w:val="both"/>
        <w:ind w:left="200" w:hanging="192"/>
        <w:spacing w:after="0" w:line="259" w:lineRule="auto"/>
        <w:tabs>
          <w:tab w:leader="none" w:pos="20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PSUs will pay out based on the cumulative sales and EBIT margin % over a three-year performance period ending on February 1, 2025. Goals for the PSUs are aligned with the Company’s forward-looking strategy communicated at the February 2021 Investor Event. The CPCC believes that these measures reflect the Company’s key areas of strategic focus over the next three years. The minimum percentage of PSUs that can be earned at the end of the three-year performance cycle is 75% and the maximum is 150%.</w:t>
      </w:r>
    </w:p>
    <w:p>
      <w:pPr>
        <w:spacing w:after="0" w:line="15" w:lineRule="exact"/>
        <w:rPr>
          <w:rFonts w:ascii="Arial" w:cs="Arial" w:eastAsia="Arial" w:hAnsi="Arial"/>
          <w:sz w:val="16"/>
          <w:szCs w:val="16"/>
          <w:color w:val="auto"/>
        </w:rPr>
      </w:pPr>
    </w:p>
    <w:p>
      <w:pPr>
        <w:ind w:left="220" w:hanging="212"/>
        <w:spacing w:after="0"/>
        <w:tabs>
          <w:tab w:leader="none" w:pos="2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stock options will vest 50% in year three and 50% in year four, to emphasize the long-term nature of the award.</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Michael Maher’s 2022 LTI annual grant mix was composed of 75% RSUs with four-year equal vesting and 25% stock options vesting 50% in year three and 50% in year four.</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CPCC retains discretion to approve LTI annual grants above and below the target grant value as a percent of base salary in any given year to reflect an individual’s contributions to delivering shareholder value. The CPCC used its discretion to modify the 2022 LTI annual grant value as a percentage of base salary from 70% to 90% for Michael Maher to recognize his performance and expected future contributions.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One-Time Equity Awards</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At the May 2022 meeting, the CPCC approved special RSU grants which were awarded on May 26, 2022 and vest 50% on June 10, 2024 and 50% on June 10, 2025 to Michael Maher, Alexis Depree and Edmond Mesrobian. To mitigate retention risk, Michael Maher was awarded a grant of $1,200,000. Due to the highly critical role that Supply Chain and Technology play in meeting our ambitions relative to our Closer to You strategy, Alexis DePree and Edmond Mesrobian were awarded grants of $1,000,000 and $850,000, respectively. Edmond Mesrobian forfeited all unvested equity, including this award, upon his separation on October 14,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Stock Ownership Guidelines Align Executives and Shareholders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align our executives’ interests with those of our shareholders and to ensure that our executives own meaningful levels of Company stock throughout their tenures with the Company, our stock ownership guidelines were formally established in 2004. Ownership shares are made up of all forms of Common Stock, as well as vested PSUs that are deferred, PSUs with a minimum payout of more than zero and unvested RSUs. Ownership shares do not include unvested or vested stock options, unvested PSUs with a minimum payout of zero or pledged shares.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NEOs and other Executive Officers have a share target defined as base salary on April 1st multiplied by their ownership multiple of base salary divided by a 52-week average closing stock price. The ownership multiples of base salary depend on the executive’s role in the Company and are as shown in the following table for the NEOs. The CPCC has assigned these particular multiples to match or exceed market practice, and to represent a significant portion of the overall compensation package to reinforce the alignment of management’s decision-making with shareholder interests. Executives will be deemed to be in compliance with the stock ownership guidelines once their holdings of Common Stock meet or exceed the threshold, and will remain in compliance, unless and until the executive sells shares.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our guidelines, NEOs and other Executive Officers are required to conduct any open market transactions in Common Stock only in accordance with an approved SEC Rule 10b5-1 trading plan or with pre-clearance from the Chief Legal Officer during an open trading window. Transactions pursuant to SEC Rule 10b5-1 trading plans predetermine the timing, number of shares and price at which an Executive Officer may buy or sell Company shares. The Executive Officers must also achieve and retain a minimum holding of 100% of their ownership targets before they may sell or otherwise dispose of Company shares. Executive Officers have five years to achieve their target.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CPCC regularly reviews stock ownership status for the NEOs. Each continuing NEO has met his or her respective stock ownership guideline.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5560" w:type="dxa"/>
            <w:vAlign w:val="bottom"/>
          </w:tcPr>
          <w:p>
            <w:pPr>
              <w:ind w:left="1020"/>
              <w:spacing w:after="0"/>
              <w:rPr>
                <w:sz w:val="20"/>
                <w:szCs w:val="20"/>
                <w:color w:val="auto"/>
              </w:rPr>
            </w:pPr>
            <w:r>
              <w:rPr>
                <w:rFonts w:ascii="Arial" w:cs="Arial" w:eastAsia="Arial" w:hAnsi="Arial"/>
                <w:sz w:val="16"/>
                <w:szCs w:val="16"/>
                <w:b w:val="1"/>
                <w:bCs w:val="1"/>
                <w:color w:val="auto"/>
              </w:rPr>
              <w:t>Multiple of Base Salary Used to Establish Ownership</w:t>
            </w:r>
          </w:p>
        </w:tc>
      </w:tr>
      <w:tr>
        <w:trPr>
          <w:trHeight w:val="223"/>
        </w:trPr>
        <w:tc>
          <w:tcPr>
            <w:tcW w:w="5320" w:type="dxa"/>
            <w:vAlign w:val="bottom"/>
            <w:gridSpan w:val="2"/>
          </w:tcPr>
          <w:p>
            <w:pPr>
              <w:ind w:left="60"/>
              <w:spacing w:after="0"/>
              <w:rPr>
                <w:sz w:val="20"/>
                <w:szCs w:val="20"/>
                <w:color w:val="auto"/>
              </w:rPr>
            </w:pPr>
            <w:r>
              <w:rPr>
                <w:rFonts w:ascii="Arial" w:cs="Arial" w:eastAsia="Arial" w:hAnsi="Arial"/>
                <w:sz w:val="16"/>
                <w:szCs w:val="16"/>
                <w:b w:val="1"/>
                <w:bCs w:val="1"/>
                <w:color w:val="auto"/>
              </w:rPr>
              <w:t>Position</w:t>
            </w:r>
          </w:p>
        </w:tc>
        <w:tc>
          <w:tcPr>
            <w:tcW w:w="5560" w:type="dxa"/>
            <w:vAlign w:val="bottom"/>
          </w:tcPr>
          <w:p>
            <w:pPr>
              <w:ind w:left="2820"/>
              <w:spacing w:after="0"/>
              <w:rPr>
                <w:sz w:val="20"/>
                <w:szCs w:val="20"/>
                <w:color w:val="auto"/>
              </w:rPr>
            </w:pPr>
            <w:r>
              <w:rPr>
                <w:rFonts w:ascii="Arial" w:cs="Arial" w:eastAsia="Arial" w:hAnsi="Arial"/>
                <w:sz w:val="16"/>
                <w:szCs w:val="16"/>
                <w:b w:val="1"/>
                <w:bCs w:val="1"/>
                <w:color w:val="auto"/>
              </w:rPr>
              <w:t>Target</w:t>
            </w:r>
          </w:p>
        </w:tc>
      </w:tr>
      <w:tr>
        <w:trPr>
          <w:trHeight w:val="21"/>
        </w:trPr>
        <w:tc>
          <w:tcPr>
            <w:tcW w:w="5320" w:type="dxa"/>
            <w:vAlign w:val="bottom"/>
            <w:tcBorders>
              <w:bottom w:val="single" w:sz="8" w:color="auto"/>
            </w:tcBorders>
            <w:gridSpan w:val="2"/>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r>
      <w:tr>
        <w:trPr>
          <w:trHeight w:val="223"/>
        </w:trPr>
        <w:tc>
          <w:tcPr>
            <w:tcW w:w="532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Chief Executive Officer</w:t>
            </w:r>
          </w:p>
        </w:tc>
        <w:tc>
          <w:tcPr>
            <w:tcW w:w="5560" w:type="dxa"/>
            <w:vAlign w:val="bottom"/>
            <w:shd w:val="clear" w:color="auto" w:fill="DCDDDE"/>
          </w:tcPr>
          <w:p>
            <w:pPr>
              <w:jc w:val="center"/>
              <w:ind w:left="499"/>
              <w:spacing w:after="0"/>
              <w:rPr>
                <w:sz w:val="20"/>
                <w:szCs w:val="20"/>
                <w:color w:val="auto"/>
              </w:rPr>
            </w:pPr>
            <w:r>
              <w:rPr>
                <w:rFonts w:ascii="Arial" w:cs="Arial" w:eastAsia="Arial" w:hAnsi="Arial"/>
                <w:sz w:val="16"/>
                <w:szCs w:val="16"/>
                <w:color w:val="auto"/>
              </w:rPr>
              <w:t>10x</w:t>
            </w:r>
          </w:p>
        </w:tc>
      </w:tr>
      <w:tr>
        <w:trPr>
          <w:trHeight w:val="222"/>
        </w:trPr>
        <w:tc>
          <w:tcPr>
            <w:tcW w:w="5320" w:type="dxa"/>
            <w:vAlign w:val="bottom"/>
            <w:gridSpan w:val="2"/>
          </w:tcPr>
          <w:p>
            <w:pPr>
              <w:ind w:left="60"/>
              <w:spacing w:after="0"/>
              <w:rPr>
                <w:sz w:val="20"/>
                <w:szCs w:val="20"/>
                <w:color w:val="auto"/>
              </w:rPr>
            </w:pPr>
            <w:r>
              <w:rPr>
                <w:rFonts w:ascii="Arial" w:cs="Arial" w:eastAsia="Arial" w:hAnsi="Arial"/>
                <w:sz w:val="16"/>
                <w:szCs w:val="16"/>
                <w:color w:val="auto"/>
              </w:rPr>
              <w:t>Interim Chief Financial Officer and Chief Accounting Officer</w:t>
            </w:r>
          </w:p>
        </w:tc>
        <w:tc>
          <w:tcPr>
            <w:tcW w:w="5560" w:type="dxa"/>
            <w:vAlign w:val="bottom"/>
          </w:tcPr>
          <w:p>
            <w:pPr>
              <w:jc w:val="center"/>
              <w:ind w:left="499"/>
              <w:spacing w:after="0"/>
              <w:rPr>
                <w:sz w:val="20"/>
                <w:szCs w:val="20"/>
                <w:color w:val="auto"/>
              </w:rPr>
            </w:pPr>
            <w:r>
              <w:rPr>
                <w:rFonts w:ascii="Arial" w:cs="Arial" w:eastAsia="Arial" w:hAnsi="Arial"/>
                <w:sz w:val="16"/>
                <w:szCs w:val="16"/>
                <w:color w:val="auto"/>
              </w:rPr>
              <w:t>1x</w:t>
            </w:r>
          </w:p>
        </w:tc>
      </w:tr>
      <w:tr>
        <w:trPr>
          <w:trHeight w:val="237"/>
        </w:trPr>
        <w:tc>
          <w:tcPr>
            <w:tcW w:w="532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President &amp; Chief Brand Officer</w:t>
            </w:r>
          </w:p>
        </w:tc>
        <w:tc>
          <w:tcPr>
            <w:tcW w:w="5560" w:type="dxa"/>
            <w:vAlign w:val="bottom"/>
            <w:shd w:val="clear" w:color="auto" w:fill="DCDDDE"/>
          </w:tcPr>
          <w:p>
            <w:pPr>
              <w:jc w:val="center"/>
              <w:ind w:left="499"/>
              <w:spacing w:after="0"/>
              <w:rPr>
                <w:sz w:val="20"/>
                <w:szCs w:val="20"/>
                <w:color w:val="auto"/>
              </w:rPr>
            </w:pPr>
            <w:r>
              <w:rPr>
                <w:rFonts w:ascii="Arial" w:cs="Arial" w:eastAsia="Arial" w:hAnsi="Arial"/>
                <w:sz w:val="16"/>
                <w:szCs w:val="16"/>
                <w:color w:val="auto"/>
              </w:rPr>
              <w:t>10x</w:t>
            </w:r>
          </w:p>
        </w:tc>
      </w:tr>
      <w:tr>
        <w:trPr>
          <w:trHeight w:val="222"/>
        </w:trPr>
        <w:tc>
          <w:tcPr>
            <w:tcW w:w="5320" w:type="dxa"/>
            <w:vAlign w:val="bottom"/>
            <w:gridSpan w:val="2"/>
          </w:tcPr>
          <w:p>
            <w:pPr>
              <w:ind w:left="60"/>
              <w:spacing w:after="0"/>
              <w:rPr>
                <w:sz w:val="20"/>
                <w:szCs w:val="20"/>
                <w:color w:val="auto"/>
              </w:rPr>
            </w:pPr>
            <w:r>
              <w:rPr>
                <w:rFonts w:ascii="Arial" w:cs="Arial" w:eastAsia="Arial" w:hAnsi="Arial"/>
                <w:sz w:val="16"/>
                <w:szCs w:val="16"/>
                <w:color w:val="auto"/>
              </w:rPr>
              <w:t>Chief Customer Officer</w:t>
            </w:r>
          </w:p>
        </w:tc>
        <w:tc>
          <w:tcPr>
            <w:tcW w:w="5560" w:type="dxa"/>
            <w:vAlign w:val="bottom"/>
          </w:tcPr>
          <w:p>
            <w:pPr>
              <w:jc w:val="center"/>
              <w:ind w:left="499"/>
              <w:spacing w:after="0"/>
              <w:rPr>
                <w:sz w:val="20"/>
                <w:szCs w:val="20"/>
                <w:color w:val="auto"/>
              </w:rPr>
            </w:pPr>
            <w:r>
              <w:rPr>
                <w:rFonts w:ascii="Arial" w:cs="Arial" w:eastAsia="Arial" w:hAnsi="Arial"/>
                <w:sz w:val="16"/>
                <w:szCs w:val="16"/>
                <w:color w:val="auto"/>
              </w:rPr>
              <w:t>4x</w:t>
            </w:r>
          </w:p>
        </w:tc>
      </w:tr>
      <w:tr>
        <w:trPr>
          <w:trHeight w:val="237"/>
        </w:trPr>
        <w:tc>
          <w:tcPr>
            <w:tcW w:w="532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Chief Supply Chain Officer</w:t>
            </w:r>
          </w:p>
        </w:tc>
        <w:tc>
          <w:tcPr>
            <w:tcW w:w="5560" w:type="dxa"/>
            <w:vAlign w:val="bottom"/>
            <w:shd w:val="clear" w:color="auto" w:fill="DCDDDE"/>
          </w:tcPr>
          <w:p>
            <w:pPr>
              <w:jc w:val="center"/>
              <w:ind w:left="499"/>
              <w:spacing w:after="0"/>
              <w:rPr>
                <w:sz w:val="20"/>
                <w:szCs w:val="20"/>
                <w:color w:val="auto"/>
              </w:rPr>
            </w:pPr>
            <w:r>
              <w:rPr>
                <w:rFonts w:ascii="Arial" w:cs="Arial" w:eastAsia="Arial" w:hAnsi="Arial"/>
                <w:sz w:val="16"/>
                <w:szCs w:val="16"/>
                <w:color w:val="auto"/>
              </w:rPr>
              <w:t>3x</w:t>
            </w:r>
          </w:p>
        </w:tc>
      </w:tr>
      <w:tr>
        <w:trPr>
          <w:trHeight w:val="222"/>
        </w:trPr>
        <w:tc>
          <w:tcPr>
            <w:tcW w:w="5320" w:type="dxa"/>
            <w:vAlign w:val="bottom"/>
            <w:gridSpan w:val="2"/>
          </w:tcPr>
          <w:p>
            <w:pPr>
              <w:ind w:left="60"/>
              <w:spacing w:after="0"/>
              <w:rPr>
                <w:sz w:val="20"/>
                <w:szCs w:val="20"/>
                <w:color w:val="auto"/>
              </w:rPr>
            </w:pPr>
            <w:r>
              <w:rPr>
                <w:rFonts w:ascii="Arial" w:cs="Arial" w:eastAsia="Arial" w:hAnsi="Arial"/>
                <w:sz w:val="16"/>
                <w:szCs w:val="16"/>
                <w:color w:val="auto"/>
              </w:rPr>
              <w:t>Former Chief Financial Officer</w:t>
            </w:r>
          </w:p>
        </w:tc>
        <w:tc>
          <w:tcPr>
            <w:tcW w:w="5560" w:type="dxa"/>
            <w:vAlign w:val="bottom"/>
          </w:tcPr>
          <w:p>
            <w:pPr>
              <w:jc w:val="center"/>
              <w:ind w:left="499"/>
              <w:spacing w:after="0"/>
              <w:rPr>
                <w:sz w:val="20"/>
                <w:szCs w:val="20"/>
                <w:color w:val="auto"/>
              </w:rPr>
            </w:pPr>
            <w:r>
              <w:rPr>
                <w:rFonts w:ascii="Arial" w:cs="Arial" w:eastAsia="Arial" w:hAnsi="Arial"/>
                <w:sz w:val="16"/>
                <w:szCs w:val="16"/>
                <w:color w:val="auto"/>
              </w:rPr>
              <w:t>4x</w:t>
            </w:r>
          </w:p>
        </w:tc>
      </w:tr>
      <w:tr>
        <w:trPr>
          <w:trHeight w:val="230"/>
        </w:trPr>
        <w:tc>
          <w:tcPr>
            <w:tcW w:w="5320" w:type="dxa"/>
            <w:vAlign w:val="bottom"/>
            <w:tcBorders>
              <w:bottom w:val="single" w:sz="8" w:color="auto"/>
            </w:tcBorders>
            <w:gridSpan w:val="2"/>
            <w:shd w:val="clear" w:color="auto" w:fill="DCDDDE"/>
          </w:tcPr>
          <w:p>
            <w:pPr>
              <w:ind w:left="60"/>
              <w:spacing w:after="0"/>
              <w:rPr>
                <w:sz w:val="20"/>
                <w:szCs w:val="20"/>
                <w:color w:val="auto"/>
              </w:rPr>
            </w:pPr>
            <w:r>
              <w:rPr>
                <w:rFonts w:ascii="Arial" w:cs="Arial" w:eastAsia="Arial" w:hAnsi="Arial"/>
                <w:sz w:val="16"/>
                <w:szCs w:val="16"/>
                <w:color w:val="auto"/>
              </w:rPr>
              <w:t>Former Chief Technology &amp; Information Officer</w:t>
            </w:r>
          </w:p>
        </w:tc>
        <w:tc>
          <w:tcPr>
            <w:tcW w:w="5560" w:type="dxa"/>
            <w:vAlign w:val="bottom"/>
            <w:tcBorders>
              <w:bottom w:val="single" w:sz="8" w:color="auto"/>
            </w:tcBorders>
            <w:shd w:val="clear" w:color="auto" w:fill="DCDDDE"/>
          </w:tcPr>
          <w:p>
            <w:pPr>
              <w:jc w:val="center"/>
              <w:ind w:left="499"/>
              <w:spacing w:after="0"/>
              <w:rPr>
                <w:sz w:val="20"/>
                <w:szCs w:val="20"/>
                <w:color w:val="auto"/>
              </w:rPr>
            </w:pPr>
            <w:r>
              <w:rPr>
                <w:rFonts w:ascii="Arial" w:cs="Arial" w:eastAsia="Arial" w:hAnsi="Arial"/>
                <w:sz w:val="16"/>
                <w:szCs w:val="16"/>
                <w:color w:val="auto"/>
              </w:rPr>
              <w:t>3x</w:t>
            </w:r>
          </w:p>
        </w:tc>
      </w:tr>
      <w:tr>
        <w:trPr>
          <w:trHeight w:val="754"/>
        </w:trPr>
        <w:tc>
          <w:tcPr>
            <w:tcW w:w="420" w:type="dxa"/>
            <w:vAlign w:val="bottom"/>
          </w:tcPr>
          <w:p>
            <w:pPr>
              <w:spacing w:after="0"/>
              <w:rPr>
                <w:sz w:val="20"/>
                <w:szCs w:val="20"/>
                <w:color w:val="auto"/>
              </w:rPr>
            </w:pPr>
            <w:r>
              <w:rPr>
                <w:rFonts w:ascii="Arial" w:cs="Arial" w:eastAsia="Arial" w:hAnsi="Arial"/>
                <w:sz w:val="14"/>
                <w:szCs w:val="14"/>
                <w:b w:val="1"/>
                <w:bCs w:val="1"/>
                <w:color w:val="auto"/>
              </w:rPr>
              <w:t>43</w:t>
            </w:r>
          </w:p>
        </w:tc>
        <w:tc>
          <w:tcPr>
            <w:tcW w:w="4900" w:type="dxa"/>
            <w:vAlign w:val="bottom"/>
          </w:tcPr>
          <w:p>
            <w:pPr>
              <w:ind w:left="240"/>
              <w:spacing w:after="0"/>
              <w:rPr>
                <w:sz w:val="20"/>
                <w:szCs w:val="20"/>
                <w:color w:val="auto"/>
              </w:rPr>
            </w:pPr>
            <w:r>
              <w:rPr>
                <w:rFonts w:ascii="Arial" w:cs="Arial" w:eastAsia="Arial" w:hAnsi="Arial"/>
                <w:sz w:val="14"/>
                <w:szCs w:val="14"/>
                <w:b w:val="1"/>
                <w:bCs w:val="1"/>
                <w:color w:val="auto"/>
              </w:rPr>
              <w:t>2023 Proxy Statement</w:t>
            </w:r>
          </w:p>
        </w:tc>
        <w:tc>
          <w:tcPr>
            <w:tcW w:w="5560" w:type="dxa"/>
            <w:vAlign w:val="bottom"/>
          </w:tcPr>
          <w:p>
            <w:pPr>
              <w:spacing w:after="0"/>
              <w:rPr>
                <w:sz w:val="24"/>
                <w:szCs w:val="24"/>
                <w:color w:val="auto"/>
              </w:rPr>
            </w:pPr>
          </w:p>
        </w:tc>
      </w:tr>
      <w:tr>
        <w:trPr>
          <w:trHeight w:val="394"/>
        </w:trPr>
        <w:tc>
          <w:tcPr>
            <w:tcW w:w="4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-393700</wp:posOffset>
            </wp:positionV>
            <wp:extent cx="1020445" cy="1200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Benefits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offers the NEOs a comprehensive program of broad-based, leadership and retirement benefits. Their purpose varies by benefit, but in general they enhance total compensation with meaningful and competitive offerings that support healthy lifestyles and contribute to financial security. These benefits are regularly reviewed for consistency with our pay and benefits philosophy, organizational culture and market practices.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2022 benefits is provided in the following table.</w:t>
      </w:r>
    </w:p>
    <w:p>
      <w:pPr>
        <w:spacing w:after="0" w:line="181" w:lineRule="exact"/>
        <w:rPr>
          <w:sz w:val="20"/>
          <w:szCs w:val="20"/>
          <w:color w:val="auto"/>
        </w:rPr>
      </w:pPr>
    </w:p>
    <w:p>
      <w:pPr>
        <w:ind w:left="1340"/>
        <w:spacing w:after="0"/>
        <w:tabs>
          <w:tab w:leader="none" w:pos="5980" w:val="left"/>
        </w:tabs>
        <w:rPr>
          <w:sz w:val="20"/>
          <w:szCs w:val="20"/>
          <w:color w:val="auto"/>
        </w:rPr>
      </w:pPr>
      <w:r>
        <w:rPr>
          <w:rFonts w:ascii="Arial" w:cs="Arial" w:eastAsia="Arial" w:hAnsi="Arial"/>
          <w:sz w:val="16"/>
          <w:szCs w:val="16"/>
          <w:b w:val="1"/>
          <w:bCs w:val="1"/>
          <w:color w:val="auto"/>
        </w:rPr>
        <w:t>Benefit</w:t>
      </w:r>
      <w:r>
        <w:rPr>
          <w:sz w:val="20"/>
          <w:szCs w:val="20"/>
          <w:color w:val="auto"/>
        </w:rPr>
        <w:tab/>
      </w:r>
      <w:r>
        <w:rPr>
          <w:rFonts w:ascii="Arial" w:cs="Arial" w:eastAsia="Arial" w:hAnsi="Arial"/>
          <w:sz w:val="16"/>
          <w:szCs w:val="16"/>
          <w:b w:val="1"/>
          <w:bCs w:val="1"/>
          <w:color w:val="auto"/>
        </w:rPr>
        <w:t>Where to Learn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6900545" cy="916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6900545" cy="91694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p>
      <w:pPr>
        <w:spacing w:after="0" w:line="127" w:lineRule="exact"/>
        <w:rPr>
          <w:sz w:val="20"/>
          <w:szCs w:val="20"/>
          <w:color w:val="auto"/>
        </w:rPr>
      </w:pPr>
    </w:p>
    <w:p>
      <w:pPr>
        <w:ind w:left="60"/>
        <w:spacing w:after="0"/>
        <w:tabs>
          <w:tab w:leader="none" w:pos="1320" w:val="left"/>
          <w:tab w:leader="none" w:pos="1540" w:val="left"/>
          <w:tab w:leader="none" w:pos="2380" w:val="left"/>
          <w:tab w:leader="none" w:pos="3340" w:val="left"/>
          <w:tab w:leader="none" w:pos="3620" w:val="left"/>
          <w:tab w:leader="none" w:pos="4360" w:val="left"/>
          <w:tab w:leader="none" w:pos="4920" w:val="left"/>
          <w:tab w:leader="none" w:pos="5340" w:val="left"/>
        </w:tabs>
        <w:rPr>
          <w:sz w:val="20"/>
          <w:szCs w:val="20"/>
          <w:color w:val="auto"/>
        </w:rPr>
      </w:pPr>
      <w:r>
        <w:rPr>
          <w:rFonts w:ascii="Arial" w:cs="Arial" w:eastAsia="Arial" w:hAnsi="Arial"/>
          <w:sz w:val="16"/>
          <w:szCs w:val="16"/>
          <w:b w:val="1"/>
          <w:bCs w:val="1"/>
          <w:color w:val="auto"/>
        </w:rPr>
        <w:t>Broad-</w:t>
      </w:r>
      <w:r>
        <w:rPr>
          <w:sz w:val="20"/>
          <w:szCs w:val="20"/>
          <w:color w:val="auto"/>
        </w:rPr>
        <w:tab/>
      </w:r>
      <w:r>
        <w:rPr>
          <w:rFonts w:ascii="Arial" w:cs="Arial" w:eastAsia="Arial" w:hAnsi="Arial"/>
          <w:sz w:val="16"/>
          <w:szCs w:val="16"/>
          <w:color w:val="auto"/>
        </w:rPr>
        <w:t>•</w:t>
        <w:tab/>
        <w:t>Company</w:t>
        <w:tab/>
        <w:t>contribution</w:t>
        <w:tab/>
        <w:t>to</w:t>
        <w:tab/>
        <w:t>medical,</w:t>
        <w:tab/>
        <w:t>dental</w:t>
        <w:tab/>
        <w:t>and</w:t>
      </w:r>
      <w:r>
        <w:rPr>
          <w:sz w:val="20"/>
          <w:szCs w:val="20"/>
          <w:color w:val="auto"/>
        </w:rPr>
        <w:tab/>
      </w:r>
      <w:r>
        <w:rPr>
          <w:rFonts w:ascii="Arial" w:cs="Arial" w:eastAsia="Arial" w:hAnsi="Arial"/>
          <w:sz w:val="15"/>
          <w:szCs w:val="15"/>
          <w:color w:val="auto"/>
        </w:rPr>
        <w:t>vision</w:t>
      </w:r>
    </w:p>
    <w:p>
      <w:pPr>
        <w:spacing w:after="0" w:line="21" w:lineRule="exact"/>
        <w:rPr>
          <w:sz w:val="20"/>
          <w:szCs w:val="20"/>
          <w:color w:val="auto"/>
        </w:rPr>
      </w:pPr>
    </w:p>
    <w:p>
      <w:pPr>
        <w:jc w:val="both"/>
        <w:ind w:left="1540" w:hanging="1479"/>
        <w:spacing w:after="0" w:line="250" w:lineRule="auto"/>
        <w:tabs>
          <w:tab w:leader="none" w:pos="1520" w:val="left"/>
        </w:tabs>
        <w:rPr>
          <w:sz w:val="20"/>
          <w:szCs w:val="20"/>
          <w:color w:val="auto"/>
        </w:rPr>
      </w:pPr>
      <w:r>
        <w:rPr>
          <w:rFonts w:ascii="Arial" w:cs="Arial" w:eastAsia="Arial" w:hAnsi="Arial"/>
          <w:sz w:val="16"/>
          <w:szCs w:val="16"/>
          <w:b w:val="1"/>
          <w:bCs w:val="1"/>
          <w:color w:val="auto"/>
        </w:rPr>
        <w:t>Based</w:t>
      </w:r>
      <w:r>
        <w:rPr>
          <w:sz w:val="20"/>
          <w:szCs w:val="20"/>
          <w:color w:val="auto"/>
        </w:rPr>
        <w:tab/>
      </w:r>
      <w:r>
        <w:rPr>
          <w:rFonts w:ascii="Arial" w:cs="Arial" w:eastAsia="Arial" w:hAnsi="Arial"/>
          <w:sz w:val="16"/>
          <w:szCs w:val="16"/>
          <w:color w:val="auto"/>
        </w:rPr>
        <w:t>coverage; short- and long-term disability; life insurance; adoption assistance; and employee referral assistance. Employee access to accident insurance; health savings account and flexible spending accounts; ESPP; and merchandise discount. Paid time off (or Self-Managed Time Away for executives)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98" w:right="40" w:hanging="198"/>
        <w:spacing w:after="0" w:line="286" w:lineRule="auto"/>
        <w:tabs>
          <w:tab w:leader="none" w:pos="219"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For merchandise discount, see All Other Compensation in Fiscal Year 2022, footnote (d) on page </w:t>
      </w:r>
      <w:r>
        <w:rPr>
          <w:rFonts w:ascii="Arial" w:cs="Arial" w:eastAsia="Arial" w:hAnsi="Arial"/>
          <w:sz w:val="16"/>
          <w:szCs w:val="16"/>
          <w:u w:val="single" w:color="auto"/>
          <w:color w:val="0000EE"/>
        </w:rPr>
        <w:t>50</w:t>
      </w:r>
      <w:r>
        <w:rPr>
          <w:rFonts w:ascii="Arial" w:cs="Arial" w:eastAsia="Arial" w:hAnsi="Arial"/>
          <w:sz w:val="16"/>
          <w:szCs w:val="16"/>
          <w:color w:val="auto"/>
        </w:rPr>
        <w:t>.</w:t>
      </w:r>
    </w:p>
    <w:p>
      <w:pPr>
        <w:spacing w:after="0" w:line="992" w:lineRule="exact"/>
        <w:rPr>
          <w:sz w:val="20"/>
          <w:szCs w:val="20"/>
          <w:color w:val="auto"/>
        </w:rPr>
      </w:pPr>
    </w:p>
    <w:p>
      <w:pPr>
        <w:sectPr>
          <w:pgSz w:w="11900" w:h="16838" w:orient="portrait"/>
          <w:cols w:equalWidth="0" w:num="2">
            <w:col w:w="5760" w:space="242"/>
            <w:col w:w="4878"/>
          </w:cols>
          <w:pgMar w:left="500" w:top="270" w:right="51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Leadership</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4520" w:type="dxa"/>
            <w:vAlign w:val="bottom"/>
          </w:tcPr>
          <w:p>
            <w:pPr>
              <w:ind w:left="80"/>
              <w:spacing w:after="0"/>
              <w:rPr>
                <w:sz w:val="20"/>
                <w:szCs w:val="20"/>
                <w:color w:val="auto"/>
              </w:rPr>
            </w:pPr>
            <w:r>
              <w:rPr>
                <w:rFonts w:ascii="Arial" w:cs="Arial" w:eastAsia="Arial" w:hAnsi="Arial"/>
                <w:sz w:val="16"/>
                <w:szCs w:val="16"/>
                <w:color w:val="auto"/>
              </w:rPr>
              <w:t>Long-term disability coverage; life insurance</w:t>
            </w:r>
          </w:p>
        </w:tc>
        <w:tc>
          <w:tcPr>
            <w:tcW w:w="4880" w:type="dxa"/>
            <w:vAlign w:val="bottom"/>
            <w:gridSpan w:val="13"/>
          </w:tcPr>
          <w:p>
            <w:pPr>
              <w:spacing w:after="0"/>
              <w:rPr>
                <w:sz w:val="20"/>
                <w:szCs w:val="20"/>
                <w:color w:val="auto"/>
              </w:rPr>
            </w:pPr>
            <w:r>
              <w:rPr>
                <w:rFonts w:ascii="Arial" w:cs="Arial" w:eastAsia="Arial" w:hAnsi="Arial"/>
                <w:sz w:val="16"/>
                <w:szCs w:val="16"/>
                <w:color w:val="auto"/>
              </w:rPr>
              <w:t>•  For long-term disability and life insurance, see All Other</w:t>
            </w:r>
          </w:p>
        </w:tc>
      </w:tr>
      <w:tr>
        <w:trPr>
          <w:trHeight w:val="176"/>
        </w:trPr>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880" w:type="dxa"/>
            <w:vAlign w:val="bottom"/>
            <w:gridSpan w:val="13"/>
          </w:tcPr>
          <w:p>
            <w:pPr>
              <w:ind w:left="200"/>
              <w:spacing w:after="0" w:line="176" w:lineRule="exact"/>
              <w:rPr>
                <w:sz w:val="20"/>
                <w:szCs w:val="20"/>
                <w:color w:val="auto"/>
              </w:rPr>
            </w:pPr>
            <w:r>
              <w:rPr>
                <w:rFonts w:ascii="Arial" w:cs="Arial" w:eastAsia="Arial" w:hAnsi="Arial"/>
                <w:sz w:val="16"/>
                <w:szCs w:val="16"/>
                <w:color w:val="auto"/>
              </w:rPr>
              <w:t xml:space="preserve">Compensation in Fiscal Year 2022, footnote (b) on page </w:t>
            </w:r>
            <w:r>
              <w:rPr>
                <w:rFonts w:ascii="Arial" w:cs="Arial" w:eastAsia="Arial" w:hAnsi="Arial"/>
                <w:sz w:val="16"/>
                <w:szCs w:val="16"/>
                <w:color w:val="0000EE"/>
              </w:rPr>
              <w:t>50</w:t>
            </w:r>
            <w:r>
              <w:rPr>
                <w:rFonts w:ascii="Arial" w:cs="Arial" w:eastAsia="Arial" w:hAnsi="Arial"/>
                <w:sz w:val="16"/>
                <w:szCs w:val="16"/>
                <w:color w:val="auto"/>
              </w:rPr>
              <w:t>.</w:t>
            </w:r>
          </w:p>
        </w:tc>
      </w:tr>
      <w:tr>
        <w:trPr>
          <w:trHeight w:val="20"/>
        </w:trPr>
        <w:tc>
          <w:tcPr>
            <w:tcW w:w="134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34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6"/>
                <w:szCs w:val="16"/>
                <w:color w:val="auto"/>
              </w:rPr>
              <w:t>•  NDCP, including Company match for eligible participants</w:t>
            </w:r>
          </w:p>
        </w:tc>
        <w:tc>
          <w:tcPr>
            <w:tcW w:w="4880" w:type="dxa"/>
            <w:vAlign w:val="bottom"/>
            <w:gridSpan w:val="13"/>
          </w:tcPr>
          <w:p>
            <w:pPr>
              <w:spacing w:after="0"/>
              <w:rPr>
                <w:sz w:val="20"/>
                <w:szCs w:val="20"/>
                <w:color w:val="auto"/>
              </w:rPr>
            </w:pPr>
            <w:r>
              <w:rPr>
                <w:rFonts w:ascii="Arial" w:cs="Arial" w:eastAsia="Arial" w:hAnsi="Arial"/>
                <w:sz w:val="16"/>
                <w:szCs w:val="16"/>
                <w:color w:val="auto"/>
              </w:rPr>
              <w:t xml:space="preserve">•  See Nonqualified Deferred Compensation beginning on page </w:t>
            </w:r>
            <w:r>
              <w:rPr>
                <w:rFonts w:ascii="Arial" w:cs="Arial" w:eastAsia="Arial" w:hAnsi="Arial"/>
                <w:sz w:val="16"/>
                <w:szCs w:val="16"/>
                <w:color w:val="0000EE"/>
              </w:rPr>
              <w:t>58</w:t>
            </w:r>
            <w:r>
              <w:rPr>
                <w:rFonts w:ascii="Arial" w:cs="Arial" w:eastAsia="Arial" w:hAnsi="Arial"/>
                <w:sz w:val="16"/>
                <w:szCs w:val="16"/>
                <w:color w:val="auto"/>
              </w:rPr>
              <w:t>.</w:t>
            </w: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3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4520" w:type="dxa"/>
            <w:vAlign w:val="bottom"/>
          </w:tcPr>
          <w:p>
            <w:pPr>
              <w:ind w:left="80"/>
              <w:spacing w:after="0"/>
              <w:rPr>
                <w:sz w:val="20"/>
                <w:szCs w:val="20"/>
                <w:color w:val="auto"/>
              </w:rPr>
            </w:pPr>
            <w:r>
              <w:rPr>
                <w:rFonts w:ascii="Arial" w:cs="Arial" w:eastAsia="Arial" w:hAnsi="Arial"/>
                <w:sz w:val="16"/>
                <w:szCs w:val="16"/>
                <w:color w:val="auto"/>
              </w:rPr>
              <w:t>Executive Severance Plan</w:t>
            </w:r>
          </w:p>
        </w:tc>
        <w:tc>
          <w:tcPr>
            <w:tcW w:w="4880" w:type="dxa"/>
            <w:vAlign w:val="bottom"/>
            <w:gridSpan w:val="13"/>
          </w:tcPr>
          <w:p>
            <w:pPr>
              <w:spacing w:after="0"/>
              <w:rPr>
                <w:sz w:val="20"/>
                <w:szCs w:val="20"/>
                <w:color w:val="auto"/>
              </w:rPr>
            </w:pPr>
            <w:r>
              <w:rPr>
                <w:rFonts w:ascii="Arial" w:cs="Arial" w:eastAsia="Arial" w:hAnsi="Arial"/>
                <w:sz w:val="16"/>
                <w:szCs w:val="16"/>
                <w:color w:val="auto"/>
              </w:rPr>
              <w:t>•  See Potential Payments Upon Termination or Change in Control</w:t>
            </w:r>
          </w:p>
        </w:tc>
      </w:tr>
      <w:tr>
        <w:trPr>
          <w:trHeight w:val="176"/>
        </w:trPr>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880" w:type="dxa"/>
            <w:vAlign w:val="bottom"/>
            <w:gridSpan w:val="13"/>
          </w:tcPr>
          <w:p>
            <w:pPr>
              <w:ind w:left="200"/>
              <w:spacing w:after="0" w:line="176" w:lineRule="exact"/>
              <w:rPr>
                <w:sz w:val="20"/>
                <w:szCs w:val="20"/>
                <w:color w:val="auto"/>
              </w:rPr>
            </w:pPr>
            <w:r>
              <w:rPr>
                <w:rFonts w:ascii="Arial" w:cs="Arial" w:eastAsia="Arial" w:hAnsi="Arial"/>
                <w:sz w:val="16"/>
                <w:szCs w:val="16"/>
                <w:color w:val="auto"/>
              </w:rPr>
              <w:t xml:space="preserve">at Fiscal Year-End 2022, footnote (e) on page </w:t>
            </w:r>
            <w:r>
              <w:rPr>
                <w:rFonts w:ascii="Arial" w:cs="Arial" w:eastAsia="Arial" w:hAnsi="Arial"/>
                <w:sz w:val="16"/>
                <w:szCs w:val="16"/>
                <w:color w:val="0000EE"/>
              </w:rPr>
              <w:t>64</w:t>
            </w:r>
            <w:r>
              <w:rPr>
                <w:rFonts w:ascii="Arial" w:cs="Arial" w:eastAsia="Arial" w:hAnsi="Arial"/>
                <w:sz w:val="16"/>
                <w:szCs w:val="16"/>
                <w:color w:val="auto"/>
              </w:rPr>
              <w:t>.</w:t>
            </w:r>
          </w:p>
        </w:tc>
      </w:tr>
      <w:tr>
        <w:trPr>
          <w:trHeight w:val="48"/>
        </w:trPr>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42"/>
        </w:trPr>
        <w:tc>
          <w:tcPr>
            <w:tcW w:w="1340" w:type="dxa"/>
            <w:vAlign w:val="bottom"/>
            <w:shd w:val="clear" w:color="auto" w:fill="DCDDDE"/>
          </w:tcPr>
          <w:p>
            <w:pPr>
              <w:ind w:left="60"/>
              <w:spacing w:after="0"/>
              <w:rPr>
                <w:sz w:val="20"/>
                <w:szCs w:val="20"/>
                <w:color w:val="auto"/>
              </w:rPr>
            </w:pPr>
            <w:r>
              <w:rPr>
                <w:rFonts w:ascii="Arial" w:cs="Arial" w:eastAsia="Arial" w:hAnsi="Arial"/>
                <w:sz w:val="16"/>
                <w:szCs w:val="16"/>
                <w:b w:val="1"/>
                <w:bCs w:val="1"/>
                <w:color w:val="auto"/>
              </w:rPr>
              <w:t>Retirement</w:t>
            </w:r>
          </w:p>
        </w:tc>
        <w:tc>
          <w:tcPr>
            <w:tcW w:w="140" w:type="dxa"/>
            <w:vAlign w:val="bottom"/>
            <w:shd w:val="clear" w:color="auto" w:fill="DCDDDE"/>
          </w:tcPr>
          <w:p>
            <w:pPr>
              <w:spacing w:after="0"/>
              <w:rPr>
                <w:sz w:val="20"/>
                <w:szCs w:val="20"/>
                <w:color w:val="auto"/>
              </w:rPr>
            </w:pPr>
            <w:r>
              <w:rPr>
                <w:rFonts w:ascii="Arial" w:cs="Arial" w:eastAsia="Arial" w:hAnsi="Arial"/>
                <w:sz w:val="16"/>
                <w:szCs w:val="16"/>
                <w:color w:val="auto"/>
              </w:rPr>
              <w:t>•</w:t>
            </w:r>
          </w:p>
        </w:tc>
        <w:tc>
          <w:tcPr>
            <w:tcW w:w="4520" w:type="dxa"/>
            <w:vAlign w:val="bottom"/>
            <w:shd w:val="clear" w:color="auto" w:fill="DCDDDE"/>
          </w:tcPr>
          <w:p>
            <w:pPr>
              <w:ind w:left="80"/>
              <w:spacing w:after="0"/>
              <w:rPr>
                <w:sz w:val="20"/>
                <w:szCs w:val="20"/>
                <w:color w:val="auto"/>
              </w:rPr>
            </w:pPr>
            <w:r>
              <w:rPr>
                <w:rFonts w:ascii="Arial" w:cs="Arial" w:eastAsia="Arial" w:hAnsi="Arial"/>
                <w:sz w:val="16"/>
                <w:szCs w:val="16"/>
                <w:color w:val="auto"/>
              </w:rPr>
              <w:t>401(k) match: Company matching contributions are made</w:t>
            </w:r>
          </w:p>
        </w:tc>
        <w:tc>
          <w:tcPr>
            <w:tcW w:w="4880" w:type="dxa"/>
            <w:vAlign w:val="bottom"/>
            <w:gridSpan w:val="13"/>
            <w:shd w:val="clear" w:color="auto" w:fill="DCDDDE"/>
          </w:tcPr>
          <w:p>
            <w:pPr>
              <w:spacing w:after="0"/>
              <w:rPr>
                <w:sz w:val="20"/>
                <w:szCs w:val="20"/>
                <w:color w:val="auto"/>
              </w:rPr>
            </w:pPr>
            <w:r>
              <w:rPr>
                <w:rFonts w:ascii="Arial" w:cs="Arial" w:eastAsia="Arial" w:hAnsi="Arial"/>
                <w:sz w:val="16"/>
                <w:szCs w:val="16"/>
                <w:color w:val="auto"/>
              </w:rPr>
              <w:t>•  See All Other Compensation in Fiscal Year 2022, footnote (a) on</w:t>
            </w:r>
          </w:p>
        </w:tc>
      </w:tr>
      <w:tr>
        <w:trPr>
          <w:trHeight w:val="176"/>
        </w:trPr>
        <w:tc>
          <w:tcPr>
            <w:tcW w:w="1340" w:type="dxa"/>
            <w:vAlign w:val="bottom"/>
            <w:shd w:val="clear" w:color="auto" w:fill="DCDDDE"/>
          </w:tcPr>
          <w:p>
            <w:pPr>
              <w:spacing w:after="0"/>
              <w:rPr>
                <w:sz w:val="15"/>
                <w:szCs w:val="15"/>
                <w:color w:val="auto"/>
              </w:rPr>
            </w:pPr>
          </w:p>
        </w:tc>
        <w:tc>
          <w:tcPr>
            <w:tcW w:w="140" w:type="dxa"/>
            <w:vAlign w:val="bottom"/>
            <w:shd w:val="clear" w:color="auto" w:fill="DCDDDE"/>
          </w:tcPr>
          <w:p>
            <w:pPr>
              <w:spacing w:after="0"/>
              <w:rPr>
                <w:sz w:val="15"/>
                <w:szCs w:val="15"/>
                <w:color w:val="auto"/>
              </w:rPr>
            </w:pPr>
          </w:p>
        </w:tc>
        <w:tc>
          <w:tcPr>
            <w:tcW w:w="4520" w:type="dxa"/>
            <w:vAlign w:val="bottom"/>
            <w:shd w:val="clear" w:color="auto" w:fill="DCDDDE"/>
          </w:tcPr>
          <w:p>
            <w:pPr>
              <w:ind w:left="60"/>
              <w:spacing w:after="0" w:line="176" w:lineRule="exact"/>
              <w:rPr>
                <w:sz w:val="20"/>
                <w:szCs w:val="20"/>
                <w:color w:val="auto"/>
              </w:rPr>
            </w:pPr>
            <w:r>
              <w:rPr>
                <w:rFonts w:ascii="Arial" w:cs="Arial" w:eastAsia="Arial" w:hAnsi="Arial"/>
                <w:sz w:val="16"/>
                <w:szCs w:val="16"/>
                <w:color w:val="auto"/>
              </w:rPr>
              <w:t>each  pay  period  an  employee  contributes  to  the</w:t>
            </w:r>
          </w:p>
        </w:tc>
        <w:tc>
          <w:tcPr>
            <w:tcW w:w="4880" w:type="dxa"/>
            <w:vAlign w:val="bottom"/>
            <w:gridSpan w:val="13"/>
            <w:shd w:val="clear" w:color="auto" w:fill="DCDDDE"/>
          </w:tcPr>
          <w:p>
            <w:pPr>
              <w:ind w:left="200"/>
              <w:spacing w:after="0" w:line="176" w:lineRule="exact"/>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color w:val="0000EE"/>
              </w:rPr>
              <w:t>50</w:t>
            </w:r>
            <w:r>
              <w:rPr>
                <w:rFonts w:ascii="Arial" w:cs="Arial" w:eastAsia="Arial" w:hAnsi="Arial"/>
                <w:sz w:val="16"/>
                <w:szCs w:val="16"/>
                <w:color w:val="auto"/>
              </w:rPr>
              <w:t>.</w:t>
            </w:r>
          </w:p>
        </w:tc>
      </w:tr>
      <w:tr>
        <w:trPr>
          <w:trHeight w:val="182"/>
        </w:trPr>
        <w:tc>
          <w:tcPr>
            <w:tcW w:w="1340" w:type="dxa"/>
            <w:vAlign w:val="bottom"/>
            <w:tcBorders>
              <w:top w:val="single" w:sz="8" w:color="DCDDDE"/>
            </w:tcBorders>
            <w:shd w:val="clear" w:color="auto" w:fill="DCDDDE"/>
          </w:tcPr>
          <w:p>
            <w:pPr>
              <w:spacing w:after="0"/>
              <w:rPr>
                <w:sz w:val="15"/>
                <w:szCs w:val="15"/>
                <w:color w:val="auto"/>
              </w:rPr>
            </w:pPr>
          </w:p>
        </w:tc>
        <w:tc>
          <w:tcPr>
            <w:tcW w:w="140" w:type="dxa"/>
            <w:vAlign w:val="bottom"/>
            <w:tcBorders>
              <w:top w:val="single" w:sz="8" w:color="DCDDDE"/>
            </w:tcBorders>
            <w:shd w:val="clear" w:color="auto" w:fill="DCDDDE"/>
          </w:tcPr>
          <w:p>
            <w:pPr>
              <w:spacing w:after="0"/>
              <w:rPr>
                <w:sz w:val="15"/>
                <w:szCs w:val="15"/>
                <w:color w:val="auto"/>
              </w:rPr>
            </w:pPr>
          </w:p>
        </w:tc>
        <w:tc>
          <w:tcPr>
            <w:tcW w:w="4520" w:type="dxa"/>
            <w:vAlign w:val="bottom"/>
            <w:tcBorders>
              <w:top w:val="single" w:sz="8" w:color="DCDDDE"/>
            </w:tcBorders>
            <w:shd w:val="clear" w:color="auto" w:fill="DCDDDE"/>
          </w:tcPr>
          <w:p>
            <w:pPr>
              <w:ind w:left="60"/>
              <w:spacing w:after="0" w:line="182" w:lineRule="exact"/>
              <w:rPr>
                <w:sz w:val="20"/>
                <w:szCs w:val="20"/>
                <w:color w:val="auto"/>
              </w:rPr>
            </w:pPr>
            <w:r>
              <w:rPr>
                <w:rFonts w:ascii="Arial" w:cs="Arial" w:eastAsia="Arial" w:hAnsi="Arial"/>
                <w:sz w:val="16"/>
                <w:szCs w:val="16"/>
                <w:color w:val="auto"/>
              </w:rPr>
              <w:t>401(k) Plan, equal to a dollar for dollar match up to 1% of</w:t>
            </w:r>
          </w:p>
        </w:tc>
        <w:tc>
          <w:tcPr>
            <w:tcW w:w="60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0000EE"/>
            </w:tcBorders>
            <w:shd w:val="clear" w:color="auto" w:fill="DCDDDE"/>
          </w:tcPr>
          <w:p>
            <w:pPr>
              <w:spacing w:after="0"/>
              <w:rPr>
                <w:sz w:val="15"/>
                <w:szCs w:val="15"/>
                <w:color w:val="auto"/>
              </w:rPr>
            </w:pPr>
          </w:p>
        </w:tc>
        <w:tc>
          <w:tcPr>
            <w:tcW w:w="242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120" w:type="dxa"/>
            <w:vAlign w:val="bottom"/>
            <w:tcBorders>
              <w:top w:val="single" w:sz="8" w:color="DCDDDE"/>
            </w:tcBorders>
            <w:shd w:val="clear" w:color="auto" w:fill="DCDDDE"/>
          </w:tcPr>
          <w:p>
            <w:pPr>
              <w:spacing w:after="0"/>
              <w:rPr>
                <w:sz w:val="15"/>
                <w:szCs w:val="15"/>
                <w:color w:val="auto"/>
              </w:rPr>
            </w:pPr>
          </w:p>
        </w:tc>
        <w:tc>
          <w:tcPr>
            <w:tcW w:w="20" w:type="dxa"/>
            <w:vAlign w:val="bottom"/>
            <w:tcBorders>
              <w:top w:val="single" w:sz="8" w:color="DCDDDE"/>
            </w:tcBorders>
            <w:shd w:val="clear" w:color="auto" w:fill="DCDDDE"/>
          </w:tcPr>
          <w:p>
            <w:pPr>
              <w:spacing w:after="0"/>
              <w:rPr>
                <w:sz w:val="15"/>
                <w:szCs w:val="15"/>
                <w:color w:val="auto"/>
              </w:rPr>
            </w:pPr>
          </w:p>
        </w:tc>
        <w:tc>
          <w:tcPr>
            <w:tcW w:w="160" w:type="dxa"/>
            <w:vAlign w:val="bottom"/>
            <w:tcBorders>
              <w:top w:val="single" w:sz="8" w:color="DCDDDE"/>
            </w:tcBorders>
            <w:shd w:val="clear" w:color="auto" w:fill="DCDDDE"/>
          </w:tcPr>
          <w:p>
            <w:pPr>
              <w:spacing w:after="0"/>
              <w:rPr>
                <w:sz w:val="15"/>
                <w:szCs w:val="15"/>
                <w:color w:val="auto"/>
              </w:rPr>
            </w:pPr>
          </w:p>
        </w:tc>
        <w:tc>
          <w:tcPr>
            <w:tcW w:w="20" w:type="dxa"/>
            <w:vAlign w:val="bottom"/>
            <w:tcBorders>
              <w:top w:val="single" w:sz="8" w:color="DCDDDE"/>
            </w:tcBorders>
            <w:shd w:val="clear" w:color="auto" w:fill="DCDDDE"/>
          </w:tcPr>
          <w:p>
            <w:pPr>
              <w:spacing w:after="0"/>
              <w:rPr>
                <w:sz w:val="15"/>
                <w:szCs w:val="15"/>
                <w:color w:val="auto"/>
              </w:rPr>
            </w:pPr>
          </w:p>
        </w:tc>
        <w:tc>
          <w:tcPr>
            <w:tcW w:w="56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20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60" w:type="dxa"/>
            <w:vAlign w:val="bottom"/>
            <w:tcBorders>
              <w:top w:val="single" w:sz="8" w:color="DCDDDE"/>
            </w:tcBorders>
            <w:shd w:val="clear" w:color="auto" w:fill="DCDDDE"/>
          </w:tcPr>
          <w:p>
            <w:pPr>
              <w:spacing w:after="0"/>
              <w:rPr>
                <w:sz w:val="15"/>
                <w:szCs w:val="15"/>
                <w:color w:val="auto"/>
              </w:rPr>
            </w:pPr>
          </w:p>
        </w:tc>
      </w:tr>
      <w:tr>
        <w:trPr>
          <w:trHeight w:val="189"/>
        </w:trPr>
        <w:tc>
          <w:tcPr>
            <w:tcW w:w="1340" w:type="dxa"/>
            <w:vAlign w:val="bottom"/>
            <w:shd w:val="clear" w:color="auto" w:fill="DCDDDE"/>
          </w:tcPr>
          <w:p>
            <w:pPr>
              <w:spacing w:after="0"/>
              <w:rPr>
                <w:sz w:val="16"/>
                <w:szCs w:val="16"/>
                <w:color w:val="auto"/>
              </w:rPr>
            </w:pPr>
          </w:p>
        </w:tc>
        <w:tc>
          <w:tcPr>
            <w:tcW w:w="140" w:type="dxa"/>
            <w:vAlign w:val="bottom"/>
            <w:shd w:val="clear" w:color="auto" w:fill="DCDDDE"/>
          </w:tcPr>
          <w:p>
            <w:pPr>
              <w:spacing w:after="0"/>
              <w:rPr>
                <w:sz w:val="16"/>
                <w:szCs w:val="16"/>
                <w:color w:val="auto"/>
              </w:rPr>
            </w:pPr>
          </w:p>
        </w:tc>
        <w:tc>
          <w:tcPr>
            <w:tcW w:w="4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eligible pay then $0.50 per dollar on the next 6% of eligible</w:t>
            </w:r>
          </w:p>
        </w:tc>
        <w:tc>
          <w:tcPr>
            <w:tcW w:w="600" w:type="dxa"/>
            <w:vAlign w:val="bottom"/>
            <w:shd w:val="clear" w:color="auto" w:fill="DCDDDE"/>
          </w:tcPr>
          <w:p>
            <w:pPr>
              <w:spacing w:after="0"/>
              <w:rPr>
                <w:sz w:val="16"/>
                <w:szCs w:val="16"/>
                <w:color w:val="auto"/>
              </w:rPr>
            </w:pPr>
          </w:p>
        </w:tc>
        <w:tc>
          <w:tcPr>
            <w:tcW w:w="180" w:type="dxa"/>
            <w:vAlign w:val="bottom"/>
            <w:shd w:val="clear" w:color="auto" w:fill="DCDDDE"/>
          </w:tcPr>
          <w:p>
            <w:pPr>
              <w:spacing w:after="0"/>
              <w:rPr>
                <w:sz w:val="16"/>
                <w:szCs w:val="16"/>
                <w:color w:val="auto"/>
              </w:rPr>
            </w:pPr>
          </w:p>
        </w:tc>
        <w:tc>
          <w:tcPr>
            <w:tcW w:w="2420" w:type="dxa"/>
            <w:vAlign w:val="bottom"/>
            <w:shd w:val="clear" w:color="auto" w:fill="DCDDDE"/>
          </w:tcPr>
          <w:p>
            <w:pPr>
              <w:spacing w:after="0"/>
              <w:rPr>
                <w:sz w:val="16"/>
                <w:szCs w:val="16"/>
                <w:color w:val="auto"/>
              </w:rPr>
            </w:pPr>
          </w:p>
        </w:tc>
        <w:tc>
          <w:tcPr>
            <w:tcW w:w="180" w:type="dxa"/>
            <w:vAlign w:val="bottom"/>
            <w:shd w:val="clear" w:color="auto" w:fill="DCDDDE"/>
          </w:tcPr>
          <w:p>
            <w:pPr>
              <w:spacing w:after="0"/>
              <w:rPr>
                <w:sz w:val="16"/>
                <w:szCs w:val="16"/>
                <w:color w:val="auto"/>
              </w:rPr>
            </w:pPr>
          </w:p>
        </w:tc>
        <w:tc>
          <w:tcPr>
            <w:tcW w:w="120" w:type="dxa"/>
            <w:vAlign w:val="bottom"/>
            <w:shd w:val="clear" w:color="auto" w:fill="DCDDDE"/>
          </w:tcPr>
          <w:p>
            <w:pPr>
              <w:spacing w:after="0"/>
              <w:rPr>
                <w:sz w:val="16"/>
                <w:szCs w:val="16"/>
                <w:color w:val="auto"/>
              </w:rPr>
            </w:pPr>
          </w:p>
        </w:tc>
        <w:tc>
          <w:tcPr>
            <w:tcW w:w="20" w:type="dxa"/>
            <w:vAlign w:val="bottom"/>
            <w:shd w:val="clear" w:color="auto" w:fill="DCDDDE"/>
          </w:tcPr>
          <w:p>
            <w:pPr>
              <w:spacing w:after="0"/>
              <w:rPr>
                <w:sz w:val="16"/>
                <w:szCs w:val="16"/>
                <w:color w:val="auto"/>
              </w:rPr>
            </w:pPr>
          </w:p>
        </w:tc>
        <w:tc>
          <w:tcPr>
            <w:tcW w:w="160" w:type="dxa"/>
            <w:vAlign w:val="bottom"/>
            <w:shd w:val="clear" w:color="auto" w:fill="DCDDDE"/>
          </w:tcPr>
          <w:p>
            <w:pPr>
              <w:spacing w:after="0"/>
              <w:rPr>
                <w:sz w:val="16"/>
                <w:szCs w:val="16"/>
                <w:color w:val="auto"/>
              </w:rPr>
            </w:pPr>
          </w:p>
        </w:tc>
        <w:tc>
          <w:tcPr>
            <w:tcW w:w="20" w:type="dxa"/>
            <w:vAlign w:val="bottom"/>
            <w:shd w:val="clear" w:color="auto" w:fill="DCDDDE"/>
          </w:tcPr>
          <w:p>
            <w:pPr>
              <w:spacing w:after="0"/>
              <w:rPr>
                <w:sz w:val="16"/>
                <w:szCs w:val="16"/>
                <w:color w:val="auto"/>
              </w:rPr>
            </w:pPr>
          </w:p>
        </w:tc>
        <w:tc>
          <w:tcPr>
            <w:tcW w:w="560" w:type="dxa"/>
            <w:vAlign w:val="bottom"/>
            <w:shd w:val="clear" w:color="auto" w:fill="DCDDDE"/>
          </w:tcPr>
          <w:p>
            <w:pPr>
              <w:spacing w:after="0"/>
              <w:rPr>
                <w:sz w:val="16"/>
                <w:szCs w:val="16"/>
                <w:color w:val="auto"/>
              </w:rPr>
            </w:pPr>
          </w:p>
        </w:tc>
        <w:tc>
          <w:tcPr>
            <w:tcW w:w="180" w:type="dxa"/>
            <w:vAlign w:val="bottom"/>
            <w:shd w:val="clear" w:color="auto" w:fill="DCDDDE"/>
          </w:tcPr>
          <w:p>
            <w:pPr>
              <w:spacing w:after="0"/>
              <w:rPr>
                <w:sz w:val="16"/>
                <w:szCs w:val="16"/>
                <w:color w:val="auto"/>
              </w:rPr>
            </w:pPr>
          </w:p>
        </w:tc>
        <w:tc>
          <w:tcPr>
            <w:tcW w:w="200" w:type="dxa"/>
            <w:vAlign w:val="bottom"/>
            <w:shd w:val="clear" w:color="auto" w:fill="DCDDDE"/>
          </w:tcPr>
          <w:p>
            <w:pPr>
              <w:spacing w:after="0"/>
              <w:rPr>
                <w:sz w:val="16"/>
                <w:szCs w:val="16"/>
                <w:color w:val="auto"/>
              </w:rPr>
            </w:pPr>
          </w:p>
        </w:tc>
        <w:tc>
          <w:tcPr>
            <w:tcW w:w="180" w:type="dxa"/>
            <w:vAlign w:val="bottom"/>
            <w:shd w:val="clear" w:color="auto" w:fill="DCDDDE"/>
          </w:tcPr>
          <w:p>
            <w:pPr>
              <w:spacing w:after="0"/>
              <w:rPr>
                <w:sz w:val="16"/>
                <w:szCs w:val="16"/>
                <w:color w:val="auto"/>
              </w:rPr>
            </w:pPr>
          </w:p>
        </w:tc>
        <w:tc>
          <w:tcPr>
            <w:tcW w:w="60" w:type="dxa"/>
            <w:vAlign w:val="bottom"/>
            <w:shd w:val="clear" w:color="auto" w:fill="DCDDDE"/>
          </w:tcPr>
          <w:p>
            <w:pPr>
              <w:spacing w:after="0"/>
              <w:rPr>
                <w:sz w:val="16"/>
                <w:szCs w:val="16"/>
                <w:color w:val="auto"/>
              </w:rPr>
            </w:pPr>
          </w:p>
        </w:tc>
      </w:tr>
      <w:tr>
        <w:trPr>
          <w:trHeight w:val="215"/>
        </w:trPr>
        <w:tc>
          <w:tcPr>
            <w:tcW w:w="1340" w:type="dxa"/>
            <w:vAlign w:val="bottom"/>
            <w:shd w:val="clear" w:color="auto" w:fill="DCDDDE"/>
          </w:tcPr>
          <w:p>
            <w:pPr>
              <w:spacing w:after="0"/>
              <w:rPr>
                <w:sz w:val="18"/>
                <w:szCs w:val="18"/>
                <w:color w:val="auto"/>
              </w:rPr>
            </w:pPr>
          </w:p>
        </w:tc>
        <w:tc>
          <w:tcPr>
            <w:tcW w:w="140" w:type="dxa"/>
            <w:vAlign w:val="bottom"/>
            <w:shd w:val="clear" w:color="auto" w:fill="DCDDDE"/>
          </w:tcPr>
          <w:p>
            <w:pPr>
              <w:spacing w:after="0"/>
              <w:rPr>
                <w:sz w:val="18"/>
                <w:szCs w:val="18"/>
                <w:color w:val="auto"/>
              </w:rPr>
            </w:pPr>
          </w:p>
        </w:tc>
        <w:tc>
          <w:tcPr>
            <w:tcW w:w="4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pay, up to a maximum of 4% of eligible pay and IRC limits</w:t>
            </w:r>
          </w:p>
        </w:tc>
        <w:tc>
          <w:tcPr>
            <w:tcW w:w="600" w:type="dxa"/>
            <w:vAlign w:val="bottom"/>
            <w:shd w:val="clear" w:color="auto" w:fill="DCDDDE"/>
          </w:tcPr>
          <w:p>
            <w:pPr>
              <w:spacing w:after="0"/>
              <w:rPr>
                <w:sz w:val="18"/>
                <w:szCs w:val="18"/>
                <w:color w:val="auto"/>
              </w:rPr>
            </w:pPr>
          </w:p>
        </w:tc>
        <w:tc>
          <w:tcPr>
            <w:tcW w:w="180" w:type="dxa"/>
            <w:vAlign w:val="bottom"/>
            <w:shd w:val="clear" w:color="auto" w:fill="DCDDDE"/>
          </w:tcPr>
          <w:p>
            <w:pPr>
              <w:spacing w:after="0"/>
              <w:rPr>
                <w:sz w:val="18"/>
                <w:szCs w:val="18"/>
                <w:color w:val="auto"/>
              </w:rPr>
            </w:pPr>
          </w:p>
        </w:tc>
        <w:tc>
          <w:tcPr>
            <w:tcW w:w="2420" w:type="dxa"/>
            <w:vAlign w:val="bottom"/>
            <w:shd w:val="clear" w:color="auto" w:fill="DCDDDE"/>
          </w:tcPr>
          <w:p>
            <w:pPr>
              <w:spacing w:after="0"/>
              <w:rPr>
                <w:sz w:val="18"/>
                <w:szCs w:val="18"/>
                <w:color w:val="auto"/>
              </w:rPr>
            </w:pPr>
          </w:p>
        </w:tc>
        <w:tc>
          <w:tcPr>
            <w:tcW w:w="180" w:type="dxa"/>
            <w:vAlign w:val="bottom"/>
            <w:shd w:val="clear" w:color="auto" w:fill="DCDDDE"/>
          </w:tcPr>
          <w:p>
            <w:pPr>
              <w:spacing w:after="0"/>
              <w:rPr>
                <w:sz w:val="18"/>
                <w:szCs w:val="18"/>
                <w:color w:val="auto"/>
              </w:rPr>
            </w:pPr>
          </w:p>
        </w:tc>
        <w:tc>
          <w:tcPr>
            <w:tcW w:w="120" w:type="dxa"/>
            <w:vAlign w:val="bottom"/>
            <w:shd w:val="clear" w:color="auto" w:fill="DCDDDE"/>
          </w:tcPr>
          <w:p>
            <w:pPr>
              <w:spacing w:after="0"/>
              <w:rPr>
                <w:sz w:val="18"/>
                <w:szCs w:val="18"/>
                <w:color w:val="auto"/>
              </w:rPr>
            </w:pPr>
          </w:p>
        </w:tc>
        <w:tc>
          <w:tcPr>
            <w:tcW w:w="20" w:type="dxa"/>
            <w:vAlign w:val="bottom"/>
            <w:shd w:val="clear" w:color="auto" w:fill="DCDDDE"/>
          </w:tcPr>
          <w:p>
            <w:pPr>
              <w:spacing w:after="0"/>
              <w:rPr>
                <w:sz w:val="18"/>
                <w:szCs w:val="18"/>
                <w:color w:val="auto"/>
              </w:rPr>
            </w:pPr>
          </w:p>
        </w:tc>
        <w:tc>
          <w:tcPr>
            <w:tcW w:w="160" w:type="dxa"/>
            <w:vAlign w:val="bottom"/>
            <w:shd w:val="clear" w:color="auto" w:fill="DCDDDE"/>
          </w:tcPr>
          <w:p>
            <w:pPr>
              <w:spacing w:after="0"/>
              <w:rPr>
                <w:sz w:val="18"/>
                <w:szCs w:val="18"/>
                <w:color w:val="auto"/>
              </w:rPr>
            </w:pPr>
          </w:p>
        </w:tc>
        <w:tc>
          <w:tcPr>
            <w:tcW w:w="20" w:type="dxa"/>
            <w:vAlign w:val="bottom"/>
            <w:shd w:val="clear" w:color="auto" w:fill="DCDDDE"/>
          </w:tcPr>
          <w:p>
            <w:pPr>
              <w:spacing w:after="0"/>
              <w:rPr>
                <w:sz w:val="18"/>
                <w:szCs w:val="18"/>
                <w:color w:val="auto"/>
              </w:rPr>
            </w:pPr>
          </w:p>
        </w:tc>
        <w:tc>
          <w:tcPr>
            <w:tcW w:w="560" w:type="dxa"/>
            <w:vAlign w:val="bottom"/>
            <w:shd w:val="clear" w:color="auto" w:fill="DCDDDE"/>
          </w:tcPr>
          <w:p>
            <w:pPr>
              <w:spacing w:after="0"/>
              <w:rPr>
                <w:sz w:val="18"/>
                <w:szCs w:val="18"/>
                <w:color w:val="auto"/>
              </w:rPr>
            </w:pPr>
          </w:p>
        </w:tc>
        <w:tc>
          <w:tcPr>
            <w:tcW w:w="180" w:type="dxa"/>
            <w:vAlign w:val="bottom"/>
            <w:shd w:val="clear" w:color="auto" w:fill="DCDDDE"/>
          </w:tcPr>
          <w:p>
            <w:pPr>
              <w:spacing w:after="0"/>
              <w:rPr>
                <w:sz w:val="18"/>
                <w:szCs w:val="18"/>
                <w:color w:val="auto"/>
              </w:rPr>
            </w:pPr>
          </w:p>
        </w:tc>
        <w:tc>
          <w:tcPr>
            <w:tcW w:w="200" w:type="dxa"/>
            <w:vAlign w:val="bottom"/>
            <w:shd w:val="clear" w:color="auto" w:fill="DCDDDE"/>
          </w:tcPr>
          <w:p>
            <w:pPr>
              <w:spacing w:after="0"/>
              <w:rPr>
                <w:sz w:val="18"/>
                <w:szCs w:val="18"/>
                <w:color w:val="auto"/>
              </w:rPr>
            </w:pPr>
          </w:p>
        </w:tc>
        <w:tc>
          <w:tcPr>
            <w:tcW w:w="180" w:type="dxa"/>
            <w:vAlign w:val="bottom"/>
            <w:shd w:val="clear" w:color="auto" w:fill="DCDDDE"/>
          </w:tcPr>
          <w:p>
            <w:pPr>
              <w:spacing w:after="0"/>
              <w:rPr>
                <w:sz w:val="18"/>
                <w:szCs w:val="18"/>
                <w:color w:val="auto"/>
              </w:rPr>
            </w:pPr>
          </w:p>
        </w:tc>
        <w:tc>
          <w:tcPr>
            <w:tcW w:w="60" w:type="dxa"/>
            <w:vAlign w:val="bottom"/>
            <w:shd w:val="clear" w:color="auto" w:fill="DCDDDE"/>
          </w:tcPr>
          <w:p>
            <w:pPr>
              <w:spacing w:after="0"/>
              <w:rPr>
                <w:sz w:val="18"/>
                <w:szCs w:val="18"/>
                <w:color w:val="auto"/>
              </w:rPr>
            </w:pPr>
          </w:p>
        </w:tc>
      </w:tr>
      <w:tr>
        <w:trPr>
          <w:trHeight w:val="271"/>
        </w:trPr>
        <w:tc>
          <w:tcPr>
            <w:tcW w:w="1340" w:type="dxa"/>
            <w:vAlign w:val="bottom"/>
            <w:shd w:val="clear" w:color="auto" w:fill="DCDDDE"/>
          </w:tcPr>
          <w:p>
            <w:pPr>
              <w:spacing w:after="0"/>
              <w:rPr>
                <w:sz w:val="23"/>
                <w:szCs w:val="23"/>
                <w:color w:val="auto"/>
              </w:rPr>
            </w:pPr>
          </w:p>
        </w:tc>
        <w:tc>
          <w:tcPr>
            <w:tcW w:w="4660" w:type="dxa"/>
            <w:vAlign w:val="bottom"/>
            <w:gridSpan w:val="2"/>
            <w:shd w:val="clear" w:color="auto" w:fill="DCDDDE"/>
          </w:tcPr>
          <w:p>
            <w:pPr>
              <w:spacing w:after="0"/>
              <w:rPr>
                <w:sz w:val="20"/>
                <w:szCs w:val="20"/>
                <w:color w:val="auto"/>
              </w:rPr>
            </w:pPr>
            <w:r>
              <w:rPr>
                <w:rFonts w:ascii="Arial" w:cs="Arial" w:eastAsia="Arial" w:hAnsi="Arial"/>
                <w:sz w:val="16"/>
                <w:szCs w:val="16"/>
                <w:color w:val="auto"/>
              </w:rPr>
              <w:t>•  Retiree health care (closed to new entrants in 2013; Erik</w:t>
            </w:r>
          </w:p>
        </w:tc>
        <w:tc>
          <w:tcPr>
            <w:tcW w:w="4880" w:type="dxa"/>
            <w:vAlign w:val="bottom"/>
            <w:gridSpan w:val="13"/>
            <w:shd w:val="clear" w:color="auto" w:fill="DCDDDE"/>
          </w:tcPr>
          <w:p>
            <w:pPr>
              <w:spacing w:after="0"/>
              <w:rPr>
                <w:sz w:val="20"/>
                <w:szCs w:val="20"/>
                <w:color w:val="auto"/>
              </w:rPr>
            </w:pPr>
            <w:r>
              <w:rPr>
                <w:rFonts w:ascii="Arial" w:cs="Arial" w:eastAsia="Arial" w:hAnsi="Arial"/>
                <w:sz w:val="16"/>
                <w:szCs w:val="16"/>
                <w:color w:val="auto"/>
              </w:rPr>
              <w:t>•  See Potential Payments Upon Termination or Change in Control</w:t>
            </w:r>
          </w:p>
        </w:tc>
      </w:tr>
      <w:tr>
        <w:trPr>
          <w:trHeight w:val="176"/>
        </w:trPr>
        <w:tc>
          <w:tcPr>
            <w:tcW w:w="1340" w:type="dxa"/>
            <w:vAlign w:val="bottom"/>
            <w:shd w:val="clear" w:color="auto" w:fill="DCDDDE"/>
          </w:tcPr>
          <w:p>
            <w:pPr>
              <w:spacing w:after="0"/>
              <w:rPr>
                <w:sz w:val="15"/>
                <w:szCs w:val="15"/>
                <w:color w:val="auto"/>
              </w:rPr>
            </w:pPr>
          </w:p>
        </w:tc>
        <w:tc>
          <w:tcPr>
            <w:tcW w:w="140" w:type="dxa"/>
            <w:vAlign w:val="bottom"/>
            <w:shd w:val="clear" w:color="auto" w:fill="DCDDDE"/>
          </w:tcPr>
          <w:p>
            <w:pPr>
              <w:spacing w:after="0"/>
              <w:rPr>
                <w:sz w:val="15"/>
                <w:szCs w:val="15"/>
                <w:color w:val="auto"/>
              </w:rPr>
            </w:pPr>
          </w:p>
        </w:tc>
        <w:tc>
          <w:tcPr>
            <w:tcW w:w="4520" w:type="dxa"/>
            <w:vAlign w:val="bottom"/>
            <w:shd w:val="clear" w:color="auto" w:fill="DCDDDE"/>
          </w:tcPr>
          <w:p>
            <w:pPr>
              <w:ind w:left="60"/>
              <w:spacing w:after="0" w:line="176" w:lineRule="exact"/>
              <w:rPr>
                <w:sz w:val="20"/>
                <w:szCs w:val="20"/>
                <w:color w:val="auto"/>
              </w:rPr>
            </w:pPr>
            <w:r>
              <w:rPr>
                <w:rFonts w:ascii="Arial" w:cs="Arial" w:eastAsia="Arial" w:hAnsi="Arial"/>
                <w:sz w:val="16"/>
                <w:szCs w:val="16"/>
                <w:color w:val="auto"/>
              </w:rPr>
              <w:t>Nordstrom,  Peter  Nordstrom  and  Kenneth  Worzel  are</w:t>
            </w:r>
          </w:p>
        </w:tc>
        <w:tc>
          <w:tcPr>
            <w:tcW w:w="4880" w:type="dxa"/>
            <w:vAlign w:val="bottom"/>
            <w:gridSpan w:val="13"/>
            <w:shd w:val="clear" w:color="auto" w:fill="DCDDDE"/>
          </w:tcPr>
          <w:p>
            <w:pPr>
              <w:ind w:left="200"/>
              <w:spacing w:after="0" w:line="176" w:lineRule="exact"/>
              <w:rPr>
                <w:sz w:val="20"/>
                <w:szCs w:val="20"/>
                <w:color w:val="auto"/>
              </w:rPr>
            </w:pPr>
            <w:r>
              <w:rPr>
                <w:rFonts w:ascii="Arial" w:cs="Arial" w:eastAsia="Arial" w:hAnsi="Arial"/>
                <w:sz w:val="16"/>
                <w:szCs w:val="16"/>
                <w:color w:val="auto"/>
              </w:rPr>
              <w:t xml:space="preserve">at Fiscal Year End 2022, footnote (d) on page </w:t>
            </w:r>
            <w:r>
              <w:rPr>
                <w:rFonts w:ascii="Arial" w:cs="Arial" w:eastAsia="Arial" w:hAnsi="Arial"/>
                <w:sz w:val="16"/>
                <w:szCs w:val="16"/>
                <w:color w:val="0000EE"/>
              </w:rPr>
              <w:t>63</w:t>
            </w:r>
            <w:r>
              <w:rPr>
                <w:rFonts w:ascii="Arial" w:cs="Arial" w:eastAsia="Arial" w:hAnsi="Arial"/>
                <w:sz w:val="16"/>
                <w:szCs w:val="16"/>
                <w:color w:val="auto"/>
              </w:rPr>
              <w:t>.</w:t>
            </w:r>
          </w:p>
        </w:tc>
      </w:tr>
      <w:tr>
        <w:trPr>
          <w:trHeight w:val="182"/>
        </w:trPr>
        <w:tc>
          <w:tcPr>
            <w:tcW w:w="1340" w:type="dxa"/>
            <w:vAlign w:val="bottom"/>
            <w:tcBorders>
              <w:top w:val="single" w:sz="8" w:color="DCDDDE"/>
            </w:tcBorders>
            <w:shd w:val="clear" w:color="auto" w:fill="DCDDDE"/>
          </w:tcPr>
          <w:p>
            <w:pPr>
              <w:spacing w:after="0"/>
              <w:rPr>
                <w:sz w:val="15"/>
                <w:szCs w:val="15"/>
                <w:color w:val="auto"/>
              </w:rPr>
            </w:pPr>
          </w:p>
        </w:tc>
        <w:tc>
          <w:tcPr>
            <w:tcW w:w="140" w:type="dxa"/>
            <w:vAlign w:val="bottom"/>
            <w:tcBorders>
              <w:top w:val="single" w:sz="8" w:color="DCDDDE"/>
            </w:tcBorders>
            <w:shd w:val="clear" w:color="auto" w:fill="DCDDDE"/>
          </w:tcPr>
          <w:p>
            <w:pPr>
              <w:spacing w:after="0"/>
              <w:rPr>
                <w:sz w:val="15"/>
                <w:szCs w:val="15"/>
                <w:color w:val="auto"/>
              </w:rPr>
            </w:pPr>
          </w:p>
        </w:tc>
        <w:tc>
          <w:tcPr>
            <w:tcW w:w="4520" w:type="dxa"/>
            <w:vAlign w:val="bottom"/>
            <w:tcBorders>
              <w:top w:val="single" w:sz="8" w:color="DCDDDE"/>
            </w:tcBorders>
            <w:shd w:val="clear" w:color="auto" w:fill="DCDDDE"/>
          </w:tcPr>
          <w:p>
            <w:pPr>
              <w:ind w:left="60"/>
              <w:spacing w:after="0" w:line="182" w:lineRule="exact"/>
              <w:rPr>
                <w:sz w:val="20"/>
                <w:szCs w:val="20"/>
                <w:color w:val="auto"/>
              </w:rPr>
            </w:pPr>
            <w:r>
              <w:rPr>
                <w:rFonts w:ascii="Arial" w:cs="Arial" w:eastAsia="Arial" w:hAnsi="Arial"/>
                <w:sz w:val="16"/>
                <w:szCs w:val="16"/>
                <w:color w:val="auto"/>
              </w:rPr>
              <w:t>participants as they were eligible prior to the closure to</w:t>
            </w:r>
          </w:p>
        </w:tc>
        <w:tc>
          <w:tcPr>
            <w:tcW w:w="60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242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120" w:type="dxa"/>
            <w:vAlign w:val="bottom"/>
            <w:tcBorders>
              <w:top w:val="single" w:sz="8" w:color="DCDDDE"/>
            </w:tcBorders>
            <w:shd w:val="clear" w:color="auto" w:fill="DCDDDE"/>
          </w:tcPr>
          <w:p>
            <w:pPr>
              <w:spacing w:after="0"/>
              <w:rPr>
                <w:sz w:val="15"/>
                <w:szCs w:val="15"/>
                <w:color w:val="auto"/>
              </w:rPr>
            </w:pPr>
          </w:p>
        </w:tc>
        <w:tc>
          <w:tcPr>
            <w:tcW w:w="20" w:type="dxa"/>
            <w:vAlign w:val="bottom"/>
            <w:tcBorders>
              <w:top w:val="single" w:sz="8" w:color="0000EE"/>
            </w:tcBorders>
            <w:shd w:val="clear" w:color="auto" w:fill="DCDDDE"/>
          </w:tcPr>
          <w:p>
            <w:pPr>
              <w:spacing w:after="0"/>
              <w:rPr>
                <w:sz w:val="15"/>
                <w:szCs w:val="15"/>
                <w:color w:val="auto"/>
              </w:rPr>
            </w:pPr>
          </w:p>
        </w:tc>
        <w:tc>
          <w:tcPr>
            <w:tcW w:w="160" w:type="dxa"/>
            <w:vAlign w:val="bottom"/>
            <w:tcBorders>
              <w:top w:val="single" w:sz="8" w:color="0000EE"/>
            </w:tcBorders>
            <w:shd w:val="clear" w:color="auto" w:fill="DCDDDE"/>
          </w:tcPr>
          <w:p>
            <w:pPr>
              <w:spacing w:after="0"/>
              <w:rPr>
                <w:sz w:val="15"/>
                <w:szCs w:val="15"/>
                <w:color w:val="auto"/>
              </w:rPr>
            </w:pPr>
          </w:p>
        </w:tc>
        <w:tc>
          <w:tcPr>
            <w:tcW w:w="20" w:type="dxa"/>
            <w:vAlign w:val="bottom"/>
            <w:tcBorders>
              <w:top w:val="single" w:sz="8" w:color="DCDDDE"/>
            </w:tcBorders>
            <w:shd w:val="clear" w:color="auto" w:fill="DCDDDE"/>
          </w:tcPr>
          <w:p>
            <w:pPr>
              <w:spacing w:after="0"/>
              <w:rPr>
                <w:sz w:val="15"/>
                <w:szCs w:val="15"/>
                <w:color w:val="auto"/>
              </w:rPr>
            </w:pPr>
          </w:p>
        </w:tc>
        <w:tc>
          <w:tcPr>
            <w:tcW w:w="56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20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60" w:type="dxa"/>
            <w:vAlign w:val="bottom"/>
            <w:tcBorders>
              <w:top w:val="single" w:sz="8" w:color="DCDDDE"/>
            </w:tcBorders>
            <w:shd w:val="clear" w:color="auto" w:fill="DCDDDE"/>
          </w:tcPr>
          <w:p>
            <w:pPr>
              <w:spacing w:after="0"/>
              <w:rPr>
                <w:sz w:val="15"/>
                <w:szCs w:val="15"/>
                <w:color w:val="auto"/>
              </w:rPr>
            </w:pPr>
          </w:p>
        </w:tc>
      </w:tr>
      <w:tr>
        <w:trPr>
          <w:trHeight w:val="215"/>
        </w:trPr>
        <w:tc>
          <w:tcPr>
            <w:tcW w:w="1340" w:type="dxa"/>
            <w:vAlign w:val="bottom"/>
            <w:shd w:val="clear" w:color="auto" w:fill="DCDDDE"/>
          </w:tcPr>
          <w:p>
            <w:pPr>
              <w:spacing w:after="0"/>
              <w:rPr>
                <w:sz w:val="18"/>
                <w:szCs w:val="18"/>
                <w:color w:val="auto"/>
              </w:rPr>
            </w:pPr>
          </w:p>
        </w:tc>
        <w:tc>
          <w:tcPr>
            <w:tcW w:w="140" w:type="dxa"/>
            <w:vAlign w:val="bottom"/>
            <w:shd w:val="clear" w:color="auto" w:fill="DCDDDE"/>
          </w:tcPr>
          <w:p>
            <w:pPr>
              <w:spacing w:after="0"/>
              <w:rPr>
                <w:sz w:val="18"/>
                <w:szCs w:val="18"/>
                <w:color w:val="auto"/>
              </w:rPr>
            </w:pPr>
          </w:p>
        </w:tc>
        <w:tc>
          <w:tcPr>
            <w:tcW w:w="4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new entrants)</w:t>
            </w:r>
          </w:p>
        </w:tc>
        <w:tc>
          <w:tcPr>
            <w:tcW w:w="600" w:type="dxa"/>
            <w:vAlign w:val="bottom"/>
            <w:shd w:val="clear" w:color="auto" w:fill="DCDDDE"/>
          </w:tcPr>
          <w:p>
            <w:pPr>
              <w:spacing w:after="0"/>
              <w:rPr>
                <w:sz w:val="18"/>
                <w:szCs w:val="18"/>
                <w:color w:val="auto"/>
              </w:rPr>
            </w:pPr>
          </w:p>
        </w:tc>
        <w:tc>
          <w:tcPr>
            <w:tcW w:w="180" w:type="dxa"/>
            <w:vAlign w:val="bottom"/>
            <w:shd w:val="clear" w:color="auto" w:fill="DCDDDE"/>
          </w:tcPr>
          <w:p>
            <w:pPr>
              <w:spacing w:after="0"/>
              <w:rPr>
                <w:sz w:val="18"/>
                <w:szCs w:val="18"/>
                <w:color w:val="auto"/>
              </w:rPr>
            </w:pPr>
          </w:p>
        </w:tc>
        <w:tc>
          <w:tcPr>
            <w:tcW w:w="2420" w:type="dxa"/>
            <w:vAlign w:val="bottom"/>
            <w:shd w:val="clear" w:color="auto" w:fill="DCDDDE"/>
          </w:tcPr>
          <w:p>
            <w:pPr>
              <w:spacing w:after="0"/>
              <w:rPr>
                <w:sz w:val="18"/>
                <w:szCs w:val="18"/>
                <w:color w:val="auto"/>
              </w:rPr>
            </w:pPr>
          </w:p>
        </w:tc>
        <w:tc>
          <w:tcPr>
            <w:tcW w:w="180" w:type="dxa"/>
            <w:vAlign w:val="bottom"/>
            <w:shd w:val="clear" w:color="auto" w:fill="DCDDDE"/>
          </w:tcPr>
          <w:p>
            <w:pPr>
              <w:spacing w:after="0"/>
              <w:rPr>
                <w:sz w:val="18"/>
                <w:szCs w:val="18"/>
                <w:color w:val="auto"/>
              </w:rPr>
            </w:pPr>
          </w:p>
        </w:tc>
        <w:tc>
          <w:tcPr>
            <w:tcW w:w="120" w:type="dxa"/>
            <w:vAlign w:val="bottom"/>
            <w:shd w:val="clear" w:color="auto" w:fill="DCDDDE"/>
          </w:tcPr>
          <w:p>
            <w:pPr>
              <w:spacing w:after="0"/>
              <w:rPr>
                <w:sz w:val="18"/>
                <w:szCs w:val="18"/>
                <w:color w:val="auto"/>
              </w:rPr>
            </w:pPr>
          </w:p>
        </w:tc>
        <w:tc>
          <w:tcPr>
            <w:tcW w:w="20" w:type="dxa"/>
            <w:vAlign w:val="bottom"/>
            <w:shd w:val="clear" w:color="auto" w:fill="DCDDDE"/>
          </w:tcPr>
          <w:p>
            <w:pPr>
              <w:spacing w:after="0"/>
              <w:rPr>
                <w:sz w:val="18"/>
                <w:szCs w:val="18"/>
                <w:color w:val="auto"/>
              </w:rPr>
            </w:pPr>
          </w:p>
        </w:tc>
        <w:tc>
          <w:tcPr>
            <w:tcW w:w="160" w:type="dxa"/>
            <w:vAlign w:val="bottom"/>
            <w:shd w:val="clear" w:color="auto" w:fill="DCDDDE"/>
          </w:tcPr>
          <w:p>
            <w:pPr>
              <w:spacing w:after="0"/>
              <w:rPr>
                <w:sz w:val="18"/>
                <w:szCs w:val="18"/>
                <w:color w:val="auto"/>
              </w:rPr>
            </w:pPr>
          </w:p>
        </w:tc>
        <w:tc>
          <w:tcPr>
            <w:tcW w:w="20" w:type="dxa"/>
            <w:vAlign w:val="bottom"/>
            <w:shd w:val="clear" w:color="auto" w:fill="DCDDDE"/>
          </w:tcPr>
          <w:p>
            <w:pPr>
              <w:spacing w:after="0"/>
              <w:rPr>
                <w:sz w:val="18"/>
                <w:szCs w:val="18"/>
                <w:color w:val="auto"/>
              </w:rPr>
            </w:pPr>
          </w:p>
        </w:tc>
        <w:tc>
          <w:tcPr>
            <w:tcW w:w="560" w:type="dxa"/>
            <w:vAlign w:val="bottom"/>
            <w:shd w:val="clear" w:color="auto" w:fill="DCDDDE"/>
          </w:tcPr>
          <w:p>
            <w:pPr>
              <w:spacing w:after="0"/>
              <w:rPr>
                <w:sz w:val="18"/>
                <w:szCs w:val="18"/>
                <w:color w:val="auto"/>
              </w:rPr>
            </w:pPr>
          </w:p>
        </w:tc>
        <w:tc>
          <w:tcPr>
            <w:tcW w:w="180" w:type="dxa"/>
            <w:vAlign w:val="bottom"/>
            <w:shd w:val="clear" w:color="auto" w:fill="DCDDDE"/>
          </w:tcPr>
          <w:p>
            <w:pPr>
              <w:spacing w:after="0"/>
              <w:rPr>
                <w:sz w:val="18"/>
                <w:szCs w:val="18"/>
                <w:color w:val="auto"/>
              </w:rPr>
            </w:pPr>
          </w:p>
        </w:tc>
        <w:tc>
          <w:tcPr>
            <w:tcW w:w="200" w:type="dxa"/>
            <w:vAlign w:val="bottom"/>
            <w:shd w:val="clear" w:color="auto" w:fill="DCDDDE"/>
          </w:tcPr>
          <w:p>
            <w:pPr>
              <w:spacing w:after="0"/>
              <w:rPr>
                <w:sz w:val="18"/>
                <w:szCs w:val="18"/>
                <w:color w:val="auto"/>
              </w:rPr>
            </w:pPr>
          </w:p>
        </w:tc>
        <w:tc>
          <w:tcPr>
            <w:tcW w:w="180" w:type="dxa"/>
            <w:vAlign w:val="bottom"/>
            <w:shd w:val="clear" w:color="auto" w:fill="DCDDDE"/>
          </w:tcPr>
          <w:p>
            <w:pPr>
              <w:spacing w:after="0"/>
              <w:rPr>
                <w:sz w:val="18"/>
                <w:szCs w:val="18"/>
                <w:color w:val="auto"/>
              </w:rPr>
            </w:pPr>
          </w:p>
        </w:tc>
        <w:tc>
          <w:tcPr>
            <w:tcW w:w="60" w:type="dxa"/>
            <w:vAlign w:val="bottom"/>
            <w:shd w:val="clear" w:color="auto" w:fill="DCDDDE"/>
          </w:tcPr>
          <w:p>
            <w:pPr>
              <w:spacing w:after="0"/>
              <w:rPr>
                <w:sz w:val="18"/>
                <w:szCs w:val="18"/>
                <w:color w:val="auto"/>
              </w:rPr>
            </w:pPr>
          </w:p>
        </w:tc>
      </w:tr>
      <w:tr>
        <w:trPr>
          <w:trHeight w:val="258"/>
        </w:trPr>
        <w:tc>
          <w:tcPr>
            <w:tcW w:w="1340" w:type="dxa"/>
            <w:vAlign w:val="bottom"/>
            <w:shd w:val="clear" w:color="auto" w:fill="DCDDDE"/>
          </w:tcPr>
          <w:p>
            <w:pPr>
              <w:spacing w:after="0"/>
              <w:rPr>
                <w:sz w:val="22"/>
                <w:szCs w:val="22"/>
                <w:color w:val="auto"/>
              </w:rPr>
            </w:pPr>
          </w:p>
        </w:tc>
        <w:tc>
          <w:tcPr>
            <w:tcW w:w="140" w:type="dxa"/>
            <w:vAlign w:val="bottom"/>
            <w:shd w:val="clear" w:color="auto" w:fill="DCDDDE"/>
          </w:tcPr>
          <w:p>
            <w:pPr>
              <w:spacing w:after="0"/>
              <w:rPr>
                <w:sz w:val="20"/>
                <w:szCs w:val="20"/>
                <w:color w:val="auto"/>
              </w:rPr>
            </w:pPr>
            <w:r>
              <w:rPr>
                <w:rFonts w:ascii="Arial" w:cs="Arial" w:eastAsia="Arial" w:hAnsi="Arial"/>
                <w:sz w:val="16"/>
                <w:szCs w:val="16"/>
                <w:color w:val="auto"/>
              </w:rPr>
              <w:t>•</w:t>
            </w:r>
          </w:p>
        </w:tc>
        <w:tc>
          <w:tcPr>
            <w:tcW w:w="4520" w:type="dxa"/>
            <w:vAlign w:val="bottom"/>
            <w:shd w:val="clear" w:color="auto" w:fill="DCDDDE"/>
          </w:tcPr>
          <w:p>
            <w:pPr>
              <w:ind w:left="80"/>
              <w:spacing w:after="0"/>
              <w:rPr>
                <w:sz w:val="20"/>
                <w:szCs w:val="20"/>
                <w:color w:val="auto"/>
              </w:rPr>
            </w:pPr>
            <w:r>
              <w:rPr>
                <w:rFonts w:ascii="Arial" w:cs="Arial" w:eastAsia="Arial" w:hAnsi="Arial"/>
                <w:sz w:val="16"/>
                <w:szCs w:val="16"/>
                <w:color w:val="auto"/>
              </w:rPr>
              <w:t>SERP (annual benefit capped for current participants;</w:t>
            </w:r>
          </w:p>
        </w:tc>
        <w:tc>
          <w:tcPr>
            <w:tcW w:w="4880" w:type="dxa"/>
            <w:vAlign w:val="bottom"/>
            <w:gridSpan w:val="13"/>
            <w:shd w:val="clear" w:color="auto" w:fill="DCDDDE"/>
          </w:tcPr>
          <w:p>
            <w:pPr>
              <w:spacing w:after="0"/>
              <w:rPr>
                <w:sz w:val="20"/>
                <w:szCs w:val="20"/>
                <w:color w:val="auto"/>
              </w:rPr>
            </w:pPr>
            <w:r>
              <w:rPr>
                <w:rFonts w:ascii="Arial" w:cs="Arial" w:eastAsia="Arial" w:hAnsi="Arial"/>
                <w:sz w:val="16"/>
                <w:szCs w:val="16"/>
                <w:color w:val="auto"/>
              </w:rPr>
              <w:t xml:space="preserve">•  See Pension Benefits beginning on page </w:t>
            </w:r>
            <w:r>
              <w:rPr>
                <w:rFonts w:ascii="Arial" w:cs="Arial" w:eastAsia="Arial" w:hAnsi="Arial"/>
                <w:sz w:val="16"/>
                <w:szCs w:val="16"/>
                <w:color w:val="0000EE"/>
              </w:rPr>
              <w:t>56</w:t>
            </w:r>
            <w:r>
              <w:rPr>
                <w:rFonts w:ascii="Arial" w:cs="Arial" w:eastAsia="Arial" w:hAnsi="Arial"/>
                <w:sz w:val="16"/>
                <w:szCs w:val="16"/>
                <w:color w:val="auto"/>
              </w:rPr>
              <w:t>.</w:t>
            </w:r>
          </w:p>
        </w:tc>
      </w:tr>
      <w:tr>
        <w:trPr>
          <w:trHeight w:val="182"/>
        </w:trPr>
        <w:tc>
          <w:tcPr>
            <w:tcW w:w="1340" w:type="dxa"/>
            <w:vAlign w:val="bottom"/>
            <w:tcBorders>
              <w:top w:val="single" w:sz="8" w:color="DCDDDE"/>
            </w:tcBorders>
            <w:shd w:val="clear" w:color="auto" w:fill="DCDDDE"/>
          </w:tcPr>
          <w:p>
            <w:pPr>
              <w:spacing w:after="0"/>
              <w:rPr>
                <w:sz w:val="15"/>
                <w:szCs w:val="15"/>
                <w:color w:val="auto"/>
              </w:rPr>
            </w:pPr>
          </w:p>
        </w:tc>
        <w:tc>
          <w:tcPr>
            <w:tcW w:w="140" w:type="dxa"/>
            <w:vAlign w:val="bottom"/>
            <w:tcBorders>
              <w:top w:val="single" w:sz="8" w:color="DCDDDE"/>
            </w:tcBorders>
            <w:shd w:val="clear" w:color="auto" w:fill="DCDDDE"/>
          </w:tcPr>
          <w:p>
            <w:pPr>
              <w:spacing w:after="0"/>
              <w:rPr>
                <w:sz w:val="15"/>
                <w:szCs w:val="15"/>
                <w:color w:val="auto"/>
              </w:rPr>
            </w:pPr>
          </w:p>
        </w:tc>
        <w:tc>
          <w:tcPr>
            <w:tcW w:w="4520" w:type="dxa"/>
            <w:vAlign w:val="bottom"/>
            <w:tcBorders>
              <w:top w:val="single" w:sz="8" w:color="DCDDDE"/>
            </w:tcBorders>
            <w:shd w:val="clear" w:color="auto" w:fill="DCDDDE"/>
          </w:tcPr>
          <w:p>
            <w:pPr>
              <w:ind w:left="60"/>
              <w:spacing w:after="0" w:line="182" w:lineRule="exact"/>
              <w:rPr>
                <w:sz w:val="20"/>
                <w:szCs w:val="20"/>
                <w:color w:val="auto"/>
              </w:rPr>
            </w:pPr>
            <w:r>
              <w:rPr>
                <w:rFonts w:ascii="Arial" w:cs="Arial" w:eastAsia="Arial" w:hAnsi="Arial"/>
                <w:sz w:val="16"/>
                <w:szCs w:val="16"/>
                <w:color w:val="auto"/>
              </w:rPr>
              <w:t>closed to new entrants in 2012; Erik Nordstrom, Peter</w:t>
            </w:r>
          </w:p>
        </w:tc>
        <w:tc>
          <w:tcPr>
            <w:tcW w:w="60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242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0000EE"/>
            </w:tcBorders>
            <w:shd w:val="clear" w:color="auto" w:fill="DCDDDE"/>
          </w:tcPr>
          <w:p>
            <w:pPr>
              <w:spacing w:after="0"/>
              <w:rPr>
                <w:sz w:val="15"/>
                <w:szCs w:val="15"/>
                <w:color w:val="auto"/>
              </w:rPr>
            </w:pPr>
          </w:p>
        </w:tc>
        <w:tc>
          <w:tcPr>
            <w:tcW w:w="120" w:type="dxa"/>
            <w:vAlign w:val="bottom"/>
            <w:tcBorders>
              <w:top w:val="single" w:sz="8" w:color="DCDDDE"/>
            </w:tcBorders>
            <w:shd w:val="clear" w:color="auto" w:fill="DCDDDE"/>
          </w:tcPr>
          <w:p>
            <w:pPr>
              <w:spacing w:after="0"/>
              <w:rPr>
                <w:sz w:val="15"/>
                <w:szCs w:val="15"/>
                <w:color w:val="auto"/>
              </w:rPr>
            </w:pPr>
          </w:p>
        </w:tc>
        <w:tc>
          <w:tcPr>
            <w:tcW w:w="20" w:type="dxa"/>
            <w:vAlign w:val="bottom"/>
            <w:tcBorders>
              <w:top w:val="single" w:sz="8" w:color="DCDDDE"/>
            </w:tcBorders>
            <w:shd w:val="clear" w:color="auto" w:fill="DCDDDE"/>
          </w:tcPr>
          <w:p>
            <w:pPr>
              <w:spacing w:after="0"/>
              <w:rPr>
                <w:sz w:val="15"/>
                <w:szCs w:val="15"/>
                <w:color w:val="auto"/>
              </w:rPr>
            </w:pPr>
          </w:p>
        </w:tc>
        <w:tc>
          <w:tcPr>
            <w:tcW w:w="160" w:type="dxa"/>
            <w:vAlign w:val="bottom"/>
            <w:tcBorders>
              <w:top w:val="single" w:sz="8" w:color="DCDDDE"/>
            </w:tcBorders>
            <w:shd w:val="clear" w:color="auto" w:fill="DCDDDE"/>
          </w:tcPr>
          <w:p>
            <w:pPr>
              <w:spacing w:after="0"/>
              <w:rPr>
                <w:sz w:val="15"/>
                <w:szCs w:val="15"/>
                <w:color w:val="auto"/>
              </w:rPr>
            </w:pPr>
          </w:p>
        </w:tc>
        <w:tc>
          <w:tcPr>
            <w:tcW w:w="20" w:type="dxa"/>
            <w:vAlign w:val="bottom"/>
            <w:tcBorders>
              <w:top w:val="single" w:sz="8" w:color="DCDDDE"/>
            </w:tcBorders>
            <w:shd w:val="clear" w:color="auto" w:fill="DCDDDE"/>
          </w:tcPr>
          <w:p>
            <w:pPr>
              <w:spacing w:after="0"/>
              <w:rPr>
                <w:sz w:val="15"/>
                <w:szCs w:val="15"/>
                <w:color w:val="auto"/>
              </w:rPr>
            </w:pPr>
          </w:p>
        </w:tc>
        <w:tc>
          <w:tcPr>
            <w:tcW w:w="56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200" w:type="dxa"/>
            <w:vAlign w:val="bottom"/>
            <w:tcBorders>
              <w:top w:val="single" w:sz="8" w:color="DCDDDE"/>
            </w:tcBorders>
            <w:shd w:val="clear" w:color="auto" w:fill="DCDDDE"/>
          </w:tcPr>
          <w:p>
            <w:pPr>
              <w:spacing w:after="0"/>
              <w:rPr>
                <w:sz w:val="15"/>
                <w:szCs w:val="15"/>
                <w:color w:val="auto"/>
              </w:rPr>
            </w:pPr>
          </w:p>
        </w:tc>
        <w:tc>
          <w:tcPr>
            <w:tcW w:w="180" w:type="dxa"/>
            <w:vAlign w:val="bottom"/>
            <w:tcBorders>
              <w:top w:val="single" w:sz="8" w:color="DCDDDE"/>
            </w:tcBorders>
            <w:shd w:val="clear" w:color="auto" w:fill="DCDDDE"/>
          </w:tcPr>
          <w:p>
            <w:pPr>
              <w:spacing w:after="0"/>
              <w:rPr>
                <w:sz w:val="15"/>
                <w:szCs w:val="15"/>
                <w:color w:val="auto"/>
              </w:rPr>
            </w:pPr>
          </w:p>
        </w:tc>
        <w:tc>
          <w:tcPr>
            <w:tcW w:w="60" w:type="dxa"/>
            <w:vAlign w:val="bottom"/>
            <w:tcBorders>
              <w:top w:val="single" w:sz="8" w:color="DCDDDE"/>
            </w:tcBorders>
            <w:shd w:val="clear" w:color="auto" w:fill="DCDDDE"/>
          </w:tcPr>
          <w:p>
            <w:pPr>
              <w:spacing w:after="0"/>
              <w:rPr>
                <w:sz w:val="15"/>
                <w:szCs w:val="15"/>
                <w:color w:val="auto"/>
              </w:rPr>
            </w:pPr>
          </w:p>
        </w:tc>
      </w:tr>
      <w:tr>
        <w:trPr>
          <w:trHeight w:val="189"/>
        </w:trPr>
        <w:tc>
          <w:tcPr>
            <w:tcW w:w="1340" w:type="dxa"/>
            <w:vAlign w:val="bottom"/>
            <w:shd w:val="clear" w:color="auto" w:fill="DCDDDE"/>
          </w:tcPr>
          <w:p>
            <w:pPr>
              <w:spacing w:after="0"/>
              <w:rPr>
                <w:sz w:val="16"/>
                <w:szCs w:val="16"/>
                <w:color w:val="auto"/>
              </w:rPr>
            </w:pPr>
          </w:p>
        </w:tc>
        <w:tc>
          <w:tcPr>
            <w:tcW w:w="140" w:type="dxa"/>
            <w:vAlign w:val="bottom"/>
            <w:shd w:val="clear" w:color="auto" w:fill="DCDDDE"/>
          </w:tcPr>
          <w:p>
            <w:pPr>
              <w:spacing w:after="0"/>
              <w:rPr>
                <w:sz w:val="16"/>
                <w:szCs w:val="16"/>
                <w:color w:val="auto"/>
              </w:rPr>
            </w:pPr>
          </w:p>
        </w:tc>
        <w:tc>
          <w:tcPr>
            <w:tcW w:w="4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Nordstrom and Kenneth Worzel are participants as they</w:t>
            </w:r>
          </w:p>
        </w:tc>
        <w:tc>
          <w:tcPr>
            <w:tcW w:w="600" w:type="dxa"/>
            <w:vAlign w:val="bottom"/>
            <w:shd w:val="clear" w:color="auto" w:fill="DCDDDE"/>
          </w:tcPr>
          <w:p>
            <w:pPr>
              <w:spacing w:after="0"/>
              <w:rPr>
                <w:sz w:val="16"/>
                <w:szCs w:val="16"/>
                <w:color w:val="auto"/>
              </w:rPr>
            </w:pPr>
          </w:p>
        </w:tc>
        <w:tc>
          <w:tcPr>
            <w:tcW w:w="180" w:type="dxa"/>
            <w:vAlign w:val="bottom"/>
            <w:shd w:val="clear" w:color="auto" w:fill="DCDDDE"/>
          </w:tcPr>
          <w:p>
            <w:pPr>
              <w:spacing w:after="0"/>
              <w:rPr>
                <w:sz w:val="16"/>
                <w:szCs w:val="16"/>
                <w:color w:val="auto"/>
              </w:rPr>
            </w:pPr>
          </w:p>
        </w:tc>
        <w:tc>
          <w:tcPr>
            <w:tcW w:w="2420" w:type="dxa"/>
            <w:vAlign w:val="bottom"/>
            <w:shd w:val="clear" w:color="auto" w:fill="DCDDDE"/>
          </w:tcPr>
          <w:p>
            <w:pPr>
              <w:spacing w:after="0"/>
              <w:rPr>
                <w:sz w:val="16"/>
                <w:szCs w:val="16"/>
                <w:color w:val="auto"/>
              </w:rPr>
            </w:pPr>
          </w:p>
        </w:tc>
        <w:tc>
          <w:tcPr>
            <w:tcW w:w="180" w:type="dxa"/>
            <w:vAlign w:val="bottom"/>
            <w:shd w:val="clear" w:color="auto" w:fill="DCDDDE"/>
          </w:tcPr>
          <w:p>
            <w:pPr>
              <w:spacing w:after="0"/>
              <w:rPr>
                <w:sz w:val="16"/>
                <w:szCs w:val="16"/>
                <w:color w:val="auto"/>
              </w:rPr>
            </w:pPr>
          </w:p>
        </w:tc>
        <w:tc>
          <w:tcPr>
            <w:tcW w:w="120" w:type="dxa"/>
            <w:vAlign w:val="bottom"/>
            <w:shd w:val="clear" w:color="auto" w:fill="DCDDDE"/>
          </w:tcPr>
          <w:p>
            <w:pPr>
              <w:spacing w:after="0"/>
              <w:rPr>
                <w:sz w:val="16"/>
                <w:szCs w:val="16"/>
                <w:color w:val="auto"/>
              </w:rPr>
            </w:pPr>
          </w:p>
        </w:tc>
        <w:tc>
          <w:tcPr>
            <w:tcW w:w="20" w:type="dxa"/>
            <w:vAlign w:val="bottom"/>
            <w:shd w:val="clear" w:color="auto" w:fill="DCDDDE"/>
          </w:tcPr>
          <w:p>
            <w:pPr>
              <w:spacing w:after="0"/>
              <w:rPr>
                <w:sz w:val="16"/>
                <w:szCs w:val="16"/>
                <w:color w:val="auto"/>
              </w:rPr>
            </w:pPr>
          </w:p>
        </w:tc>
        <w:tc>
          <w:tcPr>
            <w:tcW w:w="160" w:type="dxa"/>
            <w:vAlign w:val="bottom"/>
            <w:shd w:val="clear" w:color="auto" w:fill="DCDDDE"/>
          </w:tcPr>
          <w:p>
            <w:pPr>
              <w:spacing w:after="0"/>
              <w:rPr>
                <w:sz w:val="16"/>
                <w:szCs w:val="16"/>
                <w:color w:val="auto"/>
              </w:rPr>
            </w:pPr>
          </w:p>
        </w:tc>
        <w:tc>
          <w:tcPr>
            <w:tcW w:w="20" w:type="dxa"/>
            <w:vAlign w:val="bottom"/>
            <w:shd w:val="clear" w:color="auto" w:fill="DCDDDE"/>
          </w:tcPr>
          <w:p>
            <w:pPr>
              <w:spacing w:after="0"/>
              <w:rPr>
                <w:sz w:val="16"/>
                <w:szCs w:val="16"/>
                <w:color w:val="auto"/>
              </w:rPr>
            </w:pPr>
          </w:p>
        </w:tc>
        <w:tc>
          <w:tcPr>
            <w:tcW w:w="560" w:type="dxa"/>
            <w:vAlign w:val="bottom"/>
            <w:shd w:val="clear" w:color="auto" w:fill="DCDDDE"/>
          </w:tcPr>
          <w:p>
            <w:pPr>
              <w:spacing w:after="0"/>
              <w:rPr>
                <w:sz w:val="16"/>
                <w:szCs w:val="16"/>
                <w:color w:val="auto"/>
              </w:rPr>
            </w:pPr>
          </w:p>
        </w:tc>
        <w:tc>
          <w:tcPr>
            <w:tcW w:w="180" w:type="dxa"/>
            <w:vAlign w:val="bottom"/>
            <w:shd w:val="clear" w:color="auto" w:fill="DCDDDE"/>
          </w:tcPr>
          <w:p>
            <w:pPr>
              <w:spacing w:after="0"/>
              <w:rPr>
                <w:sz w:val="16"/>
                <w:szCs w:val="16"/>
                <w:color w:val="auto"/>
              </w:rPr>
            </w:pPr>
          </w:p>
        </w:tc>
        <w:tc>
          <w:tcPr>
            <w:tcW w:w="200" w:type="dxa"/>
            <w:vAlign w:val="bottom"/>
            <w:shd w:val="clear" w:color="auto" w:fill="DCDDDE"/>
          </w:tcPr>
          <w:p>
            <w:pPr>
              <w:spacing w:after="0"/>
              <w:rPr>
                <w:sz w:val="16"/>
                <w:szCs w:val="16"/>
                <w:color w:val="auto"/>
              </w:rPr>
            </w:pPr>
          </w:p>
        </w:tc>
        <w:tc>
          <w:tcPr>
            <w:tcW w:w="180" w:type="dxa"/>
            <w:vAlign w:val="bottom"/>
            <w:shd w:val="clear" w:color="auto" w:fill="DCDDDE"/>
          </w:tcPr>
          <w:p>
            <w:pPr>
              <w:spacing w:after="0"/>
              <w:rPr>
                <w:sz w:val="16"/>
                <w:szCs w:val="16"/>
                <w:color w:val="auto"/>
              </w:rPr>
            </w:pPr>
          </w:p>
        </w:tc>
        <w:tc>
          <w:tcPr>
            <w:tcW w:w="60" w:type="dxa"/>
            <w:vAlign w:val="bottom"/>
            <w:shd w:val="clear" w:color="auto" w:fill="DCDDDE"/>
          </w:tcPr>
          <w:p>
            <w:pPr>
              <w:spacing w:after="0"/>
              <w:rPr>
                <w:sz w:val="16"/>
                <w:szCs w:val="16"/>
                <w:color w:val="auto"/>
              </w:rPr>
            </w:pPr>
          </w:p>
        </w:tc>
      </w:tr>
      <w:tr>
        <w:trPr>
          <w:trHeight w:val="224"/>
        </w:trPr>
        <w:tc>
          <w:tcPr>
            <w:tcW w:w="1340" w:type="dxa"/>
            <w:vAlign w:val="bottom"/>
            <w:tcBorders>
              <w:bottom w:val="single" w:sz="8" w:color="DCDDDE"/>
            </w:tcBorders>
            <w:shd w:val="clear" w:color="auto" w:fill="DCDDDE"/>
          </w:tcPr>
          <w:p>
            <w:pPr>
              <w:spacing w:after="0"/>
              <w:rPr>
                <w:sz w:val="19"/>
                <w:szCs w:val="19"/>
                <w:color w:val="auto"/>
              </w:rPr>
            </w:pPr>
          </w:p>
        </w:tc>
        <w:tc>
          <w:tcPr>
            <w:tcW w:w="140" w:type="dxa"/>
            <w:vAlign w:val="bottom"/>
            <w:tcBorders>
              <w:bottom w:val="single" w:sz="8" w:color="DCDDDE"/>
            </w:tcBorders>
            <w:shd w:val="clear" w:color="auto" w:fill="DCDDDE"/>
          </w:tcPr>
          <w:p>
            <w:pPr>
              <w:spacing w:after="0"/>
              <w:rPr>
                <w:sz w:val="19"/>
                <w:szCs w:val="19"/>
                <w:color w:val="auto"/>
              </w:rPr>
            </w:pPr>
          </w:p>
        </w:tc>
        <w:tc>
          <w:tcPr>
            <w:tcW w:w="45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were eligible prior to the closure to new entrants)</w:t>
            </w:r>
          </w:p>
        </w:tc>
        <w:tc>
          <w:tcPr>
            <w:tcW w:w="60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242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120" w:type="dxa"/>
            <w:vAlign w:val="bottom"/>
            <w:tcBorders>
              <w:bottom w:val="single" w:sz="8" w:color="DCDDDE"/>
            </w:tcBorders>
            <w:shd w:val="clear" w:color="auto" w:fill="DCDDDE"/>
          </w:tcPr>
          <w:p>
            <w:pPr>
              <w:spacing w:after="0"/>
              <w:rPr>
                <w:sz w:val="19"/>
                <w:szCs w:val="19"/>
                <w:color w:val="auto"/>
              </w:rPr>
            </w:pPr>
          </w:p>
        </w:tc>
        <w:tc>
          <w:tcPr>
            <w:tcW w:w="20" w:type="dxa"/>
            <w:vAlign w:val="bottom"/>
            <w:tcBorders>
              <w:bottom w:val="single" w:sz="8" w:color="DCDDDE"/>
            </w:tcBorders>
            <w:shd w:val="clear" w:color="auto" w:fill="DCDDDE"/>
          </w:tcPr>
          <w:p>
            <w:pPr>
              <w:spacing w:after="0"/>
              <w:rPr>
                <w:sz w:val="19"/>
                <w:szCs w:val="19"/>
                <w:color w:val="auto"/>
              </w:rPr>
            </w:pPr>
          </w:p>
        </w:tc>
        <w:tc>
          <w:tcPr>
            <w:tcW w:w="160" w:type="dxa"/>
            <w:vAlign w:val="bottom"/>
            <w:tcBorders>
              <w:bottom w:val="single" w:sz="8" w:color="DCDDDE"/>
            </w:tcBorders>
            <w:shd w:val="clear" w:color="auto" w:fill="DCDDDE"/>
          </w:tcPr>
          <w:p>
            <w:pPr>
              <w:spacing w:after="0"/>
              <w:rPr>
                <w:sz w:val="19"/>
                <w:szCs w:val="19"/>
                <w:color w:val="auto"/>
              </w:rPr>
            </w:pPr>
          </w:p>
        </w:tc>
        <w:tc>
          <w:tcPr>
            <w:tcW w:w="20" w:type="dxa"/>
            <w:vAlign w:val="bottom"/>
            <w:tcBorders>
              <w:bottom w:val="single" w:sz="8" w:color="DCDDDE"/>
            </w:tcBorders>
            <w:shd w:val="clear" w:color="auto" w:fill="DCDDDE"/>
          </w:tcPr>
          <w:p>
            <w:pPr>
              <w:spacing w:after="0"/>
              <w:rPr>
                <w:sz w:val="19"/>
                <w:szCs w:val="19"/>
                <w:color w:val="auto"/>
              </w:rPr>
            </w:pPr>
          </w:p>
        </w:tc>
        <w:tc>
          <w:tcPr>
            <w:tcW w:w="56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60" w:type="dxa"/>
            <w:vAlign w:val="bottom"/>
            <w:tcBorders>
              <w:bottom w:val="single" w:sz="8" w:color="DCDDDE"/>
            </w:tcBorders>
            <w:shd w:val="clear" w:color="auto" w:fill="DCDDDE"/>
          </w:tcPr>
          <w:p>
            <w:pPr>
              <w:spacing w:after="0"/>
              <w:rPr>
                <w:sz w:val="19"/>
                <w:szCs w:val="19"/>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Changes for 2023</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year, the CPCC reviews the design of our total compensation elements and makes changes as needed to improve alignment with our pay and benefits philosophy. At the February 2023 meeting, the CPCC approved the following changes for fiscal year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Base Salary</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CPCC determined to increase Alexis DePree’s base salary from $650,000 to $725,000 effective March 26, 2023, to reflect an increase in scope and to maintain relative market competitiveness. The base salaries of all other NEOs remained unchanged.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Performance-Based Annual Cash Bonus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CPCC determined that the target bonus opportunity as a percent of base salary for the NEOs will remain unchanged for 2023.</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2023 bonus opportunity for Michael Maher, Kenneth Worzel and Alexis DePree was modified to include individual operational metrics, weighted at 25% of the bonus opportunity and subject to achieving the Incentive Adjusted EBIT threshold. The plan maintains a focus on Incentive Adjusted EBIT, weighted at 75% of the bonus opportunity and subject to achievement of the Incentive Adjusted ROIC threshold.</w:t>
      </w:r>
    </w:p>
    <w:p>
      <w:pPr>
        <w:spacing w:after="0" w:line="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2023 bonus opportunity for Erik Nordstrom and Peter Nordstrom will remain based on 100% Incentive Adjusted EBIT subject to achievement of the Incentive Adjusted ROIC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LTIs</w:t>
      </w:r>
    </w:p>
    <w:p>
      <w:pPr>
        <w:spacing w:after="0" w:line="10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target LTI grant as a percent of base salary of all NEOs remained unchanged, as did the equity mix and vesting schedules. The CPCC did not use its discretion to modify any NEO target LTI grants for 2023.</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Our Roles in Determining Compensation Are Well-Defined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Compensation, People and Culture Committee</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CPCC oversees the development and delivery of our pay and benefits philosophy and compensation plans for the NEOs and other executives as described in the CPCC charter on our Investor Relations Website.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 part of that oversight, the CPCC ensures the NEOs’ aggregate compensation aligns with shareholder interests by reviewing analyses that include:</w:t>
      </w:r>
    </w:p>
    <w:p>
      <w:pPr>
        <w:spacing w:after="0" w:line="113"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Cash alignment </w:t>
      </w:r>
      <w:r>
        <w:rPr>
          <w:rFonts w:ascii="Arial" w:cs="Arial" w:eastAsia="Arial" w:hAnsi="Arial"/>
          <w:sz w:val="16"/>
          <w:szCs w:val="16"/>
          <w:color w:val="auto"/>
        </w:rPr>
        <w:t>to evaluate the short-term incentive payouts relative to our financial performance.</w:t>
      </w:r>
    </w:p>
    <w:p>
      <w:pPr>
        <w:spacing w:after="0" w:line="113" w:lineRule="exact"/>
        <w:rPr>
          <w:rFonts w:ascii="Arial" w:cs="Arial" w:eastAsia="Arial" w:hAnsi="Arial"/>
          <w:sz w:val="16"/>
          <w:szCs w:val="16"/>
          <w:b w:val="1"/>
          <w:bCs w:val="1"/>
          <w:color w:val="auto"/>
        </w:rPr>
      </w:pPr>
    </w:p>
    <w:p>
      <w:pPr>
        <w:ind w:left="180" w:hanging="172"/>
        <w:spacing w:after="0"/>
        <w:tabs>
          <w:tab w:leader="none" w:pos="18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Relative pay and performance </w:t>
      </w:r>
      <w:r>
        <w:rPr>
          <w:rFonts w:ascii="Arial" w:cs="Arial" w:eastAsia="Arial" w:hAnsi="Arial"/>
          <w:sz w:val="16"/>
          <w:szCs w:val="16"/>
          <w:color w:val="auto"/>
        </w:rPr>
        <w:t>to compare the percentile rankings of our CEO’s total direct compensation (base salary + performance-based bonus</w:t>
      </w:r>
    </w:p>
    <w:p>
      <w:pPr>
        <w:spacing w:after="0" w:line="21" w:lineRule="exact"/>
        <w:rPr>
          <w:rFonts w:ascii="Arial" w:cs="Arial" w:eastAsia="Arial" w:hAnsi="Arial"/>
          <w:sz w:val="16"/>
          <w:szCs w:val="16"/>
          <w:b w:val="1"/>
          <w:bCs w:val="1"/>
          <w:color w:val="auto"/>
        </w:rPr>
      </w:pPr>
    </w:p>
    <w:p>
      <w:pPr>
        <w:ind w:left="200" w:firstLine="6"/>
        <w:spacing w:after="0" w:line="265" w:lineRule="auto"/>
        <w:tabs>
          <w:tab w:leader="none" w:pos="345" w:val="left"/>
        </w:tabs>
        <w:numPr>
          <w:ilvl w:val="1"/>
          <w:numId w:val="66"/>
        </w:numPr>
        <w:rPr>
          <w:rFonts w:ascii="Arial" w:cs="Arial" w:eastAsia="Arial" w:hAnsi="Arial"/>
          <w:sz w:val="16"/>
          <w:szCs w:val="16"/>
          <w:color w:val="auto"/>
        </w:rPr>
      </w:pPr>
      <w:r>
        <w:rPr>
          <w:rFonts w:ascii="Arial" w:cs="Arial" w:eastAsia="Arial" w:hAnsi="Arial"/>
          <w:sz w:val="16"/>
          <w:szCs w:val="16"/>
          <w:color w:val="auto"/>
        </w:rPr>
        <w:t>LTIs) and our Company’s financial performance metrics within our peer group. The total direct compensation of our NEOs within our peer group is also considered.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CPCC Consultant</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CPCC has retained Semler Brossy. A consultant from the firm attends CPCC meetings and in support of the CPCC’s role, provides independent expertise on market practices, compensation program design and related subjects as described on page </w:t>
      </w:r>
      <w:r>
        <w:rPr>
          <w:rFonts w:ascii="Arial" w:cs="Arial" w:eastAsia="Arial" w:hAnsi="Arial"/>
          <w:sz w:val="16"/>
          <w:szCs w:val="16"/>
          <w:u w:val="single" w:color="auto"/>
          <w:color w:val="0000EE"/>
        </w:rPr>
        <w:t>16</w:t>
      </w:r>
      <w:r>
        <w:rPr>
          <w:rFonts w:ascii="Arial" w:cs="Arial" w:eastAsia="Arial" w:hAnsi="Arial"/>
          <w:sz w:val="16"/>
          <w:szCs w:val="16"/>
          <w:color w:val="auto"/>
        </w:rPr>
        <w:t>. Semler Brossy provides services only as directed by the CPCC. During fiscal year 2022, Semler Brossy’s services included a review of executive pay programs, a review of the compensation peer group and other pay-related matters specific to the CPCC’s charter.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Management</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CEO and the President &amp; Chief Brand Officer provide input to the CPCC on the level and design of compensation elements for the NEOs and other Executive Officers, excluding themselves. Our Chief Human Resources Officer attends CPCC meetings to provide perspective and expertise relevant to the agenda. Management supports the CPCC’s activity by providing analyses and recommendations developed internally, or occasionally with the assistance of external consulting firms other than the CPCC’s independent consultant.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Market Data Provides a Reference Point for Compensation</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CPCC believes that knowledge of market practices, particularly those of our peers listed on page </w:t>
      </w:r>
      <w:r>
        <w:rPr>
          <w:rFonts w:ascii="Arial" w:cs="Arial" w:eastAsia="Arial" w:hAnsi="Arial"/>
          <w:sz w:val="16"/>
          <w:szCs w:val="16"/>
          <w:u w:val="single" w:color="auto"/>
          <w:color w:val="0000EE"/>
        </w:rPr>
        <w:t>46</w:t>
      </w:r>
      <w:r>
        <w:rPr>
          <w:rFonts w:ascii="Arial" w:cs="Arial" w:eastAsia="Arial" w:hAnsi="Arial"/>
          <w:sz w:val="16"/>
          <w:szCs w:val="16"/>
          <w:color w:val="auto"/>
        </w:rPr>
        <w:t>, is helpful in assessing the design and targeted level of our executive compensation package. In reviewing peer group information, the CPCC uses survey data provided by external consultants, monitors general market movement for executive pay and references proxy statements for specific roles.</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While the CPCC considers the 50th percentile (median) of our peer group as a reference, there is no specific percentage of target total direct compensation targeted by the CPCC other than to remain generally competitive with similarly situated peer companies. Target opportunities for individual pay elements vary by executive role based on scope of responsibilities and expected contributions.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Target total direct compensation for 2022 for Erik Nordstrom was below our peer group median, as it has been in previous years. Based on the CPCC’s review of relevant market data and internal pay equity, the CPCC believes the target total direct compensation for the other NEOs was within a competitive range of the peer group median. Actual pay for the NEOs can exceed our established targets or peer group actual pay through the variable compensation elements when pre-determined performance milestones established by the CPCC are achieved.</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Peer Group Companies Represent Our Business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Each year, the CPCC reviews the appropriateness of our peer group for comparison on pay and related practices. Collectively, the peer group companies represent our primary business areas, including our Nordstrom, Nordstrom Rack, in-store and online businesses and private label products. The peer group companies generally meet the following selection criteria:</w:t>
      </w:r>
    </w:p>
    <w:p>
      <w:pPr>
        <w:spacing w:after="0" w:line="90"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fall within the Consumer Discretionary sectors;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fall within a reasonable range of our size, defined as one-third to three times our revenue and one-fourth to four times our market capitalization;</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share similar talent, operational and/or business characteristics, including a retail-focused business model;</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have a similar or related product focus and place a high value on customer experience;</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are part of our industry group as defined by institutional shareholders and shareholder service organizations; and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are a public company subject to similar market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354965</wp:posOffset>
            </wp:positionV>
            <wp:extent cx="1020445" cy="1289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7860"/>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Our peer group used for evaluating compensation for fiscal year 2022 was comprised of the following retail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0054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American Eagle Outfitters, Inc. (AEO)</w:t>
            </w:r>
          </w:p>
        </w:tc>
        <w:tc>
          <w:tcPr>
            <w:tcW w:w="3380" w:type="dxa"/>
            <w:vAlign w:val="bottom"/>
          </w:tcPr>
          <w:p>
            <w:pPr>
              <w:ind w:left="460"/>
              <w:spacing w:after="0"/>
              <w:rPr>
                <w:sz w:val="20"/>
                <w:szCs w:val="20"/>
                <w:color w:val="auto"/>
              </w:rPr>
            </w:pPr>
            <w:r>
              <w:rPr>
                <w:rFonts w:ascii="Arial" w:cs="Arial" w:eastAsia="Arial" w:hAnsi="Arial"/>
                <w:sz w:val="16"/>
                <w:szCs w:val="16"/>
                <w:color w:val="auto"/>
              </w:rPr>
              <w:t>The Gap, Inc. (GPS)</w:t>
            </w:r>
          </w:p>
        </w:tc>
        <w:tc>
          <w:tcPr>
            <w:tcW w:w="4340" w:type="dxa"/>
            <w:vAlign w:val="bottom"/>
          </w:tcPr>
          <w:p>
            <w:pPr>
              <w:ind w:left="700"/>
              <w:spacing w:after="0"/>
              <w:rPr>
                <w:sz w:val="20"/>
                <w:szCs w:val="20"/>
                <w:color w:val="auto"/>
              </w:rPr>
            </w:pPr>
            <w:r>
              <w:rPr>
                <w:rFonts w:ascii="Arial" w:cs="Arial" w:eastAsia="Arial" w:hAnsi="Arial"/>
                <w:sz w:val="16"/>
                <w:szCs w:val="16"/>
                <w:color w:val="auto"/>
              </w:rPr>
              <w:t>Tapestry, Inc. (TPR)</w:t>
            </w:r>
          </w:p>
        </w:tc>
      </w:tr>
      <w:tr>
        <w:trPr>
          <w:trHeight w:val="229"/>
        </w:trPr>
        <w:tc>
          <w:tcPr>
            <w:tcW w:w="3160" w:type="dxa"/>
            <w:vAlign w:val="bottom"/>
          </w:tcPr>
          <w:p>
            <w:pPr>
              <w:spacing w:after="0"/>
              <w:rPr>
                <w:sz w:val="20"/>
                <w:szCs w:val="20"/>
                <w:color w:val="auto"/>
              </w:rPr>
            </w:pPr>
            <w:r>
              <w:rPr>
                <w:rFonts w:ascii="Arial" w:cs="Arial" w:eastAsia="Arial" w:hAnsi="Arial"/>
                <w:sz w:val="16"/>
                <w:szCs w:val="16"/>
                <w:color w:val="auto"/>
              </w:rPr>
              <w:t>Burlington Stores, Inc. (BURL)</w:t>
            </w:r>
          </w:p>
        </w:tc>
        <w:tc>
          <w:tcPr>
            <w:tcW w:w="3380" w:type="dxa"/>
            <w:vAlign w:val="bottom"/>
          </w:tcPr>
          <w:p>
            <w:pPr>
              <w:ind w:left="460"/>
              <w:spacing w:after="0"/>
              <w:rPr>
                <w:sz w:val="20"/>
                <w:szCs w:val="20"/>
                <w:color w:val="auto"/>
              </w:rPr>
            </w:pPr>
            <w:r>
              <w:rPr>
                <w:rFonts w:ascii="Arial" w:cs="Arial" w:eastAsia="Arial" w:hAnsi="Arial"/>
                <w:sz w:val="16"/>
                <w:szCs w:val="16"/>
                <w:color w:val="auto"/>
              </w:rPr>
              <w:t>Kohl’s Corporation (KSS)</w:t>
            </w:r>
          </w:p>
        </w:tc>
        <w:tc>
          <w:tcPr>
            <w:tcW w:w="4340" w:type="dxa"/>
            <w:vAlign w:val="bottom"/>
          </w:tcPr>
          <w:p>
            <w:pPr>
              <w:ind w:left="700"/>
              <w:spacing w:after="0"/>
              <w:rPr>
                <w:sz w:val="20"/>
                <w:szCs w:val="20"/>
                <w:color w:val="auto"/>
              </w:rPr>
            </w:pPr>
            <w:r>
              <w:rPr>
                <w:rFonts w:ascii="Arial" w:cs="Arial" w:eastAsia="Arial" w:hAnsi="Arial"/>
                <w:sz w:val="16"/>
                <w:szCs w:val="16"/>
                <w:color w:val="auto"/>
              </w:rPr>
              <w:t>The TJX Companies, Inc. (TJX)</w:t>
            </w:r>
          </w:p>
        </w:tc>
      </w:tr>
      <w:tr>
        <w:trPr>
          <w:trHeight w:val="283"/>
        </w:trPr>
        <w:tc>
          <w:tcPr>
            <w:tcW w:w="3160" w:type="dxa"/>
            <w:vAlign w:val="bottom"/>
          </w:tcPr>
          <w:p>
            <w:pPr>
              <w:spacing w:after="0"/>
              <w:rPr>
                <w:sz w:val="20"/>
                <w:szCs w:val="20"/>
                <w:color w:val="auto"/>
              </w:rPr>
            </w:pPr>
            <w:r>
              <w:rPr>
                <w:rFonts w:ascii="Arial" w:cs="Arial" w:eastAsia="Arial" w:hAnsi="Arial"/>
                <w:sz w:val="16"/>
                <w:szCs w:val="16"/>
                <w:color w:val="auto"/>
              </w:rPr>
              <w:t>Capri Holdings Limited (CPRI)</w:t>
            </w:r>
          </w:p>
        </w:tc>
        <w:tc>
          <w:tcPr>
            <w:tcW w:w="3380" w:type="dxa"/>
            <w:vAlign w:val="bottom"/>
          </w:tcPr>
          <w:p>
            <w:pPr>
              <w:ind w:left="460"/>
              <w:spacing w:after="0"/>
              <w:rPr>
                <w:sz w:val="20"/>
                <w:szCs w:val="20"/>
                <w:color w:val="auto"/>
              </w:rPr>
            </w:pPr>
            <w:r>
              <w:rPr>
                <w:rFonts w:ascii="Arial" w:cs="Arial" w:eastAsia="Arial" w:hAnsi="Arial"/>
                <w:sz w:val="16"/>
                <w:szCs w:val="16"/>
                <w:color w:val="auto"/>
              </w:rPr>
              <w:t>Macy’s, Inc. (M)</w:t>
            </w:r>
          </w:p>
        </w:tc>
        <w:tc>
          <w:tcPr>
            <w:tcW w:w="4340" w:type="dxa"/>
            <w:vAlign w:val="bottom"/>
          </w:tcPr>
          <w:p>
            <w:pPr>
              <w:ind w:left="700"/>
              <w:spacing w:after="0"/>
              <w:rPr>
                <w:sz w:val="20"/>
                <w:szCs w:val="20"/>
                <w:color w:val="auto"/>
              </w:rPr>
            </w:pPr>
            <w:r>
              <w:rPr>
                <w:rFonts w:ascii="Arial" w:cs="Arial" w:eastAsia="Arial" w:hAnsi="Arial"/>
                <w:sz w:val="16"/>
                <w:szCs w:val="16"/>
                <w:color w:val="auto"/>
              </w:rPr>
              <w:t>Ulta Beauty, Inc. (ULTA)</w:t>
            </w:r>
          </w:p>
        </w:tc>
      </w:tr>
      <w:tr>
        <w:trPr>
          <w:trHeight w:val="283"/>
        </w:trPr>
        <w:tc>
          <w:tcPr>
            <w:tcW w:w="3160" w:type="dxa"/>
            <w:vAlign w:val="bottom"/>
          </w:tcPr>
          <w:p>
            <w:pPr>
              <w:spacing w:after="0"/>
              <w:rPr>
                <w:sz w:val="20"/>
                <w:szCs w:val="20"/>
                <w:color w:val="auto"/>
              </w:rPr>
            </w:pPr>
            <w:r>
              <w:rPr>
                <w:rFonts w:ascii="Arial" w:cs="Arial" w:eastAsia="Arial" w:hAnsi="Arial"/>
                <w:sz w:val="16"/>
                <w:szCs w:val="16"/>
                <w:color w:val="auto"/>
              </w:rPr>
              <w:t>Dillard’s, Inc. (DDS)</w:t>
            </w:r>
          </w:p>
        </w:tc>
        <w:tc>
          <w:tcPr>
            <w:tcW w:w="3380" w:type="dxa"/>
            <w:vAlign w:val="bottom"/>
          </w:tcPr>
          <w:p>
            <w:pPr>
              <w:ind w:left="460"/>
              <w:spacing w:after="0"/>
              <w:rPr>
                <w:sz w:val="20"/>
                <w:szCs w:val="20"/>
                <w:color w:val="auto"/>
              </w:rPr>
            </w:pPr>
            <w:r>
              <w:rPr>
                <w:rFonts w:ascii="Arial" w:cs="Arial" w:eastAsia="Arial" w:hAnsi="Arial"/>
                <w:sz w:val="16"/>
                <w:szCs w:val="16"/>
                <w:color w:val="auto"/>
              </w:rPr>
              <w:t>Ralph Lauren Corporation (RL)</w:t>
            </w:r>
          </w:p>
        </w:tc>
        <w:tc>
          <w:tcPr>
            <w:tcW w:w="4340" w:type="dxa"/>
            <w:vAlign w:val="bottom"/>
          </w:tcPr>
          <w:p>
            <w:pPr>
              <w:ind w:left="700"/>
              <w:spacing w:after="0"/>
              <w:rPr>
                <w:sz w:val="20"/>
                <w:szCs w:val="20"/>
                <w:color w:val="auto"/>
              </w:rPr>
            </w:pPr>
            <w:r>
              <w:rPr>
                <w:rFonts w:ascii="Arial" w:cs="Arial" w:eastAsia="Arial" w:hAnsi="Arial"/>
                <w:sz w:val="16"/>
                <w:szCs w:val="16"/>
                <w:color w:val="auto"/>
              </w:rPr>
              <w:t>V.F. Corporation (VFC)</w:t>
            </w:r>
          </w:p>
        </w:tc>
      </w:tr>
      <w:tr>
        <w:trPr>
          <w:trHeight w:val="284"/>
        </w:trPr>
        <w:tc>
          <w:tcPr>
            <w:tcW w:w="3160" w:type="dxa"/>
            <w:vAlign w:val="bottom"/>
          </w:tcPr>
          <w:p>
            <w:pPr>
              <w:spacing w:after="0"/>
              <w:rPr>
                <w:sz w:val="20"/>
                <w:szCs w:val="20"/>
                <w:color w:val="auto"/>
              </w:rPr>
            </w:pPr>
            <w:r>
              <w:rPr>
                <w:rFonts w:ascii="Arial" w:cs="Arial" w:eastAsia="Arial" w:hAnsi="Arial"/>
                <w:sz w:val="16"/>
                <w:szCs w:val="16"/>
                <w:color w:val="auto"/>
              </w:rPr>
              <w:t>DICK’S Sporting Goods, Inc. (DKS)</w:t>
            </w:r>
          </w:p>
        </w:tc>
        <w:tc>
          <w:tcPr>
            <w:tcW w:w="3380" w:type="dxa"/>
            <w:vAlign w:val="bottom"/>
          </w:tcPr>
          <w:p>
            <w:pPr>
              <w:ind w:left="460"/>
              <w:spacing w:after="0"/>
              <w:rPr>
                <w:sz w:val="20"/>
                <w:szCs w:val="20"/>
                <w:color w:val="auto"/>
              </w:rPr>
            </w:pPr>
            <w:r>
              <w:rPr>
                <w:rFonts w:ascii="Arial" w:cs="Arial" w:eastAsia="Arial" w:hAnsi="Arial"/>
                <w:sz w:val="16"/>
                <w:szCs w:val="16"/>
                <w:color w:val="auto"/>
              </w:rPr>
              <w:t>Ross Stores, Inc. (ROST)</w:t>
            </w:r>
          </w:p>
        </w:tc>
        <w:tc>
          <w:tcPr>
            <w:tcW w:w="4340" w:type="dxa"/>
            <w:vAlign w:val="bottom"/>
          </w:tcPr>
          <w:p>
            <w:pPr>
              <w:ind w:left="700"/>
              <w:spacing w:after="0"/>
              <w:rPr>
                <w:sz w:val="20"/>
                <w:szCs w:val="20"/>
                <w:color w:val="auto"/>
              </w:rPr>
            </w:pPr>
            <w:r>
              <w:rPr>
                <w:rFonts w:ascii="Arial" w:cs="Arial" w:eastAsia="Arial" w:hAnsi="Arial"/>
                <w:sz w:val="16"/>
                <w:szCs w:val="16"/>
                <w:color w:val="auto"/>
              </w:rPr>
              <w:t>Victoria’s Secret &amp; Co. (VSCO)</w:t>
            </w:r>
          </w:p>
        </w:tc>
      </w:tr>
      <w:tr>
        <w:trPr>
          <w:trHeight w:val="283"/>
        </w:trPr>
        <w:tc>
          <w:tcPr>
            <w:tcW w:w="3160" w:type="dxa"/>
            <w:vAlign w:val="bottom"/>
          </w:tcPr>
          <w:p>
            <w:pPr>
              <w:spacing w:after="0"/>
              <w:rPr>
                <w:sz w:val="20"/>
                <w:szCs w:val="20"/>
                <w:color w:val="auto"/>
              </w:rPr>
            </w:pPr>
            <w:r>
              <w:rPr>
                <w:rFonts w:ascii="Arial" w:cs="Arial" w:eastAsia="Arial" w:hAnsi="Arial"/>
                <w:sz w:val="16"/>
                <w:szCs w:val="16"/>
                <w:color w:val="auto"/>
              </w:rPr>
              <w:t>Foot Locker, Inc. (FL)</w:t>
            </w:r>
          </w:p>
        </w:tc>
        <w:tc>
          <w:tcPr>
            <w:tcW w:w="338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83"/>
        </w:trPr>
        <w:tc>
          <w:tcPr>
            <w:tcW w:w="316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4340" w:type="dxa"/>
            <w:vAlign w:val="bottom"/>
            <w:tcBorders>
              <w:bottom w:val="single" w:sz="8" w:color="auto"/>
            </w:tcBorders>
          </w:tcPr>
          <w:p>
            <w:pPr>
              <w:spacing w:after="0"/>
              <w:rPr>
                <w:sz w:val="7"/>
                <w:szCs w:val="7"/>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2022, as part of its annual review of peer companies to be used for compensation comparison purposes, the CPCC determined that Bed Bath &amp; Beyond Inc., The Estée Lauder Companies Inc., Urban Outfitters, Inc. and Williams-Sonoma, Inc. should be removed based on the selection criteria. Additionally, the CPCC determined that American Eagle Outfitters, Inc., Burlington Stores, Inc., DICK’S Sporting Goods, Inc., Ulta Beauty, Inc. and Victoria’s Secret &amp; Co. should be added based on meeting the selection criteria.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Compensation Risk Assessment Supports Integrity of Our Pay Practices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CPCC oversees an extensive review of the Company’s pay-for-performance philosophy, the composition and balance of elements in the compensation package and the alignment of plans with shareholder interests to ensure these practices do not pose a material adverse risk to the organization. The review is conducted every other year as underlying programs and practices are generally consistent over time. The last review, for fiscal year 2022, concluded with the following perspectives:</w:t>
      </w:r>
    </w:p>
    <w:p>
      <w:pPr>
        <w:spacing w:after="0" w:line="70" w:lineRule="exact"/>
        <w:rPr>
          <w:sz w:val="20"/>
          <w:szCs w:val="20"/>
          <w:color w:val="auto"/>
        </w:rPr>
      </w:pPr>
    </w:p>
    <w:p>
      <w:pPr>
        <w:jc w:val="both"/>
        <w:ind w:left="200" w:hanging="192"/>
        <w:spacing w:after="0" w:line="259" w:lineRule="auto"/>
        <w:tabs>
          <w:tab w:leader="none" w:pos="2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goals of the Company’s compensation programs are to attract and retain the best talent and to motivate and reward our people in ways that are aligned with the long-term interests of our shareholders. This has been a long-standing objective of our pay-for-performance philosophy. We believe that the strong alignment of our employee compensation plans with performance has well-served our stakeholders, and our shareholders in particular. The strength of this alignment is regularly reviewed and monitored by the CPCC.</w:t>
      </w:r>
    </w:p>
    <w:p>
      <w:pPr>
        <w:spacing w:after="0" w:line="4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have systems in place to identify, monitor and control risks, making it difficult for a single individual or a group of individuals to expose the Company to material compensation risk.</w:t>
      </w:r>
    </w:p>
    <w:p>
      <w:pPr>
        <w:spacing w:after="0" w:line="7" w:lineRule="exact"/>
        <w:rPr>
          <w:rFonts w:ascii="Arial" w:cs="Arial" w:eastAsia="Arial" w:hAnsi="Arial"/>
          <w:sz w:val="16"/>
          <w:szCs w:val="16"/>
          <w:color w:val="auto"/>
        </w:rPr>
      </w:pPr>
    </w:p>
    <w:p>
      <w:pPr>
        <w:ind w:left="200" w:right="20" w:hanging="192"/>
        <w:spacing w:after="0" w:line="286" w:lineRule="auto"/>
        <w:tabs>
          <w:tab w:leader="none" w:pos="2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compensation program rewards both short- and long-term performance. Performance measures are predominantly team-oriented rather than individually focused and tied to measurable factors that are both transparent to shareholders and drivers of shareholder return.</w:t>
      </w:r>
    </w:p>
    <w:p>
      <w:pPr>
        <w:spacing w:after="0" w:line="7" w:lineRule="exact"/>
        <w:rPr>
          <w:rFonts w:ascii="Arial" w:cs="Arial" w:eastAsia="Arial" w:hAnsi="Arial"/>
          <w:sz w:val="16"/>
          <w:szCs w:val="16"/>
          <w:color w:val="auto"/>
        </w:rPr>
      </w:pPr>
    </w:p>
    <w:p>
      <w:pPr>
        <w:jc w:val="both"/>
        <w:ind w:left="200" w:right="20" w:hanging="192"/>
        <w:spacing w:after="0" w:line="266" w:lineRule="auto"/>
        <w:tabs>
          <w:tab w:leader="none" w:pos="2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compensation program balances the importance of achieving critical short-term objectives with a focus on realizing long-term strategic priorities. Strong stock ownership guidelines are in place for Company leaders, and mechanisms, such as an executive clawback policy, exist to address inappropriate rewards.</w:t>
      </w:r>
    </w:p>
    <w:p>
      <w:pPr>
        <w:spacing w:after="0" w:line="36"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CPCC is actively engaged in establishing compensation plans, monitoring these plans during the year and using discretion in making rewards, as necessary.</w:t>
      </w:r>
    </w:p>
    <w:p>
      <w:pPr>
        <w:spacing w:after="0" w:line="7"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has active and engaged oversight systems in place. The AFC and the full Board closely monitor and certify the performance that drives employee rewards through detailed and transparent financial reporting, which is in place to provide strong, timely insight into the performance of the Company.</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Based on this review, the CPCC believes the Company’s compensation plans do not encourage risk taking that is reasonably likely to have a material adverse effect on the Company.</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Executive Compensation Clawback Policy Applies to Performance-Based Pay</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February 2008, the Board adopted a formal executive compensation clawback policy that applies to any performance-based bonus, equity, equity equivalent or other incentive compensation awarded to an Executive Officer, beginning in that fiscal year. Under that policy, in the event of a material restatement of the Company’s financial results, the Board will review the circumstances that caused the restatement and consider accountability to determine whether an Executive Officer was negligent or engaged in misconduct. If so, and if the amount or vesting of an award would have been less had the financial statements been correct, the Board will seek to recover compensation from the Executive Officer as it deems appropriate. This policy is in addition to any requirements which might be imposed pursuant to applicable law.</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LTI Grants Are Effective On the First Day of the Open Trading Window</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CPCC approves annual equity-based awards at its annual February meeting, which is typically held approximately three weeks after fiscal year end. Annual grants are customarily effective on the first day of the Company’s next open trading window following CPCC approval. The CPCC may approve one-time equity-based grants to executives on other dates for reasons such as newly hired executives or for retention purposes. Such grants are generally effective on the first day of the Company’s next open trading window following approval by the CPCC.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1019810" cy="1289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Termination and Change in Control Provisions are CPCC-Directed</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Under our Nordstrom, Inc. Executive Severance Plan, eligible Executive Officers, including certain NEOs, are entitled to receive severance benefits upon involuntary termination of employment by the Company to assist in the transition from active employment. To be eligible to participate in the Plan upon involuntary termination, the NEO must have signed a non-competition and non-solicitation agreement. Prior to his appointment to Interim Chief Financial Officer and Chief Accounting Officer on December 5, 2022, Michael Maher was eligible, and remains eligible, for the Nordstrom, Inc. Executive Severance Plan, subject only to a non-solicitation agreement. Erik Nordstrom and Peter Nordstrom are not eligible for separation benefits under the Plan. Separation benefits are described in the Potential Payments Upon Termination or Change in Control section beginning on page </w:t>
      </w:r>
      <w:r>
        <w:rPr>
          <w:rFonts w:ascii="Arial" w:cs="Arial" w:eastAsia="Arial" w:hAnsi="Arial"/>
          <w:sz w:val="16"/>
          <w:szCs w:val="16"/>
          <w:u w:val="single" w:color="auto"/>
          <w:color w:val="0000EE"/>
        </w:rPr>
        <w:t>59</w:t>
      </w:r>
      <w:r>
        <w:rPr>
          <w:rFonts w:ascii="Arial" w:cs="Arial" w:eastAsia="Arial" w:hAnsi="Arial"/>
          <w:sz w:val="16"/>
          <w:szCs w:val="16"/>
          <w:color w:val="auto"/>
        </w:rPr>
        <w:t>.</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described in the same section, the NEOs are generally not entitled to any payment or accelerated benefit in connection with a change in control of the Company. However, the NEOs are entitled to accelerated vesting of equity if they experience a qualifying termination (termination by the Company without cause or termination by the executive for good reason) within 12 months following a change in control. Notwithstanding, if the successor corporation refuses to assume or substitute the award, then the CPCC shall provide for the cancellation of the vested portion of any such award in exchange for either an amount of cash (or stock, other securities or other property) and provide for the cancellation of the unvested portion of the award, if any, without payment of consideration.</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E295B"/>
        </w:rPr>
        <w:t>Tax and Accounting Considerations Underlie the Compensation Elements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CPCC recognizes the tax and regulatory factors that can influence the structure of executive compensation programs, including:</w:t>
      </w:r>
    </w:p>
    <w:p>
      <w:pPr>
        <w:spacing w:after="0" w:line="113" w:lineRule="exact"/>
        <w:rPr>
          <w:sz w:val="20"/>
          <w:szCs w:val="20"/>
          <w:color w:val="auto"/>
        </w:rPr>
      </w:pPr>
    </w:p>
    <w:p>
      <w:pPr>
        <w:jc w:val="both"/>
        <w:ind w:left="200" w:hanging="192"/>
        <w:spacing w:after="0" w:line="262" w:lineRule="auto"/>
        <w:tabs>
          <w:tab w:leader="none" w:pos="18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162(m) of the IRC, </w:t>
      </w:r>
      <w:r>
        <w:rPr>
          <w:rFonts w:ascii="Arial" w:cs="Arial" w:eastAsia="Arial" w:hAnsi="Arial"/>
          <w:sz w:val="16"/>
          <w:szCs w:val="16"/>
          <w:color w:val="auto"/>
        </w:rPr>
        <w:t>which disallows a tax deduction to public companies for annual compensation over $1 million paid to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which generally include NEOs. Certain performance-based compensation under arrangements in place as of November 2, 2017 are not subject to the limitation. Therefore, compensation in excess of $1 million paid to our NEOs is generally expected to be nondeductible by the Company.</w:t>
      </w:r>
    </w:p>
    <w:p>
      <w:pPr>
        <w:spacing w:after="0" w:line="220" w:lineRule="exact"/>
        <w:rPr>
          <w:rFonts w:ascii="Arial" w:cs="Arial" w:eastAsia="Arial" w:hAnsi="Arial"/>
          <w:sz w:val="16"/>
          <w:szCs w:val="16"/>
          <w:b w:val="1"/>
          <w:bCs w:val="1"/>
          <w:color w:val="auto"/>
        </w:rPr>
      </w:pPr>
    </w:p>
    <w:p>
      <w:pPr>
        <w:jc w:val="both"/>
        <w:ind w:left="200" w:hanging="192"/>
        <w:spacing w:after="0" w:line="275" w:lineRule="auto"/>
        <w:tabs>
          <w:tab w:leader="none" w:pos="18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FASB ASC 718, </w:t>
      </w:r>
      <w:r>
        <w:rPr>
          <w:rFonts w:ascii="Arial" w:cs="Arial" w:eastAsia="Arial" w:hAnsi="Arial"/>
          <w:sz w:val="16"/>
          <w:szCs w:val="16"/>
          <w:color w:val="auto"/>
        </w:rPr>
        <w:t>where stock options, PSUs and RSUs are accounted for based on their grant date fair value (see the notes to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contained within the Company’s 2022 Annual Report). The CPCC regularly considers the accounting implications of our equity-based awards.</w:t>
      </w:r>
    </w:p>
    <w:p>
      <w:pPr>
        <w:spacing w:after="0" w:line="212" w:lineRule="exact"/>
        <w:rPr>
          <w:rFonts w:ascii="Arial" w:cs="Arial" w:eastAsia="Arial" w:hAnsi="Arial"/>
          <w:sz w:val="16"/>
          <w:szCs w:val="16"/>
          <w:b w:val="1"/>
          <w:bCs w:val="1"/>
          <w:color w:val="auto"/>
        </w:rPr>
      </w:pPr>
    </w:p>
    <w:p>
      <w:pPr>
        <w:jc w:val="both"/>
        <w:ind w:left="200" w:hanging="192"/>
        <w:spacing w:after="0" w:line="266" w:lineRule="auto"/>
        <w:tabs>
          <w:tab w:leader="none" w:pos="18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of the IRC, </w:t>
      </w:r>
      <w:r>
        <w:rPr>
          <w:rFonts w:ascii="Arial" w:cs="Arial" w:eastAsia="Arial" w:hAnsi="Arial"/>
          <w:sz w:val="16"/>
          <w:szCs w:val="16"/>
          <w:color w:val="auto"/>
        </w:rPr>
        <w:t>the limitations of which primarily relate to the deferral and payment of benefits under the NDCP and SERP. The CPCC</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continues to consider the impact of Section 409A and in general, the evolving tax and regulatory landscape in which its compensation decisions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323215</wp:posOffset>
            </wp:positionV>
            <wp:extent cx="1020445" cy="128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Summary Compensation Table</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summarizes the total compensation paid or accrued by the Company for services provided by the NEOs for fiscal years ended January 28, 2023, January 29, 2022 and January 30, 2021. Neither Michael Maher nor Alexis DePree were NEOs in fiscal years 2021 and 2020, so no amounts are shown in these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Change in</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Pension Value</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and</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Nonqualified</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Non-Equity</w:t>
            </w: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Deferred</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Incentive Plan</w:t>
            </w: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Pr>
          <w:p>
            <w:pPr>
              <w:jc w:val="right"/>
              <w:ind w:right="88"/>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Name and Principal</w:t>
            </w: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Fiscal</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Salary</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Bonus</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Awards</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Awards</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Position</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Year</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($)(b)</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Erik B. Nordstrom</w:t>
            </w:r>
          </w:p>
        </w:tc>
        <w:tc>
          <w:tcPr>
            <w:tcW w:w="840" w:type="dxa"/>
            <w:vAlign w:val="bottom"/>
            <w:shd w:val="clear" w:color="auto" w:fill="DCDDDE"/>
          </w:tcPr>
          <w:p>
            <w:pPr>
              <w:jc w:val="right"/>
              <w:ind w:right="108"/>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758,500</w:t>
            </w:r>
          </w:p>
        </w:tc>
        <w:tc>
          <w:tcPr>
            <w:tcW w:w="6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1,592,844</w:t>
            </w:r>
          </w:p>
        </w:tc>
        <w:tc>
          <w:tcPr>
            <w:tcW w:w="92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1,061,890</w:t>
            </w:r>
          </w:p>
        </w:tc>
        <w:tc>
          <w:tcPr>
            <w:tcW w:w="128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57,748</w:t>
            </w:r>
          </w:p>
        </w:tc>
        <w:tc>
          <w:tcPr>
            <w:tcW w:w="820" w:type="dxa"/>
            <w:vAlign w:val="bottom"/>
            <w:shd w:val="clear" w:color="auto" w:fill="DCDDDE"/>
          </w:tcPr>
          <w:p>
            <w:pPr>
              <w:jc w:val="right"/>
              <w:spacing w:after="0"/>
              <w:rPr>
                <w:sz w:val="20"/>
                <w:szCs w:val="20"/>
                <w:color w:val="auto"/>
              </w:rPr>
            </w:pPr>
            <w:r>
              <w:rPr>
                <w:rFonts w:ascii="Arial" w:cs="Arial" w:eastAsia="Arial" w:hAnsi="Arial"/>
                <w:sz w:val="14"/>
                <w:szCs w:val="14"/>
                <w:color w:val="auto"/>
              </w:rPr>
              <w:t>3,470,982</w:t>
            </w:r>
          </w:p>
        </w:tc>
        <w:tc>
          <w:tcPr>
            <w:tcW w:w="0" w:type="dxa"/>
            <w:vAlign w:val="bottom"/>
          </w:tcPr>
          <w:p>
            <w:pPr>
              <w:spacing w:after="0"/>
              <w:rPr>
                <w:sz w:val="1"/>
                <w:szCs w:val="1"/>
                <w:color w:val="auto"/>
              </w:rPr>
            </w:pPr>
          </w:p>
        </w:tc>
      </w:tr>
      <w:tr>
        <w:trPr>
          <w:trHeight w:val="196"/>
        </w:trPr>
        <w:tc>
          <w:tcPr>
            <w:tcW w:w="2080" w:type="dxa"/>
            <w:vAlign w:val="bottom"/>
          </w:tcPr>
          <w:p>
            <w:pPr>
              <w:ind w:left="60"/>
              <w:spacing w:after="0"/>
              <w:rPr>
                <w:sz w:val="20"/>
                <w:szCs w:val="20"/>
                <w:color w:val="auto"/>
              </w:rPr>
            </w:pPr>
            <w:r>
              <w:rPr>
                <w:rFonts w:ascii="Arial" w:cs="Arial" w:eastAsia="Arial" w:hAnsi="Arial"/>
                <w:sz w:val="14"/>
                <w:szCs w:val="14"/>
                <w:color w:val="auto"/>
              </w:rPr>
              <w:t>Chief Executive Officer</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758,700</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3,699,999</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1,941,761</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44,686</w:t>
            </w:r>
          </w:p>
        </w:tc>
        <w:tc>
          <w:tcPr>
            <w:tcW w:w="820" w:type="dxa"/>
            <w:vAlign w:val="bottom"/>
          </w:tcPr>
          <w:p>
            <w:pPr>
              <w:jc w:val="right"/>
              <w:spacing w:after="0"/>
              <w:rPr>
                <w:sz w:val="20"/>
                <w:szCs w:val="20"/>
                <w:color w:val="auto"/>
              </w:rPr>
            </w:pPr>
            <w:r>
              <w:rPr>
                <w:rFonts w:ascii="Arial" w:cs="Arial" w:eastAsia="Arial" w:hAnsi="Arial"/>
                <w:sz w:val="14"/>
                <w:szCs w:val="14"/>
                <w:color w:val="auto"/>
              </w:rPr>
              <w:t>6,445,146</w:t>
            </w:r>
          </w:p>
        </w:tc>
        <w:tc>
          <w:tcPr>
            <w:tcW w:w="0" w:type="dxa"/>
            <w:vAlign w:val="bottom"/>
          </w:tcPr>
          <w:p>
            <w:pPr>
              <w:spacing w:after="0"/>
              <w:rPr>
                <w:sz w:val="1"/>
                <w:szCs w:val="1"/>
                <w:color w:val="auto"/>
              </w:rPr>
            </w:pPr>
          </w:p>
        </w:tc>
      </w:tr>
      <w:tr>
        <w:trPr>
          <w:trHeight w:val="290"/>
        </w:trPr>
        <w:tc>
          <w:tcPr>
            <w:tcW w:w="2080" w:type="dxa"/>
            <w:vAlign w:val="bottom"/>
          </w:tcPr>
          <w:p>
            <w:pPr>
              <w:spacing w:after="0"/>
              <w:rPr>
                <w:sz w:val="24"/>
                <w:szCs w:val="24"/>
                <w:color w:val="auto"/>
              </w:rPr>
            </w:pPr>
          </w:p>
        </w:tc>
        <w:tc>
          <w:tcPr>
            <w:tcW w:w="840" w:type="dxa"/>
            <w:vAlign w:val="bottom"/>
            <w:tcBorders>
              <w:bottom w:val="single" w:sz="8" w:color="DCDDDE"/>
            </w:tcBorders>
            <w:shd w:val="clear" w:color="auto" w:fill="DCDDDE"/>
          </w:tcPr>
          <w:p>
            <w:pPr>
              <w:jc w:val="right"/>
              <w:ind w:right="108"/>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367,419</w:t>
            </w:r>
          </w:p>
        </w:tc>
        <w:tc>
          <w:tcPr>
            <w:tcW w:w="66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CDDDE"/>
            </w:tcBorders>
            <w:shd w:val="clear" w:color="auto" w:fill="DCDDDE"/>
          </w:tcPr>
          <w:p>
            <w:pPr>
              <w:jc w:val="right"/>
              <w:ind w:right="68"/>
              <w:spacing w:after="0"/>
              <w:rPr>
                <w:sz w:val="20"/>
                <w:szCs w:val="20"/>
                <w:color w:val="auto"/>
              </w:rPr>
            </w:pPr>
            <w:r>
              <w:rPr>
                <w:rFonts w:ascii="Arial" w:cs="Arial" w:eastAsia="Arial" w:hAnsi="Arial"/>
                <w:sz w:val="14"/>
                <w:szCs w:val="14"/>
                <w:color w:val="auto"/>
              </w:rPr>
              <w:t>1,592,846</w:t>
            </w:r>
          </w:p>
        </w:tc>
        <w:tc>
          <w:tcPr>
            <w:tcW w:w="920" w:type="dxa"/>
            <w:vAlign w:val="bottom"/>
            <w:tcBorders>
              <w:bottom w:val="single" w:sz="8" w:color="DCDDDE"/>
            </w:tcBorders>
            <w:shd w:val="clear" w:color="auto" w:fill="DCDDDE"/>
          </w:tcPr>
          <w:p>
            <w:pPr>
              <w:jc w:val="right"/>
              <w:ind w:right="68"/>
              <w:spacing w:after="0"/>
              <w:rPr>
                <w:sz w:val="20"/>
                <w:szCs w:val="20"/>
                <w:color w:val="auto"/>
              </w:rPr>
            </w:pPr>
            <w:r>
              <w:rPr>
                <w:rFonts w:ascii="Arial" w:cs="Arial" w:eastAsia="Arial" w:hAnsi="Arial"/>
                <w:sz w:val="14"/>
                <w:szCs w:val="14"/>
                <w:color w:val="auto"/>
              </w:rPr>
              <w:t>2,654,740</w:t>
            </w:r>
          </w:p>
        </w:tc>
        <w:tc>
          <w:tcPr>
            <w:tcW w:w="128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CDDDE"/>
            </w:tcBorders>
            <w:shd w:val="clear" w:color="auto" w:fill="DCDDDE"/>
          </w:tcPr>
          <w:p>
            <w:pPr>
              <w:jc w:val="right"/>
              <w:ind w:right="88"/>
              <w:spacing w:after="0"/>
              <w:rPr>
                <w:sz w:val="20"/>
                <w:szCs w:val="20"/>
                <w:color w:val="auto"/>
              </w:rPr>
            </w:pPr>
            <w:r>
              <w:rPr>
                <w:rFonts w:ascii="Arial" w:cs="Arial" w:eastAsia="Arial" w:hAnsi="Arial"/>
                <w:sz w:val="14"/>
                <w:szCs w:val="14"/>
                <w:color w:val="auto"/>
              </w:rPr>
              <w:t>1,010,681</w:t>
            </w:r>
          </w:p>
        </w:tc>
        <w:tc>
          <w:tcPr>
            <w:tcW w:w="126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21,984</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5,647,670</w:t>
            </w:r>
          </w:p>
        </w:tc>
        <w:tc>
          <w:tcPr>
            <w:tcW w:w="0" w:type="dxa"/>
            <w:vAlign w:val="bottom"/>
          </w:tcPr>
          <w:p>
            <w:pPr>
              <w:spacing w:after="0"/>
              <w:rPr>
                <w:sz w:val="1"/>
                <w:szCs w:val="1"/>
                <w:color w:val="auto"/>
              </w:rPr>
            </w:pPr>
          </w:p>
        </w:tc>
      </w:tr>
      <w:tr>
        <w:trPr>
          <w:trHeight w:val="234"/>
        </w:trPr>
        <w:tc>
          <w:tcPr>
            <w:tcW w:w="20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Michael W. Maher</w:t>
            </w: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2022</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465,927</w:t>
            </w: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1,497,662</w:t>
            </w: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99,221</w:t>
            </w: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19,301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2,082,111</w:t>
            </w:r>
          </w:p>
        </w:tc>
        <w:tc>
          <w:tcPr>
            <w:tcW w:w="0" w:type="dxa"/>
            <w:vAlign w:val="bottom"/>
          </w:tcPr>
          <w:p>
            <w:pPr>
              <w:spacing w:after="0"/>
              <w:rPr>
                <w:sz w:val="1"/>
                <w:szCs w:val="1"/>
                <w:color w:val="auto"/>
              </w:rPr>
            </w:pPr>
          </w:p>
        </w:tc>
      </w:tr>
      <w:tr>
        <w:trPr>
          <w:trHeight w:val="168"/>
        </w:trPr>
        <w:tc>
          <w:tcPr>
            <w:tcW w:w="2080" w:type="dxa"/>
            <w:vAlign w:val="bottom"/>
          </w:tcPr>
          <w:p>
            <w:pPr>
              <w:ind w:left="60"/>
              <w:spacing w:after="0"/>
              <w:rPr>
                <w:sz w:val="20"/>
                <w:szCs w:val="20"/>
                <w:color w:val="auto"/>
              </w:rPr>
            </w:pPr>
            <w:r>
              <w:rPr>
                <w:rFonts w:ascii="Arial" w:cs="Arial" w:eastAsia="Arial" w:hAnsi="Arial"/>
                <w:sz w:val="14"/>
                <w:szCs w:val="14"/>
                <w:color w:val="auto"/>
              </w:rPr>
              <w:t>Interim Chief Financial</w:t>
            </w:r>
          </w:p>
        </w:tc>
        <w:tc>
          <w:tcPr>
            <w:tcW w:w="840" w:type="dxa"/>
            <w:vAlign w:val="bottom"/>
            <w:shd w:val="clear" w:color="auto" w:fill="DCDDDE"/>
          </w:tcPr>
          <w:p>
            <w:pPr>
              <w:spacing w:after="0"/>
              <w:rPr>
                <w:sz w:val="14"/>
                <w:szCs w:val="14"/>
                <w:color w:val="auto"/>
              </w:rPr>
            </w:pPr>
          </w:p>
        </w:tc>
        <w:tc>
          <w:tcPr>
            <w:tcW w:w="820" w:type="dxa"/>
            <w:vAlign w:val="bottom"/>
            <w:shd w:val="clear" w:color="auto" w:fill="DCDDDE"/>
          </w:tcPr>
          <w:p>
            <w:pPr>
              <w:spacing w:after="0"/>
              <w:rPr>
                <w:sz w:val="14"/>
                <w:szCs w:val="14"/>
                <w:color w:val="auto"/>
              </w:rPr>
            </w:pPr>
          </w:p>
        </w:tc>
        <w:tc>
          <w:tcPr>
            <w:tcW w:w="660" w:type="dxa"/>
            <w:vAlign w:val="bottom"/>
            <w:shd w:val="clear" w:color="auto" w:fill="DCDDDE"/>
          </w:tcPr>
          <w:p>
            <w:pPr>
              <w:spacing w:after="0"/>
              <w:rPr>
                <w:sz w:val="14"/>
                <w:szCs w:val="14"/>
                <w:color w:val="auto"/>
              </w:rPr>
            </w:pPr>
          </w:p>
        </w:tc>
        <w:tc>
          <w:tcPr>
            <w:tcW w:w="880" w:type="dxa"/>
            <w:vAlign w:val="bottom"/>
            <w:shd w:val="clear" w:color="auto" w:fill="DCDDDE"/>
          </w:tcPr>
          <w:p>
            <w:pPr>
              <w:spacing w:after="0"/>
              <w:rPr>
                <w:sz w:val="14"/>
                <w:szCs w:val="14"/>
                <w:color w:val="auto"/>
              </w:rPr>
            </w:pPr>
          </w:p>
        </w:tc>
        <w:tc>
          <w:tcPr>
            <w:tcW w:w="920" w:type="dxa"/>
            <w:vAlign w:val="bottom"/>
            <w:shd w:val="clear" w:color="auto" w:fill="DCDDDE"/>
          </w:tcPr>
          <w:p>
            <w:pPr>
              <w:spacing w:after="0"/>
              <w:rPr>
                <w:sz w:val="14"/>
                <w:szCs w:val="14"/>
                <w:color w:val="auto"/>
              </w:rPr>
            </w:pPr>
          </w:p>
        </w:tc>
        <w:tc>
          <w:tcPr>
            <w:tcW w:w="1280" w:type="dxa"/>
            <w:vAlign w:val="bottom"/>
            <w:shd w:val="clear" w:color="auto" w:fill="DCDDDE"/>
          </w:tcPr>
          <w:p>
            <w:pPr>
              <w:spacing w:after="0"/>
              <w:rPr>
                <w:sz w:val="14"/>
                <w:szCs w:val="14"/>
                <w:color w:val="auto"/>
              </w:rPr>
            </w:pPr>
          </w:p>
        </w:tc>
        <w:tc>
          <w:tcPr>
            <w:tcW w:w="1320" w:type="dxa"/>
            <w:vAlign w:val="bottom"/>
            <w:shd w:val="clear" w:color="auto" w:fill="DCDDDE"/>
          </w:tcPr>
          <w:p>
            <w:pPr>
              <w:spacing w:after="0"/>
              <w:rPr>
                <w:sz w:val="14"/>
                <w:szCs w:val="14"/>
                <w:color w:val="auto"/>
              </w:rPr>
            </w:pPr>
          </w:p>
        </w:tc>
        <w:tc>
          <w:tcPr>
            <w:tcW w:w="1260" w:type="dxa"/>
            <w:vAlign w:val="bottom"/>
            <w:shd w:val="clear" w:color="auto" w:fill="DCDDDE"/>
          </w:tcPr>
          <w:p>
            <w:pPr>
              <w:spacing w:after="0"/>
              <w:rPr>
                <w:sz w:val="14"/>
                <w:szCs w:val="14"/>
                <w:color w:val="auto"/>
              </w:rPr>
            </w:pPr>
          </w:p>
        </w:tc>
        <w:tc>
          <w:tcPr>
            <w:tcW w:w="82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60"/>
              <w:spacing w:after="0"/>
              <w:rPr>
                <w:sz w:val="20"/>
                <w:szCs w:val="20"/>
                <w:color w:val="auto"/>
              </w:rPr>
            </w:pPr>
            <w:r>
              <w:rPr>
                <w:rFonts w:ascii="Arial" w:cs="Arial" w:eastAsia="Arial" w:hAnsi="Arial"/>
                <w:sz w:val="14"/>
                <w:szCs w:val="14"/>
                <w:color w:val="auto"/>
              </w:rPr>
              <w:t>Officer and Chief</w:t>
            </w:r>
          </w:p>
        </w:tc>
        <w:tc>
          <w:tcPr>
            <w:tcW w:w="840" w:type="dxa"/>
            <w:vAlign w:val="bottom"/>
            <w:shd w:val="clear" w:color="auto" w:fill="DCDDDE"/>
          </w:tcPr>
          <w:p>
            <w:pPr>
              <w:spacing w:after="0"/>
              <w:rPr>
                <w:sz w:val="14"/>
                <w:szCs w:val="14"/>
                <w:color w:val="auto"/>
              </w:rPr>
            </w:pPr>
          </w:p>
        </w:tc>
        <w:tc>
          <w:tcPr>
            <w:tcW w:w="820" w:type="dxa"/>
            <w:vAlign w:val="bottom"/>
            <w:shd w:val="clear" w:color="auto" w:fill="DCDDDE"/>
          </w:tcPr>
          <w:p>
            <w:pPr>
              <w:spacing w:after="0"/>
              <w:rPr>
                <w:sz w:val="14"/>
                <w:szCs w:val="14"/>
                <w:color w:val="auto"/>
              </w:rPr>
            </w:pPr>
          </w:p>
        </w:tc>
        <w:tc>
          <w:tcPr>
            <w:tcW w:w="660" w:type="dxa"/>
            <w:vAlign w:val="bottom"/>
            <w:shd w:val="clear" w:color="auto" w:fill="DCDDDE"/>
          </w:tcPr>
          <w:p>
            <w:pPr>
              <w:spacing w:after="0"/>
              <w:rPr>
                <w:sz w:val="14"/>
                <w:szCs w:val="14"/>
                <w:color w:val="auto"/>
              </w:rPr>
            </w:pPr>
          </w:p>
        </w:tc>
        <w:tc>
          <w:tcPr>
            <w:tcW w:w="880" w:type="dxa"/>
            <w:vAlign w:val="bottom"/>
            <w:shd w:val="clear" w:color="auto" w:fill="DCDDDE"/>
          </w:tcPr>
          <w:p>
            <w:pPr>
              <w:spacing w:after="0"/>
              <w:rPr>
                <w:sz w:val="14"/>
                <w:szCs w:val="14"/>
                <w:color w:val="auto"/>
              </w:rPr>
            </w:pPr>
          </w:p>
        </w:tc>
        <w:tc>
          <w:tcPr>
            <w:tcW w:w="920" w:type="dxa"/>
            <w:vAlign w:val="bottom"/>
            <w:shd w:val="clear" w:color="auto" w:fill="DCDDDE"/>
          </w:tcPr>
          <w:p>
            <w:pPr>
              <w:spacing w:after="0"/>
              <w:rPr>
                <w:sz w:val="14"/>
                <w:szCs w:val="14"/>
                <w:color w:val="auto"/>
              </w:rPr>
            </w:pPr>
          </w:p>
        </w:tc>
        <w:tc>
          <w:tcPr>
            <w:tcW w:w="1280" w:type="dxa"/>
            <w:vAlign w:val="bottom"/>
            <w:shd w:val="clear" w:color="auto" w:fill="DCDDDE"/>
          </w:tcPr>
          <w:p>
            <w:pPr>
              <w:spacing w:after="0"/>
              <w:rPr>
                <w:sz w:val="14"/>
                <w:szCs w:val="14"/>
                <w:color w:val="auto"/>
              </w:rPr>
            </w:pPr>
          </w:p>
        </w:tc>
        <w:tc>
          <w:tcPr>
            <w:tcW w:w="1320" w:type="dxa"/>
            <w:vAlign w:val="bottom"/>
            <w:shd w:val="clear" w:color="auto" w:fill="DCDDDE"/>
          </w:tcPr>
          <w:p>
            <w:pPr>
              <w:spacing w:after="0"/>
              <w:rPr>
                <w:sz w:val="14"/>
                <w:szCs w:val="14"/>
                <w:color w:val="auto"/>
              </w:rPr>
            </w:pPr>
          </w:p>
        </w:tc>
        <w:tc>
          <w:tcPr>
            <w:tcW w:w="1260" w:type="dxa"/>
            <w:vAlign w:val="bottom"/>
            <w:shd w:val="clear" w:color="auto" w:fill="DCDDDE"/>
          </w:tcPr>
          <w:p>
            <w:pPr>
              <w:spacing w:after="0"/>
              <w:rPr>
                <w:sz w:val="14"/>
                <w:szCs w:val="14"/>
                <w:color w:val="auto"/>
              </w:rPr>
            </w:pPr>
          </w:p>
        </w:tc>
        <w:tc>
          <w:tcPr>
            <w:tcW w:w="82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8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840" w:type="dxa"/>
            <w:vAlign w:val="bottom"/>
            <w:tcBorders>
              <w:bottom w:val="single" w:sz="8" w:color="DCDDDE"/>
            </w:tcBorders>
            <w:shd w:val="clear" w:color="auto" w:fill="DCDDDE"/>
          </w:tcPr>
          <w:p>
            <w:pPr>
              <w:spacing w:after="0"/>
              <w:rPr>
                <w:sz w:val="18"/>
                <w:szCs w:val="18"/>
                <w:color w:val="auto"/>
              </w:rPr>
            </w:pPr>
          </w:p>
        </w:tc>
        <w:tc>
          <w:tcPr>
            <w:tcW w:w="820" w:type="dxa"/>
            <w:vAlign w:val="bottom"/>
            <w:tcBorders>
              <w:bottom w:val="single" w:sz="8" w:color="DCDDDE"/>
            </w:tcBorders>
            <w:shd w:val="clear" w:color="auto" w:fill="DCDDDE"/>
          </w:tcPr>
          <w:p>
            <w:pPr>
              <w:spacing w:after="0"/>
              <w:rPr>
                <w:sz w:val="18"/>
                <w:szCs w:val="18"/>
                <w:color w:val="auto"/>
              </w:rPr>
            </w:pPr>
          </w:p>
        </w:tc>
        <w:tc>
          <w:tcPr>
            <w:tcW w:w="660" w:type="dxa"/>
            <w:vAlign w:val="bottom"/>
            <w:tcBorders>
              <w:bottom w:val="single" w:sz="8" w:color="DCDDDE"/>
            </w:tcBorders>
            <w:shd w:val="clear" w:color="auto" w:fill="DCDDDE"/>
          </w:tcPr>
          <w:p>
            <w:pPr>
              <w:spacing w:after="0"/>
              <w:rPr>
                <w:sz w:val="18"/>
                <w:szCs w:val="18"/>
                <w:color w:val="auto"/>
              </w:rPr>
            </w:pPr>
          </w:p>
        </w:tc>
        <w:tc>
          <w:tcPr>
            <w:tcW w:w="880" w:type="dxa"/>
            <w:vAlign w:val="bottom"/>
            <w:tcBorders>
              <w:bottom w:val="single" w:sz="8" w:color="DCDDDE"/>
            </w:tcBorders>
            <w:shd w:val="clear" w:color="auto" w:fill="DCDDDE"/>
          </w:tcPr>
          <w:p>
            <w:pPr>
              <w:spacing w:after="0"/>
              <w:rPr>
                <w:sz w:val="18"/>
                <w:szCs w:val="18"/>
                <w:color w:val="auto"/>
              </w:rPr>
            </w:pPr>
          </w:p>
        </w:tc>
        <w:tc>
          <w:tcPr>
            <w:tcW w:w="920" w:type="dxa"/>
            <w:vAlign w:val="bottom"/>
            <w:tcBorders>
              <w:bottom w:val="single" w:sz="8" w:color="DCDDDE"/>
            </w:tcBorders>
            <w:shd w:val="clear" w:color="auto" w:fill="DCDDDE"/>
          </w:tcPr>
          <w:p>
            <w:pPr>
              <w:spacing w:after="0"/>
              <w:rPr>
                <w:sz w:val="18"/>
                <w:szCs w:val="18"/>
                <w:color w:val="auto"/>
              </w:rPr>
            </w:pPr>
          </w:p>
        </w:tc>
        <w:tc>
          <w:tcPr>
            <w:tcW w:w="1280" w:type="dxa"/>
            <w:vAlign w:val="bottom"/>
            <w:tcBorders>
              <w:bottom w:val="single" w:sz="8" w:color="DCDDDE"/>
            </w:tcBorders>
            <w:shd w:val="clear" w:color="auto" w:fill="DCDDDE"/>
          </w:tcPr>
          <w:p>
            <w:pPr>
              <w:spacing w:after="0"/>
              <w:rPr>
                <w:sz w:val="18"/>
                <w:szCs w:val="18"/>
                <w:color w:val="auto"/>
              </w:rPr>
            </w:pPr>
          </w:p>
        </w:tc>
        <w:tc>
          <w:tcPr>
            <w:tcW w:w="1320" w:type="dxa"/>
            <w:vAlign w:val="bottom"/>
            <w:tcBorders>
              <w:bottom w:val="single" w:sz="8" w:color="DCDDDE"/>
            </w:tcBorders>
            <w:shd w:val="clear" w:color="auto" w:fill="DCDDDE"/>
          </w:tcPr>
          <w:p>
            <w:pPr>
              <w:spacing w:after="0"/>
              <w:rPr>
                <w:sz w:val="18"/>
                <w:szCs w:val="18"/>
                <w:color w:val="auto"/>
              </w:rPr>
            </w:pPr>
          </w:p>
        </w:tc>
        <w:tc>
          <w:tcPr>
            <w:tcW w:w="1260" w:type="dxa"/>
            <w:vAlign w:val="bottom"/>
            <w:tcBorders>
              <w:bottom w:val="single" w:sz="8" w:color="DCDDDE"/>
            </w:tcBorders>
            <w:shd w:val="clear" w:color="auto" w:fill="DCDDDE"/>
          </w:tcPr>
          <w:p>
            <w:pPr>
              <w:spacing w:after="0"/>
              <w:rPr>
                <w:sz w:val="18"/>
                <w:szCs w:val="18"/>
                <w:color w:val="auto"/>
              </w:rPr>
            </w:pPr>
          </w:p>
        </w:tc>
        <w:tc>
          <w:tcPr>
            <w:tcW w:w="820" w:type="dxa"/>
            <w:vAlign w:val="bottom"/>
            <w:tcBorders>
              <w:bottom w:val="single" w:sz="8" w:color="DCDDDE"/>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Peter E. Nordstrom</w:t>
            </w: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2022</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758,500</w:t>
            </w: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1,592,844</w:t>
            </w: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1,061,890</w:t>
            </w: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64,534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3,477,768</w:t>
            </w:r>
          </w:p>
        </w:tc>
        <w:tc>
          <w:tcPr>
            <w:tcW w:w="0" w:type="dxa"/>
            <w:vAlign w:val="bottom"/>
          </w:tcPr>
          <w:p>
            <w:pPr>
              <w:spacing w:after="0"/>
              <w:rPr>
                <w:sz w:val="1"/>
                <w:szCs w:val="1"/>
                <w:color w:val="auto"/>
              </w:rPr>
            </w:pPr>
          </w:p>
        </w:tc>
      </w:tr>
      <w:tr>
        <w:trPr>
          <w:trHeight w:val="198"/>
        </w:trPr>
        <w:tc>
          <w:tcPr>
            <w:tcW w:w="2080" w:type="dxa"/>
            <w:vAlign w:val="bottom"/>
          </w:tcPr>
          <w:p>
            <w:pPr>
              <w:ind w:left="60"/>
              <w:spacing w:after="0"/>
              <w:rPr>
                <w:sz w:val="20"/>
                <w:szCs w:val="20"/>
                <w:color w:val="auto"/>
              </w:rPr>
            </w:pPr>
            <w:r>
              <w:rPr>
                <w:rFonts w:ascii="Arial" w:cs="Arial" w:eastAsia="Arial" w:hAnsi="Arial"/>
                <w:sz w:val="14"/>
                <w:szCs w:val="14"/>
                <w:color w:val="auto"/>
              </w:rPr>
              <w:t>President &amp; Chief Brand</w:t>
            </w:r>
          </w:p>
        </w:tc>
        <w:tc>
          <w:tcPr>
            <w:tcW w:w="840" w:type="dxa"/>
            <w:vAlign w:val="bottom"/>
            <w:tcBorders>
              <w:bottom w:val="single" w:sz="8" w:color="DCDDDE"/>
            </w:tcBorders>
            <w:shd w:val="clear" w:color="auto" w:fill="DCDDDE"/>
          </w:tcPr>
          <w:p>
            <w:pPr>
              <w:jc w:val="right"/>
              <w:ind w:right="108"/>
              <w:spacing w:after="0"/>
              <w:rPr>
                <w:sz w:val="20"/>
                <w:szCs w:val="20"/>
                <w:color w:val="auto"/>
              </w:rPr>
            </w:pPr>
            <w:r>
              <w:rPr>
                <w:rFonts w:ascii="Arial" w:cs="Arial" w:eastAsia="Arial" w:hAnsi="Arial"/>
                <w:sz w:val="14"/>
                <w:szCs w:val="14"/>
                <w:color w:val="auto"/>
              </w:rPr>
              <w:t>2021</w:t>
            </w:r>
          </w:p>
        </w:tc>
        <w:tc>
          <w:tcPr>
            <w:tcW w:w="82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758,700</w:t>
            </w:r>
          </w:p>
        </w:tc>
        <w:tc>
          <w:tcPr>
            <w:tcW w:w="66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CDDDE"/>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shd w:val="clear" w:color="auto" w:fill="DCDDDE"/>
          </w:tcPr>
          <w:p>
            <w:pPr>
              <w:jc w:val="right"/>
              <w:ind w:right="68"/>
              <w:spacing w:after="0"/>
              <w:rPr>
                <w:sz w:val="20"/>
                <w:szCs w:val="20"/>
                <w:color w:val="auto"/>
              </w:rPr>
            </w:pPr>
            <w:r>
              <w:rPr>
                <w:rFonts w:ascii="Arial" w:cs="Arial" w:eastAsia="Arial" w:hAnsi="Arial"/>
                <w:sz w:val="14"/>
                <w:szCs w:val="14"/>
                <w:color w:val="auto"/>
              </w:rPr>
              <w:t>3,699,999</w:t>
            </w:r>
          </w:p>
        </w:tc>
        <w:tc>
          <w:tcPr>
            <w:tcW w:w="128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1,941,761</w:t>
            </w:r>
          </w:p>
        </w:tc>
        <w:tc>
          <w:tcPr>
            <w:tcW w:w="1320" w:type="dxa"/>
            <w:vAlign w:val="bottom"/>
            <w:tcBorders>
              <w:bottom w:val="single" w:sz="8" w:color="DCDDDE"/>
            </w:tcBorders>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56,475</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6,456,935</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tcPr>
          <w:p>
            <w:pPr>
              <w:ind w:left="60"/>
              <w:spacing w:after="0" w:line="141" w:lineRule="exact"/>
              <w:rPr>
                <w:sz w:val="20"/>
                <w:szCs w:val="20"/>
                <w:color w:val="auto"/>
              </w:rPr>
            </w:pPr>
            <w:r>
              <w:rPr>
                <w:rFonts w:ascii="Arial" w:cs="Arial" w:eastAsia="Arial" w:hAnsi="Arial"/>
                <w:sz w:val="14"/>
                <w:szCs w:val="14"/>
                <w:color w:val="auto"/>
              </w:rPr>
              <w:t>Officer</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367,419</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1,592,846</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2,654,740</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1,055,774</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24,849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5,695,628</w:t>
            </w:r>
          </w:p>
        </w:tc>
        <w:tc>
          <w:tcPr>
            <w:tcW w:w="0" w:type="dxa"/>
            <w:vAlign w:val="bottom"/>
          </w:tcPr>
          <w:p>
            <w:pPr>
              <w:spacing w:after="0"/>
              <w:rPr>
                <w:sz w:val="1"/>
                <w:szCs w:val="1"/>
                <w:color w:val="auto"/>
              </w:rPr>
            </w:pPr>
          </w:p>
        </w:tc>
      </w:tr>
      <w:tr>
        <w:trPr>
          <w:trHeight w:val="256"/>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Kenneth J. Worzel</w:t>
            </w:r>
          </w:p>
        </w:tc>
        <w:tc>
          <w:tcPr>
            <w:tcW w:w="840" w:type="dxa"/>
            <w:vAlign w:val="bottom"/>
            <w:shd w:val="clear" w:color="auto" w:fill="DCDDDE"/>
          </w:tcPr>
          <w:p>
            <w:pPr>
              <w:jc w:val="right"/>
              <w:ind w:right="108"/>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895,000</w:t>
            </w:r>
          </w:p>
        </w:tc>
        <w:tc>
          <w:tcPr>
            <w:tcW w:w="6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1,342,500</w:t>
            </w:r>
          </w:p>
        </w:tc>
        <w:tc>
          <w:tcPr>
            <w:tcW w:w="92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894,992</w:t>
            </w:r>
          </w:p>
        </w:tc>
        <w:tc>
          <w:tcPr>
            <w:tcW w:w="128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32,053</w:t>
            </w:r>
          </w:p>
        </w:tc>
        <w:tc>
          <w:tcPr>
            <w:tcW w:w="820" w:type="dxa"/>
            <w:vAlign w:val="bottom"/>
            <w:shd w:val="clear" w:color="auto" w:fill="DCDDDE"/>
          </w:tcPr>
          <w:p>
            <w:pPr>
              <w:jc w:val="right"/>
              <w:spacing w:after="0"/>
              <w:rPr>
                <w:sz w:val="20"/>
                <w:szCs w:val="20"/>
                <w:color w:val="auto"/>
              </w:rPr>
            </w:pPr>
            <w:r>
              <w:rPr>
                <w:rFonts w:ascii="Arial" w:cs="Arial" w:eastAsia="Arial" w:hAnsi="Arial"/>
                <w:sz w:val="14"/>
                <w:szCs w:val="14"/>
                <w:color w:val="auto"/>
              </w:rPr>
              <w:t>3,164,545</w:t>
            </w:r>
          </w:p>
        </w:tc>
        <w:tc>
          <w:tcPr>
            <w:tcW w:w="0" w:type="dxa"/>
            <w:vAlign w:val="bottom"/>
          </w:tcPr>
          <w:p>
            <w:pPr>
              <w:spacing w:after="0"/>
              <w:rPr>
                <w:sz w:val="1"/>
                <w:szCs w:val="1"/>
                <w:color w:val="auto"/>
              </w:rPr>
            </w:pPr>
          </w:p>
        </w:tc>
      </w:tr>
      <w:tr>
        <w:trPr>
          <w:trHeight w:val="196"/>
        </w:trPr>
        <w:tc>
          <w:tcPr>
            <w:tcW w:w="2080" w:type="dxa"/>
            <w:vAlign w:val="bottom"/>
          </w:tcPr>
          <w:p>
            <w:pPr>
              <w:ind w:left="60"/>
              <w:spacing w:after="0"/>
              <w:rPr>
                <w:sz w:val="20"/>
                <w:szCs w:val="20"/>
                <w:color w:val="auto"/>
              </w:rPr>
            </w:pPr>
            <w:r>
              <w:rPr>
                <w:rFonts w:ascii="Arial" w:cs="Arial" w:eastAsia="Arial" w:hAnsi="Arial"/>
                <w:sz w:val="14"/>
                <w:szCs w:val="14"/>
                <w:color w:val="auto"/>
              </w:rPr>
              <w:t>Chief Customer Officer</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892,123</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1,443,737</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962,494</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1,427,077</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1,389,900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32,195</w:t>
            </w:r>
          </w:p>
        </w:tc>
        <w:tc>
          <w:tcPr>
            <w:tcW w:w="820" w:type="dxa"/>
            <w:vAlign w:val="bottom"/>
          </w:tcPr>
          <w:p>
            <w:pPr>
              <w:jc w:val="right"/>
              <w:spacing w:after="0"/>
              <w:rPr>
                <w:sz w:val="20"/>
                <w:szCs w:val="20"/>
                <w:color w:val="auto"/>
              </w:rPr>
            </w:pPr>
            <w:r>
              <w:rPr>
                <w:rFonts w:ascii="Arial" w:cs="Arial" w:eastAsia="Arial" w:hAnsi="Arial"/>
                <w:sz w:val="14"/>
                <w:szCs w:val="14"/>
                <w:color w:val="auto"/>
              </w:rPr>
              <w:t>6,147,526</w:t>
            </w:r>
          </w:p>
        </w:tc>
        <w:tc>
          <w:tcPr>
            <w:tcW w:w="0" w:type="dxa"/>
            <w:vAlign w:val="bottom"/>
          </w:tcPr>
          <w:p>
            <w:pPr>
              <w:spacing w:after="0"/>
              <w:rPr>
                <w:sz w:val="1"/>
                <w:szCs w:val="1"/>
                <w:color w:val="auto"/>
              </w:rPr>
            </w:pPr>
          </w:p>
        </w:tc>
      </w:tr>
      <w:tr>
        <w:trPr>
          <w:trHeight w:val="290"/>
        </w:trPr>
        <w:tc>
          <w:tcPr>
            <w:tcW w:w="2080" w:type="dxa"/>
            <w:vAlign w:val="bottom"/>
          </w:tcPr>
          <w:p>
            <w:pPr>
              <w:spacing w:after="0"/>
              <w:rPr>
                <w:sz w:val="24"/>
                <w:szCs w:val="24"/>
                <w:color w:val="auto"/>
              </w:rPr>
            </w:pPr>
          </w:p>
        </w:tc>
        <w:tc>
          <w:tcPr>
            <w:tcW w:w="840" w:type="dxa"/>
            <w:vAlign w:val="bottom"/>
            <w:tcBorders>
              <w:bottom w:val="single" w:sz="8" w:color="DCDDDE"/>
            </w:tcBorders>
            <w:shd w:val="clear" w:color="auto" w:fill="DCDDDE"/>
          </w:tcPr>
          <w:p>
            <w:pPr>
              <w:jc w:val="right"/>
              <w:ind w:right="108"/>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764,597</w:t>
            </w:r>
          </w:p>
        </w:tc>
        <w:tc>
          <w:tcPr>
            <w:tcW w:w="66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CDDDE"/>
            </w:tcBorders>
            <w:shd w:val="clear" w:color="auto" w:fill="DCDDDE"/>
          </w:tcPr>
          <w:p>
            <w:pPr>
              <w:jc w:val="right"/>
              <w:ind w:right="68"/>
              <w:spacing w:after="0"/>
              <w:rPr>
                <w:sz w:val="20"/>
                <w:szCs w:val="20"/>
                <w:color w:val="auto"/>
              </w:rPr>
            </w:pPr>
            <w:r>
              <w:rPr>
                <w:rFonts w:ascii="Arial" w:cs="Arial" w:eastAsia="Arial" w:hAnsi="Arial"/>
                <w:sz w:val="14"/>
                <w:szCs w:val="14"/>
                <w:color w:val="auto"/>
              </w:rPr>
              <w:t>2,624,977</w:t>
            </w:r>
          </w:p>
        </w:tc>
        <w:tc>
          <w:tcPr>
            <w:tcW w:w="920" w:type="dxa"/>
            <w:vAlign w:val="bottom"/>
            <w:tcBorders>
              <w:bottom w:val="single" w:sz="8" w:color="DCDDDE"/>
            </w:tcBorders>
            <w:shd w:val="clear" w:color="auto" w:fill="DCDDDE"/>
          </w:tcPr>
          <w:p>
            <w:pPr>
              <w:jc w:val="right"/>
              <w:ind w:right="68"/>
              <w:spacing w:after="0"/>
              <w:rPr>
                <w:sz w:val="20"/>
                <w:szCs w:val="20"/>
                <w:color w:val="auto"/>
              </w:rPr>
            </w:pPr>
            <w:r>
              <w:rPr>
                <w:rFonts w:ascii="Arial" w:cs="Arial" w:eastAsia="Arial" w:hAnsi="Arial"/>
                <w:sz w:val="14"/>
                <w:szCs w:val="14"/>
                <w:color w:val="auto"/>
              </w:rPr>
              <w:t>2,374,996</w:t>
            </w:r>
          </w:p>
        </w:tc>
        <w:tc>
          <w:tcPr>
            <w:tcW w:w="128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CDDDE"/>
            </w:tcBorders>
            <w:shd w:val="clear" w:color="auto" w:fill="DCDDDE"/>
          </w:tcPr>
          <w:p>
            <w:pPr>
              <w:jc w:val="right"/>
              <w:ind w:right="88"/>
              <w:spacing w:after="0"/>
              <w:rPr>
                <w:sz w:val="20"/>
                <w:szCs w:val="20"/>
                <w:color w:val="auto"/>
              </w:rPr>
            </w:pPr>
            <w:r>
              <w:rPr>
                <w:rFonts w:ascii="Arial" w:cs="Arial" w:eastAsia="Arial" w:hAnsi="Arial"/>
                <w:sz w:val="14"/>
                <w:szCs w:val="14"/>
                <w:color w:val="auto"/>
              </w:rPr>
              <w:t>864,312</w:t>
            </w:r>
          </w:p>
        </w:tc>
        <w:tc>
          <w:tcPr>
            <w:tcW w:w="126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18,367</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6,647,249</w:t>
            </w:r>
          </w:p>
        </w:tc>
        <w:tc>
          <w:tcPr>
            <w:tcW w:w="0" w:type="dxa"/>
            <w:vAlign w:val="bottom"/>
          </w:tcPr>
          <w:p>
            <w:pPr>
              <w:spacing w:after="0"/>
              <w:rPr>
                <w:sz w:val="1"/>
                <w:szCs w:val="1"/>
                <w:color w:val="auto"/>
              </w:rPr>
            </w:pPr>
          </w:p>
        </w:tc>
      </w:tr>
      <w:tr>
        <w:trPr>
          <w:trHeight w:val="235"/>
        </w:trPr>
        <w:tc>
          <w:tcPr>
            <w:tcW w:w="20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Alexis DePree</w:t>
            </w: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2022</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627,115</w:t>
            </w: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1,512,974</w:t>
            </w: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341,992</w:t>
            </w: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17,127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2,499,208</w:t>
            </w:r>
          </w:p>
        </w:tc>
        <w:tc>
          <w:tcPr>
            <w:tcW w:w="0" w:type="dxa"/>
            <w:vAlign w:val="bottom"/>
          </w:tcPr>
          <w:p>
            <w:pPr>
              <w:spacing w:after="0"/>
              <w:rPr>
                <w:sz w:val="1"/>
                <w:szCs w:val="1"/>
                <w:color w:val="auto"/>
              </w:rPr>
            </w:pPr>
          </w:p>
        </w:tc>
      </w:tr>
      <w:tr>
        <w:trPr>
          <w:trHeight w:val="299"/>
        </w:trPr>
        <w:tc>
          <w:tcPr>
            <w:tcW w:w="2080" w:type="dxa"/>
            <w:vAlign w:val="bottom"/>
          </w:tcPr>
          <w:p>
            <w:pPr>
              <w:ind w:left="60"/>
              <w:spacing w:after="0"/>
              <w:rPr>
                <w:sz w:val="20"/>
                <w:szCs w:val="20"/>
                <w:color w:val="auto"/>
              </w:rPr>
            </w:pPr>
            <w:r>
              <w:rPr>
                <w:rFonts w:ascii="Arial" w:cs="Arial" w:eastAsia="Arial" w:hAnsi="Arial"/>
                <w:sz w:val="14"/>
                <w:szCs w:val="14"/>
                <w:color w:val="auto"/>
              </w:rPr>
              <w:t>Chief Supply Chain Officer</w:t>
            </w:r>
          </w:p>
        </w:tc>
        <w:tc>
          <w:tcPr>
            <w:tcW w:w="840" w:type="dxa"/>
            <w:vAlign w:val="bottom"/>
            <w:tcBorders>
              <w:bottom w:val="single" w:sz="8" w:color="DCDDDE"/>
            </w:tcBorders>
            <w:shd w:val="clear" w:color="auto" w:fill="DCDDDE"/>
          </w:tcPr>
          <w:p>
            <w:pPr>
              <w:spacing w:after="0"/>
              <w:rPr>
                <w:sz w:val="24"/>
                <w:szCs w:val="24"/>
                <w:color w:val="auto"/>
              </w:rPr>
            </w:pPr>
          </w:p>
        </w:tc>
        <w:tc>
          <w:tcPr>
            <w:tcW w:w="820" w:type="dxa"/>
            <w:vAlign w:val="bottom"/>
            <w:tcBorders>
              <w:bottom w:val="single" w:sz="8" w:color="DCDDDE"/>
            </w:tcBorders>
            <w:shd w:val="clear" w:color="auto" w:fill="DCDDDE"/>
          </w:tcPr>
          <w:p>
            <w:pPr>
              <w:spacing w:after="0"/>
              <w:rPr>
                <w:sz w:val="24"/>
                <w:szCs w:val="24"/>
                <w:color w:val="auto"/>
              </w:rPr>
            </w:pPr>
          </w:p>
        </w:tc>
        <w:tc>
          <w:tcPr>
            <w:tcW w:w="660" w:type="dxa"/>
            <w:vAlign w:val="bottom"/>
            <w:tcBorders>
              <w:bottom w:val="single" w:sz="8" w:color="DCDDDE"/>
            </w:tcBorders>
            <w:shd w:val="clear" w:color="auto" w:fill="DCDDDE"/>
          </w:tcPr>
          <w:p>
            <w:pPr>
              <w:spacing w:after="0"/>
              <w:rPr>
                <w:sz w:val="24"/>
                <w:szCs w:val="24"/>
                <w:color w:val="auto"/>
              </w:rPr>
            </w:pPr>
          </w:p>
        </w:tc>
        <w:tc>
          <w:tcPr>
            <w:tcW w:w="880" w:type="dxa"/>
            <w:vAlign w:val="bottom"/>
            <w:tcBorders>
              <w:bottom w:val="single" w:sz="8" w:color="DCDDDE"/>
            </w:tcBorders>
            <w:shd w:val="clear" w:color="auto" w:fill="DCDDDE"/>
          </w:tcPr>
          <w:p>
            <w:pPr>
              <w:spacing w:after="0"/>
              <w:rPr>
                <w:sz w:val="24"/>
                <w:szCs w:val="24"/>
                <w:color w:val="auto"/>
              </w:rPr>
            </w:pPr>
          </w:p>
        </w:tc>
        <w:tc>
          <w:tcPr>
            <w:tcW w:w="920" w:type="dxa"/>
            <w:vAlign w:val="bottom"/>
            <w:tcBorders>
              <w:bottom w:val="single" w:sz="8" w:color="DCDDDE"/>
            </w:tcBorders>
            <w:shd w:val="clear" w:color="auto" w:fill="DCDDDE"/>
          </w:tcPr>
          <w:p>
            <w:pPr>
              <w:spacing w:after="0"/>
              <w:rPr>
                <w:sz w:val="24"/>
                <w:szCs w:val="24"/>
                <w:color w:val="auto"/>
              </w:rPr>
            </w:pPr>
          </w:p>
        </w:tc>
        <w:tc>
          <w:tcPr>
            <w:tcW w:w="1280" w:type="dxa"/>
            <w:vAlign w:val="bottom"/>
            <w:tcBorders>
              <w:bottom w:val="single" w:sz="8" w:color="DCDDDE"/>
            </w:tcBorders>
            <w:shd w:val="clear" w:color="auto" w:fill="DCDDDE"/>
          </w:tcPr>
          <w:p>
            <w:pPr>
              <w:spacing w:after="0"/>
              <w:rPr>
                <w:sz w:val="24"/>
                <w:szCs w:val="24"/>
                <w:color w:val="auto"/>
              </w:rPr>
            </w:pPr>
          </w:p>
        </w:tc>
        <w:tc>
          <w:tcPr>
            <w:tcW w:w="1320" w:type="dxa"/>
            <w:vAlign w:val="bottom"/>
            <w:tcBorders>
              <w:bottom w:val="single" w:sz="8" w:color="DCDDDE"/>
            </w:tcBorders>
            <w:shd w:val="clear" w:color="auto" w:fill="DCDDDE"/>
          </w:tcPr>
          <w:p>
            <w:pPr>
              <w:spacing w:after="0"/>
              <w:rPr>
                <w:sz w:val="24"/>
                <w:szCs w:val="24"/>
                <w:color w:val="auto"/>
              </w:rPr>
            </w:pPr>
          </w:p>
        </w:tc>
        <w:tc>
          <w:tcPr>
            <w:tcW w:w="1260" w:type="dxa"/>
            <w:vAlign w:val="bottom"/>
            <w:tcBorders>
              <w:bottom w:val="single" w:sz="8" w:color="DCDDDE"/>
            </w:tcBorders>
            <w:shd w:val="clear" w:color="auto" w:fill="DCDDDE"/>
          </w:tcPr>
          <w:p>
            <w:pPr>
              <w:spacing w:after="0"/>
              <w:rPr>
                <w:sz w:val="24"/>
                <w:szCs w:val="24"/>
                <w:color w:val="auto"/>
              </w:rPr>
            </w:pPr>
          </w:p>
        </w:tc>
        <w:tc>
          <w:tcPr>
            <w:tcW w:w="820" w:type="dxa"/>
            <w:vAlign w:val="bottom"/>
            <w:tcBorders>
              <w:bottom w:val="single" w:sz="8" w:color="DCDDDE"/>
            </w:tcBorders>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Anne L. Bramman</w:t>
            </w: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2022</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710,385</w:t>
            </w: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1,222,499</w:t>
            </w: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814,997</w:t>
            </w: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128,304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2,876,185</w:t>
            </w:r>
          </w:p>
        </w:tc>
        <w:tc>
          <w:tcPr>
            <w:tcW w:w="0" w:type="dxa"/>
            <w:vAlign w:val="bottom"/>
          </w:tcPr>
          <w:p>
            <w:pPr>
              <w:spacing w:after="0"/>
              <w:rPr>
                <w:sz w:val="1"/>
                <w:szCs w:val="1"/>
                <w:color w:val="auto"/>
              </w:rPr>
            </w:pPr>
          </w:p>
        </w:tc>
      </w:tr>
      <w:tr>
        <w:trPr>
          <w:trHeight w:val="198"/>
        </w:trPr>
        <w:tc>
          <w:tcPr>
            <w:tcW w:w="2080" w:type="dxa"/>
            <w:vAlign w:val="bottom"/>
          </w:tcPr>
          <w:p>
            <w:pPr>
              <w:ind w:left="60"/>
              <w:spacing w:after="0"/>
              <w:rPr>
                <w:sz w:val="20"/>
                <w:szCs w:val="20"/>
                <w:color w:val="auto"/>
              </w:rPr>
            </w:pPr>
            <w:r>
              <w:rPr>
                <w:rFonts w:ascii="Arial" w:cs="Arial" w:eastAsia="Arial" w:hAnsi="Arial"/>
                <w:sz w:val="14"/>
                <w:szCs w:val="14"/>
                <w:color w:val="auto"/>
              </w:rPr>
              <w:t>Former Chief Financial</w:t>
            </w:r>
          </w:p>
        </w:tc>
        <w:tc>
          <w:tcPr>
            <w:tcW w:w="840" w:type="dxa"/>
            <w:vAlign w:val="bottom"/>
            <w:tcBorders>
              <w:bottom w:val="single" w:sz="8" w:color="DCDDDE"/>
            </w:tcBorders>
            <w:shd w:val="clear" w:color="auto" w:fill="DCDDDE"/>
          </w:tcPr>
          <w:p>
            <w:pPr>
              <w:jc w:val="right"/>
              <w:ind w:right="108"/>
              <w:spacing w:after="0"/>
              <w:rPr>
                <w:sz w:val="20"/>
                <w:szCs w:val="20"/>
                <w:color w:val="auto"/>
              </w:rPr>
            </w:pPr>
            <w:r>
              <w:rPr>
                <w:rFonts w:ascii="Arial" w:cs="Arial" w:eastAsia="Arial" w:hAnsi="Arial"/>
                <w:sz w:val="14"/>
                <w:szCs w:val="14"/>
                <w:color w:val="auto"/>
              </w:rPr>
              <w:t>2021</w:t>
            </w:r>
          </w:p>
        </w:tc>
        <w:tc>
          <w:tcPr>
            <w:tcW w:w="82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812,892</w:t>
            </w:r>
          </w:p>
        </w:tc>
        <w:tc>
          <w:tcPr>
            <w:tcW w:w="66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CDDDE"/>
            </w:tcBorders>
            <w:shd w:val="clear" w:color="auto" w:fill="DCDDDE"/>
          </w:tcPr>
          <w:p>
            <w:pPr>
              <w:jc w:val="right"/>
              <w:ind w:right="68"/>
              <w:spacing w:after="0"/>
              <w:rPr>
                <w:sz w:val="20"/>
                <w:szCs w:val="20"/>
                <w:color w:val="auto"/>
              </w:rPr>
            </w:pPr>
            <w:r>
              <w:rPr>
                <w:rFonts w:ascii="Arial" w:cs="Arial" w:eastAsia="Arial" w:hAnsi="Arial"/>
                <w:sz w:val="14"/>
                <w:szCs w:val="14"/>
                <w:color w:val="auto"/>
              </w:rPr>
              <w:t>1,319,977</w:t>
            </w:r>
          </w:p>
        </w:tc>
        <w:tc>
          <w:tcPr>
            <w:tcW w:w="920" w:type="dxa"/>
            <w:vAlign w:val="bottom"/>
            <w:tcBorders>
              <w:bottom w:val="single" w:sz="8" w:color="DCDDDE"/>
            </w:tcBorders>
            <w:shd w:val="clear" w:color="auto" w:fill="DCDDDE"/>
          </w:tcPr>
          <w:p>
            <w:pPr>
              <w:jc w:val="right"/>
              <w:ind w:right="68"/>
              <w:spacing w:after="0"/>
              <w:rPr>
                <w:sz w:val="20"/>
                <w:szCs w:val="20"/>
                <w:color w:val="auto"/>
              </w:rPr>
            </w:pPr>
            <w:r>
              <w:rPr>
                <w:rFonts w:ascii="Arial" w:cs="Arial" w:eastAsia="Arial" w:hAnsi="Arial"/>
                <w:sz w:val="14"/>
                <w:szCs w:val="14"/>
                <w:color w:val="auto"/>
              </w:rPr>
              <w:t>879,995</w:t>
            </w:r>
          </w:p>
        </w:tc>
        <w:tc>
          <w:tcPr>
            <w:tcW w:w="128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1,040,246</w:t>
            </w:r>
          </w:p>
        </w:tc>
        <w:tc>
          <w:tcPr>
            <w:tcW w:w="1320" w:type="dxa"/>
            <w:vAlign w:val="bottom"/>
            <w:tcBorders>
              <w:bottom w:val="single" w:sz="8" w:color="DCDDDE"/>
            </w:tcBorders>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CDDDE"/>
            </w:tcBorders>
            <w:shd w:val="clear" w:color="auto" w:fill="DCDDDE"/>
          </w:tcPr>
          <w:p>
            <w:pPr>
              <w:jc w:val="right"/>
              <w:ind w:right="48"/>
              <w:spacing w:after="0"/>
              <w:rPr>
                <w:sz w:val="20"/>
                <w:szCs w:val="20"/>
                <w:color w:val="auto"/>
              </w:rPr>
            </w:pPr>
            <w:r>
              <w:rPr>
                <w:rFonts w:ascii="Arial" w:cs="Arial" w:eastAsia="Arial" w:hAnsi="Arial"/>
                <w:sz w:val="14"/>
                <w:szCs w:val="14"/>
                <w:color w:val="auto"/>
              </w:rPr>
              <w:t>24,679</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color w:val="auto"/>
              </w:rPr>
              <w:t>4,077,789</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tcPr>
          <w:p>
            <w:pPr>
              <w:ind w:left="60"/>
              <w:spacing w:after="0" w:line="141" w:lineRule="exact"/>
              <w:rPr>
                <w:sz w:val="20"/>
                <w:szCs w:val="20"/>
                <w:color w:val="auto"/>
              </w:rPr>
            </w:pPr>
            <w:r>
              <w:rPr>
                <w:rFonts w:ascii="Arial" w:cs="Arial" w:eastAsia="Arial" w:hAnsi="Arial"/>
                <w:sz w:val="14"/>
                <w:szCs w:val="14"/>
                <w:color w:val="auto"/>
              </w:rPr>
              <w:t>Officer</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699,231</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1,999,988</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1,824,997</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4,538,627</w:t>
            </w:r>
          </w:p>
        </w:tc>
        <w:tc>
          <w:tcPr>
            <w:tcW w:w="0" w:type="dxa"/>
            <w:vAlign w:val="bottom"/>
          </w:tcPr>
          <w:p>
            <w:pPr>
              <w:spacing w:after="0"/>
              <w:rPr>
                <w:sz w:val="1"/>
                <w:szCs w:val="1"/>
                <w:color w:val="auto"/>
              </w:rPr>
            </w:pPr>
          </w:p>
        </w:tc>
      </w:tr>
      <w:tr>
        <w:trPr>
          <w:trHeight w:val="256"/>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Edmond Mesrobian</w:t>
            </w:r>
          </w:p>
        </w:tc>
        <w:tc>
          <w:tcPr>
            <w:tcW w:w="840" w:type="dxa"/>
            <w:vAlign w:val="bottom"/>
            <w:shd w:val="clear" w:color="auto" w:fill="DCDDDE"/>
          </w:tcPr>
          <w:p>
            <w:pPr>
              <w:jc w:val="right"/>
              <w:ind w:right="108"/>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578,365</w:t>
            </w:r>
          </w:p>
        </w:tc>
        <w:tc>
          <w:tcPr>
            <w:tcW w:w="6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1,569,965</w:t>
            </w:r>
          </w:p>
        </w:tc>
        <w:tc>
          <w:tcPr>
            <w:tcW w:w="920" w:type="dxa"/>
            <w:vAlign w:val="bottom"/>
            <w:shd w:val="clear" w:color="auto" w:fill="DCDDDE"/>
          </w:tcPr>
          <w:p>
            <w:pPr>
              <w:jc w:val="right"/>
              <w:ind w:right="68"/>
              <w:spacing w:after="0"/>
              <w:rPr>
                <w:sz w:val="20"/>
                <w:szCs w:val="20"/>
                <w:color w:val="auto"/>
              </w:rPr>
            </w:pPr>
            <w:r>
              <w:rPr>
                <w:rFonts w:ascii="Arial" w:cs="Arial" w:eastAsia="Arial" w:hAnsi="Arial"/>
                <w:sz w:val="14"/>
                <w:szCs w:val="14"/>
                <w:color w:val="auto"/>
              </w:rPr>
              <w:t>479,998</w:t>
            </w:r>
          </w:p>
        </w:tc>
        <w:tc>
          <w:tcPr>
            <w:tcW w:w="128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CDDDE"/>
          </w:tcPr>
          <w:p>
            <w:pPr>
              <w:jc w:val="right"/>
              <w:ind w:right="48"/>
              <w:spacing w:after="0"/>
              <w:rPr>
                <w:sz w:val="20"/>
                <w:szCs w:val="20"/>
                <w:color w:val="auto"/>
              </w:rPr>
            </w:pPr>
            <w:r>
              <w:rPr>
                <w:rFonts w:ascii="Arial" w:cs="Arial" w:eastAsia="Arial" w:hAnsi="Arial"/>
                <w:sz w:val="14"/>
                <w:szCs w:val="14"/>
                <w:color w:val="auto"/>
              </w:rPr>
              <w:t>1,741,026</w:t>
            </w:r>
          </w:p>
        </w:tc>
        <w:tc>
          <w:tcPr>
            <w:tcW w:w="820" w:type="dxa"/>
            <w:vAlign w:val="bottom"/>
            <w:shd w:val="clear" w:color="auto" w:fill="DCDDDE"/>
          </w:tcPr>
          <w:p>
            <w:pPr>
              <w:jc w:val="right"/>
              <w:spacing w:after="0"/>
              <w:rPr>
                <w:sz w:val="20"/>
                <w:szCs w:val="20"/>
                <w:color w:val="auto"/>
              </w:rPr>
            </w:pPr>
            <w:r>
              <w:rPr>
                <w:rFonts w:ascii="Arial" w:cs="Arial" w:eastAsia="Arial" w:hAnsi="Arial"/>
                <w:sz w:val="14"/>
                <w:szCs w:val="14"/>
                <w:color w:val="auto"/>
              </w:rPr>
              <w:t>4,369,354</w:t>
            </w:r>
          </w:p>
        </w:tc>
        <w:tc>
          <w:tcPr>
            <w:tcW w:w="0" w:type="dxa"/>
            <w:vAlign w:val="bottom"/>
          </w:tcPr>
          <w:p>
            <w:pPr>
              <w:spacing w:after="0"/>
              <w:rPr>
                <w:sz w:val="1"/>
                <w:szCs w:val="1"/>
                <w:color w:val="auto"/>
              </w:rPr>
            </w:pPr>
          </w:p>
        </w:tc>
      </w:tr>
      <w:tr>
        <w:trPr>
          <w:trHeight w:val="153"/>
        </w:trPr>
        <w:tc>
          <w:tcPr>
            <w:tcW w:w="2080" w:type="dxa"/>
            <w:vAlign w:val="bottom"/>
          </w:tcPr>
          <w:p>
            <w:pPr>
              <w:ind w:left="60"/>
              <w:spacing w:after="0" w:line="153" w:lineRule="exact"/>
              <w:rPr>
                <w:sz w:val="20"/>
                <w:szCs w:val="20"/>
                <w:color w:val="auto"/>
              </w:rPr>
            </w:pPr>
            <w:r>
              <w:rPr>
                <w:rFonts w:ascii="Arial" w:cs="Arial" w:eastAsia="Arial" w:hAnsi="Arial"/>
                <w:sz w:val="14"/>
                <w:szCs w:val="14"/>
                <w:color w:val="auto"/>
              </w:rPr>
              <w:t>Former Chief Technology &amp;</w:t>
            </w:r>
          </w:p>
        </w:tc>
        <w:tc>
          <w:tcPr>
            <w:tcW w:w="84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2021</w:t>
            </w:r>
          </w:p>
        </w:tc>
        <w:tc>
          <w:tcPr>
            <w:tcW w:w="8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827,123</w:t>
            </w:r>
          </w:p>
        </w:tc>
        <w:tc>
          <w:tcPr>
            <w:tcW w:w="6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line="153" w:lineRule="exact"/>
              <w:rPr>
                <w:sz w:val="20"/>
                <w:szCs w:val="20"/>
                <w:color w:val="auto"/>
              </w:rPr>
            </w:pPr>
            <w:r>
              <w:rPr>
                <w:rFonts w:ascii="Arial" w:cs="Arial" w:eastAsia="Arial" w:hAnsi="Arial"/>
                <w:sz w:val="14"/>
                <w:szCs w:val="14"/>
                <w:color w:val="auto"/>
              </w:rPr>
              <w:t>1,394,971</w:t>
            </w:r>
          </w:p>
        </w:tc>
        <w:tc>
          <w:tcPr>
            <w:tcW w:w="920" w:type="dxa"/>
            <w:vAlign w:val="bottom"/>
          </w:tcPr>
          <w:p>
            <w:pPr>
              <w:jc w:val="right"/>
              <w:ind w:right="68"/>
              <w:spacing w:after="0" w:line="153" w:lineRule="exact"/>
              <w:rPr>
                <w:sz w:val="20"/>
                <w:szCs w:val="20"/>
                <w:color w:val="auto"/>
              </w:rPr>
            </w:pPr>
            <w:r>
              <w:rPr>
                <w:rFonts w:ascii="Arial" w:cs="Arial" w:eastAsia="Arial" w:hAnsi="Arial"/>
                <w:sz w:val="14"/>
                <w:szCs w:val="14"/>
                <w:color w:val="auto"/>
              </w:rPr>
              <w:t>929,995</w:t>
            </w:r>
          </w:p>
        </w:tc>
        <w:tc>
          <w:tcPr>
            <w:tcW w:w="1280" w:type="dxa"/>
            <w:vAlign w:val="bottom"/>
          </w:tcPr>
          <w:p>
            <w:pPr>
              <w:jc w:val="right"/>
              <w:ind w:right="48"/>
              <w:spacing w:after="0" w:line="153" w:lineRule="exact"/>
              <w:rPr>
                <w:sz w:val="20"/>
                <w:szCs w:val="20"/>
                <w:color w:val="auto"/>
              </w:rPr>
            </w:pPr>
            <w:r>
              <w:rPr>
                <w:rFonts w:ascii="Arial" w:cs="Arial" w:eastAsia="Arial" w:hAnsi="Arial"/>
                <w:sz w:val="14"/>
                <w:szCs w:val="14"/>
                <w:color w:val="auto"/>
              </w:rPr>
              <w:t>815,262</w:t>
            </w:r>
          </w:p>
        </w:tc>
        <w:tc>
          <w:tcPr>
            <w:tcW w:w="1320" w:type="dxa"/>
            <w:vAlign w:val="bottom"/>
          </w:tcPr>
          <w:p>
            <w:pPr>
              <w:jc w:val="right"/>
              <w:ind w:right="88"/>
              <w:spacing w:after="0" w:line="153"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12,158</w:t>
            </w:r>
          </w:p>
        </w:tc>
        <w:tc>
          <w:tcPr>
            <w:tcW w:w="820" w:type="dxa"/>
            <w:vAlign w:val="bottom"/>
          </w:tcPr>
          <w:p>
            <w:pPr>
              <w:jc w:val="right"/>
              <w:spacing w:after="0" w:line="153" w:lineRule="exact"/>
              <w:rPr>
                <w:sz w:val="20"/>
                <w:szCs w:val="20"/>
                <w:color w:val="auto"/>
              </w:rPr>
            </w:pPr>
            <w:r>
              <w:rPr>
                <w:rFonts w:ascii="Arial" w:cs="Arial" w:eastAsia="Arial" w:hAnsi="Arial"/>
                <w:sz w:val="14"/>
                <w:szCs w:val="14"/>
                <w:color w:val="auto"/>
              </w:rPr>
              <w:t>3,979,509</w:t>
            </w:r>
          </w:p>
        </w:tc>
        <w:tc>
          <w:tcPr>
            <w:tcW w:w="0" w:type="dxa"/>
            <w:vAlign w:val="bottom"/>
          </w:tcPr>
          <w:p>
            <w:pPr>
              <w:spacing w:after="0"/>
              <w:rPr>
                <w:sz w:val="1"/>
                <w:szCs w:val="1"/>
                <w:color w:val="auto"/>
              </w:rPr>
            </w:pPr>
          </w:p>
        </w:tc>
      </w:tr>
      <w:tr>
        <w:trPr>
          <w:trHeight w:val="50"/>
        </w:trPr>
        <w:tc>
          <w:tcPr>
            <w:tcW w:w="2080" w:type="dxa"/>
            <w:vAlign w:val="bottom"/>
            <w:vMerge w:val="restart"/>
          </w:tcPr>
          <w:p>
            <w:pPr>
              <w:ind w:left="60"/>
              <w:spacing w:after="0"/>
              <w:rPr>
                <w:sz w:val="20"/>
                <w:szCs w:val="20"/>
                <w:color w:val="auto"/>
              </w:rPr>
            </w:pPr>
            <w:r>
              <w:rPr>
                <w:rFonts w:ascii="Arial" w:cs="Arial" w:eastAsia="Arial" w:hAnsi="Arial"/>
                <w:sz w:val="14"/>
                <w:szCs w:val="14"/>
                <w:color w:val="auto"/>
              </w:rPr>
              <w:t>Information Officer</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shd w:val="clear" w:color="auto" w:fill="DCDDDE"/>
          </w:tcPr>
          <w:p>
            <w:pPr>
              <w:jc w:val="right"/>
              <w:ind w:right="108"/>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auto"/>
            </w:tcBorders>
            <w:shd w:val="clear" w:color="auto" w:fill="DCDDDE"/>
          </w:tcPr>
          <w:p>
            <w:pPr>
              <w:jc w:val="right"/>
              <w:ind w:right="48"/>
              <w:spacing w:after="0"/>
              <w:rPr>
                <w:sz w:val="20"/>
                <w:szCs w:val="20"/>
                <w:color w:val="auto"/>
              </w:rPr>
            </w:pPr>
            <w:r>
              <w:rPr>
                <w:rFonts w:ascii="Arial" w:cs="Arial" w:eastAsia="Arial" w:hAnsi="Arial"/>
                <w:sz w:val="14"/>
                <w:szCs w:val="14"/>
                <w:color w:val="auto"/>
              </w:rPr>
              <w:t>677,214</w:t>
            </w:r>
          </w:p>
        </w:tc>
        <w:tc>
          <w:tcPr>
            <w:tcW w:w="660" w:type="dxa"/>
            <w:vAlign w:val="bottom"/>
            <w:tcBorders>
              <w:bottom w:val="single" w:sz="8" w:color="auto"/>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CDDDE"/>
          </w:tcPr>
          <w:p>
            <w:pPr>
              <w:jc w:val="right"/>
              <w:ind w:right="68"/>
              <w:spacing w:after="0"/>
              <w:rPr>
                <w:sz w:val="20"/>
                <w:szCs w:val="20"/>
                <w:color w:val="auto"/>
              </w:rPr>
            </w:pPr>
            <w:r>
              <w:rPr>
                <w:rFonts w:ascii="Arial" w:cs="Arial" w:eastAsia="Arial" w:hAnsi="Arial"/>
                <w:sz w:val="14"/>
                <w:szCs w:val="14"/>
                <w:color w:val="auto"/>
              </w:rPr>
              <w:t>1,549,973</w:t>
            </w:r>
          </w:p>
        </w:tc>
        <w:tc>
          <w:tcPr>
            <w:tcW w:w="920" w:type="dxa"/>
            <w:vAlign w:val="bottom"/>
            <w:tcBorders>
              <w:bottom w:val="single" w:sz="8" w:color="auto"/>
            </w:tcBorders>
            <w:shd w:val="clear" w:color="auto" w:fill="DCDDDE"/>
          </w:tcPr>
          <w:p>
            <w:pPr>
              <w:jc w:val="right"/>
              <w:ind w:right="68"/>
              <w:spacing w:after="0"/>
              <w:rPr>
                <w:sz w:val="20"/>
                <w:szCs w:val="20"/>
                <w:color w:val="auto"/>
              </w:rPr>
            </w:pPr>
            <w:r>
              <w:rPr>
                <w:rFonts w:ascii="Arial" w:cs="Arial" w:eastAsia="Arial" w:hAnsi="Arial"/>
                <w:sz w:val="14"/>
                <w:szCs w:val="14"/>
                <w:color w:val="auto"/>
              </w:rPr>
              <w:t>1,374,995</w:t>
            </w:r>
          </w:p>
        </w:tc>
        <w:tc>
          <w:tcPr>
            <w:tcW w:w="1280" w:type="dxa"/>
            <w:vAlign w:val="bottom"/>
            <w:tcBorders>
              <w:bottom w:val="single" w:sz="8" w:color="auto"/>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DCDDDE"/>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CDDDE"/>
          </w:tcPr>
          <w:p>
            <w:pPr>
              <w:jc w:val="right"/>
              <w:ind w:right="48"/>
              <w:spacing w:after="0"/>
              <w:rPr>
                <w:sz w:val="20"/>
                <w:szCs w:val="20"/>
                <w:color w:val="auto"/>
              </w:rPr>
            </w:pPr>
            <w:r>
              <w:rPr>
                <w:rFonts w:ascii="Arial" w:cs="Arial" w:eastAsia="Arial" w:hAnsi="Arial"/>
                <w:sz w:val="14"/>
                <w:szCs w:val="14"/>
                <w:color w:val="auto"/>
              </w:rPr>
              <w:t>7,917</w:t>
            </w:r>
          </w:p>
        </w:tc>
        <w:tc>
          <w:tcPr>
            <w:tcW w:w="8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color w:val="auto"/>
              </w:rPr>
              <w:t>3,610,099</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Salary</w:t>
      </w:r>
    </w:p>
    <w:p>
      <w:pPr>
        <w:spacing w:after="0" w:line="10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amounts shown represent base salary earned during the fiscal year. The numbers shown for all fiscal years vary somewhat from annual base salaries due to the fact that our fiscal year ends on the Saturday nearest to January 31st and salary increases are generally effective on or about April 1st of each year. The 2022 base salaries were $758,500 each for Erik Nordstrom and Peter Nordstrom, and $895,000 for Kenneth Worzel. Michael Maher’s base salary increased from $441,000 to $456,435 on March 27, 2022 and from $456,435 to $525,000 on November 27, 2022. Alexis DePree’s base salary increased from $570,000 to $595,000 on March 27, 2022 and from $595,000 to $650,000 on June 5, 2022. Anne Bramman’s base salary increased from $815,000 to $845,000 on March 27, 2022. Edmond Mesrobian’s base salary increased from $800,000 to $825,000 on June 5, 2022. The 2022 base salaries shown for Anne Bramman and Edmond Mesrobian reflects a partial year of base salary as they left the Company on December 2, 2022 and October 14, 2022, respectively. Neither Michael Maher nor Alexis DePree were NEOs prior to fiscal year 2022. The 2022 base salaries are described on page </w:t>
      </w:r>
      <w:r>
        <w:rPr>
          <w:rFonts w:ascii="Arial" w:cs="Arial" w:eastAsia="Arial" w:hAnsi="Arial"/>
          <w:sz w:val="16"/>
          <w:szCs w:val="16"/>
          <w:u w:val="single" w:color="auto"/>
          <w:color w:val="0000EE"/>
        </w:rPr>
        <w:t>41</w:t>
      </w:r>
      <w:r>
        <w:rPr>
          <w:rFonts w:ascii="Arial" w:cs="Arial" w:eastAsia="Arial" w:hAnsi="Arial"/>
          <w:sz w:val="16"/>
          <w:szCs w:val="16"/>
          <w:color w:val="auto"/>
        </w:rPr>
        <w:t>.</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Kenneth Worzel elected to defer 10% of his base salary earned during calendar year 2022 and calendar year 2023 into the NDCP. Anne Bramman elected to defer 10% of her base salary earned during calendar year 2022 into the NDCP. Due to the timing of our fiscal year ends, $86,058 and $74,173 were attributed to fiscal year 2022 deferrals for Kenneth Worzel and Anne Bramman, respectively, as reported in the Fiscal Year 2022 Nonqualified Deferred Compensation Table on page </w:t>
      </w:r>
      <w:r>
        <w:rPr>
          <w:rFonts w:ascii="Arial" w:cs="Arial" w:eastAsia="Arial" w:hAnsi="Arial"/>
          <w:sz w:val="16"/>
          <w:szCs w:val="16"/>
          <w:u w:val="single" w:color="auto"/>
          <w:color w:val="0000EE"/>
        </w:rPr>
        <w:t>58</w:t>
      </w:r>
      <w:r>
        <w:rPr>
          <w:rFonts w:ascii="Arial" w:cs="Arial" w:eastAsia="Arial" w:hAnsi="Arial"/>
          <w:sz w:val="16"/>
          <w:szCs w:val="16"/>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Each of the NEOs contributed a portion of their base salary earned during fiscal year 2022 to the 401(k) Plan.</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amounts reported for fiscal year 2020 reflect the reduced base salaries of the NEOs, as part of the Company’s response to business impacts from the COVID-19 pandemic. Base salaries were reduced from March 29, 2020 to October 3, 2020, as follows: Erik Nordstrom and Peter Nordstrom received no base salary, while Kenneth Worzel, Anne Bramman and Edmond Mesrobian received a 25% base salary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1019810" cy="1200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Bonus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This column refers to one-time payments not made under the EMBP. No amounts were paid to NEOs.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 Stock Awards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amounts reported reflect the grant date fair value of PSUs and RSUs granted during the fiscal year under the 2019 EIP. The amounts reported are not the value actually received.</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The value the NEOs will ultimately receive from their 2022 PSUs will depend on the performance requirements and the market price of Common Stock at the end of the three year performance cycle. In fiscal year 2022, PSUs were granted to all NEOs, except for Michael Maher who was appointed Interim Chief Financial Officer and Chief Accounting Officer on December 5, 2022. The amounts reported were calculated in accordance with ASC 718 and reflect the grant date fair value at target (100%). The minimum number of PSUs that can be earned at the end of the three-year performance cycle is 75% and the maximum is 150%. The grant date fair value for the PSUs awarded to Erik Nordstrom, Peter Nordstrom, Kenneth Worzel, Alexis DePree, Anne Bramman and Edmond Mesrobian at the maximum payout of 150% is $2,389,266, $2,389,266, $2,013,750, $769,493, $1,833,749 and $1,079,973, respectively. See column (c) of the Grants of Plan-Based Awards in Fiscal Year 2022 table on page </w:t>
      </w:r>
      <w:r>
        <w:rPr>
          <w:rFonts w:ascii="Arial" w:cs="Arial" w:eastAsia="Arial" w:hAnsi="Arial"/>
          <w:sz w:val="16"/>
          <w:szCs w:val="16"/>
          <w:u w:val="single" w:color="auto"/>
          <w:color w:val="0000EE"/>
        </w:rPr>
        <w:t>51</w:t>
      </w:r>
      <w:r>
        <w:rPr>
          <w:rFonts w:ascii="Arial" w:cs="Arial" w:eastAsia="Arial" w:hAnsi="Arial"/>
          <w:sz w:val="16"/>
          <w:szCs w:val="16"/>
          <w:color w:val="auto"/>
        </w:rPr>
        <w:t xml:space="preserve"> for the number of PSUs granted in fiscal year 2022. No PSU amounts are reported for fiscal year 2021 as the Company did not award PSUs during the fiscal year. The PSU amounts reported in fiscal year 2020 reflects grants of PSUs that were subsequently cancelled 6 months later as part of the Company’s response to COVID-19. The cancelled PSU grants to Erik Nordstrom and Peter Nordstrom each had a grant date fair value of $1,592,846. The cancelled PSU grants to Kenneth Worzel, Anne Bramman, and Edmond Mesrobian had a grant date fair value of $1,574,982, $1,199,989 and $929,983, respectively.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value the NEOs may receive from their RSUs will depend on whether the time-based vesting requirement is met and the market price of Common Stock on the vesting date. In fiscal year 2022, RSUs were granted to Michael Maher, Alexis DePree and Edmond Mesrobian. The amounts reported were calculated in accordance with ASC 718. See column (d) of the Grants of Plan-Based Awards in Fiscal Year 2022 table on page </w:t>
      </w:r>
      <w:r>
        <w:rPr>
          <w:rFonts w:ascii="Arial" w:cs="Arial" w:eastAsia="Arial" w:hAnsi="Arial"/>
          <w:sz w:val="16"/>
          <w:szCs w:val="16"/>
          <w:u w:val="single" w:color="auto"/>
          <w:color w:val="0000EE"/>
        </w:rPr>
        <w:t>51</w:t>
      </w:r>
      <w:r>
        <w:rPr>
          <w:rFonts w:ascii="Arial" w:cs="Arial" w:eastAsia="Arial" w:hAnsi="Arial"/>
          <w:sz w:val="16"/>
          <w:szCs w:val="16"/>
          <w:color w:val="auto"/>
        </w:rPr>
        <w:t xml:space="preserve"> for the number of RSUs granted in fiscal year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(d) Option Awards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amounts reported reflect the grant date fair value of stock options granted during the fiscal year under the 2019 EIP. This is not the value received. The NEOs will only realize value from stock options if the market price of Common Stock is higher than the exercise price of the stock options at the time of exercise. The amounts reported were calculated in accordance with ASC 718. See column (e) of the Grants of Plan-Based Awards in Fiscal Year 2022 table on page </w:t>
      </w:r>
      <w:r>
        <w:rPr>
          <w:rFonts w:ascii="Arial" w:cs="Arial" w:eastAsia="Arial" w:hAnsi="Arial"/>
          <w:sz w:val="16"/>
          <w:szCs w:val="16"/>
          <w:u w:val="single" w:color="auto"/>
          <w:color w:val="0000EE"/>
        </w:rPr>
        <w:t>51</w:t>
      </w:r>
      <w:r>
        <w:rPr>
          <w:rFonts w:ascii="Arial" w:cs="Arial" w:eastAsia="Arial" w:hAnsi="Arial"/>
          <w:sz w:val="16"/>
          <w:szCs w:val="16"/>
          <w:color w:val="auto"/>
        </w:rPr>
        <w:t xml:space="preserve"> for the number of stock options granted in fiscal year 2022.</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Assumptions used in the calculation of these amounts are included in the notes to the financial statements contained within the Company’s 2022 Annual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(e) Non-Equity Incentive Plan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amounts reported reflect the annual performance-based cash awards under the EMBP, as described on page </w:t>
      </w:r>
      <w:r>
        <w:rPr>
          <w:rFonts w:ascii="Arial" w:cs="Arial" w:eastAsia="Arial" w:hAnsi="Arial"/>
          <w:sz w:val="16"/>
          <w:szCs w:val="16"/>
          <w:u w:val="single" w:color="auto"/>
          <w:color w:val="0000EE"/>
        </w:rPr>
        <w:t>42</w:t>
      </w:r>
      <w:r>
        <w:rPr>
          <w:rFonts w:ascii="Arial" w:cs="Arial" w:eastAsia="Arial" w:hAnsi="Arial"/>
          <w:sz w:val="16"/>
          <w:szCs w:val="16"/>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(f) Change in Pension Value and Nonqualified Deferred Compensation Earnings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amounts reported are the increases in actuarial present value from each fiscal year end for each of the eligible NEO’s benefit under the SERP. The present value of the benefit is affected by current earnings, credited years of service, the executive’s age and time until normal retirement eligibility, the age of the executive’s spouse or life partner as the potential beneficiary, actuarial assumptions (discount rate and mortality table used to determine the present value of the benefit), and the annual SERP benefit cap of $700,000.</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present value of Erik Nordstrom’s, Peter Nordstrom’s and Kenneth Worzel’s benefit decreased from 2021 fiscal year end by $2,790,760, $2,848,930 and $729,204 respectively. The decreases were primarily the result of an increase in the discount rate used to determine the present value of the benefits. The interest rate used is the same as the discount rate used for financial reporting purposes for the SERP which changed from 3.19% to 4.95%. Negative values are not reported in the table, so no amounts are shown for Erik Nordstrom, Peter Nordstrom and Kenneth Worzel. Amounts are not reported for the other NEOs, as they are not eligible for the SERP benefit.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Since decreases in the actuarial present value of pension benefits are required to be identified in a footnote rather than included in the Summary Compensation Table, the amounts reported in the Change in Pension Value and Nonqualified Deferred Compensation Earnings and Total columns for fiscal year 2021 have been updated to exclude the negative values of $692,013 and $1,364,580 attributed to the decline in the actuarial present value of the SERP benefits of Erik Nordstrom and Peter Nordstrom, respectively.</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amounts were calculated using the same discount rate assumptions as those used in the Company’s financial statements to calculate the Company’s obligations under the SERP. Assumptions used in the calculation of these amounts are included in the notes to the financial statements contained within the Company’s 2022 Annual Report.</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Michael Maher, Kenneth Worzel, Anne Bramman and Edmond Mesrobian had account balances in the NDCP in fiscal year 2022, as shown on page </w:t>
      </w:r>
      <w:r>
        <w:rPr>
          <w:rFonts w:ascii="Arial" w:cs="Arial" w:eastAsia="Arial" w:hAnsi="Arial"/>
          <w:sz w:val="16"/>
          <w:szCs w:val="16"/>
          <w:u w:val="single" w:color="auto"/>
          <w:color w:val="0000EE"/>
        </w:rPr>
        <w:t>58</w:t>
      </w:r>
      <w:r>
        <w:rPr>
          <w:rFonts w:ascii="Arial" w:cs="Arial" w:eastAsia="Arial" w:hAnsi="Arial"/>
          <w:sz w:val="16"/>
          <w:szCs w:val="16"/>
          <w:color w:val="auto"/>
        </w:rPr>
        <w:t>. They did not receive above-market-rate or preferential earnings on their deferred compensation, so no amounts for these types of earnings are included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323215</wp:posOffset>
            </wp:positionV>
            <wp:extent cx="1020445" cy="1289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(g) All Other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Each component of all other compensation paid to the NEOs is shown in the following table.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All Other Compensation in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following table shows each component of “All Other Compensation” for fiscal year 2022, reported in column (g) of the Summary Compensation Table on page </w:t>
      </w:r>
      <w:r>
        <w:rPr>
          <w:rFonts w:ascii="Arial" w:cs="Arial" w:eastAsia="Arial" w:hAnsi="Arial"/>
          <w:sz w:val="16"/>
          <w:szCs w:val="16"/>
          <w:u w:val="single" w:color="auto"/>
          <w:color w:val="0000EE"/>
        </w:rPr>
        <w:t>48</w:t>
      </w:r>
      <w:r>
        <w:rPr>
          <w:rFonts w:ascii="Arial" w:cs="Arial" w:eastAsia="Arial" w:hAnsi="Arial"/>
          <w:sz w:val="16"/>
          <w:szCs w:val="16"/>
          <w:color w:val="auto"/>
        </w:rPr>
        <w:t>, calculated at the aggregate incremental cost to the Company.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2360" w:type="dxa"/>
            <w:vAlign w:val="bottom"/>
          </w:tcPr>
          <w:p>
            <w:pPr>
              <w:jc w:val="right"/>
              <w:ind w:right="279"/>
              <w:spacing w:after="0"/>
              <w:rPr>
                <w:sz w:val="20"/>
                <w:szCs w:val="20"/>
                <w:color w:val="auto"/>
              </w:rPr>
            </w:pPr>
            <w:r>
              <w:rPr>
                <w:rFonts w:ascii="Arial" w:cs="Arial" w:eastAsia="Arial" w:hAnsi="Arial"/>
                <w:sz w:val="16"/>
                <w:szCs w:val="16"/>
                <w:b w:val="1"/>
                <w:bCs w:val="1"/>
                <w:color w:val="auto"/>
              </w:rPr>
              <w:t>401(k) Plan</w:t>
            </w:r>
          </w:p>
        </w:tc>
        <w:tc>
          <w:tcPr>
            <w:tcW w:w="1600" w:type="dxa"/>
            <w:vAlign w:val="bottom"/>
          </w:tcPr>
          <w:p>
            <w:pPr>
              <w:jc w:val="right"/>
              <w:ind w:right="299"/>
              <w:spacing w:after="0"/>
              <w:rPr>
                <w:sz w:val="20"/>
                <w:szCs w:val="20"/>
                <w:color w:val="auto"/>
              </w:rPr>
            </w:pPr>
            <w:r>
              <w:rPr>
                <w:rFonts w:ascii="Arial" w:cs="Arial" w:eastAsia="Arial" w:hAnsi="Arial"/>
                <w:sz w:val="16"/>
                <w:szCs w:val="16"/>
                <w:b w:val="1"/>
                <w:bCs w:val="1"/>
                <w:color w:val="auto"/>
              </w:rPr>
              <w:t>Premium on</w:t>
            </w:r>
          </w:p>
        </w:tc>
        <w:tc>
          <w:tcPr>
            <w:tcW w:w="1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2360" w:type="dxa"/>
            <w:vAlign w:val="bottom"/>
          </w:tcPr>
          <w:p>
            <w:pPr>
              <w:jc w:val="right"/>
              <w:ind w:right="279"/>
              <w:spacing w:after="0"/>
              <w:rPr>
                <w:sz w:val="20"/>
                <w:szCs w:val="20"/>
                <w:color w:val="auto"/>
              </w:rPr>
            </w:pPr>
            <w:r>
              <w:rPr>
                <w:rFonts w:ascii="Arial" w:cs="Arial" w:eastAsia="Arial" w:hAnsi="Arial"/>
                <w:sz w:val="16"/>
                <w:szCs w:val="16"/>
                <w:b w:val="1"/>
                <w:bCs w:val="1"/>
                <w:color w:val="auto"/>
              </w:rPr>
              <w:t>Company Match</w:t>
            </w:r>
          </w:p>
        </w:tc>
        <w:tc>
          <w:tcPr>
            <w:tcW w:w="1600" w:type="dxa"/>
            <w:vAlign w:val="bottom"/>
          </w:tcPr>
          <w:p>
            <w:pPr>
              <w:jc w:val="right"/>
              <w:ind w:right="299"/>
              <w:spacing w:after="0"/>
              <w:rPr>
                <w:sz w:val="20"/>
                <w:szCs w:val="20"/>
                <w:color w:val="auto"/>
              </w:rPr>
            </w:pPr>
            <w:r>
              <w:rPr>
                <w:rFonts w:ascii="Arial" w:cs="Arial" w:eastAsia="Arial" w:hAnsi="Arial"/>
                <w:sz w:val="16"/>
                <w:szCs w:val="16"/>
                <w:b w:val="1"/>
                <w:bCs w:val="1"/>
                <w:color w:val="auto"/>
              </w:rPr>
              <w:t>Insurance</w:t>
            </w: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Severance</w:t>
            </w:r>
          </w:p>
        </w:tc>
        <w:tc>
          <w:tcPr>
            <w:tcW w:w="1960" w:type="dxa"/>
            <w:vAlign w:val="bottom"/>
          </w:tcPr>
          <w:p>
            <w:pPr>
              <w:jc w:val="right"/>
              <w:ind w:right="479"/>
              <w:spacing w:after="0"/>
              <w:rPr>
                <w:sz w:val="20"/>
                <w:szCs w:val="20"/>
                <w:color w:val="auto"/>
              </w:rPr>
            </w:pPr>
            <w:r>
              <w:rPr>
                <w:rFonts w:ascii="Arial" w:cs="Arial" w:eastAsia="Arial" w:hAnsi="Arial"/>
                <w:sz w:val="16"/>
                <w:szCs w:val="16"/>
                <w:b w:val="1"/>
                <w:bCs w:val="1"/>
                <w:color w:val="auto"/>
              </w:rPr>
              <w:t>Other Benefits</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23"/>
        </w:trPr>
        <w:tc>
          <w:tcPr>
            <w:tcW w:w="222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2360" w:type="dxa"/>
            <w:vAlign w:val="bottom"/>
          </w:tcPr>
          <w:p>
            <w:pPr>
              <w:jc w:val="right"/>
              <w:ind w:right="219"/>
              <w:spacing w:after="0"/>
              <w:rPr>
                <w:sz w:val="20"/>
                <w:szCs w:val="20"/>
                <w:color w:val="auto"/>
              </w:rPr>
            </w:pPr>
            <w:r>
              <w:rPr>
                <w:rFonts w:ascii="Arial" w:cs="Arial" w:eastAsia="Arial" w:hAnsi="Arial"/>
                <w:sz w:val="16"/>
                <w:szCs w:val="16"/>
                <w:b w:val="1"/>
                <w:bCs w:val="1"/>
                <w:color w:val="auto"/>
              </w:rPr>
              <w:t>($)(a)</w:t>
            </w:r>
          </w:p>
        </w:tc>
        <w:tc>
          <w:tcPr>
            <w:tcW w:w="1600" w:type="dxa"/>
            <w:vAlign w:val="bottom"/>
          </w:tcPr>
          <w:p>
            <w:pPr>
              <w:ind w:left="860"/>
              <w:spacing w:after="0"/>
              <w:rPr>
                <w:sz w:val="20"/>
                <w:szCs w:val="20"/>
                <w:color w:val="auto"/>
              </w:rPr>
            </w:pPr>
            <w:r>
              <w:rPr>
                <w:rFonts w:ascii="Arial" w:cs="Arial" w:eastAsia="Arial" w:hAnsi="Arial"/>
                <w:sz w:val="16"/>
                <w:szCs w:val="16"/>
                <w:b w:val="1"/>
                <w:bCs w:val="1"/>
                <w:color w:val="auto"/>
              </w:rPr>
              <w:t>($)(b)</w:t>
            </w:r>
          </w:p>
        </w:tc>
        <w:tc>
          <w:tcPr>
            <w:tcW w:w="1460" w:type="dxa"/>
            <w:vAlign w:val="bottom"/>
          </w:tcPr>
          <w:p>
            <w:pPr>
              <w:jc w:val="right"/>
              <w:ind w:right="199"/>
              <w:spacing w:after="0"/>
              <w:rPr>
                <w:sz w:val="20"/>
                <w:szCs w:val="20"/>
                <w:color w:val="auto"/>
              </w:rPr>
            </w:pPr>
            <w:r>
              <w:rPr>
                <w:rFonts w:ascii="Arial" w:cs="Arial" w:eastAsia="Arial" w:hAnsi="Arial"/>
                <w:sz w:val="16"/>
                <w:szCs w:val="16"/>
                <w:b w:val="1"/>
                <w:bCs w:val="1"/>
                <w:color w:val="auto"/>
              </w:rPr>
              <w:t>($)(c)</w:t>
            </w:r>
          </w:p>
        </w:tc>
        <w:tc>
          <w:tcPr>
            <w:tcW w:w="1960" w:type="dxa"/>
            <w:vAlign w:val="bottom"/>
          </w:tcPr>
          <w:p>
            <w:pPr>
              <w:jc w:val="right"/>
              <w:ind w:right="439"/>
              <w:spacing w:after="0"/>
              <w:rPr>
                <w:sz w:val="20"/>
                <w:szCs w:val="20"/>
                <w:color w:val="auto"/>
              </w:rPr>
            </w:pPr>
            <w:r>
              <w:rPr>
                <w:rFonts w:ascii="Arial" w:cs="Arial" w:eastAsia="Arial" w:hAnsi="Arial"/>
                <w:sz w:val="16"/>
                <w:szCs w:val="16"/>
                <w:b w:val="1"/>
                <w:bCs w:val="1"/>
                <w:color w:val="auto"/>
              </w:rPr>
              <w:t>($)(d)</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2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220" w:type="dxa"/>
            <w:vAlign w:val="bottom"/>
            <w:shd w:val="clear" w:color="auto" w:fill="DCDDDE"/>
          </w:tcPr>
          <w:p>
            <w:pPr>
              <w:ind w:left="60"/>
              <w:spacing w:after="0"/>
              <w:rPr>
                <w:sz w:val="20"/>
                <w:szCs w:val="20"/>
                <w:color w:val="auto"/>
              </w:rPr>
            </w:pPr>
            <w:r>
              <w:rPr>
                <w:rFonts w:ascii="Arial" w:cs="Arial" w:eastAsia="Arial" w:hAnsi="Arial"/>
                <w:sz w:val="16"/>
                <w:szCs w:val="16"/>
                <w:color w:val="auto"/>
              </w:rPr>
              <w:t>Erik B. Nordstrom</w:t>
            </w:r>
          </w:p>
        </w:tc>
        <w:tc>
          <w:tcPr>
            <w:tcW w:w="2360" w:type="dxa"/>
            <w:vAlign w:val="bottom"/>
            <w:shd w:val="clear" w:color="auto" w:fill="DCDDDE"/>
          </w:tcPr>
          <w:p>
            <w:pPr>
              <w:jc w:val="right"/>
              <w:ind w:right="219"/>
              <w:spacing w:after="0"/>
              <w:rPr>
                <w:sz w:val="20"/>
                <w:szCs w:val="20"/>
                <w:color w:val="auto"/>
              </w:rPr>
            </w:pPr>
            <w:r>
              <w:rPr>
                <w:rFonts w:ascii="Arial" w:cs="Arial" w:eastAsia="Arial" w:hAnsi="Arial"/>
                <w:sz w:val="16"/>
                <w:szCs w:val="16"/>
                <w:color w:val="auto"/>
              </w:rPr>
              <w:t>5,859</w:t>
            </w:r>
          </w:p>
        </w:tc>
        <w:tc>
          <w:tcPr>
            <w:tcW w:w="1600" w:type="dxa"/>
            <w:vAlign w:val="bottom"/>
            <w:shd w:val="clear" w:color="auto" w:fill="DCDDDE"/>
          </w:tcPr>
          <w:p>
            <w:pPr>
              <w:ind w:left="860"/>
              <w:spacing w:after="0"/>
              <w:rPr>
                <w:sz w:val="20"/>
                <w:szCs w:val="20"/>
                <w:color w:val="auto"/>
              </w:rPr>
            </w:pPr>
            <w:r>
              <w:rPr>
                <w:rFonts w:ascii="Arial" w:cs="Arial" w:eastAsia="Arial" w:hAnsi="Arial"/>
                <w:sz w:val="16"/>
                <w:szCs w:val="16"/>
                <w:color w:val="auto"/>
              </w:rPr>
              <w:t>2,321</w:t>
            </w:r>
          </w:p>
        </w:tc>
        <w:tc>
          <w:tcPr>
            <w:tcW w:w="1460" w:type="dxa"/>
            <w:vAlign w:val="bottom"/>
            <w:shd w:val="clear" w:color="auto" w:fill="DCDDDE"/>
          </w:tcPr>
          <w:p>
            <w:pPr>
              <w:jc w:val="right"/>
              <w:ind w:right="199"/>
              <w:spacing w:after="0"/>
              <w:rPr>
                <w:sz w:val="20"/>
                <w:szCs w:val="20"/>
                <w:color w:val="auto"/>
              </w:rPr>
            </w:pPr>
            <w:r>
              <w:rPr>
                <w:rFonts w:ascii="Arial" w:cs="Arial" w:eastAsia="Arial" w:hAnsi="Arial"/>
                <w:sz w:val="16"/>
                <w:szCs w:val="16"/>
                <w:color w:val="auto"/>
              </w:rPr>
              <w:t>—</w:t>
            </w:r>
          </w:p>
        </w:tc>
        <w:tc>
          <w:tcPr>
            <w:tcW w:w="1960" w:type="dxa"/>
            <w:vAlign w:val="bottom"/>
            <w:shd w:val="clear" w:color="auto" w:fill="DCDDDE"/>
          </w:tcPr>
          <w:p>
            <w:pPr>
              <w:jc w:val="right"/>
              <w:ind w:right="439"/>
              <w:spacing w:after="0"/>
              <w:rPr>
                <w:sz w:val="20"/>
                <w:szCs w:val="20"/>
                <w:color w:val="auto"/>
              </w:rPr>
            </w:pPr>
            <w:r>
              <w:rPr>
                <w:rFonts w:ascii="Arial" w:cs="Arial" w:eastAsia="Arial" w:hAnsi="Arial"/>
                <w:sz w:val="16"/>
                <w:szCs w:val="16"/>
                <w:color w:val="auto"/>
              </w:rPr>
              <w:t>49,568</w:t>
            </w:r>
          </w:p>
        </w:tc>
        <w:tc>
          <w:tcPr>
            <w:tcW w:w="12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57,748</w:t>
            </w:r>
          </w:p>
        </w:tc>
      </w:tr>
      <w:tr>
        <w:trPr>
          <w:trHeight w:val="222"/>
        </w:trPr>
        <w:tc>
          <w:tcPr>
            <w:tcW w:w="2220" w:type="dxa"/>
            <w:vAlign w:val="bottom"/>
          </w:tcPr>
          <w:p>
            <w:pPr>
              <w:ind w:left="60"/>
              <w:spacing w:after="0"/>
              <w:rPr>
                <w:sz w:val="20"/>
                <w:szCs w:val="20"/>
                <w:color w:val="auto"/>
              </w:rPr>
            </w:pPr>
            <w:r>
              <w:rPr>
                <w:rFonts w:ascii="Arial" w:cs="Arial" w:eastAsia="Arial" w:hAnsi="Arial"/>
                <w:sz w:val="16"/>
                <w:szCs w:val="16"/>
                <w:color w:val="auto"/>
              </w:rPr>
              <w:t>Michael W. Maher</w:t>
            </w:r>
          </w:p>
        </w:tc>
        <w:tc>
          <w:tcPr>
            <w:tcW w:w="2360" w:type="dxa"/>
            <w:vAlign w:val="bottom"/>
          </w:tcPr>
          <w:p>
            <w:pPr>
              <w:jc w:val="right"/>
              <w:ind w:right="219"/>
              <w:spacing w:after="0"/>
              <w:rPr>
                <w:sz w:val="20"/>
                <w:szCs w:val="20"/>
                <w:color w:val="auto"/>
              </w:rPr>
            </w:pPr>
            <w:r>
              <w:rPr>
                <w:rFonts w:ascii="Arial" w:cs="Arial" w:eastAsia="Arial" w:hAnsi="Arial"/>
                <w:sz w:val="16"/>
                <w:szCs w:val="16"/>
                <w:color w:val="auto"/>
              </w:rPr>
              <w:t>12,278</w:t>
            </w:r>
          </w:p>
        </w:tc>
        <w:tc>
          <w:tcPr>
            <w:tcW w:w="1600" w:type="dxa"/>
            <w:vAlign w:val="bottom"/>
          </w:tcPr>
          <w:p>
            <w:pPr>
              <w:ind w:left="860"/>
              <w:spacing w:after="0"/>
              <w:rPr>
                <w:sz w:val="20"/>
                <w:szCs w:val="20"/>
                <w:color w:val="auto"/>
              </w:rPr>
            </w:pPr>
            <w:r>
              <w:rPr>
                <w:rFonts w:ascii="Arial" w:cs="Arial" w:eastAsia="Arial" w:hAnsi="Arial"/>
                <w:sz w:val="16"/>
                <w:szCs w:val="16"/>
                <w:color w:val="auto"/>
              </w:rPr>
              <w:t>1,423</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439"/>
              <w:spacing w:after="0"/>
              <w:rPr>
                <w:sz w:val="20"/>
                <w:szCs w:val="20"/>
                <w:color w:val="auto"/>
              </w:rPr>
            </w:pPr>
            <w:r>
              <w:rPr>
                <w:rFonts w:ascii="Arial" w:cs="Arial" w:eastAsia="Arial" w:hAnsi="Arial"/>
                <w:sz w:val="16"/>
                <w:szCs w:val="16"/>
                <w:color w:val="auto"/>
              </w:rPr>
              <w:t>5,600</w:t>
            </w:r>
          </w:p>
        </w:tc>
        <w:tc>
          <w:tcPr>
            <w:tcW w:w="1280" w:type="dxa"/>
            <w:vAlign w:val="bottom"/>
          </w:tcPr>
          <w:p>
            <w:pPr>
              <w:jc w:val="right"/>
              <w:spacing w:after="0"/>
              <w:rPr>
                <w:sz w:val="20"/>
                <w:szCs w:val="20"/>
                <w:color w:val="auto"/>
              </w:rPr>
            </w:pPr>
            <w:r>
              <w:rPr>
                <w:rFonts w:ascii="Arial" w:cs="Arial" w:eastAsia="Arial" w:hAnsi="Arial"/>
                <w:sz w:val="16"/>
                <w:szCs w:val="16"/>
                <w:color w:val="auto"/>
              </w:rPr>
              <w:t>19,301</w:t>
            </w:r>
          </w:p>
        </w:tc>
      </w:tr>
      <w:tr>
        <w:trPr>
          <w:trHeight w:val="237"/>
        </w:trPr>
        <w:tc>
          <w:tcPr>
            <w:tcW w:w="2220" w:type="dxa"/>
            <w:vAlign w:val="bottom"/>
            <w:shd w:val="clear" w:color="auto" w:fill="DCDDDE"/>
          </w:tcPr>
          <w:p>
            <w:pPr>
              <w:ind w:left="60"/>
              <w:spacing w:after="0"/>
              <w:rPr>
                <w:sz w:val="20"/>
                <w:szCs w:val="20"/>
                <w:color w:val="auto"/>
              </w:rPr>
            </w:pPr>
            <w:r>
              <w:rPr>
                <w:rFonts w:ascii="Arial" w:cs="Arial" w:eastAsia="Arial" w:hAnsi="Arial"/>
                <w:sz w:val="16"/>
                <w:szCs w:val="16"/>
                <w:color w:val="auto"/>
              </w:rPr>
              <w:t>Peter E. Nordstrom</w:t>
            </w:r>
          </w:p>
        </w:tc>
        <w:tc>
          <w:tcPr>
            <w:tcW w:w="2360" w:type="dxa"/>
            <w:vAlign w:val="bottom"/>
            <w:shd w:val="clear" w:color="auto" w:fill="DCDDDE"/>
          </w:tcPr>
          <w:p>
            <w:pPr>
              <w:jc w:val="right"/>
              <w:ind w:right="219"/>
              <w:spacing w:after="0"/>
              <w:rPr>
                <w:sz w:val="20"/>
                <w:szCs w:val="20"/>
                <w:color w:val="auto"/>
              </w:rPr>
            </w:pPr>
            <w:r>
              <w:rPr>
                <w:rFonts w:ascii="Arial" w:cs="Arial" w:eastAsia="Arial" w:hAnsi="Arial"/>
                <w:sz w:val="16"/>
                <w:szCs w:val="16"/>
                <w:color w:val="auto"/>
              </w:rPr>
              <w:t>9,998</w:t>
            </w:r>
          </w:p>
        </w:tc>
        <w:tc>
          <w:tcPr>
            <w:tcW w:w="1600" w:type="dxa"/>
            <w:vAlign w:val="bottom"/>
            <w:shd w:val="clear" w:color="auto" w:fill="DCDDDE"/>
          </w:tcPr>
          <w:p>
            <w:pPr>
              <w:ind w:left="860"/>
              <w:spacing w:after="0"/>
              <w:rPr>
                <w:sz w:val="20"/>
                <w:szCs w:val="20"/>
                <w:color w:val="auto"/>
              </w:rPr>
            </w:pPr>
            <w:r>
              <w:rPr>
                <w:rFonts w:ascii="Arial" w:cs="Arial" w:eastAsia="Arial" w:hAnsi="Arial"/>
                <w:sz w:val="16"/>
                <w:szCs w:val="16"/>
                <w:color w:val="auto"/>
              </w:rPr>
              <w:t>2,321</w:t>
            </w:r>
          </w:p>
        </w:tc>
        <w:tc>
          <w:tcPr>
            <w:tcW w:w="1460" w:type="dxa"/>
            <w:vAlign w:val="bottom"/>
            <w:shd w:val="clear" w:color="auto" w:fill="DCDDDE"/>
          </w:tcPr>
          <w:p>
            <w:pPr>
              <w:jc w:val="right"/>
              <w:ind w:right="199"/>
              <w:spacing w:after="0"/>
              <w:rPr>
                <w:sz w:val="20"/>
                <w:szCs w:val="20"/>
                <w:color w:val="auto"/>
              </w:rPr>
            </w:pPr>
            <w:r>
              <w:rPr>
                <w:rFonts w:ascii="Arial" w:cs="Arial" w:eastAsia="Arial" w:hAnsi="Arial"/>
                <w:sz w:val="16"/>
                <w:szCs w:val="16"/>
                <w:color w:val="auto"/>
              </w:rPr>
              <w:t>—</w:t>
            </w:r>
          </w:p>
        </w:tc>
        <w:tc>
          <w:tcPr>
            <w:tcW w:w="1960" w:type="dxa"/>
            <w:vAlign w:val="bottom"/>
            <w:shd w:val="clear" w:color="auto" w:fill="DCDDDE"/>
          </w:tcPr>
          <w:p>
            <w:pPr>
              <w:jc w:val="right"/>
              <w:ind w:right="439"/>
              <w:spacing w:after="0"/>
              <w:rPr>
                <w:sz w:val="20"/>
                <w:szCs w:val="20"/>
                <w:color w:val="auto"/>
              </w:rPr>
            </w:pPr>
            <w:r>
              <w:rPr>
                <w:rFonts w:ascii="Arial" w:cs="Arial" w:eastAsia="Arial" w:hAnsi="Arial"/>
                <w:sz w:val="16"/>
                <w:szCs w:val="16"/>
                <w:color w:val="auto"/>
              </w:rPr>
              <w:t>52,215</w:t>
            </w:r>
          </w:p>
        </w:tc>
        <w:tc>
          <w:tcPr>
            <w:tcW w:w="12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64,534</w:t>
            </w:r>
          </w:p>
        </w:tc>
      </w:tr>
      <w:tr>
        <w:trPr>
          <w:trHeight w:val="222"/>
        </w:trPr>
        <w:tc>
          <w:tcPr>
            <w:tcW w:w="2220" w:type="dxa"/>
            <w:vAlign w:val="bottom"/>
          </w:tcPr>
          <w:p>
            <w:pPr>
              <w:ind w:left="60"/>
              <w:spacing w:after="0"/>
              <w:rPr>
                <w:sz w:val="20"/>
                <w:szCs w:val="20"/>
                <w:color w:val="auto"/>
              </w:rPr>
            </w:pPr>
            <w:r>
              <w:rPr>
                <w:rFonts w:ascii="Arial" w:cs="Arial" w:eastAsia="Arial" w:hAnsi="Arial"/>
                <w:sz w:val="16"/>
                <w:szCs w:val="16"/>
                <w:color w:val="auto"/>
              </w:rPr>
              <w:t>Kenneth J. Worzel</w:t>
            </w:r>
          </w:p>
        </w:tc>
        <w:tc>
          <w:tcPr>
            <w:tcW w:w="2360" w:type="dxa"/>
            <w:vAlign w:val="bottom"/>
          </w:tcPr>
          <w:p>
            <w:pPr>
              <w:jc w:val="right"/>
              <w:ind w:right="219"/>
              <w:spacing w:after="0"/>
              <w:rPr>
                <w:sz w:val="20"/>
                <w:szCs w:val="20"/>
                <w:color w:val="auto"/>
              </w:rPr>
            </w:pPr>
            <w:r>
              <w:rPr>
                <w:rFonts w:ascii="Arial" w:cs="Arial" w:eastAsia="Arial" w:hAnsi="Arial"/>
                <w:sz w:val="16"/>
                <w:szCs w:val="16"/>
                <w:color w:val="auto"/>
              </w:rPr>
              <w:t>14,937</w:t>
            </w:r>
          </w:p>
        </w:tc>
        <w:tc>
          <w:tcPr>
            <w:tcW w:w="1600" w:type="dxa"/>
            <w:vAlign w:val="bottom"/>
          </w:tcPr>
          <w:p>
            <w:pPr>
              <w:ind w:left="860"/>
              <w:spacing w:after="0"/>
              <w:rPr>
                <w:sz w:val="20"/>
                <w:szCs w:val="20"/>
                <w:color w:val="auto"/>
              </w:rPr>
            </w:pPr>
            <w:r>
              <w:rPr>
                <w:rFonts w:ascii="Arial" w:cs="Arial" w:eastAsia="Arial" w:hAnsi="Arial"/>
                <w:sz w:val="16"/>
                <w:szCs w:val="16"/>
                <w:color w:val="auto"/>
              </w:rPr>
              <w:t>2,739</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439"/>
              <w:spacing w:after="0"/>
              <w:rPr>
                <w:sz w:val="20"/>
                <w:szCs w:val="20"/>
                <w:color w:val="auto"/>
              </w:rPr>
            </w:pPr>
            <w:r>
              <w:rPr>
                <w:rFonts w:ascii="Arial" w:cs="Arial" w:eastAsia="Arial" w:hAnsi="Arial"/>
                <w:sz w:val="16"/>
                <w:szCs w:val="16"/>
                <w:color w:val="auto"/>
              </w:rPr>
              <w:t>14,377</w:t>
            </w:r>
          </w:p>
        </w:tc>
        <w:tc>
          <w:tcPr>
            <w:tcW w:w="1280" w:type="dxa"/>
            <w:vAlign w:val="bottom"/>
          </w:tcPr>
          <w:p>
            <w:pPr>
              <w:jc w:val="right"/>
              <w:spacing w:after="0"/>
              <w:rPr>
                <w:sz w:val="20"/>
                <w:szCs w:val="20"/>
                <w:color w:val="auto"/>
              </w:rPr>
            </w:pPr>
            <w:r>
              <w:rPr>
                <w:rFonts w:ascii="Arial" w:cs="Arial" w:eastAsia="Arial" w:hAnsi="Arial"/>
                <w:sz w:val="16"/>
                <w:szCs w:val="16"/>
                <w:color w:val="auto"/>
              </w:rPr>
              <w:t>32,053</w:t>
            </w:r>
          </w:p>
        </w:tc>
      </w:tr>
      <w:tr>
        <w:trPr>
          <w:trHeight w:val="237"/>
        </w:trPr>
        <w:tc>
          <w:tcPr>
            <w:tcW w:w="2220" w:type="dxa"/>
            <w:vAlign w:val="bottom"/>
            <w:shd w:val="clear" w:color="auto" w:fill="DCDDDE"/>
          </w:tcPr>
          <w:p>
            <w:pPr>
              <w:ind w:left="60"/>
              <w:spacing w:after="0"/>
              <w:rPr>
                <w:sz w:val="20"/>
                <w:szCs w:val="20"/>
                <w:color w:val="auto"/>
              </w:rPr>
            </w:pPr>
            <w:r>
              <w:rPr>
                <w:rFonts w:ascii="Arial" w:cs="Arial" w:eastAsia="Arial" w:hAnsi="Arial"/>
                <w:sz w:val="16"/>
                <w:szCs w:val="16"/>
                <w:color w:val="auto"/>
              </w:rPr>
              <w:t>Alexis DePree</w:t>
            </w:r>
          </w:p>
        </w:tc>
        <w:tc>
          <w:tcPr>
            <w:tcW w:w="2360" w:type="dxa"/>
            <w:vAlign w:val="bottom"/>
            <w:shd w:val="clear" w:color="auto" w:fill="DCDDDE"/>
          </w:tcPr>
          <w:p>
            <w:pPr>
              <w:jc w:val="right"/>
              <w:ind w:right="219"/>
              <w:spacing w:after="0"/>
              <w:rPr>
                <w:sz w:val="20"/>
                <w:szCs w:val="20"/>
                <w:color w:val="auto"/>
              </w:rPr>
            </w:pPr>
            <w:r>
              <w:rPr>
                <w:rFonts w:ascii="Arial" w:cs="Arial" w:eastAsia="Arial" w:hAnsi="Arial"/>
                <w:sz w:val="16"/>
                <w:szCs w:val="16"/>
                <w:color w:val="auto"/>
              </w:rPr>
              <w:t>11,961</w:t>
            </w:r>
          </w:p>
        </w:tc>
        <w:tc>
          <w:tcPr>
            <w:tcW w:w="1600" w:type="dxa"/>
            <w:vAlign w:val="bottom"/>
            <w:shd w:val="clear" w:color="auto" w:fill="DCDDDE"/>
          </w:tcPr>
          <w:p>
            <w:pPr>
              <w:ind w:left="860"/>
              <w:spacing w:after="0"/>
              <w:rPr>
                <w:sz w:val="20"/>
                <w:szCs w:val="20"/>
                <w:color w:val="auto"/>
              </w:rPr>
            </w:pPr>
            <w:r>
              <w:rPr>
                <w:rFonts w:ascii="Arial" w:cs="Arial" w:eastAsia="Arial" w:hAnsi="Arial"/>
                <w:sz w:val="16"/>
                <w:szCs w:val="16"/>
                <w:color w:val="auto"/>
              </w:rPr>
              <w:t>1,927</w:t>
            </w:r>
          </w:p>
        </w:tc>
        <w:tc>
          <w:tcPr>
            <w:tcW w:w="1460" w:type="dxa"/>
            <w:vAlign w:val="bottom"/>
            <w:shd w:val="clear" w:color="auto" w:fill="DCDDDE"/>
          </w:tcPr>
          <w:p>
            <w:pPr>
              <w:jc w:val="right"/>
              <w:ind w:right="199"/>
              <w:spacing w:after="0"/>
              <w:rPr>
                <w:sz w:val="20"/>
                <w:szCs w:val="20"/>
                <w:color w:val="auto"/>
              </w:rPr>
            </w:pPr>
            <w:r>
              <w:rPr>
                <w:rFonts w:ascii="Arial" w:cs="Arial" w:eastAsia="Arial" w:hAnsi="Arial"/>
                <w:sz w:val="16"/>
                <w:szCs w:val="16"/>
                <w:color w:val="auto"/>
              </w:rPr>
              <w:t>—</w:t>
            </w:r>
          </w:p>
        </w:tc>
        <w:tc>
          <w:tcPr>
            <w:tcW w:w="1960" w:type="dxa"/>
            <w:vAlign w:val="bottom"/>
            <w:shd w:val="clear" w:color="auto" w:fill="DCDDDE"/>
          </w:tcPr>
          <w:p>
            <w:pPr>
              <w:jc w:val="right"/>
              <w:ind w:right="439"/>
              <w:spacing w:after="0"/>
              <w:rPr>
                <w:sz w:val="20"/>
                <w:szCs w:val="20"/>
                <w:color w:val="auto"/>
              </w:rPr>
            </w:pPr>
            <w:r>
              <w:rPr>
                <w:rFonts w:ascii="Arial" w:cs="Arial" w:eastAsia="Arial" w:hAnsi="Arial"/>
                <w:sz w:val="16"/>
                <w:szCs w:val="16"/>
                <w:color w:val="auto"/>
              </w:rPr>
              <w:t>3,239</w:t>
            </w:r>
          </w:p>
        </w:tc>
        <w:tc>
          <w:tcPr>
            <w:tcW w:w="12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17,127</w:t>
            </w:r>
          </w:p>
        </w:tc>
      </w:tr>
      <w:tr>
        <w:trPr>
          <w:trHeight w:val="222"/>
        </w:trPr>
        <w:tc>
          <w:tcPr>
            <w:tcW w:w="2220" w:type="dxa"/>
            <w:vAlign w:val="bottom"/>
          </w:tcPr>
          <w:p>
            <w:pPr>
              <w:ind w:left="60"/>
              <w:spacing w:after="0"/>
              <w:rPr>
                <w:sz w:val="20"/>
                <w:szCs w:val="20"/>
                <w:color w:val="auto"/>
              </w:rPr>
            </w:pPr>
            <w:r>
              <w:rPr>
                <w:rFonts w:ascii="Arial" w:cs="Arial" w:eastAsia="Arial" w:hAnsi="Arial"/>
                <w:sz w:val="16"/>
                <w:szCs w:val="16"/>
                <w:color w:val="auto"/>
              </w:rPr>
              <w:t>Anne L. Bramman</w:t>
            </w:r>
          </w:p>
        </w:tc>
        <w:tc>
          <w:tcPr>
            <w:tcW w:w="2360" w:type="dxa"/>
            <w:vAlign w:val="bottom"/>
          </w:tcPr>
          <w:p>
            <w:pPr>
              <w:jc w:val="right"/>
              <w:ind w:right="219"/>
              <w:spacing w:after="0"/>
              <w:rPr>
                <w:sz w:val="20"/>
                <w:szCs w:val="20"/>
                <w:color w:val="auto"/>
              </w:rPr>
            </w:pPr>
            <w:r>
              <w:rPr>
                <w:rFonts w:ascii="Arial" w:cs="Arial" w:eastAsia="Arial" w:hAnsi="Arial"/>
                <w:sz w:val="16"/>
                <w:szCs w:val="16"/>
                <w:color w:val="auto"/>
              </w:rPr>
              <w:t>10,155</w:t>
            </w:r>
          </w:p>
        </w:tc>
        <w:tc>
          <w:tcPr>
            <w:tcW w:w="1600" w:type="dxa"/>
            <w:vAlign w:val="bottom"/>
          </w:tcPr>
          <w:p>
            <w:pPr>
              <w:ind w:left="860"/>
              <w:spacing w:after="0"/>
              <w:rPr>
                <w:sz w:val="20"/>
                <w:szCs w:val="20"/>
                <w:color w:val="auto"/>
              </w:rPr>
            </w:pPr>
            <w:r>
              <w:rPr>
                <w:rFonts w:ascii="Arial" w:cs="Arial" w:eastAsia="Arial" w:hAnsi="Arial"/>
                <w:sz w:val="16"/>
                <w:szCs w:val="16"/>
                <w:color w:val="auto"/>
              </w:rPr>
              <w:t>2,355</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439"/>
              <w:spacing w:after="0"/>
              <w:rPr>
                <w:sz w:val="20"/>
                <w:szCs w:val="20"/>
                <w:color w:val="auto"/>
              </w:rPr>
            </w:pPr>
            <w:r>
              <w:rPr>
                <w:rFonts w:ascii="Arial" w:cs="Arial" w:eastAsia="Arial" w:hAnsi="Arial"/>
                <w:sz w:val="16"/>
                <w:szCs w:val="16"/>
                <w:color w:val="auto"/>
              </w:rPr>
              <w:t>115,794</w:t>
            </w:r>
          </w:p>
        </w:tc>
        <w:tc>
          <w:tcPr>
            <w:tcW w:w="1280" w:type="dxa"/>
            <w:vAlign w:val="bottom"/>
          </w:tcPr>
          <w:p>
            <w:pPr>
              <w:jc w:val="right"/>
              <w:spacing w:after="0"/>
              <w:rPr>
                <w:sz w:val="20"/>
                <w:szCs w:val="20"/>
                <w:color w:val="auto"/>
              </w:rPr>
            </w:pPr>
            <w:r>
              <w:rPr>
                <w:rFonts w:ascii="Arial" w:cs="Arial" w:eastAsia="Arial" w:hAnsi="Arial"/>
                <w:sz w:val="16"/>
                <w:szCs w:val="16"/>
                <w:color w:val="auto"/>
              </w:rPr>
              <w:t>128,304</w:t>
            </w:r>
          </w:p>
        </w:tc>
      </w:tr>
      <w:tr>
        <w:trPr>
          <w:trHeight w:val="230"/>
        </w:trPr>
        <w:tc>
          <w:tcPr>
            <w:tcW w:w="222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Edmond Mesrobian</w:t>
            </w:r>
          </w:p>
        </w:tc>
        <w:tc>
          <w:tcPr>
            <w:tcW w:w="2360" w:type="dxa"/>
            <w:vAlign w:val="bottom"/>
            <w:tcBorders>
              <w:bottom w:val="single" w:sz="8" w:color="auto"/>
            </w:tcBorders>
            <w:shd w:val="clear" w:color="auto" w:fill="DCDDDE"/>
          </w:tcPr>
          <w:p>
            <w:pPr>
              <w:jc w:val="right"/>
              <w:ind w:right="219"/>
              <w:spacing w:after="0"/>
              <w:rPr>
                <w:sz w:val="20"/>
                <w:szCs w:val="20"/>
                <w:color w:val="auto"/>
              </w:rPr>
            </w:pPr>
            <w:r>
              <w:rPr>
                <w:rFonts w:ascii="Arial" w:cs="Arial" w:eastAsia="Arial" w:hAnsi="Arial"/>
                <w:sz w:val="16"/>
                <w:szCs w:val="16"/>
                <w:color w:val="auto"/>
              </w:rPr>
              <w:t>6,096</w:t>
            </w:r>
          </w:p>
        </w:tc>
        <w:tc>
          <w:tcPr>
            <w:tcW w:w="1600" w:type="dxa"/>
            <w:vAlign w:val="bottom"/>
            <w:tcBorders>
              <w:bottom w:val="single" w:sz="8" w:color="auto"/>
            </w:tcBorders>
            <w:shd w:val="clear" w:color="auto" w:fill="DCDDDE"/>
          </w:tcPr>
          <w:p>
            <w:pPr>
              <w:ind w:left="860"/>
              <w:spacing w:after="0"/>
              <w:rPr>
                <w:sz w:val="20"/>
                <w:szCs w:val="20"/>
                <w:color w:val="auto"/>
              </w:rPr>
            </w:pPr>
            <w:r>
              <w:rPr>
                <w:rFonts w:ascii="Arial" w:cs="Arial" w:eastAsia="Arial" w:hAnsi="Arial"/>
                <w:sz w:val="16"/>
                <w:szCs w:val="16"/>
                <w:color w:val="auto"/>
              </w:rPr>
              <w:t>1,868</w:t>
            </w:r>
          </w:p>
        </w:tc>
        <w:tc>
          <w:tcPr>
            <w:tcW w:w="1460" w:type="dxa"/>
            <w:vAlign w:val="bottom"/>
            <w:tcBorders>
              <w:bottom w:val="single" w:sz="8" w:color="auto"/>
            </w:tcBorders>
            <w:shd w:val="clear" w:color="auto" w:fill="DCDDDE"/>
          </w:tcPr>
          <w:p>
            <w:pPr>
              <w:jc w:val="right"/>
              <w:ind w:right="199"/>
              <w:spacing w:after="0"/>
              <w:rPr>
                <w:sz w:val="20"/>
                <w:szCs w:val="20"/>
                <w:color w:val="auto"/>
              </w:rPr>
            </w:pPr>
            <w:r>
              <w:rPr>
                <w:rFonts w:ascii="Arial" w:cs="Arial" w:eastAsia="Arial" w:hAnsi="Arial"/>
                <w:sz w:val="16"/>
                <w:szCs w:val="16"/>
                <w:color w:val="auto"/>
              </w:rPr>
              <w:t>1,650,000</w:t>
            </w:r>
          </w:p>
        </w:tc>
        <w:tc>
          <w:tcPr>
            <w:tcW w:w="1960" w:type="dxa"/>
            <w:vAlign w:val="bottom"/>
            <w:tcBorders>
              <w:bottom w:val="single" w:sz="8" w:color="auto"/>
            </w:tcBorders>
            <w:shd w:val="clear" w:color="auto" w:fill="DCDDDE"/>
          </w:tcPr>
          <w:p>
            <w:pPr>
              <w:jc w:val="right"/>
              <w:ind w:right="439"/>
              <w:spacing w:after="0"/>
              <w:rPr>
                <w:sz w:val="20"/>
                <w:szCs w:val="20"/>
                <w:color w:val="auto"/>
              </w:rPr>
            </w:pPr>
            <w:r>
              <w:rPr>
                <w:rFonts w:ascii="Arial" w:cs="Arial" w:eastAsia="Arial" w:hAnsi="Arial"/>
                <w:sz w:val="16"/>
                <w:szCs w:val="16"/>
                <w:color w:val="auto"/>
              </w:rPr>
              <w:t>83,062</w:t>
            </w:r>
          </w:p>
        </w:tc>
        <w:tc>
          <w:tcPr>
            <w:tcW w:w="12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color w:val="auto"/>
              </w:rPr>
              <w:t>1,741,026</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401(k) Plan Company Match</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offers a matching contribution on employee 401(k) contributions under the 401(k) Plan to all eligible employees, including the NEOs. The NEOs and all other Company employees, may defer up to 50% of their eligible pay (i.e., base salary, performance-based bonus and other taxable wages) into the 401(k) Plan, subject to IRC limits.</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Company matching contributions are made each pay period an employee contributes to the 401(k) Plan, equal to a dollar for dollar match up to 1% of eligible pay then $0.50 per dollar on the next 6% of eligible pay, up to a maximum of 4% of eligible pay and IRC limits. The total Company matching contribution each of the NEOs received, as shown in the table, reflects this matching formula for fiscal year 2022.</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Contributions under the 401(k) Plan may be directed to custom target retirement date funds or to any of nine individual investment alternatives, including Common Stock. The Plan also offers a self-directed brokerage option.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Premium on Insurance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provides life insurance to the NEOs in an amount equal to approximately 2 times their base salary and additional disability insurance.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amounts reported are the annual Company-paid premiums.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 Severance</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connection with his separation on October 14, 2022, Edmond Mesrobian received a lump sum cash severance payment equal to 24 months of base salary, in accordance with the terms for involuntary separation without cause under the Nordstrom, Inc. Executive Severance Plan described on page </w:t>
      </w:r>
      <w:r>
        <w:rPr>
          <w:rFonts w:ascii="Arial" w:cs="Arial" w:eastAsia="Arial" w:hAnsi="Arial"/>
          <w:sz w:val="16"/>
          <w:szCs w:val="16"/>
          <w:u w:val="single" w:color="auto"/>
          <w:color w:val="0000EE"/>
        </w:rPr>
        <w:t>64</w:t>
      </w:r>
      <w:r>
        <w:rPr>
          <w:rFonts w:ascii="Arial" w:cs="Arial" w:eastAsia="Arial" w:hAnsi="Arial"/>
          <w:sz w:val="16"/>
          <w:szCs w:val="16"/>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(d) Other Benefits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amounts reported include a remote work stipend and the total discount the NEOs received on their Nordstrom purchases during fiscal year 2022. Amounts reported for Anne Bramman and Edmond Mesrobian also include lump sum payments of accrued and unused Paid Time Off, which was paid out upon their separation on December 2, 2022 and October 14, 2022, respectively.</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remote work stipend provided to the NEOs was the same as for all other employees working remotely, and the merchandise discount provided to the NEOs is the same as for all other eligible management and high-performing non-management employees of the Company, and its Board, as described on page </w:t>
      </w:r>
      <w:r>
        <w:rPr>
          <w:rFonts w:ascii="Arial" w:cs="Arial" w:eastAsia="Arial" w:hAnsi="Arial"/>
          <w:sz w:val="16"/>
          <w:szCs w:val="16"/>
          <w:u w:val="single" w:color="auto"/>
          <w:color w:val="0000EE"/>
        </w:rPr>
        <w:t>19</w:t>
      </w:r>
      <w:r>
        <w:rPr>
          <w:rFonts w:ascii="Arial" w:cs="Arial" w:eastAsia="Arial" w:hAnsi="Arial"/>
          <w:sz w:val="16"/>
          <w:szCs w:val="16"/>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Grants of Plan-Based Awards in Fiscal Year 2022</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w:t>
      </w:r>
    </w:p>
    <w:p>
      <w:pPr>
        <w:spacing w:after="0" w:line="86" w:lineRule="exact"/>
        <w:rPr>
          <w:sz w:val="20"/>
          <w:szCs w:val="20"/>
          <w:color w:val="auto"/>
        </w:rPr>
      </w:pPr>
    </w:p>
    <w:p>
      <w:pPr>
        <w:ind w:left="200" w:hanging="192"/>
        <w:spacing w:after="0" w:line="286"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non-equity incentive plan awards granted in fiscal year 2022 and the potential range of payouts. These awards are performance-based cash bonuses granted under the EMBP, as described on page </w:t>
      </w:r>
      <w:r>
        <w:rPr>
          <w:rFonts w:ascii="Arial" w:cs="Arial" w:eastAsia="Arial" w:hAnsi="Arial"/>
          <w:sz w:val="16"/>
          <w:szCs w:val="16"/>
          <w:u w:val="single" w:color="auto"/>
          <w:color w:val="0000EE"/>
        </w:rPr>
        <w:t>42</w:t>
      </w:r>
      <w:r>
        <w:rPr>
          <w:rFonts w:ascii="Arial" w:cs="Arial" w:eastAsia="Arial" w:hAnsi="Arial"/>
          <w:sz w:val="16"/>
          <w:szCs w:val="16"/>
          <w:color w:val="auto"/>
        </w:rPr>
        <w:t>;</w:t>
      </w:r>
    </w:p>
    <w:p>
      <w:pPr>
        <w:spacing w:after="0" w:line="7" w:lineRule="exact"/>
        <w:rPr>
          <w:rFonts w:ascii="Arial" w:cs="Arial" w:eastAsia="Arial" w:hAnsi="Arial"/>
          <w:sz w:val="16"/>
          <w:szCs w:val="16"/>
          <w:color w:val="auto"/>
        </w:rPr>
      </w:pPr>
    </w:p>
    <w:p>
      <w:pPr>
        <w:ind w:left="200" w:hanging="192"/>
        <w:spacing w:after="0" w:line="286"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number and grant date fair value of PSUs granted under the 2019 EIP in fiscal year 2022 and the potential range of payouts, as described on page </w:t>
      </w:r>
      <w:r>
        <w:rPr>
          <w:rFonts w:ascii="Arial" w:cs="Arial" w:eastAsia="Arial" w:hAnsi="Arial"/>
          <w:sz w:val="16"/>
          <w:szCs w:val="16"/>
          <w:u w:val="single" w:color="auto"/>
          <w:color w:val="0000EE"/>
        </w:rPr>
        <w:t>42</w:t>
      </w:r>
      <w:r>
        <w:rPr>
          <w:rFonts w:ascii="Arial" w:cs="Arial" w:eastAsia="Arial" w:hAnsi="Arial"/>
          <w:sz w:val="16"/>
          <w:szCs w:val="16"/>
          <w:color w:val="auto"/>
        </w:rPr>
        <w:t>;</w:t>
      </w:r>
    </w:p>
    <w:p>
      <w:pPr>
        <w:spacing w:after="0" w:line="7" w:lineRule="exact"/>
        <w:rPr>
          <w:rFonts w:ascii="Arial" w:cs="Arial" w:eastAsia="Arial" w:hAnsi="Arial"/>
          <w:sz w:val="16"/>
          <w:szCs w:val="16"/>
          <w:color w:val="auto"/>
        </w:rPr>
      </w:pPr>
    </w:p>
    <w:p>
      <w:pPr>
        <w:ind w:left="180" w:hanging="172"/>
        <w:spacing w:after="0"/>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number, price and grant date fair value of stock options granted under the 2019 EIP in fiscal year 2022, as described on page </w:t>
      </w:r>
      <w:r>
        <w:rPr>
          <w:rFonts w:ascii="Arial" w:cs="Arial" w:eastAsia="Arial" w:hAnsi="Arial"/>
          <w:sz w:val="16"/>
          <w:szCs w:val="16"/>
          <w:u w:val="single" w:color="auto"/>
          <w:color w:val="0000EE"/>
        </w:rPr>
        <w:t>42</w:t>
      </w:r>
      <w:r>
        <w:rPr>
          <w:rFonts w:ascii="Arial" w:cs="Arial" w:eastAsia="Arial" w:hAnsi="Arial"/>
          <w:sz w:val="16"/>
          <w:szCs w:val="16"/>
          <w:color w:val="auto"/>
        </w:rPr>
        <w:t>; and</w:t>
      </w:r>
    </w:p>
    <w:p>
      <w:pPr>
        <w:spacing w:after="0" w:line="86" w:lineRule="exact"/>
        <w:rPr>
          <w:rFonts w:ascii="Arial" w:cs="Arial" w:eastAsia="Arial" w:hAnsi="Arial"/>
          <w:sz w:val="16"/>
          <w:szCs w:val="16"/>
          <w:color w:val="auto"/>
        </w:rPr>
      </w:pPr>
    </w:p>
    <w:p>
      <w:pPr>
        <w:ind w:left="180" w:hanging="172"/>
        <w:spacing w:after="0"/>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number and grant date fair value of RSUs granted under the 2019 EIP in fiscal year 2022, as described on page </w:t>
      </w:r>
      <w:r>
        <w:rPr>
          <w:rFonts w:ascii="Arial" w:cs="Arial" w:eastAsia="Arial" w:hAnsi="Arial"/>
          <w:sz w:val="16"/>
          <w:szCs w:val="16"/>
          <w:u w:val="single" w:color="auto"/>
          <w:color w:val="0000EE"/>
        </w:rPr>
        <w:t>42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1019810" cy="1200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rPr>
              <w:t>All Other</w:t>
            </w: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4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Estimated Future Payouts</w:t>
            </w:r>
          </w:p>
        </w:tc>
        <w:tc>
          <w:tcPr>
            <w:tcW w:w="2120" w:type="dxa"/>
            <w:vAlign w:val="bottom"/>
            <w:gridSpan w:val="3"/>
            <w:vMerge w:val="restart"/>
          </w:tcPr>
          <w:p>
            <w:pPr>
              <w:jc w:val="right"/>
              <w:ind w:right="16"/>
              <w:spacing w:after="0"/>
              <w:rPr>
                <w:sz w:val="20"/>
                <w:szCs w:val="20"/>
                <w:color w:val="auto"/>
              </w:rPr>
            </w:pPr>
            <w:r>
              <w:rPr>
                <w:rFonts w:ascii="Arial" w:cs="Arial" w:eastAsia="Arial" w:hAnsi="Arial"/>
                <w:sz w:val="14"/>
                <w:szCs w:val="14"/>
                <w:b w:val="1"/>
                <w:bCs w:val="1"/>
                <w:color w:val="auto"/>
              </w:rPr>
              <w:t>Estimated Future Payouts</w:t>
            </w: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rPr>
              <w:t>Stock</w:t>
            </w: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900" w:type="dxa"/>
            <w:vAlign w:val="bottom"/>
          </w:tcPr>
          <w:p>
            <w:pPr>
              <w:jc w:val="right"/>
              <w:ind w:right="11"/>
              <w:spacing w:after="0" w:line="145" w:lineRule="exact"/>
              <w:rPr>
                <w:sz w:val="20"/>
                <w:szCs w:val="20"/>
                <w:color w:val="auto"/>
              </w:rPr>
            </w:pPr>
            <w:r>
              <w:rPr>
                <w:rFonts w:ascii="Arial" w:cs="Arial" w:eastAsia="Arial" w:hAnsi="Arial"/>
                <w:sz w:val="14"/>
                <w:szCs w:val="14"/>
                <w:b w:val="1"/>
                <w:bCs w:val="1"/>
                <w:color w:val="auto"/>
              </w:rPr>
              <w:t>Awards:</w:t>
            </w:r>
          </w:p>
        </w:tc>
        <w:tc>
          <w:tcPr>
            <w:tcW w:w="980" w:type="dxa"/>
            <w:vAlign w:val="bottom"/>
          </w:tcPr>
          <w:p>
            <w:pPr>
              <w:jc w:val="right"/>
              <w:ind w:right="52"/>
              <w:spacing w:after="0" w:line="145" w:lineRule="exact"/>
              <w:rPr>
                <w:sz w:val="20"/>
                <w:szCs w:val="20"/>
                <w:color w:val="auto"/>
              </w:rPr>
            </w:pPr>
            <w:r>
              <w:rPr>
                <w:rFonts w:ascii="Arial" w:cs="Arial" w:eastAsia="Arial" w:hAnsi="Arial"/>
                <w:sz w:val="14"/>
                <w:szCs w:val="14"/>
                <w:b w:val="1"/>
                <w:bCs w:val="1"/>
                <w:color w:val="auto"/>
              </w:rPr>
              <w:t>Awards:</w:t>
            </w:r>
          </w:p>
        </w:tc>
        <w:tc>
          <w:tcPr>
            <w:tcW w:w="860" w:type="dxa"/>
            <w:vAlign w:val="bottom"/>
          </w:tcPr>
          <w:p>
            <w:pPr>
              <w:jc w:val="right"/>
              <w:ind w:right="53"/>
              <w:spacing w:after="0" w:line="145" w:lineRule="exact"/>
              <w:rPr>
                <w:sz w:val="20"/>
                <w:szCs w:val="20"/>
                <w:color w:val="auto"/>
              </w:rPr>
            </w:pPr>
            <w:r>
              <w:rPr>
                <w:rFonts w:ascii="Arial" w:cs="Arial" w:eastAsia="Arial" w:hAnsi="Arial"/>
                <w:sz w:val="14"/>
                <w:szCs w:val="14"/>
                <w:b w:val="1"/>
                <w:bCs w:val="1"/>
                <w:color w:val="auto"/>
              </w:rPr>
              <w:t>Exercise</w:t>
            </w:r>
          </w:p>
        </w:tc>
        <w:tc>
          <w:tcPr>
            <w:tcW w:w="8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Under Non-Equity Incentive</w:t>
            </w: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Under Equity Incentive</w:t>
            </w: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rPr>
              <w:t>or Base</w:t>
            </w: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Plan Awards</w:t>
            </w:r>
          </w:p>
        </w:tc>
        <w:tc>
          <w:tcPr>
            <w:tcW w:w="7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Plan Awards</w:t>
            </w: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rPr>
              <w:t>Shares</w:t>
            </w: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rPr>
              <w:t>Securities</w:t>
            </w:r>
          </w:p>
        </w:tc>
        <w:tc>
          <w:tcPr>
            <w:tcW w:w="860" w:type="dxa"/>
            <w:vAlign w:val="bottom"/>
          </w:tcPr>
          <w:p>
            <w:pPr>
              <w:jc w:val="right"/>
              <w:ind w:right="53"/>
              <w:spacing w:after="0"/>
              <w:rPr>
                <w:sz w:val="20"/>
                <w:szCs w:val="20"/>
                <w:color w:val="auto"/>
              </w:rPr>
            </w:pPr>
            <w:r>
              <w:rPr>
                <w:rFonts w:ascii="Arial" w:cs="Arial" w:eastAsia="Arial" w:hAnsi="Arial"/>
                <w:sz w:val="14"/>
                <w:szCs w:val="14"/>
                <w:b w:val="1"/>
                <w:bCs w:val="1"/>
                <w:color w:val="auto"/>
              </w:rPr>
              <w:t>Price of</w:t>
            </w: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w:t>
            </w: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rPr>
              <w:t>of Stock</w:t>
            </w: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rPr>
              <w:t>Underlying</w:t>
            </w: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rPr>
              <w:t>Option</w:t>
            </w: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2"/>
        </w:trPr>
        <w:tc>
          <w:tcPr>
            <w:tcW w:w="9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Name and</w:t>
            </w:r>
          </w:p>
        </w:tc>
        <w:tc>
          <w:tcPr>
            <w:tcW w:w="10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Grant Date</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Approval</w:t>
            </w:r>
          </w:p>
        </w:tc>
        <w:tc>
          <w:tcPr>
            <w:tcW w:w="880" w:type="dxa"/>
            <w:vAlign w:val="bottom"/>
          </w:tcPr>
          <w:p>
            <w:pPr>
              <w:jc w:val="right"/>
              <w:ind w:right="55"/>
              <w:spacing w:after="0" w:line="142" w:lineRule="exact"/>
              <w:rPr>
                <w:sz w:val="20"/>
                <w:szCs w:val="20"/>
                <w:color w:val="auto"/>
              </w:rPr>
            </w:pPr>
            <w:r>
              <w:rPr>
                <w:rFonts w:ascii="Arial" w:cs="Arial" w:eastAsia="Arial" w:hAnsi="Arial"/>
                <w:sz w:val="13"/>
                <w:szCs w:val="13"/>
                <w:b w:val="1"/>
                <w:bCs w:val="1"/>
                <w:color w:val="auto"/>
              </w:rPr>
              <w:t>Threshold</w:t>
            </w:r>
          </w:p>
        </w:tc>
        <w:tc>
          <w:tcPr>
            <w:tcW w:w="740" w:type="dxa"/>
            <w:vAlign w:val="bottom"/>
          </w:tcPr>
          <w:p>
            <w:pPr>
              <w:jc w:val="right"/>
              <w:ind w:right="16"/>
              <w:spacing w:after="0" w:line="142" w:lineRule="exact"/>
              <w:rPr>
                <w:sz w:val="20"/>
                <w:szCs w:val="20"/>
                <w:color w:val="auto"/>
              </w:rPr>
            </w:pPr>
            <w:r>
              <w:rPr>
                <w:rFonts w:ascii="Arial" w:cs="Arial" w:eastAsia="Arial" w:hAnsi="Arial"/>
                <w:sz w:val="13"/>
                <w:szCs w:val="13"/>
                <w:b w:val="1"/>
                <w:bCs w:val="1"/>
                <w:color w:val="auto"/>
              </w:rPr>
              <w:t>Target</w:t>
            </w:r>
          </w:p>
        </w:tc>
        <w:tc>
          <w:tcPr>
            <w:tcW w:w="820" w:type="dxa"/>
            <w:vAlign w:val="bottom"/>
            <w:gridSpan w:val="2"/>
          </w:tcPr>
          <w:p>
            <w:pPr>
              <w:ind w:left="80"/>
              <w:spacing w:after="0" w:line="142" w:lineRule="exact"/>
              <w:rPr>
                <w:sz w:val="20"/>
                <w:szCs w:val="20"/>
                <w:color w:val="auto"/>
              </w:rPr>
            </w:pPr>
            <w:r>
              <w:rPr>
                <w:rFonts w:ascii="Arial" w:cs="Arial" w:eastAsia="Arial" w:hAnsi="Arial"/>
                <w:sz w:val="13"/>
                <w:szCs w:val="13"/>
                <w:b w:val="1"/>
                <w:bCs w:val="1"/>
                <w:color w:val="auto"/>
              </w:rPr>
              <w:t>Maximum</w:t>
            </w:r>
          </w:p>
        </w:tc>
        <w:tc>
          <w:tcPr>
            <w:tcW w:w="780" w:type="dxa"/>
            <w:vAlign w:val="bottom"/>
          </w:tcPr>
          <w:p>
            <w:pPr>
              <w:jc w:val="right"/>
              <w:ind w:right="35"/>
              <w:spacing w:after="0" w:line="142" w:lineRule="exact"/>
              <w:rPr>
                <w:sz w:val="20"/>
                <w:szCs w:val="20"/>
                <w:color w:val="auto"/>
              </w:rPr>
            </w:pPr>
            <w:r>
              <w:rPr>
                <w:rFonts w:ascii="Arial" w:cs="Arial" w:eastAsia="Arial" w:hAnsi="Arial"/>
                <w:sz w:val="13"/>
                <w:szCs w:val="13"/>
                <w:b w:val="1"/>
                <w:bCs w:val="1"/>
                <w:color w:val="auto"/>
              </w:rPr>
              <w:t>Threshold</w:t>
            </w:r>
          </w:p>
        </w:tc>
        <w:tc>
          <w:tcPr>
            <w:tcW w:w="580" w:type="dxa"/>
            <w:vAlign w:val="bottom"/>
          </w:tcPr>
          <w:p>
            <w:pPr>
              <w:jc w:val="right"/>
              <w:ind w:right="56"/>
              <w:spacing w:after="0" w:line="142" w:lineRule="exact"/>
              <w:rPr>
                <w:sz w:val="20"/>
                <w:szCs w:val="20"/>
                <w:color w:val="auto"/>
              </w:rPr>
            </w:pPr>
            <w:r>
              <w:rPr>
                <w:rFonts w:ascii="Arial" w:cs="Arial" w:eastAsia="Arial" w:hAnsi="Arial"/>
                <w:sz w:val="13"/>
                <w:szCs w:val="13"/>
                <w:b w:val="1"/>
                <w:bCs w:val="1"/>
                <w:color w:val="auto"/>
              </w:rPr>
              <w:t>Target</w:t>
            </w:r>
          </w:p>
        </w:tc>
        <w:tc>
          <w:tcPr>
            <w:tcW w:w="760" w:type="dxa"/>
            <w:vAlign w:val="bottom"/>
          </w:tcPr>
          <w:p>
            <w:pPr>
              <w:jc w:val="right"/>
              <w:ind w:right="16"/>
              <w:spacing w:after="0" w:line="142" w:lineRule="exact"/>
              <w:rPr>
                <w:sz w:val="20"/>
                <w:szCs w:val="20"/>
                <w:color w:val="auto"/>
              </w:rPr>
            </w:pPr>
            <w:r>
              <w:rPr>
                <w:rFonts w:ascii="Arial" w:cs="Arial" w:eastAsia="Arial" w:hAnsi="Arial"/>
                <w:sz w:val="13"/>
                <w:szCs w:val="13"/>
                <w:b w:val="1"/>
                <w:bCs w:val="1"/>
                <w:color w:val="auto"/>
              </w:rPr>
              <w:t>Maximum</w:t>
            </w:r>
          </w:p>
        </w:tc>
        <w:tc>
          <w:tcPr>
            <w:tcW w:w="90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or Units</w:t>
            </w:r>
          </w:p>
        </w:tc>
        <w:tc>
          <w:tcPr>
            <w:tcW w:w="9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Options</w:t>
            </w:r>
          </w:p>
        </w:tc>
        <w:tc>
          <w:tcPr>
            <w:tcW w:w="8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Awards</w:t>
            </w:r>
          </w:p>
        </w:tc>
        <w:tc>
          <w:tcPr>
            <w:tcW w:w="8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99"/>
        </w:trPr>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Award</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Date</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(#)(d)</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(#)(e)</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($/Sh)(f)</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95"/>
        </w:trPr>
        <w:tc>
          <w:tcPr>
            <w:tcW w:w="960" w:type="dxa"/>
            <w:vAlign w:val="bottom"/>
            <w:shd w:val="clear" w:color="auto" w:fill="DCDDDE"/>
          </w:tcPr>
          <w:p>
            <w:pPr>
              <w:ind w:left="60"/>
              <w:spacing w:after="0"/>
              <w:rPr>
                <w:sz w:val="20"/>
                <w:szCs w:val="20"/>
                <w:color w:val="auto"/>
              </w:rPr>
            </w:pPr>
            <w:r>
              <w:rPr>
                <w:rFonts w:ascii="Arial" w:cs="Arial" w:eastAsia="Arial" w:hAnsi="Arial"/>
                <w:sz w:val="13"/>
                <w:szCs w:val="13"/>
                <w:b w:val="1"/>
                <w:bCs w:val="1"/>
                <w:color w:val="auto"/>
              </w:rPr>
              <w:t>Erik B.</w:t>
            </w:r>
          </w:p>
        </w:tc>
        <w:tc>
          <w:tcPr>
            <w:tcW w:w="1020" w:type="dxa"/>
            <w:vAlign w:val="bottom"/>
            <w:shd w:val="clear" w:color="auto" w:fill="DCDDDE"/>
          </w:tcPr>
          <w:p>
            <w:pPr>
              <w:spacing w:after="0"/>
              <w:rPr>
                <w:sz w:val="16"/>
                <w:szCs w:val="16"/>
                <w:color w:val="auto"/>
              </w:rPr>
            </w:pPr>
          </w:p>
        </w:tc>
        <w:tc>
          <w:tcPr>
            <w:tcW w:w="800" w:type="dxa"/>
            <w:vAlign w:val="bottom"/>
            <w:shd w:val="clear" w:color="auto" w:fill="DCDDDE"/>
          </w:tcPr>
          <w:p>
            <w:pPr>
              <w:spacing w:after="0"/>
              <w:rPr>
                <w:sz w:val="16"/>
                <w:szCs w:val="16"/>
                <w:color w:val="auto"/>
              </w:rPr>
            </w:pPr>
          </w:p>
        </w:tc>
        <w:tc>
          <w:tcPr>
            <w:tcW w:w="880" w:type="dxa"/>
            <w:vAlign w:val="bottom"/>
            <w:shd w:val="clear" w:color="auto" w:fill="DCDDDE"/>
          </w:tcPr>
          <w:p>
            <w:pPr>
              <w:spacing w:after="0"/>
              <w:rPr>
                <w:sz w:val="16"/>
                <w:szCs w:val="16"/>
                <w:color w:val="auto"/>
              </w:rPr>
            </w:pPr>
          </w:p>
        </w:tc>
        <w:tc>
          <w:tcPr>
            <w:tcW w:w="740" w:type="dxa"/>
            <w:vAlign w:val="bottom"/>
            <w:shd w:val="clear" w:color="auto" w:fill="DCDDDE"/>
          </w:tcPr>
          <w:p>
            <w:pPr>
              <w:spacing w:after="0"/>
              <w:rPr>
                <w:sz w:val="16"/>
                <w:szCs w:val="16"/>
                <w:color w:val="auto"/>
              </w:rPr>
            </w:pPr>
          </w:p>
        </w:tc>
        <w:tc>
          <w:tcPr>
            <w:tcW w:w="740" w:type="dxa"/>
            <w:vAlign w:val="bottom"/>
            <w:shd w:val="clear" w:color="auto" w:fill="DCDDDE"/>
          </w:tcPr>
          <w:p>
            <w:pPr>
              <w:spacing w:after="0"/>
              <w:rPr>
                <w:sz w:val="16"/>
                <w:szCs w:val="16"/>
                <w:color w:val="auto"/>
              </w:rPr>
            </w:pPr>
          </w:p>
        </w:tc>
        <w:tc>
          <w:tcPr>
            <w:tcW w:w="80" w:type="dxa"/>
            <w:vAlign w:val="bottom"/>
            <w:shd w:val="clear" w:color="auto" w:fill="DCDDDE"/>
          </w:tcPr>
          <w:p>
            <w:pPr>
              <w:spacing w:after="0"/>
              <w:rPr>
                <w:sz w:val="16"/>
                <w:szCs w:val="16"/>
                <w:color w:val="auto"/>
              </w:rPr>
            </w:pPr>
          </w:p>
        </w:tc>
        <w:tc>
          <w:tcPr>
            <w:tcW w:w="780" w:type="dxa"/>
            <w:vAlign w:val="bottom"/>
            <w:shd w:val="clear" w:color="auto" w:fill="DCDDDE"/>
          </w:tcPr>
          <w:p>
            <w:pPr>
              <w:spacing w:after="0"/>
              <w:rPr>
                <w:sz w:val="16"/>
                <w:szCs w:val="16"/>
                <w:color w:val="auto"/>
              </w:rPr>
            </w:pPr>
          </w:p>
        </w:tc>
        <w:tc>
          <w:tcPr>
            <w:tcW w:w="580" w:type="dxa"/>
            <w:vAlign w:val="bottom"/>
            <w:shd w:val="clear" w:color="auto" w:fill="DCDDDE"/>
          </w:tcPr>
          <w:p>
            <w:pPr>
              <w:spacing w:after="0"/>
              <w:rPr>
                <w:sz w:val="16"/>
                <w:szCs w:val="16"/>
                <w:color w:val="auto"/>
              </w:rPr>
            </w:pPr>
          </w:p>
        </w:tc>
        <w:tc>
          <w:tcPr>
            <w:tcW w:w="760" w:type="dxa"/>
            <w:vAlign w:val="bottom"/>
            <w:shd w:val="clear" w:color="auto" w:fill="DCDDDE"/>
          </w:tcPr>
          <w:p>
            <w:pPr>
              <w:spacing w:after="0"/>
              <w:rPr>
                <w:sz w:val="16"/>
                <w:szCs w:val="16"/>
                <w:color w:val="auto"/>
              </w:rPr>
            </w:pPr>
          </w:p>
        </w:tc>
        <w:tc>
          <w:tcPr>
            <w:tcW w:w="900" w:type="dxa"/>
            <w:vAlign w:val="bottom"/>
            <w:shd w:val="clear" w:color="auto" w:fill="DCDDDE"/>
          </w:tcPr>
          <w:p>
            <w:pPr>
              <w:spacing w:after="0"/>
              <w:rPr>
                <w:sz w:val="16"/>
                <w:szCs w:val="16"/>
                <w:color w:val="auto"/>
              </w:rPr>
            </w:pPr>
          </w:p>
        </w:tc>
        <w:tc>
          <w:tcPr>
            <w:tcW w:w="980" w:type="dxa"/>
            <w:vAlign w:val="bottom"/>
            <w:shd w:val="clear" w:color="auto" w:fill="DCDDDE"/>
          </w:tcPr>
          <w:p>
            <w:pPr>
              <w:spacing w:after="0"/>
              <w:rPr>
                <w:sz w:val="16"/>
                <w:szCs w:val="16"/>
                <w:color w:val="auto"/>
              </w:rPr>
            </w:pPr>
          </w:p>
        </w:tc>
        <w:tc>
          <w:tcPr>
            <w:tcW w:w="860" w:type="dxa"/>
            <w:vAlign w:val="bottom"/>
            <w:shd w:val="clear" w:color="auto" w:fill="DCDDDE"/>
          </w:tcPr>
          <w:p>
            <w:pPr>
              <w:spacing w:after="0"/>
              <w:rPr>
                <w:sz w:val="16"/>
                <w:szCs w:val="16"/>
                <w:color w:val="auto"/>
              </w:rPr>
            </w:pPr>
          </w:p>
        </w:tc>
        <w:tc>
          <w:tcPr>
            <w:tcW w:w="80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b w:val="1"/>
                <w:bCs w:val="1"/>
                <w:color w:val="auto"/>
              </w:rPr>
              <w:t>Nordstrom</w:t>
            </w:r>
          </w:p>
        </w:tc>
        <w:tc>
          <w:tcPr>
            <w:tcW w:w="10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spacing w:after="0"/>
              <w:rPr>
                <w:sz w:val="16"/>
                <w:szCs w:val="16"/>
                <w:color w:val="auto"/>
              </w:rPr>
            </w:pPr>
          </w:p>
        </w:tc>
        <w:tc>
          <w:tcPr>
            <w:tcW w:w="880" w:type="dxa"/>
            <w:vAlign w:val="bottom"/>
            <w:tcBorders>
              <w:bottom w:val="single" w:sz="8" w:color="DCDDDE"/>
            </w:tcBorders>
            <w:shd w:val="clear" w:color="auto" w:fill="DCDDDE"/>
          </w:tcPr>
          <w:p>
            <w:pPr>
              <w:spacing w:after="0"/>
              <w:rPr>
                <w:sz w:val="16"/>
                <w:szCs w:val="16"/>
                <w:color w:val="auto"/>
              </w:rPr>
            </w:pPr>
          </w:p>
        </w:tc>
        <w:tc>
          <w:tcPr>
            <w:tcW w:w="740" w:type="dxa"/>
            <w:vAlign w:val="bottom"/>
            <w:tcBorders>
              <w:bottom w:val="single" w:sz="8" w:color="DCDDDE"/>
            </w:tcBorders>
            <w:shd w:val="clear" w:color="auto" w:fill="DCDDDE"/>
          </w:tcPr>
          <w:p>
            <w:pPr>
              <w:spacing w:after="0"/>
              <w:rPr>
                <w:sz w:val="16"/>
                <w:szCs w:val="16"/>
                <w:color w:val="auto"/>
              </w:rPr>
            </w:pPr>
          </w:p>
        </w:tc>
        <w:tc>
          <w:tcPr>
            <w:tcW w:w="740" w:type="dxa"/>
            <w:vAlign w:val="bottom"/>
            <w:tcBorders>
              <w:bottom w:val="single" w:sz="8" w:color="DCDDDE"/>
            </w:tcBorders>
            <w:shd w:val="clear" w:color="auto" w:fill="DCDDDE"/>
          </w:tcPr>
          <w:p>
            <w:pPr>
              <w:spacing w:after="0"/>
              <w:rPr>
                <w:sz w:val="16"/>
                <w:szCs w:val="16"/>
                <w:color w:val="auto"/>
              </w:rPr>
            </w:pPr>
          </w:p>
        </w:tc>
        <w:tc>
          <w:tcPr>
            <w:tcW w:w="80" w:type="dxa"/>
            <w:vAlign w:val="bottom"/>
            <w:tcBorders>
              <w:bottom w:val="single" w:sz="8" w:color="DCDDDE"/>
            </w:tcBorders>
            <w:shd w:val="clear" w:color="auto" w:fill="DCDDDE"/>
          </w:tcPr>
          <w:p>
            <w:pPr>
              <w:spacing w:after="0"/>
              <w:rPr>
                <w:sz w:val="16"/>
                <w:szCs w:val="16"/>
                <w:color w:val="auto"/>
              </w:rPr>
            </w:pPr>
          </w:p>
        </w:tc>
        <w:tc>
          <w:tcPr>
            <w:tcW w:w="780" w:type="dxa"/>
            <w:vAlign w:val="bottom"/>
            <w:tcBorders>
              <w:bottom w:val="single" w:sz="8" w:color="DCDDDE"/>
            </w:tcBorders>
            <w:shd w:val="clear" w:color="auto" w:fill="DCDDDE"/>
          </w:tcPr>
          <w:p>
            <w:pPr>
              <w:spacing w:after="0"/>
              <w:rPr>
                <w:sz w:val="16"/>
                <w:szCs w:val="16"/>
                <w:color w:val="auto"/>
              </w:rPr>
            </w:pPr>
          </w:p>
        </w:tc>
        <w:tc>
          <w:tcPr>
            <w:tcW w:w="580" w:type="dxa"/>
            <w:vAlign w:val="bottom"/>
            <w:tcBorders>
              <w:bottom w:val="single" w:sz="8" w:color="DCDDDE"/>
            </w:tcBorders>
            <w:shd w:val="clear" w:color="auto" w:fill="DCDDDE"/>
          </w:tcPr>
          <w:p>
            <w:pPr>
              <w:spacing w:after="0"/>
              <w:rPr>
                <w:sz w:val="16"/>
                <w:szCs w:val="16"/>
                <w:color w:val="auto"/>
              </w:rPr>
            </w:pPr>
          </w:p>
        </w:tc>
        <w:tc>
          <w:tcPr>
            <w:tcW w:w="760" w:type="dxa"/>
            <w:vAlign w:val="bottom"/>
            <w:tcBorders>
              <w:bottom w:val="single" w:sz="8" w:color="DCDDDE"/>
            </w:tcBorders>
            <w:shd w:val="clear" w:color="auto" w:fill="DCDDDE"/>
          </w:tcPr>
          <w:p>
            <w:pPr>
              <w:spacing w:after="0"/>
              <w:rPr>
                <w:sz w:val="16"/>
                <w:szCs w:val="16"/>
                <w:color w:val="auto"/>
              </w:rPr>
            </w:pPr>
          </w:p>
        </w:tc>
        <w:tc>
          <w:tcPr>
            <w:tcW w:w="900" w:type="dxa"/>
            <w:vAlign w:val="bottom"/>
            <w:tcBorders>
              <w:bottom w:val="single" w:sz="8" w:color="DCDDDE"/>
            </w:tcBorders>
            <w:shd w:val="clear" w:color="auto" w:fill="DCDDDE"/>
          </w:tcPr>
          <w:p>
            <w:pPr>
              <w:spacing w:after="0"/>
              <w:rPr>
                <w:sz w:val="16"/>
                <w:szCs w:val="16"/>
                <w:color w:val="auto"/>
              </w:rPr>
            </w:pPr>
          </w:p>
        </w:tc>
        <w:tc>
          <w:tcPr>
            <w:tcW w:w="980" w:type="dxa"/>
            <w:vAlign w:val="bottom"/>
            <w:tcBorders>
              <w:bottom w:val="single" w:sz="8" w:color="DCDDDE"/>
            </w:tcBorders>
            <w:shd w:val="clear" w:color="auto" w:fill="DCDDDE"/>
          </w:tcPr>
          <w:p>
            <w:pPr>
              <w:spacing w:after="0"/>
              <w:rPr>
                <w:sz w:val="16"/>
                <w:szCs w:val="16"/>
                <w:color w:val="auto"/>
              </w:rPr>
            </w:pPr>
          </w:p>
        </w:tc>
        <w:tc>
          <w:tcPr>
            <w:tcW w:w="86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60" w:type="dxa"/>
            <w:vAlign w:val="bottom"/>
          </w:tcPr>
          <w:p>
            <w:pPr>
              <w:ind w:left="60"/>
              <w:spacing w:after="0"/>
              <w:rPr>
                <w:sz w:val="20"/>
                <w:szCs w:val="20"/>
                <w:color w:val="auto"/>
              </w:rPr>
            </w:pPr>
            <w:r>
              <w:rPr>
                <w:rFonts w:ascii="Arial" w:cs="Arial" w:eastAsia="Arial" w:hAnsi="Arial"/>
                <w:sz w:val="13"/>
                <w:szCs w:val="13"/>
                <w:color w:val="auto"/>
              </w:rPr>
              <w:t>EMBP</w:t>
            </w: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379,250</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1,517,001</w:t>
            </w:r>
          </w:p>
        </w:tc>
        <w:tc>
          <w:tcPr>
            <w:tcW w:w="740" w:type="dxa"/>
            <w:vAlign w:val="bottom"/>
          </w:tcPr>
          <w:p>
            <w:pPr>
              <w:jc w:val="right"/>
              <w:spacing w:after="0"/>
              <w:rPr>
                <w:sz w:val="20"/>
                <w:szCs w:val="20"/>
                <w:color w:val="auto"/>
              </w:rPr>
            </w:pPr>
            <w:r>
              <w:rPr>
                <w:rFonts w:ascii="Arial" w:cs="Arial" w:eastAsia="Arial" w:hAnsi="Arial"/>
                <w:sz w:val="13"/>
                <w:szCs w:val="13"/>
                <w:color w:val="auto"/>
              </w:rPr>
              <w:t>3,792,502</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color w:val="auto"/>
              </w:rPr>
              <w:t>PSU</w:t>
            </w:r>
          </w:p>
        </w:tc>
        <w:tc>
          <w:tcPr>
            <w:tcW w:w="1020" w:type="dxa"/>
            <w:vAlign w:val="bottom"/>
            <w:tcBorders>
              <w:bottom w:val="single" w:sz="8" w:color="DCDDDE"/>
            </w:tcBorders>
            <w:shd w:val="clear" w:color="auto" w:fill="DCDDDE"/>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52,902</w:t>
            </w:r>
          </w:p>
        </w:tc>
        <w:tc>
          <w:tcPr>
            <w:tcW w:w="580" w:type="dxa"/>
            <w:vAlign w:val="bottom"/>
            <w:tcBorders>
              <w:bottom w:val="single" w:sz="8" w:color="DCDDDE"/>
            </w:tcBorders>
            <w:shd w:val="clear" w:color="auto" w:fill="DCDDDE"/>
          </w:tcPr>
          <w:p>
            <w:pPr>
              <w:jc w:val="right"/>
              <w:ind w:right="36"/>
              <w:spacing w:after="0"/>
              <w:rPr>
                <w:sz w:val="20"/>
                <w:szCs w:val="20"/>
                <w:color w:val="auto"/>
              </w:rPr>
            </w:pPr>
            <w:r>
              <w:rPr>
                <w:rFonts w:ascii="Arial" w:cs="Arial" w:eastAsia="Arial" w:hAnsi="Arial"/>
                <w:sz w:val="13"/>
                <w:szCs w:val="13"/>
                <w:color w:val="auto"/>
              </w:rPr>
              <w:t>70,536</w:t>
            </w: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105,804</w:t>
            </w:r>
          </w:p>
        </w:tc>
        <w:tc>
          <w:tcPr>
            <w:tcW w:w="900" w:type="dxa"/>
            <w:vAlign w:val="bottom"/>
            <w:tcBorders>
              <w:bottom w:val="single" w:sz="8" w:color="DCDDDE"/>
            </w:tcBorders>
            <w:shd w:val="clear" w:color="auto" w:fill="DCDDDE"/>
          </w:tcPr>
          <w:p>
            <w:pPr>
              <w:spacing w:after="0"/>
              <w:rPr>
                <w:sz w:val="22"/>
                <w:szCs w:val="22"/>
                <w:color w:val="auto"/>
              </w:rPr>
            </w:pPr>
          </w:p>
        </w:tc>
        <w:tc>
          <w:tcPr>
            <w:tcW w:w="980" w:type="dxa"/>
            <w:vAlign w:val="bottom"/>
            <w:tcBorders>
              <w:bottom w:val="single" w:sz="8" w:color="DCDDDE"/>
            </w:tcBorders>
            <w:shd w:val="clear" w:color="auto" w:fill="DCDDDE"/>
          </w:tcPr>
          <w:p>
            <w:pPr>
              <w:spacing w:after="0"/>
              <w:rPr>
                <w:sz w:val="22"/>
                <w:szCs w:val="22"/>
                <w:color w:val="auto"/>
              </w:rPr>
            </w:pPr>
          </w:p>
        </w:tc>
        <w:tc>
          <w:tcPr>
            <w:tcW w:w="86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1,592,844</w:t>
            </w:r>
          </w:p>
        </w:tc>
        <w:tc>
          <w:tcPr>
            <w:tcW w:w="0" w:type="dxa"/>
            <w:vAlign w:val="bottom"/>
          </w:tcPr>
          <w:p>
            <w:pPr>
              <w:spacing w:after="0"/>
              <w:rPr>
                <w:sz w:val="1"/>
                <w:szCs w:val="1"/>
                <w:color w:val="auto"/>
              </w:rPr>
            </w:pPr>
          </w:p>
        </w:tc>
      </w:tr>
      <w:tr>
        <w:trPr>
          <w:trHeight w:val="202"/>
        </w:trPr>
        <w:tc>
          <w:tcPr>
            <w:tcW w:w="960" w:type="dxa"/>
            <w:vAlign w:val="bottom"/>
          </w:tcPr>
          <w:p>
            <w:pPr>
              <w:ind w:left="60"/>
              <w:spacing w:after="0"/>
              <w:rPr>
                <w:sz w:val="20"/>
                <w:szCs w:val="20"/>
                <w:color w:val="auto"/>
              </w:rPr>
            </w:pPr>
            <w:r>
              <w:rPr>
                <w:rFonts w:ascii="Arial" w:cs="Arial" w:eastAsia="Arial" w:hAnsi="Arial"/>
                <w:sz w:val="13"/>
                <w:szCs w:val="13"/>
                <w:color w:val="auto"/>
              </w:rPr>
              <w:t>Stock Option</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Arial" w:cs="Arial" w:eastAsia="Arial" w:hAnsi="Arial"/>
                <w:sz w:val="13"/>
                <w:szCs w:val="13"/>
                <w:color w:val="auto"/>
              </w:rPr>
              <w:t>102,506</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25.68</w:t>
            </w:r>
          </w:p>
        </w:tc>
        <w:tc>
          <w:tcPr>
            <w:tcW w:w="800" w:type="dxa"/>
            <w:vAlign w:val="bottom"/>
          </w:tcPr>
          <w:p>
            <w:pPr>
              <w:jc w:val="right"/>
              <w:spacing w:after="0"/>
              <w:rPr>
                <w:sz w:val="20"/>
                <w:szCs w:val="20"/>
                <w:color w:val="auto"/>
              </w:rPr>
            </w:pPr>
            <w:r>
              <w:rPr>
                <w:rFonts w:ascii="Arial" w:cs="Arial" w:eastAsia="Arial" w:hAnsi="Arial"/>
                <w:sz w:val="13"/>
                <w:szCs w:val="13"/>
                <w:color w:val="auto"/>
              </w:rPr>
              <w:t>1,061,890</w:t>
            </w:r>
          </w:p>
        </w:tc>
        <w:tc>
          <w:tcPr>
            <w:tcW w:w="0" w:type="dxa"/>
            <w:vAlign w:val="bottom"/>
          </w:tcPr>
          <w:p>
            <w:pPr>
              <w:spacing w:after="0"/>
              <w:rPr>
                <w:sz w:val="1"/>
                <w:szCs w:val="1"/>
                <w:color w:val="auto"/>
              </w:rPr>
            </w:pPr>
          </w:p>
        </w:tc>
      </w:tr>
      <w:tr>
        <w:trPr>
          <w:trHeight w:val="82"/>
        </w:trPr>
        <w:tc>
          <w:tcPr>
            <w:tcW w:w="9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960" w:type="dxa"/>
            <w:vAlign w:val="bottom"/>
            <w:shd w:val="clear" w:color="auto" w:fill="DCDDDE"/>
          </w:tcPr>
          <w:p>
            <w:pPr>
              <w:ind w:left="60"/>
              <w:spacing w:after="0"/>
              <w:rPr>
                <w:sz w:val="20"/>
                <w:szCs w:val="20"/>
                <w:color w:val="auto"/>
              </w:rPr>
            </w:pPr>
            <w:r>
              <w:rPr>
                <w:rFonts w:ascii="Arial" w:cs="Arial" w:eastAsia="Arial" w:hAnsi="Arial"/>
                <w:sz w:val="13"/>
                <w:szCs w:val="13"/>
                <w:b w:val="1"/>
                <w:bCs w:val="1"/>
                <w:color w:val="auto"/>
              </w:rPr>
              <w:t>Michael W.</w:t>
            </w:r>
          </w:p>
        </w:tc>
        <w:tc>
          <w:tcPr>
            <w:tcW w:w="1020" w:type="dxa"/>
            <w:vAlign w:val="bottom"/>
            <w:shd w:val="clear" w:color="auto" w:fill="DCDDDE"/>
          </w:tcPr>
          <w:p>
            <w:pPr>
              <w:spacing w:after="0"/>
              <w:rPr>
                <w:sz w:val="16"/>
                <w:szCs w:val="16"/>
                <w:color w:val="auto"/>
              </w:rPr>
            </w:pPr>
          </w:p>
        </w:tc>
        <w:tc>
          <w:tcPr>
            <w:tcW w:w="800" w:type="dxa"/>
            <w:vAlign w:val="bottom"/>
            <w:shd w:val="clear" w:color="auto" w:fill="DCDDDE"/>
          </w:tcPr>
          <w:p>
            <w:pPr>
              <w:spacing w:after="0"/>
              <w:rPr>
                <w:sz w:val="16"/>
                <w:szCs w:val="16"/>
                <w:color w:val="auto"/>
              </w:rPr>
            </w:pPr>
          </w:p>
        </w:tc>
        <w:tc>
          <w:tcPr>
            <w:tcW w:w="880" w:type="dxa"/>
            <w:vAlign w:val="bottom"/>
            <w:shd w:val="clear" w:color="auto" w:fill="DCDDDE"/>
          </w:tcPr>
          <w:p>
            <w:pPr>
              <w:spacing w:after="0"/>
              <w:rPr>
                <w:sz w:val="16"/>
                <w:szCs w:val="16"/>
                <w:color w:val="auto"/>
              </w:rPr>
            </w:pPr>
          </w:p>
        </w:tc>
        <w:tc>
          <w:tcPr>
            <w:tcW w:w="740" w:type="dxa"/>
            <w:vAlign w:val="bottom"/>
            <w:shd w:val="clear" w:color="auto" w:fill="DCDDDE"/>
          </w:tcPr>
          <w:p>
            <w:pPr>
              <w:spacing w:after="0"/>
              <w:rPr>
                <w:sz w:val="16"/>
                <w:szCs w:val="16"/>
                <w:color w:val="auto"/>
              </w:rPr>
            </w:pPr>
          </w:p>
        </w:tc>
        <w:tc>
          <w:tcPr>
            <w:tcW w:w="740" w:type="dxa"/>
            <w:vAlign w:val="bottom"/>
            <w:shd w:val="clear" w:color="auto" w:fill="DCDDDE"/>
          </w:tcPr>
          <w:p>
            <w:pPr>
              <w:spacing w:after="0"/>
              <w:rPr>
                <w:sz w:val="16"/>
                <w:szCs w:val="16"/>
                <w:color w:val="auto"/>
              </w:rPr>
            </w:pPr>
          </w:p>
        </w:tc>
        <w:tc>
          <w:tcPr>
            <w:tcW w:w="80" w:type="dxa"/>
            <w:vAlign w:val="bottom"/>
            <w:shd w:val="clear" w:color="auto" w:fill="DCDDDE"/>
          </w:tcPr>
          <w:p>
            <w:pPr>
              <w:spacing w:after="0"/>
              <w:rPr>
                <w:sz w:val="16"/>
                <w:szCs w:val="16"/>
                <w:color w:val="auto"/>
              </w:rPr>
            </w:pPr>
          </w:p>
        </w:tc>
        <w:tc>
          <w:tcPr>
            <w:tcW w:w="780" w:type="dxa"/>
            <w:vAlign w:val="bottom"/>
            <w:shd w:val="clear" w:color="auto" w:fill="DCDDDE"/>
          </w:tcPr>
          <w:p>
            <w:pPr>
              <w:spacing w:after="0"/>
              <w:rPr>
                <w:sz w:val="16"/>
                <w:szCs w:val="16"/>
                <w:color w:val="auto"/>
              </w:rPr>
            </w:pPr>
          </w:p>
        </w:tc>
        <w:tc>
          <w:tcPr>
            <w:tcW w:w="580" w:type="dxa"/>
            <w:vAlign w:val="bottom"/>
            <w:shd w:val="clear" w:color="auto" w:fill="DCDDDE"/>
          </w:tcPr>
          <w:p>
            <w:pPr>
              <w:spacing w:after="0"/>
              <w:rPr>
                <w:sz w:val="16"/>
                <w:szCs w:val="16"/>
                <w:color w:val="auto"/>
              </w:rPr>
            </w:pPr>
          </w:p>
        </w:tc>
        <w:tc>
          <w:tcPr>
            <w:tcW w:w="760" w:type="dxa"/>
            <w:vAlign w:val="bottom"/>
            <w:shd w:val="clear" w:color="auto" w:fill="DCDDDE"/>
          </w:tcPr>
          <w:p>
            <w:pPr>
              <w:spacing w:after="0"/>
              <w:rPr>
                <w:sz w:val="16"/>
                <w:szCs w:val="16"/>
                <w:color w:val="auto"/>
              </w:rPr>
            </w:pPr>
          </w:p>
        </w:tc>
        <w:tc>
          <w:tcPr>
            <w:tcW w:w="900" w:type="dxa"/>
            <w:vAlign w:val="bottom"/>
            <w:shd w:val="clear" w:color="auto" w:fill="DCDDDE"/>
          </w:tcPr>
          <w:p>
            <w:pPr>
              <w:spacing w:after="0"/>
              <w:rPr>
                <w:sz w:val="16"/>
                <w:szCs w:val="16"/>
                <w:color w:val="auto"/>
              </w:rPr>
            </w:pPr>
          </w:p>
        </w:tc>
        <w:tc>
          <w:tcPr>
            <w:tcW w:w="980" w:type="dxa"/>
            <w:vAlign w:val="bottom"/>
            <w:shd w:val="clear" w:color="auto" w:fill="DCDDDE"/>
          </w:tcPr>
          <w:p>
            <w:pPr>
              <w:spacing w:after="0"/>
              <w:rPr>
                <w:sz w:val="16"/>
                <w:szCs w:val="16"/>
                <w:color w:val="auto"/>
              </w:rPr>
            </w:pPr>
          </w:p>
        </w:tc>
        <w:tc>
          <w:tcPr>
            <w:tcW w:w="860" w:type="dxa"/>
            <w:vAlign w:val="bottom"/>
            <w:shd w:val="clear" w:color="auto" w:fill="DCDDDE"/>
          </w:tcPr>
          <w:p>
            <w:pPr>
              <w:spacing w:after="0"/>
              <w:rPr>
                <w:sz w:val="16"/>
                <w:szCs w:val="16"/>
                <w:color w:val="auto"/>
              </w:rPr>
            </w:pPr>
          </w:p>
        </w:tc>
        <w:tc>
          <w:tcPr>
            <w:tcW w:w="80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b w:val="1"/>
                <w:bCs w:val="1"/>
                <w:color w:val="auto"/>
              </w:rPr>
              <w:t>Maher</w:t>
            </w:r>
          </w:p>
        </w:tc>
        <w:tc>
          <w:tcPr>
            <w:tcW w:w="10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spacing w:after="0"/>
              <w:rPr>
                <w:sz w:val="16"/>
                <w:szCs w:val="16"/>
                <w:color w:val="auto"/>
              </w:rPr>
            </w:pPr>
          </w:p>
        </w:tc>
        <w:tc>
          <w:tcPr>
            <w:tcW w:w="880" w:type="dxa"/>
            <w:vAlign w:val="bottom"/>
            <w:tcBorders>
              <w:bottom w:val="single" w:sz="8" w:color="DCDDDE"/>
            </w:tcBorders>
            <w:shd w:val="clear" w:color="auto" w:fill="DCDDDE"/>
          </w:tcPr>
          <w:p>
            <w:pPr>
              <w:spacing w:after="0"/>
              <w:rPr>
                <w:sz w:val="16"/>
                <w:szCs w:val="16"/>
                <w:color w:val="auto"/>
              </w:rPr>
            </w:pPr>
          </w:p>
        </w:tc>
        <w:tc>
          <w:tcPr>
            <w:tcW w:w="740" w:type="dxa"/>
            <w:vAlign w:val="bottom"/>
            <w:tcBorders>
              <w:bottom w:val="single" w:sz="8" w:color="DCDDDE"/>
            </w:tcBorders>
            <w:shd w:val="clear" w:color="auto" w:fill="DCDDDE"/>
          </w:tcPr>
          <w:p>
            <w:pPr>
              <w:spacing w:after="0"/>
              <w:rPr>
                <w:sz w:val="16"/>
                <w:szCs w:val="16"/>
                <w:color w:val="auto"/>
              </w:rPr>
            </w:pPr>
          </w:p>
        </w:tc>
        <w:tc>
          <w:tcPr>
            <w:tcW w:w="740" w:type="dxa"/>
            <w:vAlign w:val="bottom"/>
            <w:tcBorders>
              <w:bottom w:val="single" w:sz="8" w:color="DCDDDE"/>
            </w:tcBorders>
            <w:shd w:val="clear" w:color="auto" w:fill="DCDDDE"/>
          </w:tcPr>
          <w:p>
            <w:pPr>
              <w:spacing w:after="0"/>
              <w:rPr>
                <w:sz w:val="16"/>
                <w:szCs w:val="16"/>
                <w:color w:val="auto"/>
              </w:rPr>
            </w:pPr>
          </w:p>
        </w:tc>
        <w:tc>
          <w:tcPr>
            <w:tcW w:w="80" w:type="dxa"/>
            <w:vAlign w:val="bottom"/>
            <w:tcBorders>
              <w:bottom w:val="single" w:sz="8" w:color="DCDDDE"/>
            </w:tcBorders>
            <w:shd w:val="clear" w:color="auto" w:fill="DCDDDE"/>
          </w:tcPr>
          <w:p>
            <w:pPr>
              <w:spacing w:after="0"/>
              <w:rPr>
                <w:sz w:val="16"/>
                <w:szCs w:val="16"/>
                <w:color w:val="auto"/>
              </w:rPr>
            </w:pPr>
          </w:p>
        </w:tc>
        <w:tc>
          <w:tcPr>
            <w:tcW w:w="780" w:type="dxa"/>
            <w:vAlign w:val="bottom"/>
            <w:tcBorders>
              <w:bottom w:val="single" w:sz="8" w:color="DCDDDE"/>
            </w:tcBorders>
            <w:shd w:val="clear" w:color="auto" w:fill="DCDDDE"/>
          </w:tcPr>
          <w:p>
            <w:pPr>
              <w:spacing w:after="0"/>
              <w:rPr>
                <w:sz w:val="16"/>
                <w:szCs w:val="16"/>
                <w:color w:val="auto"/>
              </w:rPr>
            </w:pPr>
          </w:p>
        </w:tc>
        <w:tc>
          <w:tcPr>
            <w:tcW w:w="580" w:type="dxa"/>
            <w:vAlign w:val="bottom"/>
            <w:tcBorders>
              <w:bottom w:val="single" w:sz="8" w:color="DCDDDE"/>
            </w:tcBorders>
            <w:shd w:val="clear" w:color="auto" w:fill="DCDDDE"/>
          </w:tcPr>
          <w:p>
            <w:pPr>
              <w:spacing w:after="0"/>
              <w:rPr>
                <w:sz w:val="16"/>
                <w:szCs w:val="16"/>
                <w:color w:val="auto"/>
              </w:rPr>
            </w:pPr>
          </w:p>
        </w:tc>
        <w:tc>
          <w:tcPr>
            <w:tcW w:w="760" w:type="dxa"/>
            <w:vAlign w:val="bottom"/>
            <w:tcBorders>
              <w:bottom w:val="single" w:sz="8" w:color="DCDDDE"/>
            </w:tcBorders>
            <w:shd w:val="clear" w:color="auto" w:fill="DCDDDE"/>
          </w:tcPr>
          <w:p>
            <w:pPr>
              <w:spacing w:after="0"/>
              <w:rPr>
                <w:sz w:val="16"/>
                <w:szCs w:val="16"/>
                <w:color w:val="auto"/>
              </w:rPr>
            </w:pPr>
          </w:p>
        </w:tc>
        <w:tc>
          <w:tcPr>
            <w:tcW w:w="900" w:type="dxa"/>
            <w:vAlign w:val="bottom"/>
            <w:tcBorders>
              <w:bottom w:val="single" w:sz="8" w:color="DCDDDE"/>
            </w:tcBorders>
            <w:shd w:val="clear" w:color="auto" w:fill="DCDDDE"/>
          </w:tcPr>
          <w:p>
            <w:pPr>
              <w:spacing w:after="0"/>
              <w:rPr>
                <w:sz w:val="16"/>
                <w:szCs w:val="16"/>
                <w:color w:val="auto"/>
              </w:rPr>
            </w:pPr>
          </w:p>
        </w:tc>
        <w:tc>
          <w:tcPr>
            <w:tcW w:w="980" w:type="dxa"/>
            <w:vAlign w:val="bottom"/>
            <w:tcBorders>
              <w:bottom w:val="single" w:sz="8" w:color="DCDDDE"/>
            </w:tcBorders>
            <w:shd w:val="clear" w:color="auto" w:fill="DCDDDE"/>
          </w:tcPr>
          <w:p>
            <w:pPr>
              <w:spacing w:after="0"/>
              <w:rPr>
                <w:sz w:val="16"/>
                <w:szCs w:val="16"/>
                <w:color w:val="auto"/>
              </w:rPr>
            </w:pPr>
          </w:p>
        </w:tc>
        <w:tc>
          <w:tcPr>
            <w:tcW w:w="86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60" w:type="dxa"/>
            <w:vAlign w:val="bottom"/>
          </w:tcPr>
          <w:p>
            <w:pPr>
              <w:ind w:left="60"/>
              <w:spacing w:after="0"/>
              <w:rPr>
                <w:sz w:val="20"/>
                <w:szCs w:val="20"/>
                <w:color w:val="auto"/>
              </w:rPr>
            </w:pPr>
            <w:r>
              <w:rPr>
                <w:rFonts w:ascii="Arial" w:cs="Arial" w:eastAsia="Arial" w:hAnsi="Arial"/>
                <w:sz w:val="13"/>
                <w:szCs w:val="13"/>
                <w:color w:val="auto"/>
              </w:rPr>
              <w:t>EMBP</w:t>
            </w: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57,054</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228,218</w:t>
            </w:r>
          </w:p>
        </w:tc>
        <w:tc>
          <w:tcPr>
            <w:tcW w:w="740" w:type="dxa"/>
            <w:vAlign w:val="bottom"/>
          </w:tcPr>
          <w:p>
            <w:pPr>
              <w:jc w:val="right"/>
              <w:spacing w:after="0"/>
              <w:rPr>
                <w:sz w:val="20"/>
                <w:szCs w:val="20"/>
                <w:color w:val="auto"/>
              </w:rPr>
            </w:pPr>
            <w:r>
              <w:rPr>
                <w:rFonts w:ascii="Arial" w:cs="Arial" w:eastAsia="Arial" w:hAnsi="Arial"/>
                <w:sz w:val="13"/>
                <w:szCs w:val="13"/>
                <w:color w:val="auto"/>
              </w:rPr>
              <w:t>570,544</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color w:val="auto"/>
              </w:rPr>
              <w:t>Stock Option</w:t>
            </w:r>
          </w:p>
        </w:tc>
        <w:tc>
          <w:tcPr>
            <w:tcW w:w="1020" w:type="dxa"/>
            <w:vAlign w:val="bottom"/>
            <w:tcBorders>
              <w:bottom w:val="single" w:sz="8" w:color="DCDDDE"/>
            </w:tcBorders>
            <w:shd w:val="clear" w:color="auto" w:fill="DCDDDE"/>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spacing w:after="0"/>
              <w:rPr>
                <w:sz w:val="22"/>
                <w:szCs w:val="22"/>
                <w:color w:val="auto"/>
              </w:rPr>
            </w:pPr>
          </w:p>
        </w:tc>
        <w:tc>
          <w:tcPr>
            <w:tcW w:w="580" w:type="dxa"/>
            <w:vAlign w:val="bottom"/>
            <w:tcBorders>
              <w:bottom w:val="single" w:sz="8" w:color="DCDDDE"/>
            </w:tcBorders>
            <w:shd w:val="clear" w:color="auto" w:fill="DCDDDE"/>
          </w:tcPr>
          <w:p>
            <w:pPr>
              <w:spacing w:after="0"/>
              <w:rPr>
                <w:sz w:val="22"/>
                <w:szCs w:val="22"/>
                <w:color w:val="auto"/>
              </w:rPr>
            </w:pPr>
          </w:p>
        </w:tc>
        <w:tc>
          <w:tcPr>
            <w:tcW w:w="760" w:type="dxa"/>
            <w:vAlign w:val="bottom"/>
            <w:tcBorders>
              <w:bottom w:val="single" w:sz="8" w:color="DCDDDE"/>
            </w:tcBorders>
            <w:shd w:val="clear" w:color="auto" w:fill="DCDDDE"/>
          </w:tcPr>
          <w:p>
            <w:pPr>
              <w:spacing w:after="0"/>
              <w:rPr>
                <w:sz w:val="22"/>
                <w:szCs w:val="22"/>
                <w:color w:val="auto"/>
              </w:rPr>
            </w:pPr>
          </w:p>
        </w:tc>
        <w:tc>
          <w:tcPr>
            <w:tcW w:w="900" w:type="dxa"/>
            <w:vAlign w:val="bottom"/>
            <w:tcBorders>
              <w:bottom w:val="single" w:sz="8" w:color="DCDDDE"/>
            </w:tcBorders>
            <w:shd w:val="clear" w:color="auto" w:fill="DCDDDE"/>
          </w:tcPr>
          <w:p>
            <w:pPr>
              <w:spacing w:after="0"/>
              <w:rPr>
                <w:sz w:val="22"/>
                <w:szCs w:val="22"/>
                <w:color w:val="auto"/>
              </w:rPr>
            </w:pPr>
          </w:p>
        </w:tc>
        <w:tc>
          <w:tcPr>
            <w:tcW w:w="980" w:type="dxa"/>
            <w:vAlign w:val="bottom"/>
            <w:tcBorders>
              <w:bottom w:val="single" w:sz="8" w:color="DCDDDE"/>
            </w:tcBorders>
            <w:shd w:val="clear" w:color="auto" w:fill="DCDDDE"/>
          </w:tcPr>
          <w:p>
            <w:pPr>
              <w:jc w:val="right"/>
              <w:ind w:right="52"/>
              <w:spacing w:after="0"/>
              <w:rPr>
                <w:sz w:val="20"/>
                <w:szCs w:val="20"/>
                <w:color w:val="auto"/>
              </w:rPr>
            </w:pPr>
            <w:r>
              <w:rPr>
                <w:rFonts w:ascii="Arial" w:cs="Arial" w:eastAsia="Arial" w:hAnsi="Arial"/>
                <w:sz w:val="13"/>
                <w:szCs w:val="13"/>
                <w:color w:val="auto"/>
              </w:rPr>
              <w:t>9,578</w:t>
            </w:r>
          </w:p>
        </w:tc>
        <w:tc>
          <w:tcPr>
            <w:tcW w:w="860" w:type="dxa"/>
            <w:vAlign w:val="bottom"/>
            <w:tcBorders>
              <w:bottom w:val="single" w:sz="8" w:color="DCDDDE"/>
            </w:tcBorders>
            <w:shd w:val="clear" w:color="auto" w:fill="DCDDDE"/>
          </w:tcPr>
          <w:p>
            <w:pPr>
              <w:jc w:val="right"/>
              <w:ind w:right="53"/>
              <w:spacing w:after="0"/>
              <w:rPr>
                <w:sz w:val="20"/>
                <w:szCs w:val="20"/>
                <w:color w:val="auto"/>
              </w:rPr>
            </w:pPr>
            <w:r>
              <w:rPr>
                <w:rFonts w:ascii="Arial" w:cs="Arial" w:eastAsia="Arial" w:hAnsi="Arial"/>
                <w:sz w:val="13"/>
                <w:szCs w:val="13"/>
                <w:color w:val="auto"/>
              </w:rPr>
              <w:t>25.68</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99,221</w:t>
            </w:r>
          </w:p>
        </w:tc>
        <w:tc>
          <w:tcPr>
            <w:tcW w:w="0" w:type="dxa"/>
            <w:vAlign w:val="bottom"/>
          </w:tcPr>
          <w:p>
            <w:pPr>
              <w:spacing w:after="0"/>
              <w:rPr>
                <w:sz w:val="1"/>
                <w:szCs w:val="1"/>
                <w:color w:val="auto"/>
              </w:rPr>
            </w:pPr>
          </w:p>
        </w:tc>
      </w:tr>
      <w:tr>
        <w:trPr>
          <w:trHeight w:val="256"/>
        </w:trPr>
        <w:tc>
          <w:tcPr>
            <w:tcW w:w="960" w:type="dxa"/>
            <w:vAlign w:val="bottom"/>
          </w:tcPr>
          <w:p>
            <w:pPr>
              <w:ind w:left="60"/>
              <w:spacing w:after="0"/>
              <w:rPr>
                <w:sz w:val="20"/>
                <w:szCs w:val="20"/>
                <w:color w:val="auto"/>
              </w:rPr>
            </w:pPr>
            <w:r>
              <w:rPr>
                <w:rFonts w:ascii="Arial" w:cs="Arial" w:eastAsia="Arial" w:hAnsi="Arial"/>
                <w:sz w:val="13"/>
                <w:szCs w:val="13"/>
                <w:color w:val="auto"/>
              </w:rPr>
              <w:t>RSU</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3"/>
                <w:szCs w:val="13"/>
                <w:color w:val="auto"/>
              </w:rPr>
              <w:t>12,842</w:t>
            </w: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297,674</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60" w:type="dxa"/>
            <w:vAlign w:val="bottom"/>
            <w:shd w:val="clear" w:color="auto" w:fill="DCDDDE"/>
          </w:tcPr>
          <w:p>
            <w:pPr>
              <w:ind w:left="60"/>
              <w:spacing w:after="0"/>
              <w:rPr>
                <w:sz w:val="20"/>
                <w:szCs w:val="20"/>
                <w:color w:val="auto"/>
              </w:rPr>
            </w:pPr>
            <w:r>
              <w:rPr>
                <w:rFonts w:ascii="Arial" w:cs="Arial" w:eastAsia="Arial" w:hAnsi="Arial"/>
                <w:sz w:val="13"/>
                <w:szCs w:val="13"/>
                <w:color w:val="auto"/>
              </w:rPr>
              <w:t>RSU</w:t>
            </w:r>
          </w:p>
        </w:tc>
        <w:tc>
          <w:tcPr>
            <w:tcW w:w="1020" w:type="dxa"/>
            <w:vAlign w:val="bottom"/>
            <w:shd w:val="clear" w:color="auto" w:fill="DCDDDE"/>
          </w:tcPr>
          <w:p>
            <w:pPr>
              <w:jc w:val="right"/>
              <w:ind w:right="56"/>
              <w:spacing w:after="0"/>
              <w:rPr>
                <w:sz w:val="20"/>
                <w:szCs w:val="20"/>
                <w:color w:val="auto"/>
              </w:rPr>
            </w:pPr>
            <w:r>
              <w:rPr>
                <w:rFonts w:ascii="Arial" w:cs="Arial" w:eastAsia="Arial" w:hAnsi="Arial"/>
                <w:sz w:val="13"/>
                <w:szCs w:val="13"/>
                <w:color w:val="auto"/>
              </w:rPr>
              <w:t>5/26/2022</w:t>
            </w: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color w:val="auto"/>
              </w:rPr>
              <w:t>5/17/2022</w:t>
            </w:r>
          </w:p>
        </w:tc>
        <w:tc>
          <w:tcPr>
            <w:tcW w:w="880" w:type="dxa"/>
            <w:vAlign w:val="bottom"/>
            <w:shd w:val="clear" w:color="auto" w:fill="DCDDDE"/>
          </w:tcPr>
          <w:p>
            <w:pPr>
              <w:spacing w:after="0"/>
              <w:rPr>
                <w:sz w:val="17"/>
                <w:szCs w:val="17"/>
                <w:color w:val="auto"/>
              </w:rPr>
            </w:pPr>
          </w:p>
        </w:tc>
        <w:tc>
          <w:tcPr>
            <w:tcW w:w="740" w:type="dxa"/>
            <w:vAlign w:val="bottom"/>
            <w:shd w:val="clear" w:color="auto" w:fill="DCDDDE"/>
          </w:tcPr>
          <w:p>
            <w:pPr>
              <w:spacing w:after="0"/>
              <w:rPr>
                <w:sz w:val="17"/>
                <w:szCs w:val="17"/>
                <w:color w:val="auto"/>
              </w:rPr>
            </w:pPr>
          </w:p>
        </w:tc>
        <w:tc>
          <w:tcPr>
            <w:tcW w:w="740" w:type="dxa"/>
            <w:vAlign w:val="bottom"/>
            <w:shd w:val="clear" w:color="auto" w:fill="DCDDDE"/>
          </w:tcPr>
          <w:p>
            <w:pPr>
              <w:spacing w:after="0"/>
              <w:rPr>
                <w:sz w:val="17"/>
                <w:szCs w:val="17"/>
                <w:color w:val="auto"/>
              </w:rPr>
            </w:pPr>
          </w:p>
        </w:tc>
        <w:tc>
          <w:tcPr>
            <w:tcW w:w="80" w:type="dxa"/>
            <w:vAlign w:val="bottom"/>
            <w:shd w:val="clear" w:color="auto" w:fill="DCDDDE"/>
          </w:tcPr>
          <w:p>
            <w:pPr>
              <w:spacing w:after="0"/>
              <w:rPr>
                <w:sz w:val="17"/>
                <w:szCs w:val="17"/>
                <w:color w:val="auto"/>
              </w:rPr>
            </w:pPr>
          </w:p>
        </w:tc>
        <w:tc>
          <w:tcPr>
            <w:tcW w:w="780" w:type="dxa"/>
            <w:vAlign w:val="bottom"/>
            <w:shd w:val="clear" w:color="auto" w:fill="DCDDDE"/>
          </w:tcPr>
          <w:p>
            <w:pPr>
              <w:spacing w:after="0"/>
              <w:rPr>
                <w:sz w:val="17"/>
                <w:szCs w:val="17"/>
                <w:color w:val="auto"/>
              </w:rPr>
            </w:pPr>
          </w:p>
        </w:tc>
        <w:tc>
          <w:tcPr>
            <w:tcW w:w="580" w:type="dxa"/>
            <w:vAlign w:val="bottom"/>
            <w:shd w:val="clear" w:color="auto" w:fill="DCDDDE"/>
          </w:tcPr>
          <w:p>
            <w:pPr>
              <w:spacing w:after="0"/>
              <w:rPr>
                <w:sz w:val="17"/>
                <w:szCs w:val="17"/>
                <w:color w:val="auto"/>
              </w:rPr>
            </w:pPr>
          </w:p>
        </w:tc>
        <w:tc>
          <w:tcPr>
            <w:tcW w:w="760" w:type="dxa"/>
            <w:vAlign w:val="bottom"/>
            <w:shd w:val="clear" w:color="auto" w:fill="DCDDDE"/>
          </w:tcPr>
          <w:p>
            <w:pPr>
              <w:spacing w:after="0"/>
              <w:rPr>
                <w:sz w:val="17"/>
                <w:szCs w:val="17"/>
                <w:color w:val="auto"/>
              </w:rPr>
            </w:pPr>
          </w:p>
        </w:tc>
        <w:tc>
          <w:tcPr>
            <w:tcW w:w="900" w:type="dxa"/>
            <w:vAlign w:val="bottom"/>
            <w:shd w:val="clear" w:color="auto" w:fill="DCDDDE"/>
          </w:tcPr>
          <w:p>
            <w:pPr>
              <w:jc w:val="right"/>
              <w:ind w:right="11"/>
              <w:spacing w:after="0"/>
              <w:rPr>
                <w:sz w:val="20"/>
                <w:szCs w:val="20"/>
                <w:color w:val="auto"/>
              </w:rPr>
            </w:pPr>
            <w:r>
              <w:rPr>
                <w:rFonts w:ascii="Arial" w:cs="Arial" w:eastAsia="Arial" w:hAnsi="Arial"/>
                <w:sz w:val="13"/>
                <w:szCs w:val="13"/>
                <w:color w:val="auto"/>
              </w:rPr>
              <w:t>54,177</w:t>
            </w:r>
          </w:p>
        </w:tc>
        <w:tc>
          <w:tcPr>
            <w:tcW w:w="980" w:type="dxa"/>
            <w:vAlign w:val="bottom"/>
            <w:shd w:val="clear" w:color="auto" w:fill="DCDDDE"/>
          </w:tcPr>
          <w:p>
            <w:pPr>
              <w:spacing w:after="0"/>
              <w:rPr>
                <w:sz w:val="17"/>
                <w:szCs w:val="17"/>
                <w:color w:val="auto"/>
              </w:rPr>
            </w:pPr>
          </w:p>
        </w:tc>
        <w:tc>
          <w:tcPr>
            <w:tcW w:w="860" w:type="dxa"/>
            <w:vAlign w:val="bottom"/>
            <w:shd w:val="clear" w:color="auto" w:fill="DCDDDE"/>
          </w:tcPr>
          <w:p>
            <w:pPr>
              <w:spacing w:after="0"/>
              <w:rPr>
                <w:sz w:val="17"/>
                <w:szCs w:val="17"/>
                <w:color w:val="auto"/>
              </w:rPr>
            </w:pP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color w:val="auto"/>
              </w:rPr>
              <w:t>1,199,988</w:t>
            </w:r>
          </w:p>
        </w:tc>
        <w:tc>
          <w:tcPr>
            <w:tcW w:w="0" w:type="dxa"/>
            <w:vAlign w:val="bottom"/>
          </w:tcPr>
          <w:p>
            <w:pPr>
              <w:spacing w:after="0"/>
              <w:rPr>
                <w:sz w:val="1"/>
                <w:szCs w:val="1"/>
                <w:color w:val="auto"/>
              </w:rPr>
            </w:pPr>
          </w:p>
        </w:tc>
      </w:tr>
      <w:tr>
        <w:trPr>
          <w:trHeight w:val="82"/>
        </w:trPr>
        <w:tc>
          <w:tcPr>
            <w:tcW w:w="960" w:type="dxa"/>
            <w:vAlign w:val="bottom"/>
            <w:tcBorders>
              <w:bottom w:val="single" w:sz="8" w:color="auto"/>
            </w:tcBorders>
            <w:shd w:val="clear" w:color="auto" w:fill="DCDDDE"/>
          </w:tcPr>
          <w:p>
            <w:pPr>
              <w:spacing w:after="0"/>
              <w:rPr>
                <w:sz w:val="7"/>
                <w:szCs w:val="7"/>
                <w:color w:val="auto"/>
              </w:rPr>
            </w:pPr>
          </w:p>
        </w:tc>
        <w:tc>
          <w:tcPr>
            <w:tcW w:w="1020" w:type="dxa"/>
            <w:vAlign w:val="bottom"/>
            <w:tcBorders>
              <w:bottom w:val="single" w:sz="8" w:color="auto"/>
            </w:tcBorders>
            <w:shd w:val="clear" w:color="auto" w:fill="DCDDDE"/>
          </w:tcPr>
          <w:p>
            <w:pPr>
              <w:spacing w:after="0"/>
              <w:rPr>
                <w:sz w:val="7"/>
                <w:szCs w:val="7"/>
                <w:color w:val="auto"/>
              </w:rPr>
            </w:pPr>
          </w:p>
        </w:tc>
        <w:tc>
          <w:tcPr>
            <w:tcW w:w="800" w:type="dxa"/>
            <w:vAlign w:val="bottom"/>
            <w:tcBorders>
              <w:bottom w:val="single" w:sz="8" w:color="auto"/>
            </w:tcBorders>
            <w:shd w:val="clear" w:color="auto" w:fill="DCDDDE"/>
          </w:tcPr>
          <w:p>
            <w:pPr>
              <w:spacing w:after="0"/>
              <w:rPr>
                <w:sz w:val="7"/>
                <w:szCs w:val="7"/>
                <w:color w:val="auto"/>
              </w:rPr>
            </w:pPr>
          </w:p>
        </w:tc>
        <w:tc>
          <w:tcPr>
            <w:tcW w:w="880" w:type="dxa"/>
            <w:vAlign w:val="bottom"/>
            <w:tcBorders>
              <w:bottom w:val="single" w:sz="8" w:color="auto"/>
            </w:tcBorders>
            <w:shd w:val="clear" w:color="auto" w:fill="DCDDDE"/>
          </w:tcPr>
          <w:p>
            <w:pPr>
              <w:spacing w:after="0"/>
              <w:rPr>
                <w:sz w:val="7"/>
                <w:szCs w:val="7"/>
                <w:color w:val="auto"/>
              </w:rPr>
            </w:pPr>
          </w:p>
        </w:tc>
        <w:tc>
          <w:tcPr>
            <w:tcW w:w="740" w:type="dxa"/>
            <w:vAlign w:val="bottom"/>
            <w:tcBorders>
              <w:bottom w:val="single" w:sz="8" w:color="auto"/>
            </w:tcBorders>
            <w:shd w:val="clear" w:color="auto" w:fill="DCDDDE"/>
          </w:tcPr>
          <w:p>
            <w:pPr>
              <w:spacing w:after="0"/>
              <w:rPr>
                <w:sz w:val="7"/>
                <w:szCs w:val="7"/>
                <w:color w:val="auto"/>
              </w:rPr>
            </w:pPr>
          </w:p>
        </w:tc>
        <w:tc>
          <w:tcPr>
            <w:tcW w:w="740" w:type="dxa"/>
            <w:vAlign w:val="bottom"/>
            <w:tcBorders>
              <w:bottom w:val="single" w:sz="8" w:color="auto"/>
            </w:tcBorders>
            <w:shd w:val="clear" w:color="auto" w:fill="DCDDDE"/>
          </w:tcPr>
          <w:p>
            <w:pPr>
              <w:spacing w:after="0"/>
              <w:rPr>
                <w:sz w:val="7"/>
                <w:szCs w:val="7"/>
                <w:color w:val="auto"/>
              </w:rPr>
            </w:pPr>
          </w:p>
        </w:tc>
        <w:tc>
          <w:tcPr>
            <w:tcW w:w="80" w:type="dxa"/>
            <w:vAlign w:val="bottom"/>
            <w:tcBorders>
              <w:bottom w:val="single" w:sz="8" w:color="auto"/>
            </w:tcBorders>
            <w:shd w:val="clear" w:color="auto" w:fill="DCDDDE"/>
          </w:tcPr>
          <w:p>
            <w:pPr>
              <w:spacing w:after="0"/>
              <w:rPr>
                <w:sz w:val="7"/>
                <w:szCs w:val="7"/>
                <w:color w:val="auto"/>
              </w:rPr>
            </w:pPr>
          </w:p>
        </w:tc>
        <w:tc>
          <w:tcPr>
            <w:tcW w:w="780" w:type="dxa"/>
            <w:vAlign w:val="bottom"/>
            <w:tcBorders>
              <w:bottom w:val="single" w:sz="8" w:color="auto"/>
            </w:tcBorders>
            <w:shd w:val="clear" w:color="auto" w:fill="DCDDDE"/>
          </w:tcPr>
          <w:p>
            <w:pPr>
              <w:spacing w:after="0"/>
              <w:rPr>
                <w:sz w:val="7"/>
                <w:szCs w:val="7"/>
                <w:color w:val="auto"/>
              </w:rPr>
            </w:pPr>
          </w:p>
        </w:tc>
        <w:tc>
          <w:tcPr>
            <w:tcW w:w="580" w:type="dxa"/>
            <w:vAlign w:val="bottom"/>
            <w:tcBorders>
              <w:bottom w:val="single" w:sz="8" w:color="auto"/>
            </w:tcBorders>
            <w:shd w:val="clear" w:color="auto" w:fill="DCDDDE"/>
          </w:tcPr>
          <w:p>
            <w:pPr>
              <w:spacing w:after="0"/>
              <w:rPr>
                <w:sz w:val="7"/>
                <w:szCs w:val="7"/>
                <w:color w:val="auto"/>
              </w:rPr>
            </w:pPr>
          </w:p>
        </w:tc>
        <w:tc>
          <w:tcPr>
            <w:tcW w:w="760" w:type="dxa"/>
            <w:vAlign w:val="bottom"/>
            <w:tcBorders>
              <w:bottom w:val="single" w:sz="8" w:color="auto"/>
            </w:tcBorders>
            <w:shd w:val="clear" w:color="auto" w:fill="DCDDDE"/>
          </w:tcPr>
          <w:p>
            <w:pPr>
              <w:spacing w:after="0"/>
              <w:rPr>
                <w:sz w:val="7"/>
                <w:szCs w:val="7"/>
                <w:color w:val="auto"/>
              </w:rPr>
            </w:pPr>
          </w:p>
        </w:tc>
        <w:tc>
          <w:tcPr>
            <w:tcW w:w="900" w:type="dxa"/>
            <w:vAlign w:val="bottom"/>
            <w:tcBorders>
              <w:bottom w:val="single" w:sz="8" w:color="auto"/>
            </w:tcBorders>
            <w:shd w:val="clear" w:color="auto" w:fill="DCDDDE"/>
          </w:tcPr>
          <w:p>
            <w:pPr>
              <w:spacing w:after="0"/>
              <w:rPr>
                <w:sz w:val="7"/>
                <w:szCs w:val="7"/>
                <w:color w:val="auto"/>
              </w:rPr>
            </w:pPr>
          </w:p>
        </w:tc>
        <w:tc>
          <w:tcPr>
            <w:tcW w:w="980" w:type="dxa"/>
            <w:vAlign w:val="bottom"/>
            <w:tcBorders>
              <w:bottom w:val="single" w:sz="8" w:color="auto"/>
            </w:tcBorders>
            <w:shd w:val="clear" w:color="auto" w:fill="DCDDDE"/>
          </w:tcPr>
          <w:p>
            <w:pPr>
              <w:spacing w:after="0"/>
              <w:rPr>
                <w:sz w:val="7"/>
                <w:szCs w:val="7"/>
                <w:color w:val="auto"/>
              </w:rPr>
            </w:pPr>
          </w:p>
        </w:tc>
        <w:tc>
          <w:tcPr>
            <w:tcW w:w="860" w:type="dxa"/>
            <w:vAlign w:val="bottom"/>
            <w:tcBorders>
              <w:bottom w:val="single" w:sz="8" w:color="auto"/>
            </w:tcBorders>
            <w:shd w:val="clear" w:color="auto" w:fill="DCDDDE"/>
          </w:tcPr>
          <w:p>
            <w:pPr>
              <w:spacing w:after="0"/>
              <w:rPr>
                <w:sz w:val="7"/>
                <w:szCs w:val="7"/>
                <w:color w:val="auto"/>
              </w:rPr>
            </w:pPr>
          </w:p>
        </w:tc>
        <w:tc>
          <w:tcPr>
            <w:tcW w:w="800" w:type="dxa"/>
            <w:vAlign w:val="bottom"/>
            <w:tcBorders>
              <w:bottom w:val="single" w:sz="8" w:color="auto"/>
            </w:tcBorders>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Peter E.</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Nordstrom</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color w:val="auto"/>
              </w:rPr>
              <w:t>EMBP</w:t>
            </w:r>
          </w:p>
        </w:tc>
        <w:tc>
          <w:tcPr>
            <w:tcW w:w="102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spacing w:after="0"/>
              <w:rPr>
                <w:sz w:val="22"/>
                <w:szCs w:val="22"/>
                <w:color w:val="auto"/>
              </w:rPr>
            </w:pPr>
          </w:p>
        </w:tc>
        <w:tc>
          <w:tcPr>
            <w:tcW w:w="880" w:type="dxa"/>
            <w:vAlign w:val="bottom"/>
            <w:tcBorders>
              <w:bottom w:val="single" w:sz="8" w:color="DCDDDE"/>
            </w:tcBorders>
            <w:shd w:val="clear" w:color="auto" w:fill="DCDDDE"/>
          </w:tcPr>
          <w:p>
            <w:pPr>
              <w:jc w:val="right"/>
              <w:ind w:right="15"/>
              <w:spacing w:after="0"/>
              <w:rPr>
                <w:sz w:val="20"/>
                <w:szCs w:val="20"/>
                <w:color w:val="auto"/>
              </w:rPr>
            </w:pPr>
            <w:r>
              <w:rPr>
                <w:rFonts w:ascii="Arial" w:cs="Arial" w:eastAsia="Arial" w:hAnsi="Arial"/>
                <w:sz w:val="13"/>
                <w:szCs w:val="13"/>
                <w:color w:val="auto"/>
              </w:rPr>
              <w:t>379,250</w:t>
            </w:r>
          </w:p>
        </w:tc>
        <w:tc>
          <w:tcPr>
            <w:tcW w:w="740" w:type="dxa"/>
            <w:vAlign w:val="bottom"/>
            <w:tcBorders>
              <w:bottom w:val="single" w:sz="8" w:color="DCDDDE"/>
            </w:tcBorders>
            <w:shd w:val="clear" w:color="auto" w:fill="DCDDDE"/>
          </w:tcPr>
          <w:p>
            <w:pPr>
              <w:jc w:val="right"/>
              <w:ind w:right="16"/>
              <w:spacing w:after="0"/>
              <w:rPr>
                <w:sz w:val="20"/>
                <w:szCs w:val="20"/>
                <w:color w:val="auto"/>
              </w:rPr>
            </w:pPr>
            <w:r>
              <w:rPr>
                <w:rFonts w:ascii="Arial" w:cs="Arial" w:eastAsia="Arial" w:hAnsi="Arial"/>
                <w:sz w:val="13"/>
                <w:szCs w:val="13"/>
                <w:color w:val="auto"/>
              </w:rPr>
              <w:t>1,517,001</w:t>
            </w: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3,792,502</w:t>
            </w:r>
          </w:p>
        </w:tc>
        <w:tc>
          <w:tcPr>
            <w:tcW w:w="8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spacing w:after="0"/>
              <w:rPr>
                <w:sz w:val="22"/>
                <w:szCs w:val="22"/>
                <w:color w:val="auto"/>
              </w:rPr>
            </w:pPr>
          </w:p>
        </w:tc>
        <w:tc>
          <w:tcPr>
            <w:tcW w:w="580" w:type="dxa"/>
            <w:vAlign w:val="bottom"/>
            <w:tcBorders>
              <w:bottom w:val="single" w:sz="8" w:color="DCDDDE"/>
            </w:tcBorders>
            <w:shd w:val="clear" w:color="auto" w:fill="DCDDDE"/>
          </w:tcPr>
          <w:p>
            <w:pPr>
              <w:spacing w:after="0"/>
              <w:rPr>
                <w:sz w:val="22"/>
                <w:szCs w:val="22"/>
                <w:color w:val="auto"/>
              </w:rPr>
            </w:pPr>
          </w:p>
        </w:tc>
        <w:tc>
          <w:tcPr>
            <w:tcW w:w="760" w:type="dxa"/>
            <w:vAlign w:val="bottom"/>
            <w:tcBorders>
              <w:bottom w:val="single" w:sz="8" w:color="DCDDDE"/>
            </w:tcBorders>
            <w:shd w:val="clear" w:color="auto" w:fill="DCDDDE"/>
          </w:tcPr>
          <w:p>
            <w:pPr>
              <w:spacing w:after="0"/>
              <w:rPr>
                <w:sz w:val="22"/>
                <w:szCs w:val="22"/>
                <w:color w:val="auto"/>
              </w:rPr>
            </w:pPr>
          </w:p>
        </w:tc>
        <w:tc>
          <w:tcPr>
            <w:tcW w:w="900" w:type="dxa"/>
            <w:vAlign w:val="bottom"/>
            <w:tcBorders>
              <w:bottom w:val="single" w:sz="8" w:color="DCDDDE"/>
            </w:tcBorders>
            <w:shd w:val="clear" w:color="auto" w:fill="DCDDDE"/>
          </w:tcPr>
          <w:p>
            <w:pPr>
              <w:spacing w:after="0"/>
              <w:rPr>
                <w:sz w:val="22"/>
                <w:szCs w:val="22"/>
                <w:color w:val="auto"/>
              </w:rPr>
            </w:pPr>
          </w:p>
        </w:tc>
        <w:tc>
          <w:tcPr>
            <w:tcW w:w="980" w:type="dxa"/>
            <w:vAlign w:val="bottom"/>
            <w:tcBorders>
              <w:bottom w:val="single" w:sz="8" w:color="DCDDDE"/>
            </w:tcBorders>
            <w:shd w:val="clear" w:color="auto" w:fill="DCDDDE"/>
          </w:tcPr>
          <w:p>
            <w:pPr>
              <w:spacing w:after="0"/>
              <w:rPr>
                <w:sz w:val="22"/>
                <w:szCs w:val="22"/>
                <w:color w:val="auto"/>
              </w:rPr>
            </w:pPr>
          </w:p>
        </w:tc>
        <w:tc>
          <w:tcPr>
            <w:tcW w:w="86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60" w:type="dxa"/>
            <w:vAlign w:val="bottom"/>
          </w:tcPr>
          <w:p>
            <w:pPr>
              <w:ind w:left="60"/>
              <w:spacing w:after="0"/>
              <w:rPr>
                <w:sz w:val="20"/>
                <w:szCs w:val="20"/>
                <w:color w:val="auto"/>
              </w:rPr>
            </w:pPr>
            <w:r>
              <w:rPr>
                <w:rFonts w:ascii="Arial" w:cs="Arial" w:eastAsia="Arial" w:hAnsi="Arial"/>
                <w:sz w:val="13"/>
                <w:szCs w:val="13"/>
                <w:color w:val="auto"/>
              </w:rPr>
              <w:t>PSU</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52,902</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70,536</w:t>
            </w:r>
          </w:p>
        </w:tc>
        <w:tc>
          <w:tcPr>
            <w:tcW w:w="760" w:type="dxa"/>
            <w:vAlign w:val="bottom"/>
          </w:tcPr>
          <w:p>
            <w:pPr>
              <w:jc w:val="right"/>
              <w:spacing w:after="0"/>
              <w:rPr>
                <w:sz w:val="20"/>
                <w:szCs w:val="20"/>
                <w:color w:val="auto"/>
              </w:rPr>
            </w:pPr>
            <w:r>
              <w:rPr>
                <w:rFonts w:ascii="Arial" w:cs="Arial" w:eastAsia="Arial" w:hAnsi="Arial"/>
                <w:sz w:val="13"/>
                <w:szCs w:val="13"/>
                <w:color w:val="auto"/>
              </w:rPr>
              <w:t>105,804</w:t>
            </w: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1,592,844</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60" w:type="dxa"/>
            <w:vAlign w:val="bottom"/>
            <w:shd w:val="clear" w:color="auto" w:fill="DCDDDE"/>
          </w:tcPr>
          <w:p>
            <w:pPr>
              <w:ind w:left="60"/>
              <w:spacing w:after="0"/>
              <w:rPr>
                <w:sz w:val="20"/>
                <w:szCs w:val="20"/>
                <w:color w:val="auto"/>
              </w:rPr>
            </w:pPr>
            <w:r>
              <w:rPr>
                <w:rFonts w:ascii="Arial" w:cs="Arial" w:eastAsia="Arial" w:hAnsi="Arial"/>
                <w:sz w:val="13"/>
                <w:szCs w:val="13"/>
                <w:color w:val="auto"/>
              </w:rPr>
              <w:t>Stock Option</w:t>
            </w:r>
          </w:p>
        </w:tc>
        <w:tc>
          <w:tcPr>
            <w:tcW w:w="1020" w:type="dxa"/>
            <w:vAlign w:val="bottom"/>
            <w:shd w:val="clear" w:color="auto" w:fill="DCDDDE"/>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shd w:val="clear" w:color="auto" w:fill="DCDDDE"/>
          </w:tcPr>
          <w:p>
            <w:pPr>
              <w:spacing w:after="0"/>
              <w:rPr>
                <w:sz w:val="17"/>
                <w:szCs w:val="17"/>
                <w:color w:val="auto"/>
              </w:rPr>
            </w:pPr>
          </w:p>
        </w:tc>
        <w:tc>
          <w:tcPr>
            <w:tcW w:w="740" w:type="dxa"/>
            <w:vAlign w:val="bottom"/>
            <w:shd w:val="clear" w:color="auto" w:fill="DCDDDE"/>
          </w:tcPr>
          <w:p>
            <w:pPr>
              <w:spacing w:after="0"/>
              <w:rPr>
                <w:sz w:val="17"/>
                <w:szCs w:val="17"/>
                <w:color w:val="auto"/>
              </w:rPr>
            </w:pPr>
          </w:p>
        </w:tc>
        <w:tc>
          <w:tcPr>
            <w:tcW w:w="740" w:type="dxa"/>
            <w:vAlign w:val="bottom"/>
            <w:shd w:val="clear" w:color="auto" w:fill="DCDDDE"/>
          </w:tcPr>
          <w:p>
            <w:pPr>
              <w:spacing w:after="0"/>
              <w:rPr>
                <w:sz w:val="17"/>
                <w:szCs w:val="17"/>
                <w:color w:val="auto"/>
              </w:rPr>
            </w:pPr>
          </w:p>
        </w:tc>
        <w:tc>
          <w:tcPr>
            <w:tcW w:w="80" w:type="dxa"/>
            <w:vAlign w:val="bottom"/>
            <w:shd w:val="clear" w:color="auto" w:fill="DCDDDE"/>
          </w:tcPr>
          <w:p>
            <w:pPr>
              <w:spacing w:after="0"/>
              <w:rPr>
                <w:sz w:val="17"/>
                <w:szCs w:val="17"/>
                <w:color w:val="auto"/>
              </w:rPr>
            </w:pPr>
          </w:p>
        </w:tc>
        <w:tc>
          <w:tcPr>
            <w:tcW w:w="780" w:type="dxa"/>
            <w:vAlign w:val="bottom"/>
            <w:shd w:val="clear" w:color="auto" w:fill="DCDDDE"/>
          </w:tcPr>
          <w:p>
            <w:pPr>
              <w:spacing w:after="0"/>
              <w:rPr>
                <w:sz w:val="17"/>
                <w:szCs w:val="17"/>
                <w:color w:val="auto"/>
              </w:rPr>
            </w:pPr>
          </w:p>
        </w:tc>
        <w:tc>
          <w:tcPr>
            <w:tcW w:w="580" w:type="dxa"/>
            <w:vAlign w:val="bottom"/>
            <w:shd w:val="clear" w:color="auto" w:fill="DCDDDE"/>
          </w:tcPr>
          <w:p>
            <w:pPr>
              <w:spacing w:after="0"/>
              <w:rPr>
                <w:sz w:val="17"/>
                <w:szCs w:val="17"/>
                <w:color w:val="auto"/>
              </w:rPr>
            </w:pPr>
          </w:p>
        </w:tc>
        <w:tc>
          <w:tcPr>
            <w:tcW w:w="760" w:type="dxa"/>
            <w:vAlign w:val="bottom"/>
            <w:shd w:val="clear" w:color="auto" w:fill="DCDDDE"/>
          </w:tcPr>
          <w:p>
            <w:pPr>
              <w:spacing w:after="0"/>
              <w:rPr>
                <w:sz w:val="17"/>
                <w:szCs w:val="17"/>
                <w:color w:val="auto"/>
              </w:rPr>
            </w:pPr>
          </w:p>
        </w:tc>
        <w:tc>
          <w:tcPr>
            <w:tcW w:w="900" w:type="dxa"/>
            <w:vAlign w:val="bottom"/>
            <w:shd w:val="clear" w:color="auto" w:fill="DCDDDE"/>
          </w:tcPr>
          <w:p>
            <w:pPr>
              <w:spacing w:after="0"/>
              <w:rPr>
                <w:sz w:val="17"/>
                <w:szCs w:val="17"/>
                <w:color w:val="auto"/>
              </w:rPr>
            </w:pPr>
          </w:p>
        </w:tc>
        <w:tc>
          <w:tcPr>
            <w:tcW w:w="980" w:type="dxa"/>
            <w:vAlign w:val="bottom"/>
            <w:shd w:val="clear" w:color="auto" w:fill="DCDDDE"/>
          </w:tcPr>
          <w:p>
            <w:pPr>
              <w:jc w:val="right"/>
              <w:ind w:right="52"/>
              <w:spacing w:after="0"/>
              <w:rPr>
                <w:sz w:val="20"/>
                <w:szCs w:val="20"/>
                <w:color w:val="auto"/>
              </w:rPr>
            </w:pPr>
            <w:r>
              <w:rPr>
                <w:rFonts w:ascii="Arial" w:cs="Arial" w:eastAsia="Arial" w:hAnsi="Arial"/>
                <w:sz w:val="13"/>
                <w:szCs w:val="13"/>
                <w:color w:val="auto"/>
              </w:rPr>
              <w:t>102,506</w:t>
            </w:r>
          </w:p>
        </w:tc>
        <w:tc>
          <w:tcPr>
            <w:tcW w:w="860" w:type="dxa"/>
            <w:vAlign w:val="bottom"/>
            <w:shd w:val="clear" w:color="auto" w:fill="DCDDDE"/>
          </w:tcPr>
          <w:p>
            <w:pPr>
              <w:jc w:val="right"/>
              <w:ind w:right="53"/>
              <w:spacing w:after="0"/>
              <w:rPr>
                <w:sz w:val="20"/>
                <w:szCs w:val="20"/>
                <w:color w:val="auto"/>
              </w:rPr>
            </w:pPr>
            <w:r>
              <w:rPr>
                <w:rFonts w:ascii="Arial" w:cs="Arial" w:eastAsia="Arial" w:hAnsi="Arial"/>
                <w:sz w:val="13"/>
                <w:szCs w:val="13"/>
                <w:color w:val="auto"/>
              </w:rPr>
              <w:t>25.68</w:t>
            </w: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color w:val="auto"/>
              </w:rPr>
              <w:t>1,061,890</w:t>
            </w:r>
          </w:p>
        </w:tc>
        <w:tc>
          <w:tcPr>
            <w:tcW w:w="0" w:type="dxa"/>
            <w:vAlign w:val="bottom"/>
          </w:tcPr>
          <w:p>
            <w:pPr>
              <w:spacing w:after="0"/>
              <w:rPr>
                <w:sz w:val="1"/>
                <w:szCs w:val="1"/>
                <w:color w:val="auto"/>
              </w:rPr>
            </w:pPr>
          </w:p>
        </w:tc>
      </w:tr>
      <w:tr>
        <w:trPr>
          <w:trHeight w:val="82"/>
        </w:trPr>
        <w:tc>
          <w:tcPr>
            <w:tcW w:w="960" w:type="dxa"/>
            <w:vAlign w:val="bottom"/>
            <w:tcBorders>
              <w:bottom w:val="single" w:sz="8" w:color="auto"/>
            </w:tcBorders>
            <w:shd w:val="clear" w:color="auto" w:fill="DCDDDE"/>
          </w:tcPr>
          <w:p>
            <w:pPr>
              <w:spacing w:after="0"/>
              <w:rPr>
                <w:sz w:val="7"/>
                <w:szCs w:val="7"/>
                <w:color w:val="auto"/>
              </w:rPr>
            </w:pPr>
          </w:p>
        </w:tc>
        <w:tc>
          <w:tcPr>
            <w:tcW w:w="1020" w:type="dxa"/>
            <w:vAlign w:val="bottom"/>
            <w:tcBorders>
              <w:bottom w:val="single" w:sz="8" w:color="auto"/>
            </w:tcBorders>
            <w:shd w:val="clear" w:color="auto" w:fill="DCDDDE"/>
          </w:tcPr>
          <w:p>
            <w:pPr>
              <w:spacing w:after="0"/>
              <w:rPr>
                <w:sz w:val="7"/>
                <w:szCs w:val="7"/>
                <w:color w:val="auto"/>
              </w:rPr>
            </w:pPr>
          </w:p>
        </w:tc>
        <w:tc>
          <w:tcPr>
            <w:tcW w:w="800" w:type="dxa"/>
            <w:vAlign w:val="bottom"/>
            <w:tcBorders>
              <w:bottom w:val="single" w:sz="8" w:color="auto"/>
            </w:tcBorders>
            <w:shd w:val="clear" w:color="auto" w:fill="DCDDDE"/>
          </w:tcPr>
          <w:p>
            <w:pPr>
              <w:spacing w:after="0"/>
              <w:rPr>
                <w:sz w:val="7"/>
                <w:szCs w:val="7"/>
                <w:color w:val="auto"/>
              </w:rPr>
            </w:pPr>
          </w:p>
        </w:tc>
        <w:tc>
          <w:tcPr>
            <w:tcW w:w="880" w:type="dxa"/>
            <w:vAlign w:val="bottom"/>
            <w:tcBorders>
              <w:bottom w:val="single" w:sz="8" w:color="auto"/>
            </w:tcBorders>
            <w:shd w:val="clear" w:color="auto" w:fill="DCDDDE"/>
          </w:tcPr>
          <w:p>
            <w:pPr>
              <w:spacing w:after="0"/>
              <w:rPr>
                <w:sz w:val="7"/>
                <w:szCs w:val="7"/>
                <w:color w:val="auto"/>
              </w:rPr>
            </w:pPr>
          </w:p>
        </w:tc>
        <w:tc>
          <w:tcPr>
            <w:tcW w:w="740" w:type="dxa"/>
            <w:vAlign w:val="bottom"/>
            <w:tcBorders>
              <w:bottom w:val="single" w:sz="8" w:color="auto"/>
            </w:tcBorders>
            <w:shd w:val="clear" w:color="auto" w:fill="DCDDDE"/>
          </w:tcPr>
          <w:p>
            <w:pPr>
              <w:spacing w:after="0"/>
              <w:rPr>
                <w:sz w:val="7"/>
                <w:szCs w:val="7"/>
                <w:color w:val="auto"/>
              </w:rPr>
            </w:pPr>
          </w:p>
        </w:tc>
        <w:tc>
          <w:tcPr>
            <w:tcW w:w="740" w:type="dxa"/>
            <w:vAlign w:val="bottom"/>
            <w:tcBorders>
              <w:bottom w:val="single" w:sz="8" w:color="auto"/>
            </w:tcBorders>
            <w:shd w:val="clear" w:color="auto" w:fill="DCDDDE"/>
          </w:tcPr>
          <w:p>
            <w:pPr>
              <w:spacing w:after="0"/>
              <w:rPr>
                <w:sz w:val="7"/>
                <w:szCs w:val="7"/>
                <w:color w:val="auto"/>
              </w:rPr>
            </w:pPr>
          </w:p>
        </w:tc>
        <w:tc>
          <w:tcPr>
            <w:tcW w:w="80" w:type="dxa"/>
            <w:vAlign w:val="bottom"/>
            <w:tcBorders>
              <w:bottom w:val="single" w:sz="8" w:color="auto"/>
            </w:tcBorders>
            <w:shd w:val="clear" w:color="auto" w:fill="DCDDDE"/>
          </w:tcPr>
          <w:p>
            <w:pPr>
              <w:spacing w:after="0"/>
              <w:rPr>
                <w:sz w:val="7"/>
                <w:szCs w:val="7"/>
                <w:color w:val="auto"/>
              </w:rPr>
            </w:pPr>
          </w:p>
        </w:tc>
        <w:tc>
          <w:tcPr>
            <w:tcW w:w="780" w:type="dxa"/>
            <w:vAlign w:val="bottom"/>
            <w:tcBorders>
              <w:bottom w:val="single" w:sz="8" w:color="auto"/>
            </w:tcBorders>
            <w:shd w:val="clear" w:color="auto" w:fill="DCDDDE"/>
          </w:tcPr>
          <w:p>
            <w:pPr>
              <w:spacing w:after="0"/>
              <w:rPr>
                <w:sz w:val="7"/>
                <w:szCs w:val="7"/>
                <w:color w:val="auto"/>
              </w:rPr>
            </w:pPr>
          </w:p>
        </w:tc>
        <w:tc>
          <w:tcPr>
            <w:tcW w:w="580" w:type="dxa"/>
            <w:vAlign w:val="bottom"/>
            <w:tcBorders>
              <w:bottom w:val="single" w:sz="8" w:color="auto"/>
            </w:tcBorders>
            <w:shd w:val="clear" w:color="auto" w:fill="DCDDDE"/>
          </w:tcPr>
          <w:p>
            <w:pPr>
              <w:spacing w:after="0"/>
              <w:rPr>
                <w:sz w:val="7"/>
                <w:szCs w:val="7"/>
                <w:color w:val="auto"/>
              </w:rPr>
            </w:pPr>
          </w:p>
        </w:tc>
        <w:tc>
          <w:tcPr>
            <w:tcW w:w="760" w:type="dxa"/>
            <w:vAlign w:val="bottom"/>
            <w:tcBorders>
              <w:bottom w:val="single" w:sz="8" w:color="auto"/>
            </w:tcBorders>
            <w:shd w:val="clear" w:color="auto" w:fill="DCDDDE"/>
          </w:tcPr>
          <w:p>
            <w:pPr>
              <w:spacing w:after="0"/>
              <w:rPr>
                <w:sz w:val="7"/>
                <w:szCs w:val="7"/>
                <w:color w:val="auto"/>
              </w:rPr>
            </w:pPr>
          </w:p>
        </w:tc>
        <w:tc>
          <w:tcPr>
            <w:tcW w:w="900" w:type="dxa"/>
            <w:vAlign w:val="bottom"/>
            <w:tcBorders>
              <w:bottom w:val="single" w:sz="8" w:color="auto"/>
            </w:tcBorders>
            <w:shd w:val="clear" w:color="auto" w:fill="DCDDDE"/>
          </w:tcPr>
          <w:p>
            <w:pPr>
              <w:spacing w:after="0"/>
              <w:rPr>
                <w:sz w:val="7"/>
                <w:szCs w:val="7"/>
                <w:color w:val="auto"/>
              </w:rPr>
            </w:pPr>
          </w:p>
        </w:tc>
        <w:tc>
          <w:tcPr>
            <w:tcW w:w="980" w:type="dxa"/>
            <w:vAlign w:val="bottom"/>
            <w:tcBorders>
              <w:bottom w:val="single" w:sz="8" w:color="auto"/>
            </w:tcBorders>
            <w:shd w:val="clear" w:color="auto" w:fill="DCDDDE"/>
          </w:tcPr>
          <w:p>
            <w:pPr>
              <w:spacing w:after="0"/>
              <w:rPr>
                <w:sz w:val="7"/>
                <w:szCs w:val="7"/>
                <w:color w:val="auto"/>
              </w:rPr>
            </w:pPr>
          </w:p>
        </w:tc>
        <w:tc>
          <w:tcPr>
            <w:tcW w:w="860" w:type="dxa"/>
            <w:vAlign w:val="bottom"/>
            <w:tcBorders>
              <w:bottom w:val="single" w:sz="8" w:color="auto"/>
            </w:tcBorders>
            <w:shd w:val="clear" w:color="auto" w:fill="DCDDDE"/>
          </w:tcPr>
          <w:p>
            <w:pPr>
              <w:spacing w:after="0"/>
              <w:rPr>
                <w:sz w:val="7"/>
                <w:szCs w:val="7"/>
                <w:color w:val="auto"/>
              </w:rPr>
            </w:pPr>
          </w:p>
        </w:tc>
        <w:tc>
          <w:tcPr>
            <w:tcW w:w="800" w:type="dxa"/>
            <w:vAlign w:val="bottom"/>
            <w:tcBorders>
              <w:bottom w:val="single" w:sz="8" w:color="auto"/>
            </w:tcBorders>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Kenneth J.</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Worzel</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color w:val="auto"/>
              </w:rPr>
              <w:t>EMBP</w:t>
            </w:r>
          </w:p>
        </w:tc>
        <w:tc>
          <w:tcPr>
            <w:tcW w:w="102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spacing w:after="0"/>
              <w:rPr>
                <w:sz w:val="22"/>
                <w:szCs w:val="22"/>
                <w:color w:val="auto"/>
              </w:rPr>
            </w:pPr>
          </w:p>
        </w:tc>
        <w:tc>
          <w:tcPr>
            <w:tcW w:w="880" w:type="dxa"/>
            <w:vAlign w:val="bottom"/>
            <w:tcBorders>
              <w:bottom w:val="single" w:sz="8" w:color="DCDDDE"/>
            </w:tcBorders>
            <w:shd w:val="clear" w:color="auto" w:fill="DCDDDE"/>
          </w:tcPr>
          <w:p>
            <w:pPr>
              <w:jc w:val="right"/>
              <w:ind w:right="15"/>
              <w:spacing w:after="0"/>
              <w:rPr>
                <w:sz w:val="20"/>
                <w:szCs w:val="20"/>
                <w:color w:val="auto"/>
              </w:rPr>
            </w:pPr>
            <w:r>
              <w:rPr>
                <w:rFonts w:ascii="Arial" w:cs="Arial" w:eastAsia="Arial" w:hAnsi="Arial"/>
                <w:sz w:val="13"/>
                <w:szCs w:val="13"/>
                <w:color w:val="auto"/>
              </w:rPr>
              <w:t>279,688</w:t>
            </w:r>
          </w:p>
        </w:tc>
        <w:tc>
          <w:tcPr>
            <w:tcW w:w="740" w:type="dxa"/>
            <w:vAlign w:val="bottom"/>
            <w:tcBorders>
              <w:bottom w:val="single" w:sz="8" w:color="DCDDDE"/>
            </w:tcBorders>
            <w:shd w:val="clear" w:color="auto" w:fill="DCDDDE"/>
          </w:tcPr>
          <w:p>
            <w:pPr>
              <w:jc w:val="right"/>
              <w:ind w:right="16"/>
              <w:spacing w:after="0"/>
              <w:rPr>
                <w:sz w:val="20"/>
                <w:szCs w:val="20"/>
                <w:color w:val="auto"/>
              </w:rPr>
            </w:pPr>
            <w:r>
              <w:rPr>
                <w:rFonts w:ascii="Arial" w:cs="Arial" w:eastAsia="Arial" w:hAnsi="Arial"/>
                <w:sz w:val="13"/>
                <w:szCs w:val="13"/>
                <w:color w:val="auto"/>
              </w:rPr>
              <w:t>1,118,750</w:t>
            </w: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2,796,875</w:t>
            </w:r>
          </w:p>
        </w:tc>
        <w:tc>
          <w:tcPr>
            <w:tcW w:w="8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spacing w:after="0"/>
              <w:rPr>
                <w:sz w:val="22"/>
                <w:szCs w:val="22"/>
                <w:color w:val="auto"/>
              </w:rPr>
            </w:pPr>
          </w:p>
        </w:tc>
        <w:tc>
          <w:tcPr>
            <w:tcW w:w="580" w:type="dxa"/>
            <w:vAlign w:val="bottom"/>
            <w:tcBorders>
              <w:bottom w:val="single" w:sz="8" w:color="DCDDDE"/>
            </w:tcBorders>
            <w:shd w:val="clear" w:color="auto" w:fill="DCDDDE"/>
          </w:tcPr>
          <w:p>
            <w:pPr>
              <w:spacing w:after="0"/>
              <w:rPr>
                <w:sz w:val="22"/>
                <w:szCs w:val="22"/>
                <w:color w:val="auto"/>
              </w:rPr>
            </w:pPr>
          </w:p>
        </w:tc>
        <w:tc>
          <w:tcPr>
            <w:tcW w:w="760" w:type="dxa"/>
            <w:vAlign w:val="bottom"/>
            <w:tcBorders>
              <w:bottom w:val="single" w:sz="8" w:color="DCDDDE"/>
            </w:tcBorders>
            <w:shd w:val="clear" w:color="auto" w:fill="DCDDDE"/>
          </w:tcPr>
          <w:p>
            <w:pPr>
              <w:spacing w:after="0"/>
              <w:rPr>
                <w:sz w:val="22"/>
                <w:szCs w:val="22"/>
                <w:color w:val="auto"/>
              </w:rPr>
            </w:pPr>
          </w:p>
        </w:tc>
        <w:tc>
          <w:tcPr>
            <w:tcW w:w="900" w:type="dxa"/>
            <w:vAlign w:val="bottom"/>
            <w:tcBorders>
              <w:bottom w:val="single" w:sz="8" w:color="DCDDDE"/>
            </w:tcBorders>
            <w:shd w:val="clear" w:color="auto" w:fill="DCDDDE"/>
          </w:tcPr>
          <w:p>
            <w:pPr>
              <w:spacing w:after="0"/>
              <w:rPr>
                <w:sz w:val="22"/>
                <w:szCs w:val="22"/>
                <w:color w:val="auto"/>
              </w:rPr>
            </w:pPr>
          </w:p>
        </w:tc>
        <w:tc>
          <w:tcPr>
            <w:tcW w:w="980" w:type="dxa"/>
            <w:vAlign w:val="bottom"/>
            <w:tcBorders>
              <w:bottom w:val="single" w:sz="8" w:color="DCDDDE"/>
            </w:tcBorders>
            <w:shd w:val="clear" w:color="auto" w:fill="DCDDDE"/>
          </w:tcPr>
          <w:p>
            <w:pPr>
              <w:spacing w:after="0"/>
              <w:rPr>
                <w:sz w:val="22"/>
                <w:szCs w:val="22"/>
                <w:color w:val="auto"/>
              </w:rPr>
            </w:pPr>
          </w:p>
        </w:tc>
        <w:tc>
          <w:tcPr>
            <w:tcW w:w="86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60" w:type="dxa"/>
            <w:vAlign w:val="bottom"/>
          </w:tcPr>
          <w:p>
            <w:pPr>
              <w:ind w:left="60"/>
              <w:spacing w:after="0"/>
              <w:rPr>
                <w:sz w:val="20"/>
                <w:szCs w:val="20"/>
                <w:color w:val="auto"/>
              </w:rPr>
            </w:pPr>
            <w:r>
              <w:rPr>
                <w:rFonts w:ascii="Arial" w:cs="Arial" w:eastAsia="Arial" w:hAnsi="Arial"/>
                <w:sz w:val="13"/>
                <w:szCs w:val="13"/>
                <w:color w:val="auto"/>
              </w:rPr>
              <w:t>PSU</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44,587</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59,450</w:t>
            </w:r>
          </w:p>
        </w:tc>
        <w:tc>
          <w:tcPr>
            <w:tcW w:w="760" w:type="dxa"/>
            <w:vAlign w:val="bottom"/>
          </w:tcPr>
          <w:p>
            <w:pPr>
              <w:jc w:val="right"/>
              <w:spacing w:after="0"/>
              <w:rPr>
                <w:sz w:val="20"/>
                <w:szCs w:val="20"/>
                <w:color w:val="auto"/>
              </w:rPr>
            </w:pPr>
            <w:r>
              <w:rPr>
                <w:rFonts w:ascii="Arial" w:cs="Arial" w:eastAsia="Arial" w:hAnsi="Arial"/>
                <w:sz w:val="13"/>
                <w:szCs w:val="13"/>
                <w:color w:val="auto"/>
              </w:rPr>
              <w:t>89,175</w:t>
            </w: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1,342,500</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60" w:type="dxa"/>
            <w:vAlign w:val="bottom"/>
            <w:shd w:val="clear" w:color="auto" w:fill="DCDDDE"/>
          </w:tcPr>
          <w:p>
            <w:pPr>
              <w:ind w:left="60"/>
              <w:spacing w:after="0"/>
              <w:rPr>
                <w:sz w:val="20"/>
                <w:szCs w:val="20"/>
                <w:color w:val="auto"/>
              </w:rPr>
            </w:pPr>
            <w:r>
              <w:rPr>
                <w:rFonts w:ascii="Arial" w:cs="Arial" w:eastAsia="Arial" w:hAnsi="Arial"/>
                <w:sz w:val="13"/>
                <w:szCs w:val="13"/>
                <w:color w:val="auto"/>
              </w:rPr>
              <w:t>Stock Option</w:t>
            </w:r>
          </w:p>
        </w:tc>
        <w:tc>
          <w:tcPr>
            <w:tcW w:w="1020" w:type="dxa"/>
            <w:vAlign w:val="bottom"/>
            <w:shd w:val="clear" w:color="auto" w:fill="DCDDDE"/>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shd w:val="clear" w:color="auto" w:fill="DCDDDE"/>
          </w:tcPr>
          <w:p>
            <w:pPr>
              <w:spacing w:after="0"/>
              <w:rPr>
                <w:sz w:val="17"/>
                <w:szCs w:val="17"/>
                <w:color w:val="auto"/>
              </w:rPr>
            </w:pPr>
          </w:p>
        </w:tc>
        <w:tc>
          <w:tcPr>
            <w:tcW w:w="740" w:type="dxa"/>
            <w:vAlign w:val="bottom"/>
            <w:shd w:val="clear" w:color="auto" w:fill="DCDDDE"/>
          </w:tcPr>
          <w:p>
            <w:pPr>
              <w:spacing w:after="0"/>
              <w:rPr>
                <w:sz w:val="17"/>
                <w:szCs w:val="17"/>
                <w:color w:val="auto"/>
              </w:rPr>
            </w:pPr>
          </w:p>
        </w:tc>
        <w:tc>
          <w:tcPr>
            <w:tcW w:w="740" w:type="dxa"/>
            <w:vAlign w:val="bottom"/>
            <w:shd w:val="clear" w:color="auto" w:fill="DCDDDE"/>
          </w:tcPr>
          <w:p>
            <w:pPr>
              <w:spacing w:after="0"/>
              <w:rPr>
                <w:sz w:val="17"/>
                <w:szCs w:val="17"/>
                <w:color w:val="auto"/>
              </w:rPr>
            </w:pPr>
          </w:p>
        </w:tc>
        <w:tc>
          <w:tcPr>
            <w:tcW w:w="80" w:type="dxa"/>
            <w:vAlign w:val="bottom"/>
            <w:shd w:val="clear" w:color="auto" w:fill="DCDDDE"/>
          </w:tcPr>
          <w:p>
            <w:pPr>
              <w:spacing w:after="0"/>
              <w:rPr>
                <w:sz w:val="17"/>
                <w:szCs w:val="17"/>
                <w:color w:val="auto"/>
              </w:rPr>
            </w:pPr>
          </w:p>
        </w:tc>
        <w:tc>
          <w:tcPr>
            <w:tcW w:w="780" w:type="dxa"/>
            <w:vAlign w:val="bottom"/>
            <w:shd w:val="clear" w:color="auto" w:fill="DCDDDE"/>
          </w:tcPr>
          <w:p>
            <w:pPr>
              <w:spacing w:after="0"/>
              <w:rPr>
                <w:sz w:val="17"/>
                <w:szCs w:val="17"/>
                <w:color w:val="auto"/>
              </w:rPr>
            </w:pPr>
          </w:p>
        </w:tc>
        <w:tc>
          <w:tcPr>
            <w:tcW w:w="580" w:type="dxa"/>
            <w:vAlign w:val="bottom"/>
            <w:shd w:val="clear" w:color="auto" w:fill="DCDDDE"/>
          </w:tcPr>
          <w:p>
            <w:pPr>
              <w:spacing w:after="0"/>
              <w:rPr>
                <w:sz w:val="17"/>
                <w:szCs w:val="17"/>
                <w:color w:val="auto"/>
              </w:rPr>
            </w:pPr>
          </w:p>
        </w:tc>
        <w:tc>
          <w:tcPr>
            <w:tcW w:w="760" w:type="dxa"/>
            <w:vAlign w:val="bottom"/>
            <w:shd w:val="clear" w:color="auto" w:fill="DCDDDE"/>
          </w:tcPr>
          <w:p>
            <w:pPr>
              <w:spacing w:after="0"/>
              <w:rPr>
                <w:sz w:val="17"/>
                <w:szCs w:val="17"/>
                <w:color w:val="auto"/>
              </w:rPr>
            </w:pPr>
          </w:p>
        </w:tc>
        <w:tc>
          <w:tcPr>
            <w:tcW w:w="900" w:type="dxa"/>
            <w:vAlign w:val="bottom"/>
            <w:shd w:val="clear" w:color="auto" w:fill="DCDDDE"/>
          </w:tcPr>
          <w:p>
            <w:pPr>
              <w:spacing w:after="0"/>
              <w:rPr>
                <w:sz w:val="17"/>
                <w:szCs w:val="17"/>
                <w:color w:val="auto"/>
              </w:rPr>
            </w:pPr>
          </w:p>
        </w:tc>
        <w:tc>
          <w:tcPr>
            <w:tcW w:w="980" w:type="dxa"/>
            <w:vAlign w:val="bottom"/>
            <w:shd w:val="clear" w:color="auto" w:fill="DCDDDE"/>
          </w:tcPr>
          <w:p>
            <w:pPr>
              <w:jc w:val="right"/>
              <w:ind w:right="52"/>
              <w:spacing w:after="0"/>
              <w:rPr>
                <w:sz w:val="20"/>
                <w:szCs w:val="20"/>
                <w:color w:val="auto"/>
              </w:rPr>
            </w:pPr>
            <w:r>
              <w:rPr>
                <w:rFonts w:ascii="Arial" w:cs="Arial" w:eastAsia="Arial" w:hAnsi="Arial"/>
                <w:sz w:val="13"/>
                <w:szCs w:val="13"/>
                <w:color w:val="auto"/>
              </w:rPr>
              <w:t>86,395</w:t>
            </w:r>
          </w:p>
        </w:tc>
        <w:tc>
          <w:tcPr>
            <w:tcW w:w="860" w:type="dxa"/>
            <w:vAlign w:val="bottom"/>
            <w:shd w:val="clear" w:color="auto" w:fill="DCDDDE"/>
          </w:tcPr>
          <w:p>
            <w:pPr>
              <w:jc w:val="right"/>
              <w:ind w:right="53"/>
              <w:spacing w:after="0"/>
              <w:rPr>
                <w:sz w:val="20"/>
                <w:szCs w:val="20"/>
                <w:color w:val="auto"/>
              </w:rPr>
            </w:pPr>
            <w:r>
              <w:rPr>
                <w:rFonts w:ascii="Arial" w:cs="Arial" w:eastAsia="Arial" w:hAnsi="Arial"/>
                <w:sz w:val="13"/>
                <w:szCs w:val="13"/>
                <w:color w:val="auto"/>
              </w:rPr>
              <w:t>25.68</w:t>
            </w: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color w:val="auto"/>
              </w:rPr>
              <w:t>894,992</w:t>
            </w:r>
          </w:p>
        </w:tc>
        <w:tc>
          <w:tcPr>
            <w:tcW w:w="0" w:type="dxa"/>
            <w:vAlign w:val="bottom"/>
          </w:tcPr>
          <w:p>
            <w:pPr>
              <w:spacing w:after="0"/>
              <w:rPr>
                <w:sz w:val="1"/>
                <w:szCs w:val="1"/>
                <w:color w:val="auto"/>
              </w:rPr>
            </w:pPr>
          </w:p>
        </w:tc>
      </w:tr>
      <w:tr>
        <w:trPr>
          <w:trHeight w:val="82"/>
        </w:trPr>
        <w:tc>
          <w:tcPr>
            <w:tcW w:w="960" w:type="dxa"/>
            <w:vAlign w:val="bottom"/>
            <w:tcBorders>
              <w:bottom w:val="single" w:sz="8" w:color="auto"/>
            </w:tcBorders>
            <w:shd w:val="clear" w:color="auto" w:fill="DCDDDE"/>
          </w:tcPr>
          <w:p>
            <w:pPr>
              <w:spacing w:after="0"/>
              <w:rPr>
                <w:sz w:val="7"/>
                <w:szCs w:val="7"/>
                <w:color w:val="auto"/>
              </w:rPr>
            </w:pPr>
          </w:p>
        </w:tc>
        <w:tc>
          <w:tcPr>
            <w:tcW w:w="1020" w:type="dxa"/>
            <w:vAlign w:val="bottom"/>
            <w:tcBorders>
              <w:bottom w:val="single" w:sz="8" w:color="auto"/>
            </w:tcBorders>
            <w:shd w:val="clear" w:color="auto" w:fill="DCDDDE"/>
          </w:tcPr>
          <w:p>
            <w:pPr>
              <w:spacing w:after="0"/>
              <w:rPr>
                <w:sz w:val="7"/>
                <w:szCs w:val="7"/>
                <w:color w:val="auto"/>
              </w:rPr>
            </w:pPr>
          </w:p>
        </w:tc>
        <w:tc>
          <w:tcPr>
            <w:tcW w:w="800" w:type="dxa"/>
            <w:vAlign w:val="bottom"/>
            <w:tcBorders>
              <w:bottom w:val="single" w:sz="8" w:color="auto"/>
            </w:tcBorders>
            <w:shd w:val="clear" w:color="auto" w:fill="DCDDDE"/>
          </w:tcPr>
          <w:p>
            <w:pPr>
              <w:spacing w:after="0"/>
              <w:rPr>
                <w:sz w:val="7"/>
                <w:szCs w:val="7"/>
                <w:color w:val="auto"/>
              </w:rPr>
            </w:pPr>
          </w:p>
        </w:tc>
        <w:tc>
          <w:tcPr>
            <w:tcW w:w="880" w:type="dxa"/>
            <w:vAlign w:val="bottom"/>
            <w:tcBorders>
              <w:bottom w:val="single" w:sz="8" w:color="auto"/>
            </w:tcBorders>
            <w:shd w:val="clear" w:color="auto" w:fill="DCDDDE"/>
          </w:tcPr>
          <w:p>
            <w:pPr>
              <w:spacing w:after="0"/>
              <w:rPr>
                <w:sz w:val="7"/>
                <w:szCs w:val="7"/>
                <w:color w:val="auto"/>
              </w:rPr>
            </w:pPr>
          </w:p>
        </w:tc>
        <w:tc>
          <w:tcPr>
            <w:tcW w:w="740" w:type="dxa"/>
            <w:vAlign w:val="bottom"/>
            <w:tcBorders>
              <w:bottom w:val="single" w:sz="8" w:color="auto"/>
            </w:tcBorders>
            <w:shd w:val="clear" w:color="auto" w:fill="DCDDDE"/>
          </w:tcPr>
          <w:p>
            <w:pPr>
              <w:spacing w:after="0"/>
              <w:rPr>
                <w:sz w:val="7"/>
                <w:szCs w:val="7"/>
                <w:color w:val="auto"/>
              </w:rPr>
            </w:pPr>
          </w:p>
        </w:tc>
        <w:tc>
          <w:tcPr>
            <w:tcW w:w="740" w:type="dxa"/>
            <w:vAlign w:val="bottom"/>
            <w:tcBorders>
              <w:bottom w:val="single" w:sz="8" w:color="auto"/>
            </w:tcBorders>
            <w:shd w:val="clear" w:color="auto" w:fill="DCDDDE"/>
          </w:tcPr>
          <w:p>
            <w:pPr>
              <w:spacing w:after="0"/>
              <w:rPr>
                <w:sz w:val="7"/>
                <w:szCs w:val="7"/>
                <w:color w:val="auto"/>
              </w:rPr>
            </w:pPr>
          </w:p>
        </w:tc>
        <w:tc>
          <w:tcPr>
            <w:tcW w:w="80" w:type="dxa"/>
            <w:vAlign w:val="bottom"/>
            <w:tcBorders>
              <w:bottom w:val="single" w:sz="8" w:color="auto"/>
            </w:tcBorders>
            <w:shd w:val="clear" w:color="auto" w:fill="DCDDDE"/>
          </w:tcPr>
          <w:p>
            <w:pPr>
              <w:spacing w:after="0"/>
              <w:rPr>
                <w:sz w:val="7"/>
                <w:szCs w:val="7"/>
                <w:color w:val="auto"/>
              </w:rPr>
            </w:pPr>
          </w:p>
        </w:tc>
        <w:tc>
          <w:tcPr>
            <w:tcW w:w="780" w:type="dxa"/>
            <w:vAlign w:val="bottom"/>
            <w:tcBorders>
              <w:bottom w:val="single" w:sz="8" w:color="auto"/>
            </w:tcBorders>
            <w:shd w:val="clear" w:color="auto" w:fill="DCDDDE"/>
          </w:tcPr>
          <w:p>
            <w:pPr>
              <w:spacing w:after="0"/>
              <w:rPr>
                <w:sz w:val="7"/>
                <w:szCs w:val="7"/>
                <w:color w:val="auto"/>
              </w:rPr>
            </w:pPr>
          </w:p>
        </w:tc>
        <w:tc>
          <w:tcPr>
            <w:tcW w:w="580" w:type="dxa"/>
            <w:vAlign w:val="bottom"/>
            <w:tcBorders>
              <w:bottom w:val="single" w:sz="8" w:color="auto"/>
            </w:tcBorders>
            <w:shd w:val="clear" w:color="auto" w:fill="DCDDDE"/>
          </w:tcPr>
          <w:p>
            <w:pPr>
              <w:spacing w:after="0"/>
              <w:rPr>
                <w:sz w:val="7"/>
                <w:szCs w:val="7"/>
                <w:color w:val="auto"/>
              </w:rPr>
            </w:pPr>
          </w:p>
        </w:tc>
        <w:tc>
          <w:tcPr>
            <w:tcW w:w="760" w:type="dxa"/>
            <w:vAlign w:val="bottom"/>
            <w:tcBorders>
              <w:bottom w:val="single" w:sz="8" w:color="auto"/>
            </w:tcBorders>
            <w:shd w:val="clear" w:color="auto" w:fill="DCDDDE"/>
          </w:tcPr>
          <w:p>
            <w:pPr>
              <w:spacing w:after="0"/>
              <w:rPr>
                <w:sz w:val="7"/>
                <w:szCs w:val="7"/>
                <w:color w:val="auto"/>
              </w:rPr>
            </w:pPr>
          </w:p>
        </w:tc>
        <w:tc>
          <w:tcPr>
            <w:tcW w:w="900" w:type="dxa"/>
            <w:vAlign w:val="bottom"/>
            <w:tcBorders>
              <w:bottom w:val="single" w:sz="8" w:color="auto"/>
            </w:tcBorders>
            <w:shd w:val="clear" w:color="auto" w:fill="DCDDDE"/>
          </w:tcPr>
          <w:p>
            <w:pPr>
              <w:spacing w:after="0"/>
              <w:rPr>
                <w:sz w:val="7"/>
                <w:szCs w:val="7"/>
                <w:color w:val="auto"/>
              </w:rPr>
            </w:pPr>
          </w:p>
        </w:tc>
        <w:tc>
          <w:tcPr>
            <w:tcW w:w="980" w:type="dxa"/>
            <w:vAlign w:val="bottom"/>
            <w:tcBorders>
              <w:bottom w:val="single" w:sz="8" w:color="auto"/>
            </w:tcBorders>
            <w:shd w:val="clear" w:color="auto" w:fill="DCDDDE"/>
          </w:tcPr>
          <w:p>
            <w:pPr>
              <w:spacing w:after="0"/>
              <w:rPr>
                <w:sz w:val="7"/>
                <w:szCs w:val="7"/>
                <w:color w:val="auto"/>
              </w:rPr>
            </w:pPr>
          </w:p>
        </w:tc>
        <w:tc>
          <w:tcPr>
            <w:tcW w:w="860" w:type="dxa"/>
            <w:vAlign w:val="bottom"/>
            <w:tcBorders>
              <w:bottom w:val="single" w:sz="8" w:color="auto"/>
            </w:tcBorders>
            <w:shd w:val="clear" w:color="auto" w:fill="DCDDDE"/>
          </w:tcPr>
          <w:p>
            <w:pPr>
              <w:spacing w:after="0"/>
              <w:rPr>
                <w:sz w:val="7"/>
                <w:szCs w:val="7"/>
                <w:color w:val="auto"/>
              </w:rPr>
            </w:pPr>
          </w:p>
        </w:tc>
        <w:tc>
          <w:tcPr>
            <w:tcW w:w="800" w:type="dxa"/>
            <w:vAlign w:val="bottom"/>
            <w:tcBorders>
              <w:bottom w:val="single" w:sz="8" w:color="auto"/>
            </w:tcBorders>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Alexis</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DePree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color w:val="auto"/>
              </w:rPr>
              <w:t>EMBP</w:t>
            </w:r>
          </w:p>
        </w:tc>
        <w:tc>
          <w:tcPr>
            <w:tcW w:w="102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spacing w:after="0"/>
              <w:rPr>
                <w:sz w:val="22"/>
                <w:szCs w:val="22"/>
                <w:color w:val="auto"/>
              </w:rPr>
            </w:pPr>
          </w:p>
        </w:tc>
        <w:tc>
          <w:tcPr>
            <w:tcW w:w="880" w:type="dxa"/>
            <w:vAlign w:val="bottom"/>
            <w:tcBorders>
              <w:bottom w:val="single" w:sz="8" w:color="DCDDDE"/>
            </w:tcBorders>
            <w:shd w:val="clear" w:color="auto" w:fill="DCDDDE"/>
          </w:tcPr>
          <w:p>
            <w:pPr>
              <w:jc w:val="right"/>
              <w:ind w:right="15"/>
              <w:spacing w:after="0"/>
              <w:rPr>
                <w:sz w:val="20"/>
                <w:szCs w:val="20"/>
                <w:color w:val="auto"/>
              </w:rPr>
            </w:pPr>
            <w:r>
              <w:rPr>
                <w:rFonts w:ascii="Arial" w:cs="Arial" w:eastAsia="Arial" w:hAnsi="Arial"/>
                <w:sz w:val="13"/>
                <w:szCs w:val="13"/>
                <w:color w:val="auto"/>
              </w:rPr>
              <w:t>119,000</w:t>
            </w:r>
          </w:p>
        </w:tc>
        <w:tc>
          <w:tcPr>
            <w:tcW w:w="740" w:type="dxa"/>
            <w:vAlign w:val="bottom"/>
            <w:tcBorders>
              <w:bottom w:val="single" w:sz="8" w:color="DCDDDE"/>
            </w:tcBorders>
            <w:shd w:val="clear" w:color="auto" w:fill="DCDDDE"/>
          </w:tcPr>
          <w:p>
            <w:pPr>
              <w:jc w:val="right"/>
              <w:ind w:right="16"/>
              <w:spacing w:after="0"/>
              <w:rPr>
                <w:sz w:val="20"/>
                <w:szCs w:val="20"/>
                <w:color w:val="auto"/>
              </w:rPr>
            </w:pPr>
            <w:r>
              <w:rPr>
                <w:rFonts w:ascii="Arial" w:cs="Arial" w:eastAsia="Arial" w:hAnsi="Arial"/>
                <w:sz w:val="13"/>
                <w:szCs w:val="13"/>
                <w:color w:val="auto"/>
              </w:rPr>
              <w:t>476,000</w:t>
            </w: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1,190,000</w:t>
            </w:r>
          </w:p>
        </w:tc>
        <w:tc>
          <w:tcPr>
            <w:tcW w:w="8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spacing w:after="0"/>
              <w:rPr>
                <w:sz w:val="22"/>
                <w:szCs w:val="22"/>
                <w:color w:val="auto"/>
              </w:rPr>
            </w:pPr>
          </w:p>
        </w:tc>
        <w:tc>
          <w:tcPr>
            <w:tcW w:w="580" w:type="dxa"/>
            <w:vAlign w:val="bottom"/>
            <w:tcBorders>
              <w:bottom w:val="single" w:sz="8" w:color="DCDDDE"/>
            </w:tcBorders>
            <w:shd w:val="clear" w:color="auto" w:fill="DCDDDE"/>
          </w:tcPr>
          <w:p>
            <w:pPr>
              <w:spacing w:after="0"/>
              <w:rPr>
                <w:sz w:val="22"/>
                <w:szCs w:val="22"/>
                <w:color w:val="auto"/>
              </w:rPr>
            </w:pPr>
          </w:p>
        </w:tc>
        <w:tc>
          <w:tcPr>
            <w:tcW w:w="760" w:type="dxa"/>
            <w:vAlign w:val="bottom"/>
            <w:tcBorders>
              <w:bottom w:val="single" w:sz="8" w:color="DCDDDE"/>
            </w:tcBorders>
            <w:shd w:val="clear" w:color="auto" w:fill="DCDDDE"/>
          </w:tcPr>
          <w:p>
            <w:pPr>
              <w:spacing w:after="0"/>
              <w:rPr>
                <w:sz w:val="22"/>
                <w:szCs w:val="22"/>
                <w:color w:val="auto"/>
              </w:rPr>
            </w:pPr>
          </w:p>
        </w:tc>
        <w:tc>
          <w:tcPr>
            <w:tcW w:w="900" w:type="dxa"/>
            <w:vAlign w:val="bottom"/>
            <w:tcBorders>
              <w:bottom w:val="single" w:sz="8" w:color="DCDDDE"/>
            </w:tcBorders>
            <w:shd w:val="clear" w:color="auto" w:fill="DCDDDE"/>
          </w:tcPr>
          <w:p>
            <w:pPr>
              <w:spacing w:after="0"/>
              <w:rPr>
                <w:sz w:val="22"/>
                <w:szCs w:val="22"/>
                <w:color w:val="auto"/>
              </w:rPr>
            </w:pPr>
          </w:p>
        </w:tc>
        <w:tc>
          <w:tcPr>
            <w:tcW w:w="980" w:type="dxa"/>
            <w:vAlign w:val="bottom"/>
            <w:tcBorders>
              <w:bottom w:val="single" w:sz="8" w:color="DCDDDE"/>
            </w:tcBorders>
            <w:shd w:val="clear" w:color="auto" w:fill="DCDDDE"/>
          </w:tcPr>
          <w:p>
            <w:pPr>
              <w:spacing w:after="0"/>
              <w:rPr>
                <w:sz w:val="22"/>
                <w:szCs w:val="22"/>
                <w:color w:val="auto"/>
              </w:rPr>
            </w:pPr>
          </w:p>
        </w:tc>
        <w:tc>
          <w:tcPr>
            <w:tcW w:w="86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60" w:type="dxa"/>
            <w:vAlign w:val="bottom"/>
          </w:tcPr>
          <w:p>
            <w:pPr>
              <w:ind w:left="60"/>
              <w:spacing w:after="0"/>
              <w:rPr>
                <w:sz w:val="20"/>
                <w:szCs w:val="20"/>
                <w:color w:val="auto"/>
              </w:rPr>
            </w:pPr>
            <w:r>
              <w:rPr>
                <w:rFonts w:ascii="Arial" w:cs="Arial" w:eastAsia="Arial" w:hAnsi="Arial"/>
                <w:sz w:val="13"/>
                <w:szCs w:val="13"/>
                <w:color w:val="auto"/>
              </w:rPr>
              <w:t>PSU</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17,037</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22,717</w:t>
            </w:r>
          </w:p>
        </w:tc>
        <w:tc>
          <w:tcPr>
            <w:tcW w:w="760" w:type="dxa"/>
            <w:vAlign w:val="bottom"/>
          </w:tcPr>
          <w:p>
            <w:pPr>
              <w:jc w:val="right"/>
              <w:spacing w:after="0"/>
              <w:rPr>
                <w:sz w:val="20"/>
                <w:szCs w:val="20"/>
                <w:color w:val="auto"/>
              </w:rPr>
            </w:pPr>
            <w:r>
              <w:rPr>
                <w:rFonts w:ascii="Arial" w:cs="Arial" w:eastAsia="Arial" w:hAnsi="Arial"/>
                <w:sz w:val="13"/>
                <w:szCs w:val="13"/>
                <w:color w:val="auto"/>
              </w:rPr>
              <w:t>34,075</w:t>
            </w: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512,995</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color w:val="auto"/>
              </w:rPr>
              <w:t>Stock Option</w:t>
            </w:r>
          </w:p>
        </w:tc>
        <w:tc>
          <w:tcPr>
            <w:tcW w:w="1020" w:type="dxa"/>
            <w:vAlign w:val="bottom"/>
            <w:tcBorders>
              <w:bottom w:val="single" w:sz="8" w:color="DCDDDE"/>
            </w:tcBorders>
            <w:shd w:val="clear" w:color="auto" w:fill="DCDDDE"/>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spacing w:after="0"/>
              <w:rPr>
                <w:sz w:val="22"/>
                <w:szCs w:val="22"/>
                <w:color w:val="auto"/>
              </w:rPr>
            </w:pPr>
          </w:p>
        </w:tc>
        <w:tc>
          <w:tcPr>
            <w:tcW w:w="580" w:type="dxa"/>
            <w:vAlign w:val="bottom"/>
            <w:tcBorders>
              <w:bottom w:val="single" w:sz="8" w:color="DCDDDE"/>
            </w:tcBorders>
            <w:shd w:val="clear" w:color="auto" w:fill="DCDDDE"/>
          </w:tcPr>
          <w:p>
            <w:pPr>
              <w:spacing w:after="0"/>
              <w:rPr>
                <w:sz w:val="22"/>
                <w:szCs w:val="22"/>
                <w:color w:val="auto"/>
              </w:rPr>
            </w:pPr>
          </w:p>
        </w:tc>
        <w:tc>
          <w:tcPr>
            <w:tcW w:w="760" w:type="dxa"/>
            <w:vAlign w:val="bottom"/>
            <w:tcBorders>
              <w:bottom w:val="single" w:sz="8" w:color="DCDDDE"/>
            </w:tcBorders>
            <w:shd w:val="clear" w:color="auto" w:fill="DCDDDE"/>
          </w:tcPr>
          <w:p>
            <w:pPr>
              <w:spacing w:after="0"/>
              <w:rPr>
                <w:sz w:val="22"/>
                <w:szCs w:val="22"/>
                <w:color w:val="auto"/>
              </w:rPr>
            </w:pPr>
          </w:p>
        </w:tc>
        <w:tc>
          <w:tcPr>
            <w:tcW w:w="900" w:type="dxa"/>
            <w:vAlign w:val="bottom"/>
            <w:tcBorders>
              <w:bottom w:val="single" w:sz="8" w:color="DCDDDE"/>
            </w:tcBorders>
            <w:shd w:val="clear" w:color="auto" w:fill="DCDDDE"/>
          </w:tcPr>
          <w:p>
            <w:pPr>
              <w:spacing w:after="0"/>
              <w:rPr>
                <w:sz w:val="22"/>
                <w:szCs w:val="22"/>
                <w:color w:val="auto"/>
              </w:rPr>
            </w:pPr>
          </w:p>
        </w:tc>
        <w:tc>
          <w:tcPr>
            <w:tcW w:w="980" w:type="dxa"/>
            <w:vAlign w:val="bottom"/>
            <w:tcBorders>
              <w:bottom w:val="single" w:sz="8" w:color="DCDDDE"/>
            </w:tcBorders>
            <w:shd w:val="clear" w:color="auto" w:fill="DCDDDE"/>
          </w:tcPr>
          <w:p>
            <w:pPr>
              <w:jc w:val="right"/>
              <w:ind w:right="52"/>
              <w:spacing w:after="0"/>
              <w:rPr>
                <w:sz w:val="20"/>
                <w:szCs w:val="20"/>
                <w:color w:val="auto"/>
              </w:rPr>
            </w:pPr>
            <w:r>
              <w:rPr>
                <w:rFonts w:ascii="Arial" w:cs="Arial" w:eastAsia="Arial" w:hAnsi="Arial"/>
                <w:sz w:val="13"/>
                <w:szCs w:val="13"/>
                <w:color w:val="auto"/>
              </w:rPr>
              <w:t>33,013</w:t>
            </w:r>
          </w:p>
        </w:tc>
        <w:tc>
          <w:tcPr>
            <w:tcW w:w="860" w:type="dxa"/>
            <w:vAlign w:val="bottom"/>
            <w:tcBorders>
              <w:bottom w:val="single" w:sz="8" w:color="DCDDDE"/>
            </w:tcBorders>
            <w:shd w:val="clear" w:color="auto" w:fill="DCDDDE"/>
          </w:tcPr>
          <w:p>
            <w:pPr>
              <w:jc w:val="right"/>
              <w:ind w:right="53"/>
              <w:spacing w:after="0"/>
              <w:rPr>
                <w:sz w:val="20"/>
                <w:szCs w:val="20"/>
                <w:color w:val="auto"/>
              </w:rPr>
            </w:pPr>
            <w:r>
              <w:rPr>
                <w:rFonts w:ascii="Arial" w:cs="Arial" w:eastAsia="Arial" w:hAnsi="Arial"/>
                <w:sz w:val="13"/>
                <w:szCs w:val="13"/>
                <w:color w:val="auto"/>
              </w:rPr>
              <w:t>25.68</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341,992</w:t>
            </w:r>
          </w:p>
        </w:tc>
        <w:tc>
          <w:tcPr>
            <w:tcW w:w="0" w:type="dxa"/>
            <w:vAlign w:val="bottom"/>
          </w:tcPr>
          <w:p>
            <w:pPr>
              <w:spacing w:after="0"/>
              <w:rPr>
                <w:sz w:val="1"/>
                <w:szCs w:val="1"/>
                <w:color w:val="auto"/>
              </w:rPr>
            </w:pPr>
          </w:p>
        </w:tc>
      </w:tr>
      <w:tr>
        <w:trPr>
          <w:trHeight w:val="202"/>
        </w:trPr>
        <w:tc>
          <w:tcPr>
            <w:tcW w:w="960" w:type="dxa"/>
            <w:vAlign w:val="bottom"/>
          </w:tcPr>
          <w:p>
            <w:pPr>
              <w:ind w:left="60"/>
              <w:spacing w:after="0"/>
              <w:rPr>
                <w:sz w:val="20"/>
                <w:szCs w:val="20"/>
                <w:color w:val="auto"/>
              </w:rPr>
            </w:pPr>
            <w:r>
              <w:rPr>
                <w:rFonts w:ascii="Arial" w:cs="Arial" w:eastAsia="Arial" w:hAnsi="Arial"/>
                <w:sz w:val="13"/>
                <w:szCs w:val="13"/>
                <w:color w:val="auto"/>
              </w:rPr>
              <w:t>RSU</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5/26/2022</w:t>
            </w:r>
          </w:p>
        </w:tc>
        <w:tc>
          <w:tcPr>
            <w:tcW w:w="800" w:type="dxa"/>
            <w:vAlign w:val="bottom"/>
          </w:tcPr>
          <w:p>
            <w:pPr>
              <w:jc w:val="right"/>
              <w:spacing w:after="0"/>
              <w:rPr>
                <w:sz w:val="20"/>
                <w:szCs w:val="20"/>
                <w:color w:val="auto"/>
              </w:rPr>
            </w:pPr>
            <w:r>
              <w:rPr>
                <w:rFonts w:ascii="Arial" w:cs="Arial" w:eastAsia="Arial" w:hAnsi="Arial"/>
                <w:sz w:val="13"/>
                <w:szCs w:val="13"/>
                <w:color w:val="auto"/>
              </w:rPr>
              <w:t>5/17/2022</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jc w:val="right"/>
              <w:ind w:right="11"/>
              <w:spacing w:after="0"/>
              <w:rPr>
                <w:sz w:val="20"/>
                <w:szCs w:val="20"/>
                <w:color w:val="auto"/>
              </w:rPr>
            </w:pPr>
            <w:r>
              <w:rPr>
                <w:rFonts w:ascii="Arial" w:cs="Arial" w:eastAsia="Arial" w:hAnsi="Arial"/>
                <w:sz w:val="13"/>
                <w:szCs w:val="13"/>
                <w:color w:val="auto"/>
              </w:rPr>
              <w:t>45,147</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999,979</w:t>
            </w:r>
          </w:p>
        </w:tc>
        <w:tc>
          <w:tcPr>
            <w:tcW w:w="0" w:type="dxa"/>
            <w:vAlign w:val="bottom"/>
          </w:tcPr>
          <w:p>
            <w:pPr>
              <w:spacing w:after="0"/>
              <w:rPr>
                <w:sz w:val="1"/>
                <w:szCs w:val="1"/>
                <w:color w:val="auto"/>
              </w:rPr>
            </w:pPr>
          </w:p>
        </w:tc>
      </w:tr>
      <w:tr>
        <w:trPr>
          <w:trHeight w:val="81"/>
        </w:trPr>
        <w:tc>
          <w:tcPr>
            <w:tcW w:w="9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960" w:type="dxa"/>
            <w:vAlign w:val="bottom"/>
            <w:shd w:val="clear" w:color="auto" w:fill="DCDDDE"/>
          </w:tcPr>
          <w:p>
            <w:pPr>
              <w:ind w:left="60"/>
              <w:spacing w:after="0"/>
              <w:rPr>
                <w:sz w:val="20"/>
                <w:szCs w:val="20"/>
                <w:color w:val="auto"/>
              </w:rPr>
            </w:pPr>
            <w:r>
              <w:rPr>
                <w:rFonts w:ascii="Arial" w:cs="Arial" w:eastAsia="Arial" w:hAnsi="Arial"/>
                <w:sz w:val="13"/>
                <w:szCs w:val="13"/>
                <w:b w:val="1"/>
                <w:bCs w:val="1"/>
                <w:color w:val="auto"/>
              </w:rPr>
              <w:t>Anne L.</w:t>
            </w:r>
          </w:p>
        </w:tc>
        <w:tc>
          <w:tcPr>
            <w:tcW w:w="1020" w:type="dxa"/>
            <w:vAlign w:val="bottom"/>
            <w:shd w:val="clear" w:color="auto" w:fill="DCDDDE"/>
          </w:tcPr>
          <w:p>
            <w:pPr>
              <w:spacing w:after="0"/>
              <w:rPr>
                <w:sz w:val="16"/>
                <w:szCs w:val="16"/>
                <w:color w:val="auto"/>
              </w:rPr>
            </w:pPr>
          </w:p>
        </w:tc>
        <w:tc>
          <w:tcPr>
            <w:tcW w:w="800" w:type="dxa"/>
            <w:vAlign w:val="bottom"/>
            <w:shd w:val="clear" w:color="auto" w:fill="DCDDDE"/>
          </w:tcPr>
          <w:p>
            <w:pPr>
              <w:spacing w:after="0"/>
              <w:rPr>
                <w:sz w:val="16"/>
                <w:szCs w:val="16"/>
                <w:color w:val="auto"/>
              </w:rPr>
            </w:pPr>
          </w:p>
        </w:tc>
        <w:tc>
          <w:tcPr>
            <w:tcW w:w="880" w:type="dxa"/>
            <w:vAlign w:val="bottom"/>
            <w:shd w:val="clear" w:color="auto" w:fill="DCDDDE"/>
          </w:tcPr>
          <w:p>
            <w:pPr>
              <w:spacing w:after="0"/>
              <w:rPr>
                <w:sz w:val="16"/>
                <w:szCs w:val="16"/>
                <w:color w:val="auto"/>
              </w:rPr>
            </w:pPr>
          </w:p>
        </w:tc>
        <w:tc>
          <w:tcPr>
            <w:tcW w:w="740" w:type="dxa"/>
            <w:vAlign w:val="bottom"/>
            <w:shd w:val="clear" w:color="auto" w:fill="DCDDDE"/>
          </w:tcPr>
          <w:p>
            <w:pPr>
              <w:spacing w:after="0"/>
              <w:rPr>
                <w:sz w:val="16"/>
                <w:szCs w:val="16"/>
                <w:color w:val="auto"/>
              </w:rPr>
            </w:pPr>
          </w:p>
        </w:tc>
        <w:tc>
          <w:tcPr>
            <w:tcW w:w="740" w:type="dxa"/>
            <w:vAlign w:val="bottom"/>
            <w:shd w:val="clear" w:color="auto" w:fill="DCDDDE"/>
          </w:tcPr>
          <w:p>
            <w:pPr>
              <w:spacing w:after="0"/>
              <w:rPr>
                <w:sz w:val="16"/>
                <w:szCs w:val="16"/>
                <w:color w:val="auto"/>
              </w:rPr>
            </w:pPr>
          </w:p>
        </w:tc>
        <w:tc>
          <w:tcPr>
            <w:tcW w:w="80" w:type="dxa"/>
            <w:vAlign w:val="bottom"/>
            <w:shd w:val="clear" w:color="auto" w:fill="DCDDDE"/>
          </w:tcPr>
          <w:p>
            <w:pPr>
              <w:spacing w:after="0"/>
              <w:rPr>
                <w:sz w:val="16"/>
                <w:szCs w:val="16"/>
                <w:color w:val="auto"/>
              </w:rPr>
            </w:pPr>
          </w:p>
        </w:tc>
        <w:tc>
          <w:tcPr>
            <w:tcW w:w="780" w:type="dxa"/>
            <w:vAlign w:val="bottom"/>
            <w:shd w:val="clear" w:color="auto" w:fill="DCDDDE"/>
          </w:tcPr>
          <w:p>
            <w:pPr>
              <w:spacing w:after="0"/>
              <w:rPr>
                <w:sz w:val="16"/>
                <w:szCs w:val="16"/>
                <w:color w:val="auto"/>
              </w:rPr>
            </w:pPr>
          </w:p>
        </w:tc>
        <w:tc>
          <w:tcPr>
            <w:tcW w:w="580" w:type="dxa"/>
            <w:vAlign w:val="bottom"/>
            <w:shd w:val="clear" w:color="auto" w:fill="DCDDDE"/>
          </w:tcPr>
          <w:p>
            <w:pPr>
              <w:spacing w:after="0"/>
              <w:rPr>
                <w:sz w:val="16"/>
                <w:szCs w:val="16"/>
                <w:color w:val="auto"/>
              </w:rPr>
            </w:pPr>
          </w:p>
        </w:tc>
        <w:tc>
          <w:tcPr>
            <w:tcW w:w="760" w:type="dxa"/>
            <w:vAlign w:val="bottom"/>
            <w:shd w:val="clear" w:color="auto" w:fill="DCDDDE"/>
          </w:tcPr>
          <w:p>
            <w:pPr>
              <w:spacing w:after="0"/>
              <w:rPr>
                <w:sz w:val="16"/>
                <w:szCs w:val="16"/>
                <w:color w:val="auto"/>
              </w:rPr>
            </w:pPr>
          </w:p>
        </w:tc>
        <w:tc>
          <w:tcPr>
            <w:tcW w:w="900" w:type="dxa"/>
            <w:vAlign w:val="bottom"/>
            <w:shd w:val="clear" w:color="auto" w:fill="DCDDDE"/>
          </w:tcPr>
          <w:p>
            <w:pPr>
              <w:spacing w:after="0"/>
              <w:rPr>
                <w:sz w:val="16"/>
                <w:szCs w:val="16"/>
                <w:color w:val="auto"/>
              </w:rPr>
            </w:pPr>
          </w:p>
        </w:tc>
        <w:tc>
          <w:tcPr>
            <w:tcW w:w="980" w:type="dxa"/>
            <w:vAlign w:val="bottom"/>
            <w:shd w:val="clear" w:color="auto" w:fill="DCDDDE"/>
          </w:tcPr>
          <w:p>
            <w:pPr>
              <w:spacing w:after="0"/>
              <w:rPr>
                <w:sz w:val="16"/>
                <w:szCs w:val="16"/>
                <w:color w:val="auto"/>
              </w:rPr>
            </w:pPr>
          </w:p>
        </w:tc>
        <w:tc>
          <w:tcPr>
            <w:tcW w:w="860" w:type="dxa"/>
            <w:vAlign w:val="bottom"/>
            <w:shd w:val="clear" w:color="auto" w:fill="DCDDDE"/>
          </w:tcPr>
          <w:p>
            <w:pPr>
              <w:spacing w:after="0"/>
              <w:rPr>
                <w:sz w:val="16"/>
                <w:szCs w:val="16"/>
                <w:color w:val="auto"/>
              </w:rPr>
            </w:pPr>
          </w:p>
        </w:tc>
        <w:tc>
          <w:tcPr>
            <w:tcW w:w="80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b w:val="1"/>
                <w:bCs w:val="1"/>
                <w:color w:val="auto"/>
              </w:rPr>
              <w:t>Bramman</w:t>
            </w:r>
          </w:p>
        </w:tc>
        <w:tc>
          <w:tcPr>
            <w:tcW w:w="10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spacing w:after="0"/>
              <w:rPr>
                <w:sz w:val="16"/>
                <w:szCs w:val="16"/>
                <w:color w:val="auto"/>
              </w:rPr>
            </w:pPr>
          </w:p>
        </w:tc>
        <w:tc>
          <w:tcPr>
            <w:tcW w:w="880" w:type="dxa"/>
            <w:vAlign w:val="bottom"/>
            <w:tcBorders>
              <w:bottom w:val="single" w:sz="8" w:color="DCDDDE"/>
            </w:tcBorders>
            <w:shd w:val="clear" w:color="auto" w:fill="DCDDDE"/>
          </w:tcPr>
          <w:p>
            <w:pPr>
              <w:spacing w:after="0"/>
              <w:rPr>
                <w:sz w:val="16"/>
                <w:szCs w:val="16"/>
                <w:color w:val="auto"/>
              </w:rPr>
            </w:pPr>
          </w:p>
        </w:tc>
        <w:tc>
          <w:tcPr>
            <w:tcW w:w="740" w:type="dxa"/>
            <w:vAlign w:val="bottom"/>
            <w:tcBorders>
              <w:bottom w:val="single" w:sz="8" w:color="DCDDDE"/>
            </w:tcBorders>
            <w:shd w:val="clear" w:color="auto" w:fill="DCDDDE"/>
          </w:tcPr>
          <w:p>
            <w:pPr>
              <w:spacing w:after="0"/>
              <w:rPr>
                <w:sz w:val="16"/>
                <w:szCs w:val="16"/>
                <w:color w:val="auto"/>
              </w:rPr>
            </w:pPr>
          </w:p>
        </w:tc>
        <w:tc>
          <w:tcPr>
            <w:tcW w:w="740" w:type="dxa"/>
            <w:vAlign w:val="bottom"/>
            <w:tcBorders>
              <w:bottom w:val="single" w:sz="8" w:color="DCDDDE"/>
            </w:tcBorders>
            <w:shd w:val="clear" w:color="auto" w:fill="DCDDDE"/>
          </w:tcPr>
          <w:p>
            <w:pPr>
              <w:spacing w:after="0"/>
              <w:rPr>
                <w:sz w:val="16"/>
                <w:szCs w:val="16"/>
                <w:color w:val="auto"/>
              </w:rPr>
            </w:pPr>
          </w:p>
        </w:tc>
        <w:tc>
          <w:tcPr>
            <w:tcW w:w="80" w:type="dxa"/>
            <w:vAlign w:val="bottom"/>
            <w:tcBorders>
              <w:bottom w:val="single" w:sz="8" w:color="DCDDDE"/>
            </w:tcBorders>
            <w:shd w:val="clear" w:color="auto" w:fill="DCDDDE"/>
          </w:tcPr>
          <w:p>
            <w:pPr>
              <w:spacing w:after="0"/>
              <w:rPr>
                <w:sz w:val="16"/>
                <w:szCs w:val="16"/>
                <w:color w:val="auto"/>
              </w:rPr>
            </w:pPr>
          </w:p>
        </w:tc>
        <w:tc>
          <w:tcPr>
            <w:tcW w:w="780" w:type="dxa"/>
            <w:vAlign w:val="bottom"/>
            <w:tcBorders>
              <w:bottom w:val="single" w:sz="8" w:color="DCDDDE"/>
            </w:tcBorders>
            <w:shd w:val="clear" w:color="auto" w:fill="DCDDDE"/>
          </w:tcPr>
          <w:p>
            <w:pPr>
              <w:spacing w:after="0"/>
              <w:rPr>
                <w:sz w:val="16"/>
                <w:szCs w:val="16"/>
                <w:color w:val="auto"/>
              </w:rPr>
            </w:pPr>
          </w:p>
        </w:tc>
        <w:tc>
          <w:tcPr>
            <w:tcW w:w="580" w:type="dxa"/>
            <w:vAlign w:val="bottom"/>
            <w:tcBorders>
              <w:bottom w:val="single" w:sz="8" w:color="DCDDDE"/>
            </w:tcBorders>
            <w:shd w:val="clear" w:color="auto" w:fill="DCDDDE"/>
          </w:tcPr>
          <w:p>
            <w:pPr>
              <w:spacing w:after="0"/>
              <w:rPr>
                <w:sz w:val="16"/>
                <w:szCs w:val="16"/>
                <w:color w:val="auto"/>
              </w:rPr>
            </w:pPr>
          </w:p>
        </w:tc>
        <w:tc>
          <w:tcPr>
            <w:tcW w:w="760" w:type="dxa"/>
            <w:vAlign w:val="bottom"/>
            <w:tcBorders>
              <w:bottom w:val="single" w:sz="8" w:color="DCDDDE"/>
            </w:tcBorders>
            <w:shd w:val="clear" w:color="auto" w:fill="DCDDDE"/>
          </w:tcPr>
          <w:p>
            <w:pPr>
              <w:spacing w:after="0"/>
              <w:rPr>
                <w:sz w:val="16"/>
                <w:szCs w:val="16"/>
                <w:color w:val="auto"/>
              </w:rPr>
            </w:pPr>
          </w:p>
        </w:tc>
        <w:tc>
          <w:tcPr>
            <w:tcW w:w="900" w:type="dxa"/>
            <w:vAlign w:val="bottom"/>
            <w:tcBorders>
              <w:bottom w:val="single" w:sz="8" w:color="DCDDDE"/>
            </w:tcBorders>
            <w:shd w:val="clear" w:color="auto" w:fill="DCDDDE"/>
          </w:tcPr>
          <w:p>
            <w:pPr>
              <w:spacing w:after="0"/>
              <w:rPr>
                <w:sz w:val="16"/>
                <w:szCs w:val="16"/>
                <w:color w:val="auto"/>
              </w:rPr>
            </w:pPr>
          </w:p>
        </w:tc>
        <w:tc>
          <w:tcPr>
            <w:tcW w:w="980" w:type="dxa"/>
            <w:vAlign w:val="bottom"/>
            <w:tcBorders>
              <w:bottom w:val="single" w:sz="8" w:color="DCDDDE"/>
            </w:tcBorders>
            <w:shd w:val="clear" w:color="auto" w:fill="DCDDDE"/>
          </w:tcPr>
          <w:p>
            <w:pPr>
              <w:spacing w:after="0"/>
              <w:rPr>
                <w:sz w:val="16"/>
                <w:szCs w:val="16"/>
                <w:color w:val="auto"/>
              </w:rPr>
            </w:pPr>
          </w:p>
        </w:tc>
        <w:tc>
          <w:tcPr>
            <w:tcW w:w="86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60" w:type="dxa"/>
            <w:vAlign w:val="bottom"/>
          </w:tcPr>
          <w:p>
            <w:pPr>
              <w:ind w:left="60"/>
              <w:spacing w:after="0"/>
              <w:rPr>
                <w:sz w:val="20"/>
                <w:szCs w:val="20"/>
                <w:color w:val="auto"/>
              </w:rPr>
            </w:pPr>
            <w:r>
              <w:rPr>
                <w:rFonts w:ascii="Arial" w:cs="Arial" w:eastAsia="Arial" w:hAnsi="Arial"/>
                <w:sz w:val="13"/>
                <w:szCs w:val="13"/>
                <w:color w:val="auto"/>
              </w:rPr>
              <w:t>EMBP</w:t>
            </w: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211,250</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845,000</w:t>
            </w:r>
          </w:p>
        </w:tc>
        <w:tc>
          <w:tcPr>
            <w:tcW w:w="740" w:type="dxa"/>
            <w:vAlign w:val="bottom"/>
          </w:tcPr>
          <w:p>
            <w:pPr>
              <w:jc w:val="right"/>
              <w:spacing w:after="0"/>
              <w:rPr>
                <w:sz w:val="20"/>
                <w:szCs w:val="20"/>
                <w:color w:val="auto"/>
              </w:rPr>
            </w:pPr>
            <w:r>
              <w:rPr>
                <w:rFonts w:ascii="Arial" w:cs="Arial" w:eastAsia="Arial" w:hAnsi="Arial"/>
                <w:sz w:val="13"/>
                <w:szCs w:val="13"/>
                <w:color w:val="auto"/>
              </w:rPr>
              <w:t>2,112,500</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color w:val="auto"/>
              </w:rPr>
              <w:t>PSU</w:t>
            </w:r>
          </w:p>
        </w:tc>
        <w:tc>
          <w:tcPr>
            <w:tcW w:w="1020" w:type="dxa"/>
            <w:vAlign w:val="bottom"/>
            <w:tcBorders>
              <w:bottom w:val="single" w:sz="8" w:color="DCDDDE"/>
            </w:tcBorders>
            <w:shd w:val="clear" w:color="auto" w:fill="DCDDDE"/>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40,602</w:t>
            </w:r>
          </w:p>
        </w:tc>
        <w:tc>
          <w:tcPr>
            <w:tcW w:w="580" w:type="dxa"/>
            <w:vAlign w:val="bottom"/>
            <w:tcBorders>
              <w:bottom w:val="single" w:sz="8" w:color="DCDDDE"/>
            </w:tcBorders>
            <w:shd w:val="clear" w:color="auto" w:fill="DCDDDE"/>
          </w:tcPr>
          <w:p>
            <w:pPr>
              <w:jc w:val="right"/>
              <w:ind w:right="36"/>
              <w:spacing w:after="0"/>
              <w:rPr>
                <w:sz w:val="20"/>
                <w:szCs w:val="20"/>
                <w:color w:val="auto"/>
              </w:rPr>
            </w:pPr>
            <w:r>
              <w:rPr>
                <w:rFonts w:ascii="Arial" w:cs="Arial" w:eastAsia="Arial" w:hAnsi="Arial"/>
                <w:sz w:val="13"/>
                <w:szCs w:val="13"/>
                <w:color w:val="auto"/>
              </w:rPr>
              <w:t>54,136</w:t>
            </w: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81,204</w:t>
            </w:r>
          </w:p>
        </w:tc>
        <w:tc>
          <w:tcPr>
            <w:tcW w:w="900" w:type="dxa"/>
            <w:vAlign w:val="bottom"/>
            <w:tcBorders>
              <w:bottom w:val="single" w:sz="8" w:color="DCDDDE"/>
            </w:tcBorders>
            <w:shd w:val="clear" w:color="auto" w:fill="DCDDDE"/>
          </w:tcPr>
          <w:p>
            <w:pPr>
              <w:spacing w:after="0"/>
              <w:rPr>
                <w:sz w:val="22"/>
                <w:szCs w:val="22"/>
                <w:color w:val="auto"/>
              </w:rPr>
            </w:pPr>
          </w:p>
        </w:tc>
        <w:tc>
          <w:tcPr>
            <w:tcW w:w="980" w:type="dxa"/>
            <w:vAlign w:val="bottom"/>
            <w:tcBorders>
              <w:bottom w:val="single" w:sz="8" w:color="DCDDDE"/>
            </w:tcBorders>
            <w:shd w:val="clear" w:color="auto" w:fill="DCDDDE"/>
          </w:tcPr>
          <w:p>
            <w:pPr>
              <w:spacing w:after="0"/>
              <w:rPr>
                <w:sz w:val="22"/>
                <w:szCs w:val="22"/>
                <w:color w:val="auto"/>
              </w:rPr>
            </w:pPr>
          </w:p>
        </w:tc>
        <w:tc>
          <w:tcPr>
            <w:tcW w:w="86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1,222,499</w:t>
            </w:r>
          </w:p>
        </w:tc>
        <w:tc>
          <w:tcPr>
            <w:tcW w:w="0" w:type="dxa"/>
            <w:vAlign w:val="bottom"/>
          </w:tcPr>
          <w:p>
            <w:pPr>
              <w:spacing w:after="0"/>
              <w:rPr>
                <w:sz w:val="1"/>
                <w:szCs w:val="1"/>
                <w:color w:val="auto"/>
              </w:rPr>
            </w:pPr>
          </w:p>
        </w:tc>
      </w:tr>
      <w:tr>
        <w:trPr>
          <w:trHeight w:val="202"/>
        </w:trPr>
        <w:tc>
          <w:tcPr>
            <w:tcW w:w="960" w:type="dxa"/>
            <w:vAlign w:val="bottom"/>
          </w:tcPr>
          <w:p>
            <w:pPr>
              <w:ind w:left="60"/>
              <w:spacing w:after="0"/>
              <w:rPr>
                <w:sz w:val="20"/>
                <w:szCs w:val="20"/>
                <w:color w:val="auto"/>
              </w:rPr>
            </w:pPr>
            <w:r>
              <w:rPr>
                <w:rFonts w:ascii="Arial" w:cs="Arial" w:eastAsia="Arial" w:hAnsi="Arial"/>
                <w:sz w:val="13"/>
                <w:szCs w:val="13"/>
                <w:color w:val="auto"/>
              </w:rPr>
              <w:t>Stock Option</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jc w:val="right"/>
              <w:ind w:right="52"/>
              <w:spacing w:after="0"/>
              <w:rPr>
                <w:sz w:val="20"/>
                <w:szCs w:val="20"/>
                <w:color w:val="auto"/>
              </w:rPr>
            </w:pPr>
            <w:r>
              <w:rPr>
                <w:rFonts w:ascii="Arial" w:cs="Arial" w:eastAsia="Arial" w:hAnsi="Arial"/>
                <w:sz w:val="13"/>
                <w:szCs w:val="13"/>
                <w:color w:val="auto"/>
              </w:rPr>
              <w:t>78,673</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25.68</w:t>
            </w:r>
          </w:p>
        </w:tc>
        <w:tc>
          <w:tcPr>
            <w:tcW w:w="800" w:type="dxa"/>
            <w:vAlign w:val="bottom"/>
          </w:tcPr>
          <w:p>
            <w:pPr>
              <w:jc w:val="right"/>
              <w:spacing w:after="0"/>
              <w:rPr>
                <w:sz w:val="20"/>
                <w:szCs w:val="20"/>
                <w:color w:val="auto"/>
              </w:rPr>
            </w:pPr>
            <w:r>
              <w:rPr>
                <w:rFonts w:ascii="Arial" w:cs="Arial" w:eastAsia="Arial" w:hAnsi="Arial"/>
                <w:sz w:val="13"/>
                <w:szCs w:val="13"/>
                <w:color w:val="auto"/>
              </w:rPr>
              <w:t>814,997</w:t>
            </w:r>
          </w:p>
        </w:tc>
        <w:tc>
          <w:tcPr>
            <w:tcW w:w="0" w:type="dxa"/>
            <w:vAlign w:val="bottom"/>
          </w:tcPr>
          <w:p>
            <w:pPr>
              <w:spacing w:after="0"/>
              <w:rPr>
                <w:sz w:val="1"/>
                <w:szCs w:val="1"/>
                <w:color w:val="auto"/>
              </w:rPr>
            </w:pPr>
          </w:p>
        </w:tc>
      </w:tr>
      <w:tr>
        <w:trPr>
          <w:trHeight w:val="82"/>
        </w:trPr>
        <w:tc>
          <w:tcPr>
            <w:tcW w:w="9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960" w:type="dxa"/>
            <w:vAlign w:val="bottom"/>
            <w:shd w:val="clear" w:color="auto" w:fill="DCDDDE"/>
          </w:tcPr>
          <w:p>
            <w:pPr>
              <w:ind w:left="60"/>
              <w:spacing w:after="0"/>
              <w:rPr>
                <w:sz w:val="20"/>
                <w:szCs w:val="20"/>
                <w:color w:val="auto"/>
              </w:rPr>
            </w:pPr>
            <w:r>
              <w:rPr>
                <w:rFonts w:ascii="Arial" w:cs="Arial" w:eastAsia="Arial" w:hAnsi="Arial"/>
                <w:sz w:val="13"/>
                <w:szCs w:val="13"/>
                <w:b w:val="1"/>
                <w:bCs w:val="1"/>
                <w:color w:val="auto"/>
              </w:rPr>
              <w:t>Edmond</w:t>
            </w:r>
          </w:p>
        </w:tc>
        <w:tc>
          <w:tcPr>
            <w:tcW w:w="1020" w:type="dxa"/>
            <w:vAlign w:val="bottom"/>
            <w:shd w:val="clear" w:color="auto" w:fill="DCDDDE"/>
          </w:tcPr>
          <w:p>
            <w:pPr>
              <w:spacing w:after="0"/>
              <w:rPr>
                <w:sz w:val="16"/>
                <w:szCs w:val="16"/>
                <w:color w:val="auto"/>
              </w:rPr>
            </w:pPr>
          </w:p>
        </w:tc>
        <w:tc>
          <w:tcPr>
            <w:tcW w:w="800" w:type="dxa"/>
            <w:vAlign w:val="bottom"/>
            <w:shd w:val="clear" w:color="auto" w:fill="DCDDDE"/>
          </w:tcPr>
          <w:p>
            <w:pPr>
              <w:spacing w:after="0"/>
              <w:rPr>
                <w:sz w:val="16"/>
                <w:szCs w:val="16"/>
                <w:color w:val="auto"/>
              </w:rPr>
            </w:pPr>
          </w:p>
        </w:tc>
        <w:tc>
          <w:tcPr>
            <w:tcW w:w="880" w:type="dxa"/>
            <w:vAlign w:val="bottom"/>
            <w:shd w:val="clear" w:color="auto" w:fill="DCDDDE"/>
          </w:tcPr>
          <w:p>
            <w:pPr>
              <w:spacing w:after="0"/>
              <w:rPr>
                <w:sz w:val="16"/>
                <w:szCs w:val="16"/>
                <w:color w:val="auto"/>
              </w:rPr>
            </w:pPr>
          </w:p>
        </w:tc>
        <w:tc>
          <w:tcPr>
            <w:tcW w:w="740" w:type="dxa"/>
            <w:vAlign w:val="bottom"/>
            <w:shd w:val="clear" w:color="auto" w:fill="DCDDDE"/>
          </w:tcPr>
          <w:p>
            <w:pPr>
              <w:spacing w:after="0"/>
              <w:rPr>
                <w:sz w:val="16"/>
                <w:szCs w:val="16"/>
                <w:color w:val="auto"/>
              </w:rPr>
            </w:pPr>
          </w:p>
        </w:tc>
        <w:tc>
          <w:tcPr>
            <w:tcW w:w="740" w:type="dxa"/>
            <w:vAlign w:val="bottom"/>
            <w:shd w:val="clear" w:color="auto" w:fill="DCDDDE"/>
          </w:tcPr>
          <w:p>
            <w:pPr>
              <w:spacing w:after="0"/>
              <w:rPr>
                <w:sz w:val="16"/>
                <w:szCs w:val="16"/>
                <w:color w:val="auto"/>
              </w:rPr>
            </w:pPr>
          </w:p>
        </w:tc>
        <w:tc>
          <w:tcPr>
            <w:tcW w:w="80" w:type="dxa"/>
            <w:vAlign w:val="bottom"/>
            <w:shd w:val="clear" w:color="auto" w:fill="DCDDDE"/>
          </w:tcPr>
          <w:p>
            <w:pPr>
              <w:spacing w:after="0"/>
              <w:rPr>
                <w:sz w:val="16"/>
                <w:szCs w:val="16"/>
                <w:color w:val="auto"/>
              </w:rPr>
            </w:pPr>
          </w:p>
        </w:tc>
        <w:tc>
          <w:tcPr>
            <w:tcW w:w="780" w:type="dxa"/>
            <w:vAlign w:val="bottom"/>
            <w:shd w:val="clear" w:color="auto" w:fill="DCDDDE"/>
          </w:tcPr>
          <w:p>
            <w:pPr>
              <w:spacing w:after="0"/>
              <w:rPr>
                <w:sz w:val="16"/>
                <w:szCs w:val="16"/>
                <w:color w:val="auto"/>
              </w:rPr>
            </w:pPr>
          </w:p>
        </w:tc>
        <w:tc>
          <w:tcPr>
            <w:tcW w:w="580" w:type="dxa"/>
            <w:vAlign w:val="bottom"/>
            <w:shd w:val="clear" w:color="auto" w:fill="DCDDDE"/>
          </w:tcPr>
          <w:p>
            <w:pPr>
              <w:spacing w:after="0"/>
              <w:rPr>
                <w:sz w:val="16"/>
                <w:szCs w:val="16"/>
                <w:color w:val="auto"/>
              </w:rPr>
            </w:pPr>
          </w:p>
        </w:tc>
        <w:tc>
          <w:tcPr>
            <w:tcW w:w="760" w:type="dxa"/>
            <w:vAlign w:val="bottom"/>
            <w:shd w:val="clear" w:color="auto" w:fill="DCDDDE"/>
          </w:tcPr>
          <w:p>
            <w:pPr>
              <w:spacing w:after="0"/>
              <w:rPr>
                <w:sz w:val="16"/>
                <w:szCs w:val="16"/>
                <w:color w:val="auto"/>
              </w:rPr>
            </w:pPr>
          </w:p>
        </w:tc>
        <w:tc>
          <w:tcPr>
            <w:tcW w:w="900" w:type="dxa"/>
            <w:vAlign w:val="bottom"/>
            <w:shd w:val="clear" w:color="auto" w:fill="DCDDDE"/>
          </w:tcPr>
          <w:p>
            <w:pPr>
              <w:spacing w:after="0"/>
              <w:rPr>
                <w:sz w:val="16"/>
                <w:szCs w:val="16"/>
                <w:color w:val="auto"/>
              </w:rPr>
            </w:pPr>
          </w:p>
        </w:tc>
        <w:tc>
          <w:tcPr>
            <w:tcW w:w="980" w:type="dxa"/>
            <w:vAlign w:val="bottom"/>
            <w:shd w:val="clear" w:color="auto" w:fill="DCDDDE"/>
          </w:tcPr>
          <w:p>
            <w:pPr>
              <w:spacing w:after="0"/>
              <w:rPr>
                <w:sz w:val="16"/>
                <w:szCs w:val="16"/>
                <w:color w:val="auto"/>
              </w:rPr>
            </w:pPr>
          </w:p>
        </w:tc>
        <w:tc>
          <w:tcPr>
            <w:tcW w:w="860" w:type="dxa"/>
            <w:vAlign w:val="bottom"/>
            <w:shd w:val="clear" w:color="auto" w:fill="DCDDDE"/>
          </w:tcPr>
          <w:p>
            <w:pPr>
              <w:spacing w:after="0"/>
              <w:rPr>
                <w:sz w:val="16"/>
                <w:szCs w:val="16"/>
                <w:color w:val="auto"/>
              </w:rPr>
            </w:pPr>
          </w:p>
        </w:tc>
        <w:tc>
          <w:tcPr>
            <w:tcW w:w="80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b w:val="1"/>
                <w:bCs w:val="1"/>
                <w:color w:val="auto"/>
              </w:rPr>
              <w:t>Mesrobian</w:t>
            </w:r>
          </w:p>
        </w:tc>
        <w:tc>
          <w:tcPr>
            <w:tcW w:w="10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spacing w:after="0"/>
              <w:rPr>
                <w:sz w:val="16"/>
                <w:szCs w:val="16"/>
                <w:color w:val="auto"/>
              </w:rPr>
            </w:pPr>
          </w:p>
        </w:tc>
        <w:tc>
          <w:tcPr>
            <w:tcW w:w="880" w:type="dxa"/>
            <w:vAlign w:val="bottom"/>
            <w:tcBorders>
              <w:bottom w:val="single" w:sz="8" w:color="DCDDDE"/>
            </w:tcBorders>
            <w:shd w:val="clear" w:color="auto" w:fill="DCDDDE"/>
          </w:tcPr>
          <w:p>
            <w:pPr>
              <w:spacing w:after="0"/>
              <w:rPr>
                <w:sz w:val="16"/>
                <w:szCs w:val="16"/>
                <w:color w:val="auto"/>
              </w:rPr>
            </w:pPr>
          </w:p>
        </w:tc>
        <w:tc>
          <w:tcPr>
            <w:tcW w:w="740" w:type="dxa"/>
            <w:vAlign w:val="bottom"/>
            <w:tcBorders>
              <w:bottom w:val="single" w:sz="8" w:color="DCDDDE"/>
            </w:tcBorders>
            <w:shd w:val="clear" w:color="auto" w:fill="DCDDDE"/>
          </w:tcPr>
          <w:p>
            <w:pPr>
              <w:spacing w:after="0"/>
              <w:rPr>
                <w:sz w:val="16"/>
                <w:szCs w:val="16"/>
                <w:color w:val="auto"/>
              </w:rPr>
            </w:pPr>
          </w:p>
        </w:tc>
        <w:tc>
          <w:tcPr>
            <w:tcW w:w="740" w:type="dxa"/>
            <w:vAlign w:val="bottom"/>
            <w:tcBorders>
              <w:bottom w:val="single" w:sz="8" w:color="DCDDDE"/>
            </w:tcBorders>
            <w:shd w:val="clear" w:color="auto" w:fill="DCDDDE"/>
          </w:tcPr>
          <w:p>
            <w:pPr>
              <w:spacing w:after="0"/>
              <w:rPr>
                <w:sz w:val="16"/>
                <w:szCs w:val="16"/>
                <w:color w:val="auto"/>
              </w:rPr>
            </w:pPr>
          </w:p>
        </w:tc>
        <w:tc>
          <w:tcPr>
            <w:tcW w:w="80" w:type="dxa"/>
            <w:vAlign w:val="bottom"/>
            <w:tcBorders>
              <w:bottom w:val="single" w:sz="8" w:color="DCDDDE"/>
            </w:tcBorders>
            <w:shd w:val="clear" w:color="auto" w:fill="DCDDDE"/>
          </w:tcPr>
          <w:p>
            <w:pPr>
              <w:spacing w:after="0"/>
              <w:rPr>
                <w:sz w:val="16"/>
                <w:szCs w:val="16"/>
                <w:color w:val="auto"/>
              </w:rPr>
            </w:pPr>
          </w:p>
        </w:tc>
        <w:tc>
          <w:tcPr>
            <w:tcW w:w="780" w:type="dxa"/>
            <w:vAlign w:val="bottom"/>
            <w:tcBorders>
              <w:bottom w:val="single" w:sz="8" w:color="DCDDDE"/>
            </w:tcBorders>
            <w:shd w:val="clear" w:color="auto" w:fill="DCDDDE"/>
          </w:tcPr>
          <w:p>
            <w:pPr>
              <w:spacing w:after="0"/>
              <w:rPr>
                <w:sz w:val="16"/>
                <w:szCs w:val="16"/>
                <w:color w:val="auto"/>
              </w:rPr>
            </w:pPr>
          </w:p>
        </w:tc>
        <w:tc>
          <w:tcPr>
            <w:tcW w:w="580" w:type="dxa"/>
            <w:vAlign w:val="bottom"/>
            <w:tcBorders>
              <w:bottom w:val="single" w:sz="8" w:color="DCDDDE"/>
            </w:tcBorders>
            <w:shd w:val="clear" w:color="auto" w:fill="DCDDDE"/>
          </w:tcPr>
          <w:p>
            <w:pPr>
              <w:spacing w:after="0"/>
              <w:rPr>
                <w:sz w:val="16"/>
                <w:szCs w:val="16"/>
                <w:color w:val="auto"/>
              </w:rPr>
            </w:pPr>
          </w:p>
        </w:tc>
        <w:tc>
          <w:tcPr>
            <w:tcW w:w="760" w:type="dxa"/>
            <w:vAlign w:val="bottom"/>
            <w:tcBorders>
              <w:bottom w:val="single" w:sz="8" w:color="DCDDDE"/>
            </w:tcBorders>
            <w:shd w:val="clear" w:color="auto" w:fill="DCDDDE"/>
          </w:tcPr>
          <w:p>
            <w:pPr>
              <w:spacing w:after="0"/>
              <w:rPr>
                <w:sz w:val="16"/>
                <w:szCs w:val="16"/>
                <w:color w:val="auto"/>
              </w:rPr>
            </w:pPr>
          </w:p>
        </w:tc>
        <w:tc>
          <w:tcPr>
            <w:tcW w:w="900" w:type="dxa"/>
            <w:vAlign w:val="bottom"/>
            <w:tcBorders>
              <w:bottom w:val="single" w:sz="8" w:color="DCDDDE"/>
            </w:tcBorders>
            <w:shd w:val="clear" w:color="auto" w:fill="DCDDDE"/>
          </w:tcPr>
          <w:p>
            <w:pPr>
              <w:spacing w:after="0"/>
              <w:rPr>
                <w:sz w:val="16"/>
                <w:szCs w:val="16"/>
                <w:color w:val="auto"/>
              </w:rPr>
            </w:pPr>
          </w:p>
        </w:tc>
        <w:tc>
          <w:tcPr>
            <w:tcW w:w="980" w:type="dxa"/>
            <w:vAlign w:val="bottom"/>
            <w:tcBorders>
              <w:bottom w:val="single" w:sz="8" w:color="DCDDDE"/>
            </w:tcBorders>
            <w:shd w:val="clear" w:color="auto" w:fill="DCDDDE"/>
          </w:tcPr>
          <w:p>
            <w:pPr>
              <w:spacing w:after="0"/>
              <w:rPr>
                <w:sz w:val="16"/>
                <w:szCs w:val="16"/>
                <w:color w:val="auto"/>
              </w:rPr>
            </w:pPr>
          </w:p>
        </w:tc>
        <w:tc>
          <w:tcPr>
            <w:tcW w:w="86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60" w:type="dxa"/>
            <w:vAlign w:val="bottom"/>
          </w:tcPr>
          <w:p>
            <w:pPr>
              <w:ind w:left="60"/>
              <w:spacing w:after="0"/>
              <w:rPr>
                <w:sz w:val="20"/>
                <w:szCs w:val="20"/>
                <w:color w:val="auto"/>
              </w:rPr>
            </w:pPr>
            <w:r>
              <w:rPr>
                <w:rFonts w:ascii="Arial" w:cs="Arial" w:eastAsia="Arial" w:hAnsi="Arial"/>
                <w:sz w:val="13"/>
                <w:szCs w:val="13"/>
                <w:color w:val="auto"/>
              </w:rPr>
              <w:t>EMBP</w:t>
            </w: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160,000</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640,000</w:t>
            </w:r>
          </w:p>
        </w:tc>
        <w:tc>
          <w:tcPr>
            <w:tcW w:w="740" w:type="dxa"/>
            <w:vAlign w:val="bottom"/>
          </w:tcPr>
          <w:p>
            <w:pPr>
              <w:jc w:val="right"/>
              <w:spacing w:after="0"/>
              <w:rPr>
                <w:sz w:val="20"/>
                <w:szCs w:val="20"/>
                <w:color w:val="auto"/>
              </w:rPr>
            </w:pPr>
            <w:r>
              <w:rPr>
                <w:rFonts w:ascii="Arial" w:cs="Arial" w:eastAsia="Arial" w:hAnsi="Arial"/>
                <w:sz w:val="13"/>
                <w:szCs w:val="13"/>
                <w:color w:val="auto"/>
              </w:rPr>
              <w:t>1,600,000</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3"/>
                <w:szCs w:val="13"/>
                <w:color w:val="auto"/>
              </w:rPr>
              <w:t>PSU</w:t>
            </w:r>
          </w:p>
        </w:tc>
        <w:tc>
          <w:tcPr>
            <w:tcW w:w="1020" w:type="dxa"/>
            <w:vAlign w:val="bottom"/>
            <w:tcBorders>
              <w:bottom w:val="single" w:sz="8" w:color="DCDDDE"/>
            </w:tcBorders>
            <w:shd w:val="clear" w:color="auto" w:fill="DCDDDE"/>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74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23,912</w:t>
            </w:r>
          </w:p>
        </w:tc>
        <w:tc>
          <w:tcPr>
            <w:tcW w:w="580" w:type="dxa"/>
            <w:vAlign w:val="bottom"/>
            <w:tcBorders>
              <w:bottom w:val="single" w:sz="8" w:color="DCDDDE"/>
            </w:tcBorders>
            <w:shd w:val="clear" w:color="auto" w:fill="DCDDDE"/>
          </w:tcPr>
          <w:p>
            <w:pPr>
              <w:jc w:val="right"/>
              <w:ind w:right="36"/>
              <w:spacing w:after="0"/>
              <w:rPr>
                <w:sz w:val="20"/>
                <w:szCs w:val="20"/>
                <w:color w:val="auto"/>
              </w:rPr>
            </w:pPr>
            <w:r>
              <w:rPr>
                <w:rFonts w:ascii="Arial" w:cs="Arial" w:eastAsia="Arial" w:hAnsi="Arial"/>
                <w:sz w:val="13"/>
                <w:szCs w:val="13"/>
                <w:color w:val="auto"/>
              </w:rPr>
              <w:t>31,883</w:t>
            </w: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47,824</w:t>
            </w:r>
          </w:p>
        </w:tc>
        <w:tc>
          <w:tcPr>
            <w:tcW w:w="900" w:type="dxa"/>
            <w:vAlign w:val="bottom"/>
            <w:tcBorders>
              <w:bottom w:val="single" w:sz="8" w:color="DCDDDE"/>
            </w:tcBorders>
            <w:shd w:val="clear" w:color="auto" w:fill="DCDDDE"/>
          </w:tcPr>
          <w:p>
            <w:pPr>
              <w:spacing w:after="0"/>
              <w:rPr>
                <w:sz w:val="22"/>
                <w:szCs w:val="22"/>
                <w:color w:val="auto"/>
              </w:rPr>
            </w:pPr>
          </w:p>
        </w:tc>
        <w:tc>
          <w:tcPr>
            <w:tcW w:w="980" w:type="dxa"/>
            <w:vAlign w:val="bottom"/>
            <w:tcBorders>
              <w:bottom w:val="single" w:sz="8" w:color="DCDDDE"/>
            </w:tcBorders>
            <w:shd w:val="clear" w:color="auto" w:fill="DCDDDE"/>
          </w:tcPr>
          <w:p>
            <w:pPr>
              <w:spacing w:after="0"/>
              <w:rPr>
                <w:sz w:val="22"/>
                <w:szCs w:val="22"/>
                <w:color w:val="auto"/>
              </w:rPr>
            </w:pPr>
          </w:p>
        </w:tc>
        <w:tc>
          <w:tcPr>
            <w:tcW w:w="86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auto"/>
              </w:rPr>
              <w:t>719,982</w:t>
            </w:r>
          </w:p>
        </w:tc>
        <w:tc>
          <w:tcPr>
            <w:tcW w:w="0" w:type="dxa"/>
            <w:vAlign w:val="bottom"/>
          </w:tcPr>
          <w:p>
            <w:pPr>
              <w:spacing w:after="0"/>
              <w:rPr>
                <w:sz w:val="1"/>
                <w:szCs w:val="1"/>
                <w:color w:val="auto"/>
              </w:rPr>
            </w:pPr>
          </w:p>
        </w:tc>
      </w:tr>
      <w:tr>
        <w:trPr>
          <w:trHeight w:val="256"/>
        </w:trPr>
        <w:tc>
          <w:tcPr>
            <w:tcW w:w="960" w:type="dxa"/>
            <w:vAlign w:val="bottom"/>
          </w:tcPr>
          <w:p>
            <w:pPr>
              <w:ind w:left="60"/>
              <w:spacing w:after="0"/>
              <w:rPr>
                <w:sz w:val="20"/>
                <w:szCs w:val="20"/>
                <w:color w:val="auto"/>
              </w:rPr>
            </w:pPr>
            <w:r>
              <w:rPr>
                <w:rFonts w:ascii="Arial" w:cs="Arial" w:eastAsia="Arial" w:hAnsi="Arial"/>
                <w:sz w:val="13"/>
                <w:szCs w:val="13"/>
                <w:color w:val="auto"/>
              </w:rPr>
              <w:t>Stock Option</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3/3/2022</w:t>
            </w:r>
          </w:p>
        </w:tc>
        <w:tc>
          <w:tcPr>
            <w:tcW w:w="800" w:type="dxa"/>
            <w:vAlign w:val="bottom"/>
          </w:tcPr>
          <w:p>
            <w:pPr>
              <w:jc w:val="right"/>
              <w:spacing w:after="0"/>
              <w:rPr>
                <w:sz w:val="20"/>
                <w:szCs w:val="20"/>
                <w:color w:val="auto"/>
              </w:rPr>
            </w:pPr>
            <w:r>
              <w:rPr>
                <w:rFonts w:ascii="Arial" w:cs="Arial" w:eastAsia="Arial" w:hAnsi="Arial"/>
                <w:sz w:val="13"/>
                <w:szCs w:val="13"/>
                <w:color w:val="auto"/>
              </w:rPr>
              <w:t>2/22/2022</w:t>
            </w: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3"/>
                <w:szCs w:val="13"/>
                <w:color w:val="auto"/>
              </w:rPr>
              <w:t>46,335</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25.68</w:t>
            </w:r>
          </w:p>
        </w:tc>
        <w:tc>
          <w:tcPr>
            <w:tcW w:w="800" w:type="dxa"/>
            <w:vAlign w:val="bottom"/>
          </w:tcPr>
          <w:p>
            <w:pPr>
              <w:jc w:val="right"/>
              <w:spacing w:after="0"/>
              <w:rPr>
                <w:sz w:val="20"/>
                <w:szCs w:val="20"/>
                <w:color w:val="auto"/>
              </w:rPr>
            </w:pPr>
            <w:r>
              <w:rPr>
                <w:rFonts w:ascii="Arial" w:cs="Arial" w:eastAsia="Arial" w:hAnsi="Arial"/>
                <w:sz w:val="13"/>
                <w:szCs w:val="13"/>
                <w:color w:val="auto"/>
              </w:rPr>
              <w:t>479,998</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60" w:type="dxa"/>
            <w:vAlign w:val="bottom"/>
            <w:shd w:val="clear" w:color="auto" w:fill="DCDDDE"/>
          </w:tcPr>
          <w:p>
            <w:pPr>
              <w:ind w:left="60"/>
              <w:spacing w:after="0"/>
              <w:rPr>
                <w:sz w:val="20"/>
                <w:szCs w:val="20"/>
                <w:color w:val="auto"/>
              </w:rPr>
            </w:pPr>
            <w:r>
              <w:rPr>
                <w:rFonts w:ascii="Arial" w:cs="Arial" w:eastAsia="Arial" w:hAnsi="Arial"/>
                <w:sz w:val="13"/>
                <w:szCs w:val="13"/>
                <w:color w:val="auto"/>
              </w:rPr>
              <w:t>RSU</w:t>
            </w:r>
          </w:p>
        </w:tc>
        <w:tc>
          <w:tcPr>
            <w:tcW w:w="1020" w:type="dxa"/>
            <w:vAlign w:val="bottom"/>
            <w:shd w:val="clear" w:color="auto" w:fill="DCDDDE"/>
          </w:tcPr>
          <w:p>
            <w:pPr>
              <w:jc w:val="right"/>
              <w:ind w:right="56"/>
              <w:spacing w:after="0"/>
              <w:rPr>
                <w:sz w:val="20"/>
                <w:szCs w:val="20"/>
                <w:color w:val="auto"/>
              </w:rPr>
            </w:pPr>
            <w:r>
              <w:rPr>
                <w:rFonts w:ascii="Arial" w:cs="Arial" w:eastAsia="Arial" w:hAnsi="Arial"/>
                <w:sz w:val="13"/>
                <w:szCs w:val="13"/>
                <w:color w:val="auto"/>
              </w:rPr>
              <w:t>5/26/2022</w:t>
            </w: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color w:val="auto"/>
              </w:rPr>
              <w:t>5/17/2022</w:t>
            </w:r>
          </w:p>
        </w:tc>
        <w:tc>
          <w:tcPr>
            <w:tcW w:w="880" w:type="dxa"/>
            <w:vAlign w:val="bottom"/>
            <w:shd w:val="clear" w:color="auto" w:fill="DCDDDE"/>
          </w:tcPr>
          <w:p>
            <w:pPr>
              <w:spacing w:after="0"/>
              <w:rPr>
                <w:sz w:val="17"/>
                <w:szCs w:val="17"/>
                <w:color w:val="auto"/>
              </w:rPr>
            </w:pPr>
          </w:p>
        </w:tc>
        <w:tc>
          <w:tcPr>
            <w:tcW w:w="740" w:type="dxa"/>
            <w:vAlign w:val="bottom"/>
            <w:shd w:val="clear" w:color="auto" w:fill="DCDDDE"/>
          </w:tcPr>
          <w:p>
            <w:pPr>
              <w:spacing w:after="0"/>
              <w:rPr>
                <w:sz w:val="17"/>
                <w:szCs w:val="17"/>
                <w:color w:val="auto"/>
              </w:rPr>
            </w:pPr>
          </w:p>
        </w:tc>
        <w:tc>
          <w:tcPr>
            <w:tcW w:w="740" w:type="dxa"/>
            <w:vAlign w:val="bottom"/>
            <w:shd w:val="clear" w:color="auto" w:fill="DCDDDE"/>
          </w:tcPr>
          <w:p>
            <w:pPr>
              <w:spacing w:after="0"/>
              <w:rPr>
                <w:sz w:val="17"/>
                <w:szCs w:val="17"/>
                <w:color w:val="auto"/>
              </w:rPr>
            </w:pPr>
          </w:p>
        </w:tc>
        <w:tc>
          <w:tcPr>
            <w:tcW w:w="80" w:type="dxa"/>
            <w:vAlign w:val="bottom"/>
            <w:shd w:val="clear" w:color="auto" w:fill="DCDDDE"/>
          </w:tcPr>
          <w:p>
            <w:pPr>
              <w:spacing w:after="0"/>
              <w:rPr>
                <w:sz w:val="17"/>
                <w:szCs w:val="17"/>
                <w:color w:val="auto"/>
              </w:rPr>
            </w:pPr>
          </w:p>
        </w:tc>
        <w:tc>
          <w:tcPr>
            <w:tcW w:w="780" w:type="dxa"/>
            <w:vAlign w:val="bottom"/>
            <w:shd w:val="clear" w:color="auto" w:fill="DCDDDE"/>
          </w:tcPr>
          <w:p>
            <w:pPr>
              <w:spacing w:after="0"/>
              <w:rPr>
                <w:sz w:val="17"/>
                <w:szCs w:val="17"/>
                <w:color w:val="auto"/>
              </w:rPr>
            </w:pPr>
          </w:p>
        </w:tc>
        <w:tc>
          <w:tcPr>
            <w:tcW w:w="580" w:type="dxa"/>
            <w:vAlign w:val="bottom"/>
            <w:shd w:val="clear" w:color="auto" w:fill="DCDDDE"/>
          </w:tcPr>
          <w:p>
            <w:pPr>
              <w:spacing w:after="0"/>
              <w:rPr>
                <w:sz w:val="17"/>
                <w:szCs w:val="17"/>
                <w:color w:val="auto"/>
              </w:rPr>
            </w:pPr>
          </w:p>
        </w:tc>
        <w:tc>
          <w:tcPr>
            <w:tcW w:w="760" w:type="dxa"/>
            <w:vAlign w:val="bottom"/>
            <w:shd w:val="clear" w:color="auto" w:fill="DCDDDE"/>
          </w:tcPr>
          <w:p>
            <w:pPr>
              <w:spacing w:after="0"/>
              <w:rPr>
                <w:sz w:val="17"/>
                <w:szCs w:val="17"/>
                <w:color w:val="auto"/>
              </w:rPr>
            </w:pPr>
          </w:p>
        </w:tc>
        <w:tc>
          <w:tcPr>
            <w:tcW w:w="900" w:type="dxa"/>
            <w:vAlign w:val="bottom"/>
            <w:shd w:val="clear" w:color="auto" w:fill="DCDDDE"/>
          </w:tcPr>
          <w:p>
            <w:pPr>
              <w:jc w:val="right"/>
              <w:ind w:right="11"/>
              <w:spacing w:after="0"/>
              <w:rPr>
                <w:sz w:val="20"/>
                <w:szCs w:val="20"/>
                <w:color w:val="auto"/>
              </w:rPr>
            </w:pPr>
            <w:r>
              <w:rPr>
                <w:rFonts w:ascii="Arial" w:cs="Arial" w:eastAsia="Arial" w:hAnsi="Arial"/>
                <w:sz w:val="13"/>
                <w:szCs w:val="13"/>
                <w:color w:val="auto"/>
              </w:rPr>
              <w:t>38,375</w:t>
            </w:r>
          </w:p>
        </w:tc>
        <w:tc>
          <w:tcPr>
            <w:tcW w:w="980" w:type="dxa"/>
            <w:vAlign w:val="bottom"/>
            <w:shd w:val="clear" w:color="auto" w:fill="DCDDDE"/>
          </w:tcPr>
          <w:p>
            <w:pPr>
              <w:spacing w:after="0"/>
              <w:rPr>
                <w:sz w:val="17"/>
                <w:szCs w:val="17"/>
                <w:color w:val="auto"/>
              </w:rPr>
            </w:pPr>
          </w:p>
        </w:tc>
        <w:tc>
          <w:tcPr>
            <w:tcW w:w="860" w:type="dxa"/>
            <w:vAlign w:val="bottom"/>
            <w:shd w:val="clear" w:color="auto" w:fill="DCDDDE"/>
          </w:tcPr>
          <w:p>
            <w:pPr>
              <w:spacing w:after="0"/>
              <w:rPr>
                <w:sz w:val="17"/>
                <w:szCs w:val="17"/>
                <w:color w:val="auto"/>
              </w:rPr>
            </w:pP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color w:val="auto"/>
              </w:rPr>
              <w:t>849,983</w:t>
            </w:r>
          </w:p>
        </w:tc>
        <w:tc>
          <w:tcPr>
            <w:tcW w:w="0" w:type="dxa"/>
            <w:vAlign w:val="bottom"/>
          </w:tcPr>
          <w:p>
            <w:pPr>
              <w:spacing w:after="0"/>
              <w:rPr>
                <w:sz w:val="1"/>
                <w:szCs w:val="1"/>
                <w:color w:val="auto"/>
              </w:rPr>
            </w:pPr>
          </w:p>
        </w:tc>
      </w:tr>
      <w:tr>
        <w:trPr>
          <w:trHeight w:val="81"/>
        </w:trPr>
        <w:tc>
          <w:tcPr>
            <w:tcW w:w="960" w:type="dxa"/>
            <w:vAlign w:val="bottom"/>
            <w:tcBorders>
              <w:bottom w:val="single" w:sz="8" w:color="auto"/>
            </w:tcBorders>
            <w:shd w:val="clear" w:color="auto" w:fill="DCDDDE"/>
          </w:tcPr>
          <w:p>
            <w:pPr>
              <w:spacing w:after="0"/>
              <w:rPr>
                <w:sz w:val="7"/>
                <w:szCs w:val="7"/>
                <w:color w:val="auto"/>
              </w:rPr>
            </w:pPr>
          </w:p>
        </w:tc>
        <w:tc>
          <w:tcPr>
            <w:tcW w:w="1020" w:type="dxa"/>
            <w:vAlign w:val="bottom"/>
            <w:tcBorders>
              <w:bottom w:val="single" w:sz="8" w:color="auto"/>
            </w:tcBorders>
            <w:shd w:val="clear" w:color="auto" w:fill="DCDDDE"/>
          </w:tcPr>
          <w:p>
            <w:pPr>
              <w:spacing w:after="0"/>
              <w:rPr>
                <w:sz w:val="7"/>
                <w:szCs w:val="7"/>
                <w:color w:val="auto"/>
              </w:rPr>
            </w:pPr>
          </w:p>
        </w:tc>
        <w:tc>
          <w:tcPr>
            <w:tcW w:w="800" w:type="dxa"/>
            <w:vAlign w:val="bottom"/>
            <w:tcBorders>
              <w:bottom w:val="single" w:sz="8" w:color="auto"/>
            </w:tcBorders>
            <w:shd w:val="clear" w:color="auto" w:fill="DCDDDE"/>
          </w:tcPr>
          <w:p>
            <w:pPr>
              <w:spacing w:after="0"/>
              <w:rPr>
                <w:sz w:val="7"/>
                <w:szCs w:val="7"/>
                <w:color w:val="auto"/>
              </w:rPr>
            </w:pPr>
          </w:p>
        </w:tc>
        <w:tc>
          <w:tcPr>
            <w:tcW w:w="880" w:type="dxa"/>
            <w:vAlign w:val="bottom"/>
            <w:tcBorders>
              <w:bottom w:val="single" w:sz="8" w:color="auto"/>
            </w:tcBorders>
            <w:shd w:val="clear" w:color="auto" w:fill="DCDDDE"/>
          </w:tcPr>
          <w:p>
            <w:pPr>
              <w:spacing w:after="0"/>
              <w:rPr>
                <w:sz w:val="7"/>
                <w:szCs w:val="7"/>
                <w:color w:val="auto"/>
              </w:rPr>
            </w:pPr>
          </w:p>
        </w:tc>
        <w:tc>
          <w:tcPr>
            <w:tcW w:w="740" w:type="dxa"/>
            <w:vAlign w:val="bottom"/>
            <w:tcBorders>
              <w:bottom w:val="single" w:sz="8" w:color="auto"/>
            </w:tcBorders>
            <w:shd w:val="clear" w:color="auto" w:fill="DCDDDE"/>
          </w:tcPr>
          <w:p>
            <w:pPr>
              <w:spacing w:after="0"/>
              <w:rPr>
                <w:sz w:val="7"/>
                <w:szCs w:val="7"/>
                <w:color w:val="auto"/>
              </w:rPr>
            </w:pPr>
          </w:p>
        </w:tc>
        <w:tc>
          <w:tcPr>
            <w:tcW w:w="740" w:type="dxa"/>
            <w:vAlign w:val="bottom"/>
            <w:tcBorders>
              <w:bottom w:val="single" w:sz="8" w:color="auto"/>
            </w:tcBorders>
            <w:shd w:val="clear" w:color="auto" w:fill="DCDDDE"/>
          </w:tcPr>
          <w:p>
            <w:pPr>
              <w:spacing w:after="0"/>
              <w:rPr>
                <w:sz w:val="7"/>
                <w:szCs w:val="7"/>
                <w:color w:val="auto"/>
              </w:rPr>
            </w:pPr>
          </w:p>
        </w:tc>
        <w:tc>
          <w:tcPr>
            <w:tcW w:w="80" w:type="dxa"/>
            <w:vAlign w:val="bottom"/>
            <w:tcBorders>
              <w:bottom w:val="single" w:sz="8" w:color="auto"/>
            </w:tcBorders>
            <w:shd w:val="clear" w:color="auto" w:fill="DCDDDE"/>
          </w:tcPr>
          <w:p>
            <w:pPr>
              <w:spacing w:after="0"/>
              <w:rPr>
                <w:sz w:val="7"/>
                <w:szCs w:val="7"/>
                <w:color w:val="auto"/>
              </w:rPr>
            </w:pPr>
          </w:p>
        </w:tc>
        <w:tc>
          <w:tcPr>
            <w:tcW w:w="780" w:type="dxa"/>
            <w:vAlign w:val="bottom"/>
            <w:tcBorders>
              <w:bottom w:val="single" w:sz="8" w:color="auto"/>
            </w:tcBorders>
            <w:shd w:val="clear" w:color="auto" w:fill="DCDDDE"/>
          </w:tcPr>
          <w:p>
            <w:pPr>
              <w:spacing w:after="0"/>
              <w:rPr>
                <w:sz w:val="7"/>
                <w:szCs w:val="7"/>
                <w:color w:val="auto"/>
              </w:rPr>
            </w:pPr>
          </w:p>
        </w:tc>
        <w:tc>
          <w:tcPr>
            <w:tcW w:w="580" w:type="dxa"/>
            <w:vAlign w:val="bottom"/>
            <w:tcBorders>
              <w:bottom w:val="single" w:sz="8" w:color="auto"/>
            </w:tcBorders>
            <w:shd w:val="clear" w:color="auto" w:fill="DCDDDE"/>
          </w:tcPr>
          <w:p>
            <w:pPr>
              <w:spacing w:after="0"/>
              <w:rPr>
                <w:sz w:val="7"/>
                <w:szCs w:val="7"/>
                <w:color w:val="auto"/>
              </w:rPr>
            </w:pPr>
          </w:p>
        </w:tc>
        <w:tc>
          <w:tcPr>
            <w:tcW w:w="760" w:type="dxa"/>
            <w:vAlign w:val="bottom"/>
            <w:tcBorders>
              <w:bottom w:val="single" w:sz="8" w:color="auto"/>
            </w:tcBorders>
            <w:shd w:val="clear" w:color="auto" w:fill="DCDDDE"/>
          </w:tcPr>
          <w:p>
            <w:pPr>
              <w:spacing w:after="0"/>
              <w:rPr>
                <w:sz w:val="7"/>
                <w:szCs w:val="7"/>
                <w:color w:val="auto"/>
              </w:rPr>
            </w:pPr>
          </w:p>
        </w:tc>
        <w:tc>
          <w:tcPr>
            <w:tcW w:w="900" w:type="dxa"/>
            <w:vAlign w:val="bottom"/>
            <w:tcBorders>
              <w:bottom w:val="single" w:sz="8" w:color="auto"/>
            </w:tcBorders>
            <w:shd w:val="clear" w:color="auto" w:fill="DCDDDE"/>
          </w:tcPr>
          <w:p>
            <w:pPr>
              <w:spacing w:after="0"/>
              <w:rPr>
                <w:sz w:val="7"/>
                <w:szCs w:val="7"/>
                <w:color w:val="auto"/>
              </w:rPr>
            </w:pPr>
          </w:p>
        </w:tc>
        <w:tc>
          <w:tcPr>
            <w:tcW w:w="980" w:type="dxa"/>
            <w:vAlign w:val="bottom"/>
            <w:tcBorders>
              <w:bottom w:val="single" w:sz="8" w:color="auto"/>
            </w:tcBorders>
            <w:shd w:val="clear" w:color="auto" w:fill="DCDDDE"/>
          </w:tcPr>
          <w:p>
            <w:pPr>
              <w:spacing w:after="0"/>
              <w:rPr>
                <w:sz w:val="7"/>
                <w:szCs w:val="7"/>
                <w:color w:val="auto"/>
              </w:rPr>
            </w:pPr>
          </w:p>
        </w:tc>
        <w:tc>
          <w:tcPr>
            <w:tcW w:w="860" w:type="dxa"/>
            <w:vAlign w:val="bottom"/>
            <w:tcBorders>
              <w:bottom w:val="single" w:sz="8" w:color="auto"/>
            </w:tcBorders>
            <w:shd w:val="clear" w:color="auto" w:fill="DCDDDE"/>
          </w:tcPr>
          <w:p>
            <w:pPr>
              <w:spacing w:after="0"/>
              <w:rPr>
                <w:sz w:val="7"/>
                <w:szCs w:val="7"/>
                <w:color w:val="auto"/>
              </w:rPr>
            </w:pPr>
          </w:p>
        </w:tc>
        <w:tc>
          <w:tcPr>
            <w:tcW w:w="800" w:type="dxa"/>
            <w:vAlign w:val="bottom"/>
            <w:tcBorders>
              <w:bottom w:val="single" w:sz="8" w:color="auto"/>
            </w:tcBorders>
            <w:shd w:val="clear" w:color="auto" w:fill="DCDDDE"/>
          </w:tcPr>
          <w:p>
            <w:pPr>
              <w:spacing w:after="0"/>
              <w:rPr>
                <w:sz w:val="7"/>
                <w:szCs w:val="7"/>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Grant Date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grant date is the first business day of the open trading window that falls on or after the CPCC approval of the grant.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Estimated Future Payouts Under Non-Equity Incentive Plan Awards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Although the column heading refers to future payouts, fiscal year 2022 performance-based bonuses resulted in no payout for all the NEOs in March 2023, as reported in the Summary Compensation Table on page </w:t>
      </w:r>
      <w:r>
        <w:rPr>
          <w:rFonts w:ascii="Arial" w:cs="Arial" w:eastAsia="Arial" w:hAnsi="Arial"/>
          <w:sz w:val="16"/>
          <w:szCs w:val="16"/>
          <w:u w:val="single" w:color="auto"/>
          <w:color w:val="0000EE"/>
        </w:rPr>
        <w:t>48</w:t>
      </w:r>
      <w:r>
        <w:rPr>
          <w:rFonts w:ascii="Arial" w:cs="Arial" w:eastAsia="Arial" w:hAnsi="Arial"/>
          <w:sz w:val="16"/>
          <w:szCs w:val="16"/>
          <w:color w:val="auto"/>
        </w:rPr>
        <w:t xml:space="preserve"> in column (e) “Non-Equity Incentive Plan Compensation.” For there to be any payout, minimum performance milestones or achievement must be met and NEOs must be an active employee on the last day of the fiscal year, with the exception of retirement, death and disability in which case a prorated amount may be earned. The amounts shown in the “Threshold”, “Target” and “Maximum” columns reflect the payout opportunity associated with established levels of performance or achievement, based on pay and bonus targets as of March 27, 2022, as discussed on page </w:t>
      </w:r>
      <w:r>
        <w:rPr>
          <w:rFonts w:ascii="Arial" w:cs="Arial" w:eastAsia="Arial" w:hAnsi="Arial"/>
          <w:sz w:val="16"/>
          <w:szCs w:val="16"/>
          <w:u w:val="single" w:color="auto"/>
          <w:color w:val="0000EE"/>
        </w:rPr>
        <w:t>42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330200</wp:posOffset>
            </wp:positionV>
            <wp:extent cx="1020445" cy="1289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 Estimated Future Payouts Under Equity Incentive Plan Awards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numbers shown report the range of potential payouts at the end of the three-year performance cycle for the PSU grants made in fiscal year 2022 to Erik Nordstrom, Peter Nordstrom, Kenneth Worzel, Alexis DePree, Anne Bramman and Edmond Mesrobian under the 2019 EIP. Payouts are shown in units of 75%, 100% and 150% of the number of PSUs granted. The PSU grants to Anne Bramman and Edmond Mesrobian were forfeited upon their separation on December 2, 2022 and October 14, 2022,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(d) All Other Stock Awards: Number of Shares of Stock or Units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numbers shown report the number of RSUs granted to Michael Maher, Alexis DePree and Edmond Mesrobian in fiscal year 2022 under the 2019 EIP. The RSUs granted on March 3, 2022 to Michael Maher vest equally over four years, beginning on March 10, 2023. The RSUs granted to Michael Maher, Alexis DePree and Edmond Mesrobian on May 26, 2022 vest 50% on June 10, 2024 and 50% on June 10, 2025. The RSUs granted to Edmond Mesrobian were forfeited upon his separation on October 14,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(e) All Other Option Awards: Number of Securities Underlying Options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numbers shown report the number of stock options granted to the NEOs in fiscal year 2022 under the 2019 EIP. Stock options were granted on March 3, 2022 and become exercisable on March 10, 2025 and March 10, 2026. The stock option grants to Anne Bramman and Edmond Mesrobian were forfeited upon their separations on December 2, 2022 and October 14, 2022,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(f) Exercise or Base Price of Option Awards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of the stock options granted on March 3, 2022 of $25.68 was the closing price of Common Stock on the grant date.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(g) Grant Date Fair Value of Stock and Option Awards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grant date fair value of PSUs, RSUs and stock options was calculated in accordance with ASC 718.</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reported value for PSUs granted to Erik Nordstrom, Peter Nordstrom, Kenneth Worzel, Alexis DePree, Anne Bramman and Edmond Mesrobian was calculated by multiplying the number of PSUs granted by the fair value of a PSU on the date of grant, which was $22.58 on March 3, 2022. This is not the value received. The actual value they may receive will depend on performance requirements at the end of the three-year performance cycle and the market price of Common Stock at vest. The PSU grants to Anne Bramman and Edmond Mesrobian were forfeited upon their separations on December 2, 2022 and October 14, 2022, respectively.</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reported value for RSUs was calculated by multiplying the number of RSUs awarded by the fair value of an RSU on the date of grant. The fair value of the RSU grant on March 3, 2022 to Michael Maher was $23.18. The fair value of the RSU grants on May 26, 2022 to Michael Maher, Alexis DePree and Edmond Mesrobian was $22.15. The actual value they may receive will depend on whether the time-based vesting requirement is met and the market price of Common Stock at the time of any vesting. The RSUs granted to Edmond Mesrobian were forfeited upon his separation on October 14, 2022.</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reported value of stock options was calculated by multiplying the number of options awarded by the fair value of an option on the date of grant. The fair value for the stock option grants on March 3, 2022 was $10.36. The actual value the NEOs may receive will be the number of options exercised multiplied by the difference between the stock price at the future exercise date and the grant price. The grant price on March 3, 2022 was $25.68. The stock option grants to Anne Bramman and Edmond Mesrobian were forfeited upon their separations on December 2, 2022 and October 14,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328930</wp:posOffset>
            </wp:positionV>
            <wp:extent cx="1019810" cy="1289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Outstanding Equity Awards at Fiscal Year End 2022</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The following table provides information on the current holdings of stock options and stock awards by NEOs as of the fiscal year ended January 28, 2023. The table includes vested but unexercised stock options, unvested stock options, unvested RSUs and unvested PSUs. The vesting schedules for outstanding stock options and RSUs are provided on page </w:t>
      </w:r>
      <w:r>
        <w:rPr>
          <w:rFonts w:ascii="Arial" w:cs="Arial" w:eastAsia="Arial" w:hAnsi="Arial"/>
          <w:sz w:val="16"/>
          <w:szCs w:val="16"/>
          <w:u w:val="single" w:color="auto"/>
          <w:color w:val="0000EE"/>
        </w:rPr>
        <w:t>55</w:t>
      </w:r>
      <w:r>
        <w:rPr>
          <w:rFonts w:ascii="Arial" w:cs="Arial" w:eastAsia="Arial" w:hAnsi="Arial"/>
          <w:sz w:val="16"/>
          <w:szCs w:val="16"/>
          <w:color w:val="auto"/>
        </w:rPr>
        <w:t xml:space="preserve">, respectively. Information about the amount of Common Stock beneficially owned by the NEOs is provided in the Beneficial Ownership Table on page </w:t>
      </w:r>
      <w:r>
        <w:rPr>
          <w:rFonts w:ascii="Arial" w:cs="Arial" w:eastAsia="Arial" w:hAnsi="Arial"/>
          <w:sz w:val="16"/>
          <w:szCs w:val="16"/>
          <w:u w:val="single" w:color="auto"/>
          <w:color w:val="0000EE"/>
        </w:rPr>
        <w:t>84</w:t>
      </w:r>
      <w:r>
        <w:rPr>
          <w:rFonts w:ascii="Arial" w:cs="Arial" w:eastAsia="Arial" w:hAnsi="Arial"/>
          <w:sz w:val="16"/>
          <w:szCs w:val="16"/>
          <w:color w:val="auto"/>
        </w:rPr>
        <w:t>. Anne Bramman and Edmond Mesrobian forfeited all unvested equity upon their separation on December 2, 2022 and on October 14, 2022,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Option Awards</w:t>
            </w: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Stock Awards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Equity</w:t>
            </w:r>
          </w:p>
        </w:tc>
        <w:tc>
          <w:tcPr>
            <w:tcW w:w="122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Incentive</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Incentive</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Plan</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Plan</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Incentive</w:t>
            </w: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Awards:</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restart"/>
          </w:tcPr>
          <w:p>
            <w:pPr>
              <w:jc w:val="center"/>
              <w:ind w:right="139"/>
              <w:spacing w:after="0"/>
              <w:rPr>
                <w:sz w:val="20"/>
                <w:szCs w:val="20"/>
                <w:color w:val="auto"/>
              </w:rPr>
            </w:pPr>
            <w:r>
              <w:rPr>
                <w:rFonts w:ascii="Arial" w:cs="Arial" w:eastAsia="Arial" w:hAnsi="Arial"/>
                <w:sz w:val="16"/>
                <w:szCs w:val="16"/>
                <w:b w:val="1"/>
                <w:bCs w:val="1"/>
                <w:color w:val="auto"/>
              </w:rPr>
              <w:t>Number of</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Plan</w:t>
            </w: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w:t>
            </w:r>
          </w:p>
        </w:tc>
        <w:tc>
          <w:tcPr>
            <w:tcW w:w="1000" w:type="dxa"/>
            <w:vAlign w:val="bottom"/>
          </w:tcPr>
          <w:p>
            <w:pPr>
              <w:spacing w:after="0"/>
              <w:rPr>
                <w:sz w:val="16"/>
                <w:szCs w:val="16"/>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Number of</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Market or</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Awards:</w:t>
            </w: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of</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Market</w:t>
            </w: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Unearned</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Payout</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restart"/>
          </w:tcPr>
          <w:p>
            <w:pPr>
              <w:jc w:val="center"/>
              <w:ind w:right="179"/>
              <w:spacing w:after="0"/>
              <w:rPr>
                <w:sz w:val="20"/>
                <w:szCs w:val="20"/>
                <w:color w:val="auto"/>
              </w:rPr>
            </w:pPr>
            <w:r>
              <w:rPr>
                <w:rFonts w:ascii="Arial" w:cs="Arial" w:eastAsia="Arial" w:hAnsi="Arial"/>
                <w:sz w:val="16"/>
                <w:szCs w:val="16"/>
                <w:b w:val="1"/>
                <w:bCs w:val="1"/>
                <w:color w:val="auto"/>
              </w:rPr>
              <w:t>Securities</w:t>
            </w: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Value of</w:t>
            </w: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Value of</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restart"/>
          </w:tcPr>
          <w:p>
            <w:pPr>
              <w:jc w:val="center"/>
              <w:ind w:right="179"/>
              <w:spacing w:after="0"/>
              <w:rPr>
                <w:sz w:val="20"/>
                <w:szCs w:val="20"/>
                <w:color w:val="auto"/>
              </w:rPr>
            </w:pPr>
            <w:r>
              <w:rPr>
                <w:rFonts w:ascii="Arial" w:cs="Arial" w:eastAsia="Arial" w:hAnsi="Arial"/>
                <w:sz w:val="16"/>
                <w:szCs w:val="16"/>
                <w:b w:val="1"/>
                <w:bCs w:val="1"/>
                <w:color w:val="auto"/>
              </w:rPr>
              <w:t>Underlying</w:t>
            </w: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Securities</w:t>
            </w: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or Units</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Shares or</w:t>
            </w: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Units or</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Unearned</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restart"/>
          </w:tcPr>
          <w:p>
            <w:pPr>
              <w:jc w:val="center"/>
              <w:ind w:right="199"/>
              <w:spacing w:after="0"/>
              <w:rPr>
                <w:sz w:val="20"/>
                <w:szCs w:val="20"/>
                <w:color w:val="auto"/>
              </w:rPr>
            </w:pPr>
            <w:r>
              <w:rPr>
                <w:rFonts w:ascii="Arial" w:cs="Arial" w:eastAsia="Arial" w:hAnsi="Arial"/>
                <w:sz w:val="16"/>
                <w:szCs w:val="16"/>
                <w:b w:val="1"/>
                <w:bCs w:val="1"/>
                <w:color w:val="auto"/>
              </w:rPr>
              <w:t>Unexercised</w:t>
            </w: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Underlying</w:t>
            </w: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of Stock</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Units of</w:t>
            </w: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Other</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restart"/>
          </w:tcPr>
          <w:p>
            <w:pPr>
              <w:jc w:val="center"/>
              <w:ind w:right="179"/>
              <w:spacing w:after="0"/>
              <w:rPr>
                <w:sz w:val="20"/>
                <w:szCs w:val="20"/>
                <w:color w:val="auto"/>
              </w:rPr>
            </w:pPr>
            <w:r>
              <w:rPr>
                <w:rFonts w:ascii="Arial" w:cs="Arial" w:eastAsia="Arial" w:hAnsi="Arial"/>
                <w:sz w:val="16"/>
                <w:szCs w:val="16"/>
                <w:b w:val="1"/>
                <w:bCs w:val="1"/>
                <w:color w:val="auto"/>
              </w:rPr>
              <w:t>Options</w:t>
            </w: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Unexer-</w:t>
            </w: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That</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Stock</w:t>
            </w: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Rights</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Units or</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center"/>
              <w:ind w:left="479"/>
              <w:spacing w:after="0"/>
              <w:rPr>
                <w:sz w:val="20"/>
                <w:szCs w:val="20"/>
                <w:color w:val="auto"/>
              </w:rPr>
            </w:pPr>
            <w:r>
              <w:rPr>
                <w:rFonts w:ascii="Arial" w:cs="Arial" w:eastAsia="Arial" w:hAnsi="Arial"/>
                <w:sz w:val="16"/>
                <w:szCs w:val="16"/>
                <w:b w:val="1"/>
                <w:bCs w:val="1"/>
                <w:color w:val="auto"/>
                <w:w w:val="91"/>
              </w:rPr>
              <w:t>(#)</w:t>
            </w:r>
          </w:p>
        </w:tc>
        <w:tc>
          <w:tcPr>
            <w:tcW w:w="7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vMerge w:val="restart"/>
          </w:tcPr>
          <w:p>
            <w:pPr>
              <w:jc w:val="right"/>
              <w:ind w:right="59"/>
              <w:spacing w:after="0" w:line="143" w:lineRule="exact"/>
              <w:rPr>
                <w:sz w:val="20"/>
                <w:szCs w:val="20"/>
                <w:color w:val="auto"/>
              </w:rPr>
            </w:pPr>
            <w:r>
              <w:rPr>
                <w:rFonts w:ascii="Arial" w:cs="Arial" w:eastAsia="Arial" w:hAnsi="Arial"/>
                <w:sz w:val="16"/>
                <w:szCs w:val="16"/>
                <w:b w:val="1"/>
                <w:bCs w:val="1"/>
                <w:color w:val="auto"/>
              </w:rPr>
              <w:t>cised</w:t>
            </w:r>
          </w:p>
        </w:tc>
        <w:tc>
          <w:tcPr>
            <w:tcW w:w="880" w:type="dxa"/>
            <w:vAlign w:val="bottom"/>
            <w:vMerge w:val="restart"/>
          </w:tcPr>
          <w:p>
            <w:pPr>
              <w:jc w:val="right"/>
              <w:ind w:right="59"/>
              <w:spacing w:after="0" w:line="143" w:lineRule="exact"/>
              <w:rPr>
                <w:sz w:val="20"/>
                <w:szCs w:val="20"/>
                <w:color w:val="auto"/>
              </w:rPr>
            </w:pPr>
            <w:r>
              <w:rPr>
                <w:rFonts w:ascii="Arial" w:cs="Arial" w:eastAsia="Arial" w:hAnsi="Arial"/>
                <w:sz w:val="16"/>
                <w:szCs w:val="16"/>
                <w:b w:val="1"/>
                <w:bCs w:val="1"/>
                <w:color w:val="auto"/>
              </w:rPr>
              <w:t>Option</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59"/>
              <w:spacing w:after="0" w:line="143" w:lineRule="exact"/>
              <w:rPr>
                <w:sz w:val="20"/>
                <w:szCs w:val="20"/>
                <w:color w:val="auto"/>
              </w:rPr>
            </w:pPr>
            <w:r>
              <w:rPr>
                <w:rFonts w:ascii="Arial" w:cs="Arial" w:eastAsia="Arial" w:hAnsi="Arial"/>
                <w:sz w:val="16"/>
                <w:szCs w:val="16"/>
                <w:b w:val="1"/>
                <w:bCs w:val="1"/>
                <w:color w:val="auto"/>
              </w:rPr>
              <w:t>Have</w:t>
            </w:r>
          </w:p>
        </w:tc>
        <w:tc>
          <w:tcPr>
            <w:tcW w:w="1000" w:type="dxa"/>
            <w:vAlign w:val="bottom"/>
            <w:vMerge w:val="restart"/>
          </w:tcPr>
          <w:p>
            <w:pPr>
              <w:jc w:val="right"/>
              <w:ind w:right="59"/>
              <w:spacing w:after="0" w:line="143" w:lineRule="exact"/>
              <w:rPr>
                <w:sz w:val="20"/>
                <w:szCs w:val="20"/>
                <w:color w:val="auto"/>
              </w:rPr>
            </w:pPr>
            <w:r>
              <w:rPr>
                <w:rFonts w:ascii="Arial" w:cs="Arial" w:eastAsia="Arial" w:hAnsi="Arial"/>
                <w:sz w:val="16"/>
                <w:szCs w:val="16"/>
                <w:b w:val="1"/>
                <w:bCs w:val="1"/>
                <w:color w:val="auto"/>
              </w:rPr>
              <w:t>That Have</w:t>
            </w:r>
          </w:p>
        </w:tc>
        <w:tc>
          <w:tcPr>
            <w:tcW w:w="1100" w:type="dxa"/>
            <w:vAlign w:val="bottom"/>
            <w:vMerge w:val="restart"/>
          </w:tcPr>
          <w:p>
            <w:pPr>
              <w:jc w:val="right"/>
              <w:ind w:right="119"/>
              <w:spacing w:after="0" w:line="143" w:lineRule="exact"/>
              <w:rPr>
                <w:sz w:val="20"/>
                <w:szCs w:val="20"/>
                <w:color w:val="auto"/>
              </w:rPr>
            </w:pPr>
            <w:r>
              <w:rPr>
                <w:rFonts w:ascii="Arial" w:cs="Arial" w:eastAsia="Arial" w:hAnsi="Arial"/>
                <w:sz w:val="16"/>
                <w:szCs w:val="16"/>
                <w:b w:val="1"/>
                <w:bCs w:val="1"/>
                <w:color w:val="auto"/>
              </w:rPr>
              <w:t>That Have</w:t>
            </w:r>
          </w:p>
        </w:tc>
        <w:tc>
          <w:tcPr>
            <w:tcW w:w="1220" w:type="dxa"/>
            <w:vAlign w:val="bottom"/>
            <w:vMerge w:val="restart"/>
          </w:tcPr>
          <w:p>
            <w:pPr>
              <w:jc w:val="right"/>
              <w:ind w:right="19"/>
              <w:spacing w:after="0" w:line="143" w:lineRule="exact"/>
              <w:rPr>
                <w:sz w:val="20"/>
                <w:szCs w:val="20"/>
                <w:color w:val="auto"/>
              </w:rPr>
            </w:pPr>
            <w:r>
              <w:rPr>
                <w:rFonts w:ascii="Arial" w:cs="Arial" w:eastAsia="Arial" w:hAnsi="Arial"/>
                <w:sz w:val="16"/>
                <w:szCs w:val="16"/>
                <w:b w:val="1"/>
                <w:bCs w:val="1"/>
                <w:color w:val="auto"/>
              </w:rPr>
              <w:t>Other Rights</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Unexer-</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Unearned</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Exercise</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Option</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Not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Not</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Not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That Have</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2"/>
          </w:tcPr>
          <w:p>
            <w:pPr>
              <w:ind w:left="400"/>
              <w:spacing w:after="0"/>
              <w:rPr>
                <w:sz w:val="20"/>
                <w:szCs w:val="20"/>
                <w:color w:val="auto"/>
              </w:rPr>
            </w:pPr>
            <w:r>
              <w:rPr>
                <w:rFonts w:ascii="Arial" w:cs="Arial" w:eastAsia="Arial" w:hAnsi="Arial"/>
                <w:sz w:val="16"/>
                <w:szCs w:val="16"/>
                <w:b w:val="1"/>
                <w:bCs w:val="1"/>
                <w:color w:val="auto"/>
              </w:rPr>
              <w:t>Grant</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Exer-</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cisable</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Options</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Price</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Expiration</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Vested</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Vested</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Vested</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Not Vested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520" w:type="dxa"/>
            <w:vAlign w:val="bottom"/>
          </w:tcPr>
          <w:p>
            <w:pPr>
              <w:spacing w:after="0"/>
              <w:rPr>
                <w:sz w:val="19"/>
                <w:szCs w:val="19"/>
                <w:color w:val="auto"/>
              </w:rPr>
            </w:pPr>
          </w:p>
        </w:tc>
        <w:tc>
          <w:tcPr>
            <w:tcW w:w="1100" w:type="dxa"/>
            <w:vAlign w:val="bottom"/>
            <w:gridSpan w:val="2"/>
          </w:tcPr>
          <w:p>
            <w:pPr>
              <w:ind w:left="520"/>
              <w:spacing w:after="0"/>
              <w:rPr>
                <w:sz w:val="20"/>
                <w:szCs w:val="20"/>
                <w:color w:val="auto"/>
              </w:rPr>
            </w:pPr>
            <w:r>
              <w:rPr>
                <w:rFonts w:ascii="Arial" w:cs="Arial" w:eastAsia="Arial" w:hAnsi="Arial"/>
                <w:sz w:val="16"/>
                <w:szCs w:val="16"/>
                <w:b w:val="1"/>
                <w:bCs w:val="1"/>
                <w:color w:val="auto"/>
              </w:rPr>
              <w:t>Date</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cisable</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(a)</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580"/>
              <w:spacing w:after="0"/>
              <w:rPr>
                <w:sz w:val="20"/>
                <w:szCs w:val="20"/>
                <w:color w:val="auto"/>
              </w:rPr>
            </w:pPr>
            <w:r>
              <w:rPr>
                <w:rFonts w:ascii="Arial" w:cs="Arial" w:eastAsia="Arial" w:hAnsi="Arial"/>
                <w:sz w:val="16"/>
                <w:szCs w:val="16"/>
                <w:b w:val="1"/>
                <w:bCs w:val="1"/>
                <w:color w:val="auto"/>
              </w:rPr>
              <w:t>Date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(#)(b)</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(#)(c)</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($)(d)</w:t>
            </w:r>
          </w:p>
        </w:tc>
        <w:tc>
          <w:tcPr>
            <w:tcW w:w="0" w:type="dxa"/>
            <w:vAlign w:val="bottom"/>
          </w:tcPr>
          <w:p>
            <w:pPr>
              <w:spacing w:after="0"/>
              <w:rPr>
                <w:sz w:val="1"/>
                <w:szCs w:val="1"/>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0"/>
                <w:szCs w:val="20"/>
                <w:color w:val="auto"/>
              </w:rPr>
            </w:pPr>
            <w:r>
              <w:rPr>
                <w:rFonts w:ascii="Arial" w:cs="Arial" w:eastAsia="Arial" w:hAnsi="Arial"/>
                <w:sz w:val="16"/>
                <w:szCs w:val="16"/>
                <w:color w:val="auto"/>
              </w:rPr>
              <w:t>Erik B.</w:t>
            </w: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3/4/2013</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99,563</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50.26</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3/4/2023</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1100" w:type="dxa"/>
            <w:vAlign w:val="bottom"/>
            <w:gridSpan w:val="2"/>
          </w:tcPr>
          <w:p>
            <w:pPr>
              <w:spacing w:after="0"/>
              <w:rPr>
                <w:sz w:val="20"/>
                <w:szCs w:val="20"/>
                <w:color w:val="auto"/>
              </w:rPr>
            </w:pPr>
            <w:r>
              <w:rPr>
                <w:rFonts w:ascii="Arial" w:cs="Arial" w:eastAsia="Arial" w:hAnsi="Arial"/>
                <w:sz w:val="16"/>
                <w:szCs w:val="16"/>
                <w:color w:val="auto"/>
              </w:rPr>
              <w:t>Nordstrom</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3/3/2014</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60,747</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57.16</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3/3/2024</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2/24/2015</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45,996</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75.23</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2/24/2025</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2/29/2016</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82,141</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51.32</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2/28/2026</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6/7/2016</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10,838</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40.50</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6/7/2026</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2/28/2017</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38,653</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46.66</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2/28/2027</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3/5/2019</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54,801</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18,268</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45.33</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3/5/2029</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3/9/2020</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73,703</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73,704</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26.79</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3/9/2030</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8/27/2020</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245,829</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14.79</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8/27/2030</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3/4/2021</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297,619</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35.52</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3/4/2031</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3/3/2022</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102,506</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25.68</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3/3/2032</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3/3/2022</w:t>
            </w:r>
          </w:p>
        </w:tc>
        <w:tc>
          <w:tcPr>
            <w:tcW w:w="12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52,449</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966,111</w:t>
            </w:r>
          </w:p>
        </w:tc>
        <w:tc>
          <w:tcPr>
            <w:tcW w:w="0" w:type="dxa"/>
            <w:vAlign w:val="bottom"/>
          </w:tcPr>
          <w:p>
            <w:pPr>
              <w:spacing w:after="0"/>
              <w:rPr>
                <w:sz w:val="1"/>
                <w:szCs w:val="1"/>
                <w:color w:val="auto"/>
              </w:rPr>
            </w:pPr>
          </w:p>
        </w:tc>
      </w:tr>
      <w:tr>
        <w:trPr>
          <w:trHeight w:val="29"/>
        </w:trPr>
        <w:tc>
          <w:tcPr>
            <w:tcW w:w="11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00" w:type="dxa"/>
            <w:vAlign w:val="bottom"/>
            <w:gridSpan w:val="2"/>
          </w:tcPr>
          <w:p>
            <w:pPr>
              <w:spacing w:after="0"/>
              <w:rPr>
                <w:sz w:val="20"/>
                <w:szCs w:val="20"/>
                <w:color w:val="auto"/>
              </w:rPr>
            </w:pPr>
            <w:r>
              <w:rPr>
                <w:rFonts w:ascii="Arial" w:cs="Arial" w:eastAsia="Arial" w:hAnsi="Arial"/>
                <w:sz w:val="16"/>
                <w:szCs w:val="16"/>
                <w:color w:val="auto"/>
              </w:rPr>
              <w:t>Michael W.</w:t>
            </w: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3/4/2013</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3,250</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50.26</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3/4/2023</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0"/>
                <w:szCs w:val="20"/>
                <w:color w:val="auto"/>
              </w:rPr>
            </w:pPr>
            <w:r>
              <w:rPr>
                <w:rFonts w:ascii="Arial" w:cs="Arial" w:eastAsia="Arial" w:hAnsi="Arial"/>
                <w:sz w:val="16"/>
                <w:szCs w:val="16"/>
                <w:color w:val="auto"/>
              </w:rPr>
              <w:t>Maher</w:t>
            </w: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3/3/2014</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2,270</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57.16</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3/3/2024</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2/24/2015</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2,360</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75.23</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2/24/2025</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2/29/2016</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3,615</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51.32</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2/28/2026</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3/5/2019</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1,426</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26,267</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3/9/2020</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4,775</w:t>
            </w:r>
          </w:p>
        </w:tc>
        <w:tc>
          <w:tcPr>
            <w:tcW w:w="1000" w:type="dxa"/>
            <w:vAlign w:val="bottom"/>
          </w:tcPr>
          <w:p>
            <w:pPr>
              <w:jc w:val="right"/>
              <w:spacing w:after="0"/>
              <w:rPr>
                <w:sz w:val="20"/>
                <w:szCs w:val="20"/>
                <w:color w:val="auto"/>
              </w:rPr>
            </w:pPr>
            <w:r>
              <w:rPr>
                <w:rFonts w:ascii="Arial" w:cs="Arial" w:eastAsia="Arial" w:hAnsi="Arial"/>
                <w:sz w:val="16"/>
                <w:szCs w:val="16"/>
                <w:color w:val="auto"/>
              </w:rPr>
              <w:t>87,956</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6/1/2020</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59,136</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16.59</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6/1/2030</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8/27/2020</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2,799</w:t>
            </w:r>
          </w:p>
        </w:tc>
        <w:tc>
          <w:tcPr>
            <w:tcW w:w="1000" w:type="dxa"/>
            <w:vAlign w:val="bottom"/>
          </w:tcPr>
          <w:p>
            <w:pPr>
              <w:jc w:val="right"/>
              <w:spacing w:after="0"/>
              <w:rPr>
                <w:sz w:val="20"/>
                <w:szCs w:val="20"/>
                <w:color w:val="auto"/>
              </w:rPr>
            </w:pPr>
            <w:r>
              <w:rPr>
                <w:rFonts w:ascii="Arial" w:cs="Arial" w:eastAsia="Arial" w:hAnsi="Arial"/>
                <w:sz w:val="16"/>
                <w:szCs w:val="16"/>
                <w:color w:val="auto"/>
              </w:rPr>
              <w:t>51,558</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3/4/2021</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6,766</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35.52</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3/4/2031</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3/4/2021</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6,453</w:t>
            </w:r>
          </w:p>
        </w:tc>
        <w:tc>
          <w:tcPr>
            <w:tcW w:w="1000" w:type="dxa"/>
            <w:vAlign w:val="bottom"/>
          </w:tcPr>
          <w:p>
            <w:pPr>
              <w:jc w:val="right"/>
              <w:spacing w:after="0"/>
              <w:rPr>
                <w:sz w:val="20"/>
                <w:szCs w:val="20"/>
                <w:color w:val="auto"/>
              </w:rPr>
            </w:pPr>
            <w:r>
              <w:rPr>
                <w:rFonts w:ascii="Arial" w:cs="Arial" w:eastAsia="Arial" w:hAnsi="Arial"/>
                <w:sz w:val="16"/>
                <w:szCs w:val="16"/>
                <w:color w:val="auto"/>
              </w:rPr>
              <w:t>118,864</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3/3/2022</w:t>
            </w:r>
          </w:p>
        </w:tc>
        <w:tc>
          <w:tcPr>
            <w:tcW w:w="12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9,578</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25.68</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3/3/2032</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3/3/2022</w:t>
            </w: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12,842</w:t>
            </w:r>
          </w:p>
        </w:tc>
        <w:tc>
          <w:tcPr>
            <w:tcW w:w="1000" w:type="dxa"/>
            <w:vAlign w:val="bottom"/>
          </w:tcPr>
          <w:p>
            <w:pPr>
              <w:jc w:val="right"/>
              <w:spacing w:after="0"/>
              <w:rPr>
                <w:sz w:val="20"/>
                <w:szCs w:val="20"/>
                <w:color w:val="auto"/>
              </w:rPr>
            </w:pPr>
            <w:r>
              <w:rPr>
                <w:rFonts w:ascii="Arial" w:cs="Arial" w:eastAsia="Arial" w:hAnsi="Arial"/>
                <w:sz w:val="16"/>
                <w:szCs w:val="16"/>
                <w:color w:val="auto"/>
              </w:rPr>
              <w:t>236,550</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5/26/2022</w:t>
            </w:r>
          </w:p>
        </w:tc>
        <w:tc>
          <w:tcPr>
            <w:tcW w:w="120" w:type="dxa"/>
            <w:vAlign w:val="bottom"/>
            <w:tcBorders>
              <w:bottom w:val="single" w:sz="8" w:color="DCDDDE"/>
            </w:tcBorders>
            <w:shd w:val="clear" w:color="auto" w:fill="DCDDDE"/>
          </w:tcPr>
          <w:p>
            <w:pPr>
              <w:spacing w:after="0"/>
              <w:rPr>
                <w:sz w:val="23"/>
                <w:szCs w:val="23"/>
                <w:color w:val="auto"/>
              </w:rPr>
            </w:pPr>
          </w:p>
        </w:tc>
        <w:tc>
          <w:tcPr>
            <w:tcW w:w="7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54,177</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997,940</w:t>
            </w:r>
          </w:p>
        </w:tc>
        <w:tc>
          <w:tcPr>
            <w:tcW w:w="11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8"/>
        </w:trPr>
        <w:tc>
          <w:tcPr>
            <w:tcW w:w="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53</w:t>
            </w:r>
          </w:p>
        </w:tc>
        <w:tc>
          <w:tcPr>
            <w:tcW w:w="16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2023 Proxy Statement</w:t>
            </w:r>
          </w:p>
        </w:tc>
        <w:tc>
          <w:tcPr>
            <w:tcW w:w="7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-402590</wp:posOffset>
            </wp:positionV>
            <wp:extent cx="1020445" cy="1289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237" w:lineRule="exact"/>
        <w:rPr>
          <w:sz w:val="20"/>
          <w:szCs w:val="20"/>
          <w:color w:val="auto"/>
        </w:rPr>
      </w:pPr>
    </w:p>
    <w:p>
      <w:pPr>
        <w:ind w:left="3300"/>
        <w:spacing w:after="0"/>
        <w:tabs>
          <w:tab w:leader="none" w:pos="8260" w:val="left"/>
        </w:tabs>
        <w:rPr>
          <w:sz w:val="20"/>
          <w:szCs w:val="20"/>
          <w:color w:val="auto"/>
        </w:rPr>
      </w:pPr>
      <w:r>
        <w:rPr>
          <w:rFonts w:ascii="Arial" w:cs="Arial" w:eastAsia="Arial" w:hAnsi="Arial"/>
          <w:sz w:val="16"/>
          <w:szCs w:val="16"/>
          <w:b w:val="1"/>
          <w:bCs w:val="1"/>
          <w:color w:val="auto"/>
        </w:rPr>
        <w:t>Option Awards</w:t>
      </w:r>
      <w:r>
        <w:rPr>
          <w:sz w:val="20"/>
          <w:szCs w:val="20"/>
          <w:color w:val="auto"/>
        </w:rPr>
        <w:tab/>
      </w:r>
      <w:r>
        <w:rPr>
          <w:rFonts w:ascii="Arial" w:cs="Arial" w:eastAsia="Arial" w:hAnsi="Arial"/>
          <w:sz w:val="16"/>
          <w:szCs w:val="16"/>
          <w:b w:val="1"/>
          <w:bCs w:val="1"/>
          <w:color w:val="auto"/>
        </w:rPr>
        <w:t>Stock Awards</w:t>
      </w:r>
    </w:p>
    <w:p>
      <w:pPr>
        <w:sectPr>
          <w:pgSz w:w="11900" w:h="16838" w:orient="portrait"/>
          <w:cols w:equalWidth="0" w:num="1">
            <w:col w:w="10880"/>
          </w:cols>
          <w:pgMar w:left="500" w:top="270" w:right="519" w:bottom="919"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Incentive</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2"/>
            <w:vMerge w:val="restart"/>
          </w:tcPr>
          <w:p>
            <w:pPr>
              <w:jc w:val="center"/>
              <w:ind w:right="19"/>
              <w:spacing w:after="0"/>
              <w:rPr>
                <w:sz w:val="20"/>
                <w:szCs w:val="20"/>
                <w:color w:val="auto"/>
              </w:rPr>
            </w:pPr>
            <w:r>
              <w:rPr>
                <w:rFonts w:ascii="Arial" w:cs="Arial" w:eastAsia="Arial" w:hAnsi="Arial"/>
                <w:sz w:val="16"/>
                <w:szCs w:val="16"/>
                <w:b w:val="1"/>
                <w:bCs w:val="1"/>
                <w:color w:val="auto"/>
              </w:rPr>
              <w:t>Number of</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Plan</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Awards:</w:t>
            </w: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of</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Market</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gridSpan w:val="2"/>
            <w:vMerge w:val="restart"/>
          </w:tcPr>
          <w:p>
            <w:pPr>
              <w:jc w:val="center"/>
              <w:ind w:right="59"/>
              <w:spacing w:after="0"/>
              <w:rPr>
                <w:sz w:val="20"/>
                <w:szCs w:val="20"/>
                <w:color w:val="auto"/>
              </w:rPr>
            </w:pPr>
            <w:r>
              <w:rPr>
                <w:rFonts w:ascii="Arial" w:cs="Arial" w:eastAsia="Arial" w:hAnsi="Arial"/>
                <w:sz w:val="16"/>
                <w:szCs w:val="16"/>
                <w:b w:val="1"/>
                <w:bCs w:val="1"/>
                <w:color w:val="auto"/>
              </w:rPr>
              <w:t>Securities</w:t>
            </w: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Value of</w:t>
            </w: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gridSpan w:val="2"/>
            <w:vMerge w:val="restart"/>
          </w:tcPr>
          <w:p>
            <w:pPr>
              <w:jc w:val="center"/>
              <w:ind w:right="59"/>
              <w:spacing w:after="0"/>
              <w:rPr>
                <w:sz w:val="20"/>
                <w:szCs w:val="20"/>
                <w:color w:val="auto"/>
              </w:rPr>
            </w:pPr>
            <w:r>
              <w:rPr>
                <w:rFonts w:ascii="Arial" w:cs="Arial" w:eastAsia="Arial" w:hAnsi="Arial"/>
                <w:sz w:val="16"/>
                <w:szCs w:val="16"/>
                <w:b w:val="1"/>
                <w:bCs w:val="1"/>
                <w:color w:val="auto"/>
              </w:rPr>
              <w:t>Underlying</w:t>
            </w: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Securities</w:t>
            </w: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or Units</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 or</w:t>
            </w: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gridSpan w:val="2"/>
            <w:vMerge w:val="restart"/>
          </w:tcPr>
          <w:p>
            <w:pPr>
              <w:jc w:val="center"/>
              <w:ind w:right="79"/>
              <w:spacing w:after="0"/>
              <w:rPr>
                <w:sz w:val="20"/>
                <w:szCs w:val="20"/>
                <w:color w:val="auto"/>
              </w:rPr>
            </w:pPr>
            <w:r>
              <w:rPr>
                <w:rFonts w:ascii="Arial" w:cs="Arial" w:eastAsia="Arial" w:hAnsi="Arial"/>
                <w:sz w:val="16"/>
                <w:szCs w:val="16"/>
                <w:b w:val="1"/>
                <w:bCs w:val="1"/>
                <w:color w:val="auto"/>
              </w:rPr>
              <w:t>Unexercised</w:t>
            </w: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Underlying</w:t>
            </w: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of Stock</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Units of</w:t>
            </w: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gridSpan w:val="2"/>
            <w:vMerge w:val="restart"/>
          </w:tcPr>
          <w:p>
            <w:pPr>
              <w:jc w:val="center"/>
              <w:ind w:right="59"/>
              <w:spacing w:after="0"/>
              <w:rPr>
                <w:sz w:val="20"/>
                <w:szCs w:val="20"/>
                <w:color w:val="auto"/>
              </w:rPr>
            </w:pPr>
            <w:r>
              <w:rPr>
                <w:rFonts w:ascii="Arial" w:cs="Arial" w:eastAsia="Arial" w:hAnsi="Arial"/>
                <w:sz w:val="16"/>
                <w:szCs w:val="16"/>
                <w:b w:val="1"/>
                <w:bCs w:val="1"/>
                <w:color w:val="auto"/>
              </w:rPr>
              <w:t>Options</w:t>
            </w: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Unexer-</w:t>
            </w: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That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Stock</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vMerge w:val="restart"/>
          </w:tcPr>
          <w:p>
            <w:pPr>
              <w:jc w:val="center"/>
              <w:ind w:left="599"/>
              <w:spacing w:after="0"/>
              <w:rPr>
                <w:sz w:val="20"/>
                <w:szCs w:val="20"/>
                <w:color w:val="auto"/>
              </w:rPr>
            </w:pPr>
            <w:r>
              <w:rPr>
                <w:rFonts w:ascii="Arial" w:cs="Arial" w:eastAsia="Arial" w:hAnsi="Arial"/>
                <w:sz w:val="16"/>
                <w:szCs w:val="16"/>
                <w:b w:val="1"/>
                <w:bCs w:val="1"/>
                <w:color w:val="auto"/>
                <w:w w:val="91"/>
              </w:rPr>
              <w:t>(#)</w:t>
            </w:r>
          </w:p>
        </w:tc>
        <w:tc>
          <w:tcPr>
            <w:tcW w:w="7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vMerge w:val="restart"/>
          </w:tcPr>
          <w:p>
            <w:pPr>
              <w:jc w:val="right"/>
              <w:ind w:right="59"/>
              <w:spacing w:after="0" w:line="143" w:lineRule="exact"/>
              <w:rPr>
                <w:sz w:val="20"/>
                <w:szCs w:val="20"/>
                <w:color w:val="auto"/>
              </w:rPr>
            </w:pPr>
            <w:r>
              <w:rPr>
                <w:rFonts w:ascii="Arial" w:cs="Arial" w:eastAsia="Arial" w:hAnsi="Arial"/>
                <w:sz w:val="16"/>
                <w:szCs w:val="16"/>
                <w:b w:val="1"/>
                <w:bCs w:val="1"/>
                <w:color w:val="auto"/>
              </w:rPr>
              <w:t>cised</w:t>
            </w:r>
          </w:p>
        </w:tc>
        <w:tc>
          <w:tcPr>
            <w:tcW w:w="880" w:type="dxa"/>
            <w:vAlign w:val="bottom"/>
            <w:vMerge w:val="restart"/>
          </w:tcPr>
          <w:p>
            <w:pPr>
              <w:jc w:val="right"/>
              <w:ind w:right="59"/>
              <w:spacing w:after="0" w:line="143" w:lineRule="exact"/>
              <w:rPr>
                <w:sz w:val="20"/>
                <w:szCs w:val="20"/>
                <w:color w:val="auto"/>
              </w:rPr>
            </w:pPr>
            <w:r>
              <w:rPr>
                <w:rFonts w:ascii="Arial" w:cs="Arial" w:eastAsia="Arial" w:hAnsi="Arial"/>
                <w:sz w:val="16"/>
                <w:szCs w:val="16"/>
                <w:b w:val="1"/>
                <w:bCs w:val="1"/>
                <w:color w:val="auto"/>
              </w:rPr>
              <w:t>Option</w:t>
            </w:r>
          </w:p>
        </w:tc>
        <w:tc>
          <w:tcPr>
            <w:tcW w:w="1020" w:type="dxa"/>
            <w:vAlign w:val="bottom"/>
          </w:tcPr>
          <w:p>
            <w:pPr>
              <w:spacing w:after="0"/>
              <w:rPr>
                <w:sz w:val="11"/>
                <w:szCs w:val="11"/>
                <w:color w:val="auto"/>
              </w:rPr>
            </w:pPr>
          </w:p>
        </w:tc>
        <w:tc>
          <w:tcPr>
            <w:tcW w:w="840" w:type="dxa"/>
            <w:vAlign w:val="bottom"/>
            <w:vMerge w:val="restart"/>
          </w:tcPr>
          <w:p>
            <w:pPr>
              <w:jc w:val="right"/>
              <w:ind w:right="59"/>
              <w:spacing w:after="0" w:line="143" w:lineRule="exact"/>
              <w:rPr>
                <w:sz w:val="20"/>
                <w:szCs w:val="20"/>
                <w:color w:val="auto"/>
              </w:rPr>
            </w:pPr>
            <w:r>
              <w:rPr>
                <w:rFonts w:ascii="Arial" w:cs="Arial" w:eastAsia="Arial" w:hAnsi="Arial"/>
                <w:sz w:val="16"/>
                <w:szCs w:val="16"/>
                <w:b w:val="1"/>
                <w:bCs w:val="1"/>
                <w:color w:val="auto"/>
              </w:rPr>
              <w:t>Have</w:t>
            </w:r>
          </w:p>
        </w:tc>
        <w:tc>
          <w:tcPr>
            <w:tcW w:w="920" w:type="dxa"/>
            <w:vAlign w:val="bottom"/>
            <w:vMerge w:val="restart"/>
          </w:tcPr>
          <w:p>
            <w:pPr>
              <w:jc w:val="right"/>
              <w:spacing w:after="0" w:line="143" w:lineRule="exact"/>
              <w:rPr>
                <w:sz w:val="20"/>
                <w:szCs w:val="20"/>
                <w:color w:val="auto"/>
              </w:rPr>
            </w:pPr>
            <w:r>
              <w:rPr>
                <w:rFonts w:ascii="Arial" w:cs="Arial" w:eastAsia="Arial" w:hAnsi="Arial"/>
                <w:sz w:val="16"/>
                <w:szCs w:val="16"/>
                <w:b w:val="1"/>
                <w:bCs w:val="1"/>
                <w:color w:val="auto"/>
              </w:rPr>
              <w:t>That Have</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Unexer-</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Unearned</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Exercise</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Option</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Not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Not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100" w:type="dxa"/>
            <w:vAlign w:val="bottom"/>
          </w:tcPr>
          <w:p>
            <w:pPr>
              <w:ind w:left="520"/>
              <w:spacing w:after="0"/>
              <w:rPr>
                <w:sz w:val="20"/>
                <w:szCs w:val="20"/>
                <w:color w:val="auto"/>
              </w:rPr>
            </w:pPr>
            <w:r>
              <w:rPr>
                <w:rFonts w:ascii="Arial" w:cs="Arial" w:eastAsia="Arial" w:hAnsi="Arial"/>
                <w:sz w:val="16"/>
                <w:szCs w:val="16"/>
                <w:b w:val="1"/>
                <w:bCs w:val="1"/>
                <w:color w:val="auto"/>
              </w:rPr>
              <w:t>Grant</w:t>
            </w:r>
          </w:p>
        </w:tc>
        <w:tc>
          <w:tcPr>
            <w:tcW w:w="900" w:type="dxa"/>
            <w:vAlign w:val="bottom"/>
          </w:tcPr>
          <w:p>
            <w:pPr>
              <w:ind w:left="320"/>
              <w:spacing w:after="0"/>
              <w:rPr>
                <w:sz w:val="20"/>
                <w:szCs w:val="20"/>
                <w:color w:val="auto"/>
              </w:rPr>
            </w:pPr>
            <w:r>
              <w:rPr>
                <w:rFonts w:ascii="Arial" w:cs="Arial" w:eastAsia="Arial" w:hAnsi="Arial"/>
                <w:sz w:val="16"/>
                <w:szCs w:val="16"/>
                <w:b w:val="1"/>
                <w:bCs w:val="1"/>
                <w:color w:val="auto"/>
              </w:rPr>
              <w:t>Exer-</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cisable</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Options</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Price</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Expiration</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Vested</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Vested</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100" w:type="dxa"/>
            <w:vAlign w:val="bottom"/>
          </w:tcPr>
          <w:p>
            <w:pPr>
              <w:ind w:left="640"/>
              <w:spacing w:after="0"/>
              <w:rPr>
                <w:sz w:val="20"/>
                <w:szCs w:val="20"/>
                <w:color w:val="auto"/>
              </w:rPr>
            </w:pPr>
            <w:r>
              <w:rPr>
                <w:rFonts w:ascii="Arial" w:cs="Arial" w:eastAsia="Arial" w:hAnsi="Arial"/>
                <w:sz w:val="16"/>
                <w:szCs w:val="16"/>
                <w:b w:val="1"/>
                <w:bCs w:val="1"/>
                <w:color w:val="auto"/>
              </w:rPr>
              <w:t>Date</w:t>
            </w:r>
          </w:p>
        </w:tc>
        <w:tc>
          <w:tcPr>
            <w:tcW w:w="900" w:type="dxa"/>
            <w:vAlign w:val="bottom"/>
          </w:tcPr>
          <w:p>
            <w:pPr>
              <w:ind w:left="220"/>
              <w:spacing w:after="0"/>
              <w:rPr>
                <w:sz w:val="20"/>
                <w:szCs w:val="20"/>
                <w:color w:val="auto"/>
              </w:rPr>
            </w:pPr>
            <w:r>
              <w:rPr>
                <w:rFonts w:ascii="Arial" w:cs="Arial" w:eastAsia="Arial" w:hAnsi="Arial"/>
                <w:sz w:val="16"/>
                <w:szCs w:val="16"/>
                <w:b w:val="1"/>
                <w:bCs w:val="1"/>
                <w:color w:val="auto"/>
              </w:rPr>
              <w:t>cisable</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(a)</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Date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(#)(b)</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-1700530</wp:posOffset>
            </wp:positionV>
            <wp:extent cx="35147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Equity</w:t>
            </w:r>
          </w:p>
        </w:tc>
      </w:tr>
      <w:tr>
        <w:trPr>
          <w:trHeight w:val="189"/>
        </w:trPr>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Incentive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Plan</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Plan</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Awards: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Awards:</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Number of</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Market or</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Unearned</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Payout</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Value of</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Units or</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Unearned</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Other</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Rights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Units or</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That Have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Other Rights</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Not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That Have</w:t>
            </w:r>
          </w:p>
        </w:tc>
      </w:tr>
      <w:tr>
        <w:trPr>
          <w:trHeight w:val="189"/>
        </w:trPr>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Vested</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r>
      <w:tr>
        <w:trPr>
          <w:trHeight w:val="223"/>
        </w:trPr>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(#)(c)</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-1700530</wp:posOffset>
            </wp:positionV>
            <wp:extent cx="26231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480" w:space="180"/>
            <w:col w:w="2220"/>
          </w:cols>
          <w:pgMar w:left="500" w:top="270" w:right="519" w:bottom="919"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Peter E.</w:t>
            </w:r>
          </w:p>
        </w:tc>
        <w:tc>
          <w:tcPr>
            <w:tcW w:w="1020" w:type="dxa"/>
            <w:vAlign w:val="bottom"/>
            <w:tcBorders>
              <w:top w:val="single" w:sz="8" w:color="auto"/>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3/4/2013</w:t>
            </w:r>
          </w:p>
        </w:tc>
        <w:tc>
          <w:tcPr>
            <w:tcW w:w="840" w:type="dxa"/>
            <w:vAlign w:val="bottom"/>
            <w:tcBorders>
              <w:top w:val="single" w:sz="8" w:color="auto"/>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99,563</w:t>
            </w:r>
          </w:p>
        </w:tc>
        <w:tc>
          <w:tcPr>
            <w:tcW w:w="1160" w:type="dxa"/>
            <w:vAlign w:val="bottom"/>
            <w:tcBorders>
              <w:top w:val="single" w:sz="8" w:color="auto"/>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50.26</w:t>
            </w:r>
          </w:p>
        </w:tc>
        <w:tc>
          <w:tcPr>
            <w:tcW w:w="1040" w:type="dxa"/>
            <w:vAlign w:val="bottom"/>
            <w:tcBorders>
              <w:top w:val="single" w:sz="8" w:color="auto"/>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3/4/2023</w:t>
            </w:r>
          </w:p>
        </w:tc>
        <w:tc>
          <w:tcPr>
            <w:tcW w:w="880" w:type="dxa"/>
            <w:vAlign w:val="bottom"/>
            <w:tcBorders>
              <w:top w:val="single" w:sz="8" w:color="auto"/>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4"/>
        </w:trPr>
        <w:tc>
          <w:tcPr>
            <w:tcW w:w="1100" w:type="dxa"/>
            <w:vAlign w:val="bottom"/>
          </w:tcPr>
          <w:p>
            <w:pPr>
              <w:spacing w:after="0"/>
              <w:rPr>
                <w:sz w:val="20"/>
                <w:szCs w:val="20"/>
                <w:color w:val="auto"/>
              </w:rPr>
            </w:pPr>
            <w:r>
              <w:rPr>
                <w:rFonts w:ascii="Arial" w:cs="Arial" w:eastAsia="Arial" w:hAnsi="Arial"/>
                <w:sz w:val="16"/>
                <w:szCs w:val="16"/>
                <w:color w:val="auto"/>
              </w:rPr>
              <w:t>Nordstrom</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3/3/2014</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60,747</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57.16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3/3/2024</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2/24/2015</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45,996</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75.23</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2/24/2025</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4"/>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2/29/2016</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82,141</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51.32</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2/28/2026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6/7/2016</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10,838</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40.50</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6/7/2026</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4"/>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2/28/2017</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38,653</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46.66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2/28/2027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3/5/2019</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54,801</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18,268</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45.33</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3/5/2029</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4"/>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3/9/2020</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73,703</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73,704</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26.79</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3/9/2030</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8/27/2020</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245,829</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14.79</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8/27/2030</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3/4/2021</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297,619</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35.52</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3/4/2031</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3/3/2022</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102,506</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25.68</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3/3/2032</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41"/>
        </w:trPr>
        <w:tc>
          <w:tcPr>
            <w:tcW w:w="110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3/3/2022</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52,449</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966,111</w:t>
            </w:r>
          </w:p>
        </w:tc>
      </w:tr>
      <w:tr>
        <w:trPr>
          <w:trHeight w:val="29"/>
        </w:trPr>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1100" w:type="dxa"/>
            <w:vAlign w:val="bottom"/>
          </w:tcPr>
          <w:p>
            <w:pPr>
              <w:spacing w:after="0"/>
              <w:rPr>
                <w:sz w:val="20"/>
                <w:szCs w:val="20"/>
                <w:color w:val="auto"/>
              </w:rPr>
            </w:pPr>
            <w:r>
              <w:rPr>
                <w:rFonts w:ascii="Arial" w:cs="Arial" w:eastAsia="Arial" w:hAnsi="Arial"/>
                <w:sz w:val="16"/>
                <w:szCs w:val="16"/>
                <w:color w:val="auto"/>
              </w:rPr>
              <w:t>Kenneth J.</w:t>
            </w: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3/4/2013</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40,536</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50.26</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3/4/2023</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0"/>
                <w:szCs w:val="20"/>
                <w:color w:val="auto"/>
              </w:rPr>
            </w:pPr>
            <w:r>
              <w:rPr>
                <w:rFonts w:ascii="Arial" w:cs="Arial" w:eastAsia="Arial" w:hAnsi="Arial"/>
                <w:sz w:val="16"/>
                <w:szCs w:val="16"/>
                <w:color w:val="auto"/>
              </w:rPr>
              <w:t>Worzel</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3/3/2014</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26,141</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57.16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3/3/2024</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2/24/2015</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20,585</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75.23</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2/24/2025</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2/29/2016</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38,057</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51.32</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2/28/2026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6/7/2016</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23,433</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40.50</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6/7/2026</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2/28/2017</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16,464</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46.66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2/28/2027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3/5/2019</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79,712</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79,713</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45.33</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3/5/2029</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3/5/2019</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4,646</w:t>
            </w:r>
          </w:p>
        </w:tc>
        <w:tc>
          <w:tcPr>
            <w:tcW w:w="860" w:type="dxa"/>
            <w:vAlign w:val="bottom"/>
          </w:tcPr>
          <w:p>
            <w:pPr>
              <w:jc w:val="right"/>
              <w:spacing w:after="0"/>
              <w:rPr>
                <w:sz w:val="20"/>
                <w:szCs w:val="20"/>
                <w:color w:val="auto"/>
              </w:rPr>
            </w:pPr>
            <w:r>
              <w:rPr>
                <w:rFonts w:ascii="Arial" w:cs="Arial" w:eastAsia="Arial" w:hAnsi="Arial"/>
                <w:sz w:val="16"/>
                <w:szCs w:val="16"/>
                <w:color w:val="auto"/>
              </w:rPr>
              <w:t>85,579</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3/9/2020</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21,889</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403,195</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8/27/2020</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366,540</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14.79</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8/27/2030</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3/4/2021</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68,915</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35.52</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3/4/2031</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3/4/2021</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31,636</w:t>
            </w:r>
          </w:p>
        </w:tc>
        <w:tc>
          <w:tcPr>
            <w:tcW w:w="860" w:type="dxa"/>
            <w:vAlign w:val="bottom"/>
          </w:tcPr>
          <w:p>
            <w:pPr>
              <w:jc w:val="right"/>
              <w:spacing w:after="0"/>
              <w:rPr>
                <w:sz w:val="20"/>
                <w:szCs w:val="20"/>
                <w:color w:val="auto"/>
              </w:rPr>
            </w:pPr>
            <w:r>
              <w:rPr>
                <w:rFonts w:ascii="Arial" w:cs="Arial" w:eastAsia="Arial" w:hAnsi="Arial"/>
                <w:sz w:val="16"/>
                <w:szCs w:val="16"/>
                <w:color w:val="auto"/>
              </w:rPr>
              <w:t>582,735</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3/3/2022</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86,395</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25.68</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3/3/2032</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41"/>
        </w:trPr>
        <w:tc>
          <w:tcPr>
            <w:tcW w:w="110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3/3/2022</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44,205</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814,256</w:t>
            </w:r>
          </w:p>
        </w:tc>
      </w:tr>
      <w:tr>
        <w:trPr>
          <w:trHeight w:val="29"/>
        </w:trPr>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1100" w:type="dxa"/>
            <w:vAlign w:val="bottom"/>
          </w:tcPr>
          <w:p>
            <w:pPr>
              <w:spacing w:after="0"/>
              <w:rPr>
                <w:sz w:val="20"/>
                <w:szCs w:val="20"/>
                <w:color w:val="auto"/>
              </w:rPr>
            </w:pPr>
            <w:r>
              <w:rPr>
                <w:rFonts w:ascii="Arial" w:cs="Arial" w:eastAsia="Arial" w:hAnsi="Arial"/>
                <w:sz w:val="16"/>
                <w:szCs w:val="16"/>
                <w:color w:val="auto"/>
              </w:rPr>
              <w:t>Alexis</w:t>
            </w: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3/9/2020</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10,719</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197,444</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0"/>
                <w:szCs w:val="20"/>
                <w:color w:val="auto"/>
              </w:rPr>
            </w:pPr>
            <w:r>
              <w:rPr>
                <w:rFonts w:ascii="Arial" w:cs="Arial" w:eastAsia="Arial" w:hAnsi="Arial"/>
                <w:sz w:val="16"/>
                <w:szCs w:val="16"/>
                <w:color w:val="auto"/>
              </w:rPr>
              <w:t>DePree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3/9/2020</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27,953</w:t>
            </w:r>
          </w:p>
        </w:tc>
        <w:tc>
          <w:tcPr>
            <w:tcW w:w="860" w:type="dxa"/>
            <w:vAlign w:val="bottom"/>
          </w:tcPr>
          <w:p>
            <w:pPr>
              <w:jc w:val="right"/>
              <w:spacing w:after="0"/>
              <w:rPr>
                <w:sz w:val="20"/>
                <w:szCs w:val="20"/>
                <w:color w:val="auto"/>
              </w:rPr>
            </w:pPr>
            <w:r>
              <w:rPr>
                <w:rFonts w:ascii="Arial" w:cs="Arial" w:eastAsia="Arial" w:hAnsi="Arial"/>
                <w:sz w:val="16"/>
                <w:szCs w:val="16"/>
                <w:color w:val="auto"/>
              </w:rPr>
              <w:t>514,894</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6/1/2020</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58,080</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16.59</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6/1/2030</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3/4/2021</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32,649</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35.52</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3/4/2031</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3/4/2021</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15,569</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286,781</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10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3/3/2022</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33,013</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25.68</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3/3/2032</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1100" w:type="dxa"/>
            <w:vAlign w:val="bottom"/>
          </w:tcPr>
          <w:p>
            <w:pPr>
              <w:spacing w:after="0"/>
              <w:rPr>
                <w:sz w:val="22"/>
                <w:szCs w:val="22"/>
                <w:color w:val="auto"/>
              </w:rPr>
            </w:pP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3/3/2022</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17,037</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313,822</w:t>
            </w:r>
          </w:p>
        </w:tc>
      </w:tr>
      <w:tr>
        <w:trPr>
          <w:trHeight w:val="241"/>
        </w:trPr>
        <w:tc>
          <w:tcPr>
            <w:tcW w:w="110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5/26/2022</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ind w:left="4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45,147</w:t>
            </w:r>
          </w:p>
        </w:tc>
        <w:tc>
          <w:tcPr>
            <w:tcW w:w="860" w:type="dxa"/>
            <w:vAlign w:val="bottom"/>
          </w:tcPr>
          <w:p>
            <w:pPr>
              <w:jc w:val="right"/>
              <w:spacing w:after="0"/>
              <w:rPr>
                <w:sz w:val="20"/>
                <w:szCs w:val="20"/>
                <w:color w:val="auto"/>
              </w:rPr>
            </w:pPr>
            <w:r>
              <w:rPr>
                <w:rFonts w:ascii="Arial" w:cs="Arial" w:eastAsia="Arial" w:hAnsi="Arial"/>
                <w:sz w:val="16"/>
                <w:szCs w:val="16"/>
                <w:color w:val="auto"/>
              </w:rPr>
              <w:t>831,608</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8"/>
        </w:trPr>
        <w:tc>
          <w:tcPr>
            <w:tcW w:w="1100" w:type="dxa"/>
            <w:vAlign w:val="bottom"/>
          </w:tcPr>
          <w:p>
            <w:pPr>
              <w:spacing w:after="0"/>
              <w:rPr>
                <w:sz w:val="20"/>
                <w:szCs w:val="20"/>
                <w:color w:val="auto"/>
              </w:rPr>
            </w:pPr>
            <w:r>
              <w:rPr>
                <w:rFonts w:ascii="Arial" w:cs="Arial" w:eastAsia="Arial" w:hAnsi="Arial"/>
                <w:sz w:val="16"/>
                <w:szCs w:val="16"/>
                <w:color w:val="auto"/>
              </w:rPr>
              <w:t>Anne L.</w:t>
            </w:r>
          </w:p>
        </w:tc>
        <w:tc>
          <w:tcPr>
            <w:tcW w:w="1020" w:type="dxa"/>
            <w:vAlign w:val="bottom"/>
            <w:shd w:val="clear" w:color="auto" w:fill="DCDDDE"/>
          </w:tcPr>
          <w:p>
            <w:pPr>
              <w:spacing w:after="0"/>
              <w:rPr>
                <w:sz w:val="21"/>
                <w:szCs w:val="21"/>
                <w:color w:val="auto"/>
              </w:rPr>
            </w:pPr>
          </w:p>
        </w:tc>
        <w:tc>
          <w:tcPr>
            <w:tcW w:w="840" w:type="dxa"/>
            <w:vAlign w:val="bottom"/>
            <w:shd w:val="clear" w:color="auto" w:fill="DCDDDE"/>
          </w:tcPr>
          <w:p>
            <w:pPr>
              <w:spacing w:after="0"/>
              <w:rPr>
                <w:sz w:val="21"/>
                <w:szCs w:val="21"/>
                <w:color w:val="auto"/>
              </w:rPr>
            </w:pPr>
          </w:p>
        </w:tc>
        <w:tc>
          <w:tcPr>
            <w:tcW w:w="1160" w:type="dxa"/>
            <w:vAlign w:val="bottom"/>
            <w:shd w:val="clear" w:color="auto" w:fill="DCDDDE"/>
          </w:tcPr>
          <w:p>
            <w:pPr>
              <w:spacing w:after="0"/>
              <w:rPr>
                <w:sz w:val="21"/>
                <w:szCs w:val="21"/>
                <w:color w:val="auto"/>
              </w:rPr>
            </w:pPr>
          </w:p>
        </w:tc>
        <w:tc>
          <w:tcPr>
            <w:tcW w:w="840" w:type="dxa"/>
            <w:vAlign w:val="bottom"/>
            <w:shd w:val="clear" w:color="auto" w:fill="DCDDDE"/>
          </w:tcPr>
          <w:p>
            <w:pPr>
              <w:spacing w:after="0"/>
              <w:rPr>
                <w:sz w:val="21"/>
                <w:szCs w:val="21"/>
                <w:color w:val="auto"/>
              </w:rPr>
            </w:pPr>
          </w:p>
        </w:tc>
        <w:tc>
          <w:tcPr>
            <w:tcW w:w="800" w:type="dxa"/>
            <w:vAlign w:val="bottom"/>
            <w:shd w:val="clear" w:color="auto" w:fill="DCDDDE"/>
          </w:tcPr>
          <w:p>
            <w:pPr>
              <w:spacing w:after="0"/>
              <w:rPr>
                <w:sz w:val="21"/>
                <w:szCs w:val="21"/>
                <w:color w:val="auto"/>
              </w:rPr>
            </w:pPr>
          </w:p>
        </w:tc>
        <w:tc>
          <w:tcPr>
            <w:tcW w:w="1040" w:type="dxa"/>
            <w:vAlign w:val="bottom"/>
            <w:shd w:val="clear" w:color="auto" w:fill="DCDDDE"/>
          </w:tcPr>
          <w:p>
            <w:pPr>
              <w:spacing w:after="0"/>
              <w:rPr>
                <w:sz w:val="21"/>
                <w:szCs w:val="21"/>
                <w:color w:val="auto"/>
              </w:rPr>
            </w:pPr>
          </w:p>
        </w:tc>
        <w:tc>
          <w:tcPr>
            <w:tcW w:w="880" w:type="dxa"/>
            <w:vAlign w:val="bottom"/>
            <w:shd w:val="clear" w:color="auto" w:fill="DCDDDE"/>
          </w:tcPr>
          <w:p>
            <w:pPr>
              <w:spacing w:after="0"/>
              <w:rPr>
                <w:sz w:val="21"/>
                <w:szCs w:val="21"/>
                <w:color w:val="auto"/>
              </w:rPr>
            </w:pPr>
          </w:p>
        </w:tc>
        <w:tc>
          <w:tcPr>
            <w:tcW w:w="860" w:type="dxa"/>
            <w:vAlign w:val="bottom"/>
            <w:shd w:val="clear" w:color="auto" w:fill="DCDDDE"/>
          </w:tcPr>
          <w:p>
            <w:pPr>
              <w:spacing w:after="0"/>
              <w:rPr>
                <w:sz w:val="21"/>
                <w:szCs w:val="21"/>
                <w:color w:val="auto"/>
              </w:rPr>
            </w:pPr>
          </w:p>
        </w:tc>
        <w:tc>
          <w:tcPr>
            <w:tcW w:w="1620" w:type="dxa"/>
            <w:vAlign w:val="bottom"/>
            <w:shd w:val="clear" w:color="auto" w:fill="DCDDDE"/>
          </w:tcPr>
          <w:p>
            <w:pPr>
              <w:spacing w:after="0"/>
              <w:rPr>
                <w:sz w:val="21"/>
                <w:szCs w:val="21"/>
                <w:color w:val="auto"/>
              </w:rPr>
            </w:pPr>
          </w:p>
        </w:tc>
        <w:tc>
          <w:tcPr>
            <w:tcW w:w="720" w:type="dxa"/>
            <w:vAlign w:val="bottom"/>
            <w:shd w:val="clear" w:color="auto" w:fill="DCDDDE"/>
          </w:tcPr>
          <w:p>
            <w:pPr>
              <w:spacing w:after="0"/>
              <w:rPr>
                <w:sz w:val="21"/>
                <w:szCs w:val="21"/>
                <w:color w:val="auto"/>
              </w:rPr>
            </w:pPr>
          </w:p>
        </w:tc>
      </w:tr>
      <w:tr>
        <w:trPr>
          <w:trHeight w:val="299"/>
        </w:trPr>
        <w:tc>
          <w:tcPr>
            <w:tcW w:w="1100" w:type="dxa"/>
            <w:vAlign w:val="bottom"/>
          </w:tcPr>
          <w:p>
            <w:pPr>
              <w:spacing w:after="0"/>
              <w:rPr>
                <w:sz w:val="20"/>
                <w:szCs w:val="20"/>
                <w:color w:val="auto"/>
              </w:rPr>
            </w:pPr>
            <w:r>
              <w:rPr>
                <w:rFonts w:ascii="Arial" w:cs="Arial" w:eastAsia="Arial" w:hAnsi="Arial"/>
                <w:sz w:val="16"/>
                <w:szCs w:val="16"/>
                <w:color w:val="auto"/>
              </w:rPr>
              <w:t>Bramman</w:t>
            </w:r>
          </w:p>
        </w:tc>
        <w:tc>
          <w:tcPr>
            <w:tcW w:w="102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3/5/2019</w:t>
            </w:r>
          </w:p>
        </w:tc>
        <w:tc>
          <w:tcPr>
            <w:tcW w:w="84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61,777</w:t>
            </w:r>
          </w:p>
        </w:tc>
        <w:tc>
          <w:tcPr>
            <w:tcW w:w="1160" w:type="dxa"/>
            <w:vAlign w:val="bottom"/>
            <w:tcBorders>
              <w:bottom w:val="single" w:sz="8" w:color="DCDDDE"/>
            </w:tcBorders>
            <w:shd w:val="clear" w:color="auto" w:fill="DCDDDE"/>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CDDDE"/>
            </w:tcBorders>
            <w:shd w:val="clear" w:color="auto" w:fill="DCDDDE"/>
          </w:tcPr>
          <w:p>
            <w:pPr>
              <w:ind w:left="4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45.33</w:t>
            </w:r>
          </w:p>
        </w:tc>
        <w:tc>
          <w:tcPr>
            <w:tcW w:w="1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3/5/2029</w:t>
            </w:r>
          </w:p>
        </w:tc>
        <w:tc>
          <w:tcPr>
            <w:tcW w:w="88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5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747"/>
        </w:trPr>
        <w:tc>
          <w:tcPr>
            <w:tcW w:w="1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 Proxy Statement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r>
      <w:tr>
        <w:trPr>
          <w:trHeight w:val="394"/>
        </w:trPr>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-393700</wp:posOffset>
            </wp:positionV>
            <wp:extent cx="1019810" cy="1200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ectPr>
          <w:pgSz w:w="11900" w:h="16838" w:orient="portrait"/>
          <w:cols w:equalWidth="0" w:num="1">
            <w:col w:w="10880"/>
          </w:cols>
          <w:pgMar w:left="500" w:top="270" w:right="519" w:bottom="919"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Number of Securities Underlying Unexercised Options: Unexercisable</w:t>
      </w:r>
    </w:p>
    <w:p>
      <w:pPr>
        <w:spacing w:after="0" w:line="10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shows the grant date, vesting schedule and expiration date for all unvested stock options as of the fiscal year ended January 28, 2023. On March 5, 2019, Erik Nordstrom and Peter Nordstrom received a stock option grant with a four-year vesting schedule of 25% per year. On March 5, 2019, Kenneth Worzel and Anne Bramman also received a stock option grant with a four-year vesting schedule of 50% on March 10, 2022 and 50% on March 10, 2023. Anne Bramman forfeited the unvested portion of her award upon her separation on December 2, 2022, and had 61,777 exercisable stock options as of the end of fiscal year 2022. On March 4, 2021, Erik Nordstrom and Peter Nordstrom each received a stock option grant that vests 50% on March 10, 2024 and 50% on March 10, 2025 subject to the condition that the average daily closing price of our Common Stock meets or exceeds $45 per share for any twenty consecutive trading day period prior to March 10, 2025. On March 4, 2021, Michael Maher, Kenneth Worzel and Alexis DePree also received a stock option grant that vests 50% on March 10, 2024 and 50% on March 10, 2025, and is not subject to a price condition for vesting.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 Date</w:t>
            </w:r>
          </w:p>
        </w:tc>
        <w:tc>
          <w:tcPr>
            <w:tcW w:w="7380" w:type="dxa"/>
            <w:vAlign w:val="bottom"/>
          </w:tcPr>
          <w:p>
            <w:pPr>
              <w:ind w:left="260"/>
              <w:spacing w:after="0"/>
              <w:rPr>
                <w:sz w:val="20"/>
                <w:szCs w:val="20"/>
                <w:color w:val="auto"/>
              </w:rPr>
            </w:pPr>
            <w:r>
              <w:rPr>
                <w:rFonts w:ascii="Arial" w:cs="Arial" w:eastAsia="Arial" w:hAnsi="Arial"/>
                <w:sz w:val="16"/>
                <w:szCs w:val="16"/>
                <w:b w:val="1"/>
                <w:bCs w:val="1"/>
                <w:color w:val="auto"/>
              </w:rPr>
              <w:t>Vesting Schedule</w:t>
            </w:r>
          </w:p>
        </w:tc>
        <w:tc>
          <w:tcPr>
            <w:tcW w:w="2340" w:type="dxa"/>
            <w:vAlign w:val="bottom"/>
          </w:tcPr>
          <w:p>
            <w:pPr>
              <w:jc w:val="right"/>
              <w:ind w:right="19"/>
              <w:spacing w:after="0"/>
              <w:rPr>
                <w:sz w:val="20"/>
                <w:szCs w:val="20"/>
                <w:color w:val="auto"/>
              </w:rPr>
            </w:pPr>
            <w:r>
              <w:rPr>
                <w:rFonts w:ascii="Arial" w:cs="Arial" w:eastAsia="Arial" w:hAnsi="Arial"/>
                <w:sz w:val="16"/>
                <w:szCs w:val="16"/>
                <w:b w:val="1"/>
                <w:bCs w:val="1"/>
                <w:color w:val="auto"/>
              </w:rPr>
              <w:t>Expiration Date</w:t>
            </w:r>
          </w:p>
        </w:tc>
      </w:tr>
      <w:tr>
        <w:trPr>
          <w:trHeight w:val="21"/>
        </w:trPr>
        <w:tc>
          <w:tcPr>
            <w:tcW w:w="1160" w:type="dxa"/>
            <w:vAlign w:val="bottom"/>
            <w:tcBorders>
              <w:bottom w:val="single" w:sz="8" w:color="auto"/>
            </w:tcBorders>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57"/>
        </w:trPr>
        <w:tc>
          <w:tcPr>
            <w:tcW w:w="1160" w:type="dxa"/>
            <w:vAlign w:val="bottom"/>
            <w:tcBorders>
              <w:bottom w:val="single" w:sz="8" w:color="DCDDDE"/>
            </w:tcBorders>
            <w:shd w:val="clear" w:color="auto" w:fill="DCDDDE"/>
          </w:tcPr>
          <w:p>
            <w:pPr>
              <w:jc w:val="right"/>
              <w:ind w:right="439"/>
              <w:spacing w:after="0"/>
              <w:rPr>
                <w:sz w:val="20"/>
                <w:szCs w:val="20"/>
                <w:color w:val="auto"/>
              </w:rPr>
            </w:pPr>
            <w:r>
              <w:rPr>
                <w:rFonts w:ascii="Arial" w:cs="Arial" w:eastAsia="Arial" w:hAnsi="Arial"/>
                <w:sz w:val="16"/>
                <w:szCs w:val="16"/>
                <w:color w:val="auto"/>
                <w:w w:val="99"/>
              </w:rPr>
              <w:t>3/5/2019</w:t>
            </w:r>
          </w:p>
        </w:tc>
        <w:tc>
          <w:tcPr>
            <w:tcW w:w="7380" w:type="dxa"/>
            <w:vAlign w:val="bottom"/>
            <w:tcBorders>
              <w:bottom w:val="single" w:sz="8" w:color="DCDDDE"/>
            </w:tcBorders>
            <w:shd w:val="clear" w:color="auto" w:fill="DCDDDE"/>
          </w:tcPr>
          <w:p>
            <w:pPr>
              <w:ind w:left="260"/>
              <w:spacing w:after="0"/>
              <w:rPr>
                <w:sz w:val="20"/>
                <w:szCs w:val="20"/>
                <w:color w:val="auto"/>
              </w:rPr>
            </w:pPr>
            <w:r>
              <w:rPr>
                <w:rFonts w:ascii="Arial" w:cs="Arial" w:eastAsia="Arial" w:hAnsi="Arial"/>
                <w:sz w:val="16"/>
                <w:szCs w:val="16"/>
                <w:color w:val="auto"/>
              </w:rPr>
              <w:t>25% per year with a remaining vesting date of 3/10/2023</w:t>
            </w:r>
          </w:p>
        </w:tc>
        <w:tc>
          <w:tcPr>
            <w:tcW w:w="23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3/5/2029</w:t>
            </w:r>
          </w:p>
        </w:tc>
      </w:tr>
      <w:tr>
        <w:trPr>
          <w:trHeight w:val="228"/>
        </w:trPr>
        <w:tc>
          <w:tcPr>
            <w:tcW w:w="1160" w:type="dxa"/>
            <w:vAlign w:val="bottom"/>
          </w:tcPr>
          <w:p>
            <w:pPr>
              <w:jc w:val="right"/>
              <w:ind w:right="439"/>
              <w:spacing w:after="0"/>
              <w:rPr>
                <w:sz w:val="20"/>
                <w:szCs w:val="20"/>
                <w:color w:val="auto"/>
              </w:rPr>
            </w:pPr>
            <w:r>
              <w:rPr>
                <w:rFonts w:ascii="Arial" w:cs="Arial" w:eastAsia="Arial" w:hAnsi="Arial"/>
                <w:sz w:val="16"/>
                <w:szCs w:val="16"/>
                <w:color w:val="auto"/>
                <w:w w:val="99"/>
              </w:rPr>
              <w:t>3/5/2019</w:t>
            </w:r>
          </w:p>
        </w:tc>
        <w:tc>
          <w:tcPr>
            <w:tcW w:w="7380" w:type="dxa"/>
            <w:vAlign w:val="bottom"/>
          </w:tcPr>
          <w:p>
            <w:pPr>
              <w:ind w:left="260"/>
              <w:spacing w:after="0"/>
              <w:rPr>
                <w:sz w:val="20"/>
                <w:szCs w:val="20"/>
                <w:color w:val="auto"/>
              </w:rPr>
            </w:pPr>
            <w:r>
              <w:rPr>
                <w:rFonts w:ascii="Arial" w:cs="Arial" w:eastAsia="Arial" w:hAnsi="Arial"/>
                <w:sz w:val="16"/>
                <w:szCs w:val="16"/>
                <w:color w:val="auto"/>
              </w:rPr>
              <w:t>50% on 3/10/2022 and 50% on 3/10/2023 with a remaining vesting date of 3/10/2023</w:t>
            </w: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3/5/2029*</w:t>
            </w:r>
          </w:p>
        </w:tc>
      </w:tr>
      <w:tr>
        <w:trPr>
          <w:trHeight w:val="56"/>
        </w:trPr>
        <w:tc>
          <w:tcPr>
            <w:tcW w:w="1160" w:type="dxa"/>
            <w:vAlign w:val="bottom"/>
          </w:tcPr>
          <w:p>
            <w:pPr>
              <w:spacing w:after="0"/>
              <w:rPr>
                <w:sz w:val="4"/>
                <w:szCs w:val="4"/>
                <w:color w:val="auto"/>
              </w:rPr>
            </w:pPr>
          </w:p>
        </w:tc>
        <w:tc>
          <w:tcPr>
            <w:tcW w:w="738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263"/>
        </w:trPr>
        <w:tc>
          <w:tcPr>
            <w:tcW w:w="1160" w:type="dxa"/>
            <w:vAlign w:val="bottom"/>
            <w:tcBorders>
              <w:bottom w:val="single" w:sz="8" w:color="DCDDDE"/>
            </w:tcBorders>
            <w:shd w:val="clear" w:color="auto" w:fill="DCDDDE"/>
          </w:tcPr>
          <w:p>
            <w:pPr>
              <w:jc w:val="right"/>
              <w:ind w:right="439"/>
              <w:spacing w:after="0"/>
              <w:rPr>
                <w:sz w:val="20"/>
                <w:szCs w:val="20"/>
                <w:color w:val="auto"/>
              </w:rPr>
            </w:pPr>
            <w:r>
              <w:rPr>
                <w:rFonts w:ascii="Arial" w:cs="Arial" w:eastAsia="Arial" w:hAnsi="Arial"/>
                <w:sz w:val="16"/>
                <w:szCs w:val="16"/>
                <w:color w:val="auto"/>
                <w:w w:val="99"/>
              </w:rPr>
              <w:t>3/9/2020</w:t>
            </w:r>
          </w:p>
        </w:tc>
        <w:tc>
          <w:tcPr>
            <w:tcW w:w="7380" w:type="dxa"/>
            <w:vAlign w:val="bottom"/>
            <w:tcBorders>
              <w:bottom w:val="single" w:sz="8" w:color="DCDDDE"/>
            </w:tcBorders>
            <w:shd w:val="clear" w:color="auto" w:fill="DCDDDE"/>
          </w:tcPr>
          <w:p>
            <w:pPr>
              <w:ind w:left="260"/>
              <w:spacing w:after="0"/>
              <w:rPr>
                <w:sz w:val="20"/>
                <w:szCs w:val="20"/>
                <w:color w:val="auto"/>
              </w:rPr>
            </w:pPr>
            <w:r>
              <w:rPr>
                <w:rFonts w:ascii="Arial" w:cs="Arial" w:eastAsia="Arial" w:hAnsi="Arial"/>
                <w:sz w:val="16"/>
                <w:szCs w:val="16"/>
                <w:color w:val="auto"/>
              </w:rPr>
              <w:t>25% per year with remaining vesting dates of 3/10/2023 and 3/10/2024</w:t>
            </w:r>
          </w:p>
        </w:tc>
        <w:tc>
          <w:tcPr>
            <w:tcW w:w="23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3/9/2030</w:t>
            </w:r>
          </w:p>
        </w:tc>
      </w:tr>
      <w:tr>
        <w:trPr>
          <w:trHeight w:val="227"/>
        </w:trPr>
        <w:tc>
          <w:tcPr>
            <w:tcW w:w="1160" w:type="dxa"/>
            <w:vAlign w:val="bottom"/>
          </w:tcPr>
          <w:p>
            <w:pPr>
              <w:jc w:val="right"/>
              <w:ind w:right="439"/>
              <w:spacing w:after="0"/>
              <w:rPr>
                <w:sz w:val="20"/>
                <w:szCs w:val="20"/>
                <w:color w:val="auto"/>
              </w:rPr>
            </w:pPr>
            <w:r>
              <w:rPr>
                <w:rFonts w:ascii="Arial" w:cs="Arial" w:eastAsia="Arial" w:hAnsi="Arial"/>
                <w:sz w:val="16"/>
                <w:szCs w:val="16"/>
                <w:color w:val="auto"/>
                <w:w w:val="99"/>
              </w:rPr>
              <w:t>3/4/2021</w:t>
            </w:r>
          </w:p>
        </w:tc>
        <w:tc>
          <w:tcPr>
            <w:tcW w:w="7380" w:type="dxa"/>
            <w:vAlign w:val="bottom"/>
          </w:tcPr>
          <w:p>
            <w:pPr>
              <w:ind w:left="260"/>
              <w:spacing w:after="0"/>
              <w:rPr>
                <w:sz w:val="20"/>
                <w:szCs w:val="20"/>
                <w:color w:val="auto"/>
              </w:rPr>
            </w:pPr>
            <w:r>
              <w:rPr>
                <w:rFonts w:ascii="Arial" w:cs="Arial" w:eastAsia="Arial" w:hAnsi="Arial"/>
                <w:sz w:val="16"/>
                <w:szCs w:val="16"/>
                <w:color w:val="auto"/>
              </w:rPr>
              <w:t>50% on 3/10/2024 and 50% on 3/10/2025</w:t>
            </w: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3/4/2031</w:t>
            </w:r>
          </w:p>
        </w:tc>
      </w:tr>
      <w:tr>
        <w:trPr>
          <w:trHeight w:val="56"/>
        </w:trPr>
        <w:tc>
          <w:tcPr>
            <w:tcW w:w="1160" w:type="dxa"/>
            <w:vAlign w:val="bottom"/>
          </w:tcPr>
          <w:p>
            <w:pPr>
              <w:spacing w:after="0"/>
              <w:rPr>
                <w:sz w:val="4"/>
                <w:szCs w:val="4"/>
                <w:color w:val="auto"/>
              </w:rPr>
            </w:pPr>
          </w:p>
        </w:tc>
        <w:tc>
          <w:tcPr>
            <w:tcW w:w="738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263"/>
        </w:trPr>
        <w:tc>
          <w:tcPr>
            <w:tcW w:w="1160" w:type="dxa"/>
            <w:vAlign w:val="bottom"/>
            <w:tcBorders>
              <w:bottom w:val="single" w:sz="8" w:color="DCDDDE"/>
            </w:tcBorders>
            <w:shd w:val="clear" w:color="auto" w:fill="DCDDDE"/>
          </w:tcPr>
          <w:p>
            <w:pPr>
              <w:jc w:val="right"/>
              <w:ind w:right="439"/>
              <w:spacing w:after="0"/>
              <w:rPr>
                <w:sz w:val="20"/>
                <w:szCs w:val="20"/>
                <w:color w:val="auto"/>
              </w:rPr>
            </w:pPr>
            <w:r>
              <w:rPr>
                <w:rFonts w:ascii="Arial" w:cs="Arial" w:eastAsia="Arial" w:hAnsi="Arial"/>
                <w:sz w:val="16"/>
                <w:szCs w:val="16"/>
                <w:color w:val="auto"/>
                <w:w w:val="99"/>
              </w:rPr>
              <w:t>3/3/2022</w:t>
            </w:r>
          </w:p>
        </w:tc>
        <w:tc>
          <w:tcPr>
            <w:tcW w:w="7380" w:type="dxa"/>
            <w:vAlign w:val="bottom"/>
            <w:tcBorders>
              <w:bottom w:val="single" w:sz="8" w:color="DCDDDE"/>
            </w:tcBorders>
            <w:shd w:val="clear" w:color="auto" w:fill="DCDDDE"/>
          </w:tcPr>
          <w:p>
            <w:pPr>
              <w:ind w:left="260"/>
              <w:spacing w:after="0"/>
              <w:rPr>
                <w:sz w:val="20"/>
                <w:szCs w:val="20"/>
                <w:color w:val="auto"/>
              </w:rPr>
            </w:pPr>
            <w:r>
              <w:rPr>
                <w:rFonts w:ascii="Arial" w:cs="Arial" w:eastAsia="Arial" w:hAnsi="Arial"/>
                <w:sz w:val="16"/>
                <w:szCs w:val="16"/>
                <w:color w:val="auto"/>
              </w:rPr>
              <w:t>50% on 3/10/2025 and 50% on 3/10/2026</w:t>
            </w:r>
          </w:p>
        </w:tc>
        <w:tc>
          <w:tcPr>
            <w:tcW w:w="23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3/3/2032</w:t>
            </w:r>
          </w:p>
        </w:tc>
      </w:tr>
      <w:tr>
        <w:trPr>
          <w:trHeight w:val="20"/>
        </w:trPr>
        <w:tc>
          <w:tcPr>
            <w:tcW w:w="1160" w:type="dxa"/>
            <w:vAlign w:val="bottom"/>
            <w:shd w:val="clear" w:color="auto" w:fill="000000"/>
          </w:tcPr>
          <w:p>
            <w:pPr>
              <w:spacing w:after="0" w:line="20" w:lineRule="exact"/>
              <w:rPr>
                <w:sz w:val="1"/>
                <w:szCs w:val="1"/>
                <w:color w:val="auto"/>
              </w:rPr>
            </w:pPr>
          </w:p>
        </w:tc>
        <w:tc>
          <w:tcPr>
            <w:tcW w:w="738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expiration date for Anne Bramman’s grant is March 12, 2023, 100 days after her separation.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Number of Shares or Units of Stock That Have Not Vested</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shows the grant date and vesting schedule for all unvested RSUs as of the fiscal year ended January 28, 2023. On March 9, 2020, Michael Maher, Kenneth Worzel and Alexis DePree received a RSU grant with a four-year vesting schedule of 25% per year. On March 9, 2020, Alexis DePree received an additional RSU grant with a three-year vesting schedule of 33% in years one and two and 34% in the final year.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Grant Date</w:t>
            </w:r>
          </w:p>
        </w:tc>
        <w:tc>
          <w:tcPr>
            <w:tcW w:w="9720" w:type="dxa"/>
            <w:vAlign w:val="bottom"/>
          </w:tcPr>
          <w:p>
            <w:pPr>
              <w:ind w:left="260"/>
              <w:spacing w:after="0"/>
              <w:rPr>
                <w:sz w:val="20"/>
                <w:szCs w:val="20"/>
                <w:color w:val="auto"/>
              </w:rPr>
            </w:pPr>
            <w:r>
              <w:rPr>
                <w:rFonts w:ascii="Arial" w:cs="Arial" w:eastAsia="Arial" w:hAnsi="Arial"/>
                <w:sz w:val="16"/>
                <w:szCs w:val="16"/>
                <w:b w:val="1"/>
                <w:bCs w:val="1"/>
                <w:color w:val="auto"/>
              </w:rPr>
              <w:t>Vesting Schedule</w:t>
            </w:r>
          </w:p>
        </w:tc>
      </w:tr>
      <w:tr>
        <w:trPr>
          <w:trHeight w:val="21"/>
        </w:trPr>
        <w:tc>
          <w:tcPr>
            <w:tcW w:w="1160" w:type="dxa"/>
            <w:vAlign w:val="bottom"/>
            <w:tcBorders>
              <w:bottom w:val="single" w:sz="8" w:color="auto"/>
            </w:tcBorders>
          </w:tcPr>
          <w:p>
            <w:pPr>
              <w:spacing w:after="0" w:line="20" w:lineRule="exact"/>
              <w:rPr>
                <w:sz w:val="1"/>
                <w:szCs w:val="1"/>
                <w:color w:val="auto"/>
              </w:rPr>
            </w:pPr>
          </w:p>
        </w:tc>
        <w:tc>
          <w:tcPr>
            <w:tcW w:w="9720" w:type="dxa"/>
            <w:vAlign w:val="bottom"/>
            <w:tcBorders>
              <w:bottom w:val="single" w:sz="8" w:color="auto"/>
            </w:tcBorders>
          </w:tcPr>
          <w:p>
            <w:pPr>
              <w:spacing w:after="0" w:line="20" w:lineRule="exact"/>
              <w:rPr>
                <w:sz w:val="1"/>
                <w:szCs w:val="1"/>
                <w:color w:val="auto"/>
              </w:rPr>
            </w:pPr>
          </w:p>
        </w:tc>
      </w:tr>
      <w:tr>
        <w:trPr>
          <w:trHeight w:val="257"/>
        </w:trPr>
        <w:tc>
          <w:tcPr>
            <w:tcW w:w="1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6"/>
                <w:szCs w:val="16"/>
                <w:color w:val="auto"/>
              </w:rPr>
              <w:t>3/5/2019</w:t>
            </w:r>
          </w:p>
        </w:tc>
        <w:tc>
          <w:tcPr>
            <w:tcW w:w="9720" w:type="dxa"/>
            <w:vAlign w:val="bottom"/>
            <w:tcBorders>
              <w:bottom w:val="single" w:sz="8" w:color="DCDDDE"/>
            </w:tcBorders>
            <w:shd w:val="clear" w:color="auto" w:fill="DCDDDE"/>
          </w:tcPr>
          <w:p>
            <w:pPr>
              <w:ind w:left="260"/>
              <w:spacing w:after="0"/>
              <w:rPr>
                <w:sz w:val="20"/>
                <w:szCs w:val="20"/>
                <w:color w:val="auto"/>
              </w:rPr>
            </w:pPr>
            <w:r>
              <w:rPr>
                <w:rFonts w:ascii="Arial" w:cs="Arial" w:eastAsia="Arial" w:hAnsi="Arial"/>
                <w:sz w:val="16"/>
                <w:szCs w:val="16"/>
                <w:color w:val="auto"/>
              </w:rPr>
              <w:t>25% per year with a remaining vesting date of 3/10/2023</w:t>
            </w:r>
          </w:p>
        </w:tc>
      </w:tr>
      <w:tr>
        <w:trPr>
          <w:trHeight w:val="228"/>
        </w:trPr>
        <w:tc>
          <w:tcPr>
            <w:tcW w:w="1160" w:type="dxa"/>
            <w:vAlign w:val="bottom"/>
          </w:tcPr>
          <w:p>
            <w:pPr>
              <w:spacing w:after="0"/>
              <w:rPr>
                <w:sz w:val="20"/>
                <w:szCs w:val="20"/>
                <w:color w:val="auto"/>
              </w:rPr>
            </w:pPr>
            <w:r>
              <w:rPr>
                <w:rFonts w:ascii="Arial" w:cs="Arial" w:eastAsia="Arial" w:hAnsi="Arial"/>
                <w:sz w:val="16"/>
                <w:szCs w:val="16"/>
                <w:color w:val="auto"/>
              </w:rPr>
              <w:t>3/9/2020</w:t>
            </w:r>
          </w:p>
        </w:tc>
        <w:tc>
          <w:tcPr>
            <w:tcW w:w="9720" w:type="dxa"/>
            <w:vAlign w:val="bottom"/>
          </w:tcPr>
          <w:p>
            <w:pPr>
              <w:ind w:left="260"/>
              <w:spacing w:after="0"/>
              <w:rPr>
                <w:sz w:val="20"/>
                <w:szCs w:val="20"/>
                <w:color w:val="auto"/>
              </w:rPr>
            </w:pPr>
            <w:r>
              <w:rPr>
                <w:rFonts w:ascii="Arial" w:cs="Arial" w:eastAsia="Arial" w:hAnsi="Arial"/>
                <w:sz w:val="16"/>
                <w:szCs w:val="16"/>
                <w:color w:val="auto"/>
              </w:rPr>
              <w:t>25% per year with remaining vesting dates of 3/10/2023 and 3/10/2024</w:t>
            </w:r>
          </w:p>
        </w:tc>
      </w:tr>
      <w:tr>
        <w:trPr>
          <w:trHeight w:val="56"/>
        </w:trPr>
        <w:tc>
          <w:tcPr>
            <w:tcW w:w="1160" w:type="dxa"/>
            <w:vAlign w:val="bottom"/>
          </w:tcPr>
          <w:p>
            <w:pPr>
              <w:spacing w:after="0"/>
              <w:rPr>
                <w:sz w:val="4"/>
                <w:szCs w:val="4"/>
                <w:color w:val="auto"/>
              </w:rPr>
            </w:pPr>
          </w:p>
        </w:tc>
        <w:tc>
          <w:tcPr>
            <w:tcW w:w="9720" w:type="dxa"/>
            <w:vAlign w:val="bottom"/>
          </w:tcPr>
          <w:p>
            <w:pPr>
              <w:spacing w:after="0"/>
              <w:rPr>
                <w:sz w:val="4"/>
                <w:szCs w:val="4"/>
                <w:color w:val="auto"/>
              </w:rPr>
            </w:pPr>
          </w:p>
        </w:tc>
      </w:tr>
      <w:tr>
        <w:trPr>
          <w:trHeight w:val="263"/>
        </w:trPr>
        <w:tc>
          <w:tcPr>
            <w:tcW w:w="1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6"/>
                <w:szCs w:val="16"/>
                <w:color w:val="auto"/>
              </w:rPr>
              <w:t>3/9/2020</w:t>
            </w:r>
          </w:p>
        </w:tc>
        <w:tc>
          <w:tcPr>
            <w:tcW w:w="9720" w:type="dxa"/>
            <w:vAlign w:val="bottom"/>
            <w:tcBorders>
              <w:bottom w:val="single" w:sz="8" w:color="DCDDDE"/>
            </w:tcBorders>
            <w:shd w:val="clear" w:color="auto" w:fill="DCDDDE"/>
          </w:tcPr>
          <w:p>
            <w:pPr>
              <w:ind w:left="260"/>
              <w:spacing w:after="0"/>
              <w:rPr>
                <w:sz w:val="20"/>
                <w:szCs w:val="20"/>
                <w:color w:val="auto"/>
              </w:rPr>
            </w:pPr>
            <w:r>
              <w:rPr>
                <w:rFonts w:ascii="Arial" w:cs="Arial" w:eastAsia="Arial" w:hAnsi="Arial"/>
                <w:sz w:val="16"/>
                <w:szCs w:val="16"/>
                <w:color w:val="auto"/>
              </w:rPr>
              <w:t>33% in years one and two and 34% in the final year with a remaining vesting date of 3/10/2023</w:t>
            </w:r>
          </w:p>
        </w:tc>
      </w:tr>
      <w:tr>
        <w:trPr>
          <w:trHeight w:val="228"/>
        </w:trPr>
        <w:tc>
          <w:tcPr>
            <w:tcW w:w="1160" w:type="dxa"/>
            <w:vAlign w:val="bottom"/>
          </w:tcPr>
          <w:p>
            <w:pPr>
              <w:spacing w:after="0"/>
              <w:rPr>
                <w:sz w:val="20"/>
                <w:szCs w:val="20"/>
                <w:color w:val="auto"/>
              </w:rPr>
            </w:pPr>
            <w:r>
              <w:rPr>
                <w:rFonts w:ascii="Arial" w:cs="Arial" w:eastAsia="Arial" w:hAnsi="Arial"/>
                <w:sz w:val="16"/>
                <w:szCs w:val="16"/>
                <w:color w:val="auto"/>
              </w:rPr>
              <w:t>8/27/2020</w:t>
            </w:r>
          </w:p>
        </w:tc>
        <w:tc>
          <w:tcPr>
            <w:tcW w:w="9720" w:type="dxa"/>
            <w:vAlign w:val="bottom"/>
          </w:tcPr>
          <w:p>
            <w:pPr>
              <w:ind w:left="260"/>
              <w:spacing w:after="0"/>
              <w:rPr>
                <w:sz w:val="20"/>
                <w:szCs w:val="20"/>
                <w:color w:val="auto"/>
              </w:rPr>
            </w:pPr>
            <w:r>
              <w:rPr>
                <w:rFonts w:ascii="Arial" w:cs="Arial" w:eastAsia="Arial" w:hAnsi="Arial"/>
                <w:sz w:val="16"/>
                <w:szCs w:val="16"/>
                <w:color w:val="auto"/>
              </w:rPr>
              <w:t>25% on 3/10/2021, 3/10/2022, 3/10/2023 and 3/10/2024, with remaining vesting dates of 3/10/2023 and 3/10/2024</w:t>
            </w:r>
          </w:p>
        </w:tc>
      </w:tr>
      <w:tr>
        <w:trPr>
          <w:trHeight w:val="56"/>
        </w:trPr>
        <w:tc>
          <w:tcPr>
            <w:tcW w:w="1160" w:type="dxa"/>
            <w:vAlign w:val="bottom"/>
          </w:tcPr>
          <w:p>
            <w:pPr>
              <w:spacing w:after="0"/>
              <w:rPr>
                <w:sz w:val="4"/>
                <w:szCs w:val="4"/>
                <w:color w:val="auto"/>
              </w:rPr>
            </w:pPr>
          </w:p>
        </w:tc>
        <w:tc>
          <w:tcPr>
            <w:tcW w:w="9720" w:type="dxa"/>
            <w:vAlign w:val="bottom"/>
          </w:tcPr>
          <w:p>
            <w:pPr>
              <w:spacing w:after="0"/>
              <w:rPr>
                <w:sz w:val="4"/>
                <w:szCs w:val="4"/>
                <w:color w:val="auto"/>
              </w:rPr>
            </w:pPr>
          </w:p>
        </w:tc>
      </w:tr>
      <w:tr>
        <w:trPr>
          <w:trHeight w:val="263"/>
        </w:trPr>
        <w:tc>
          <w:tcPr>
            <w:tcW w:w="1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6"/>
                <w:szCs w:val="16"/>
                <w:color w:val="auto"/>
              </w:rPr>
              <w:t>3/4/2021</w:t>
            </w:r>
          </w:p>
        </w:tc>
        <w:tc>
          <w:tcPr>
            <w:tcW w:w="9720" w:type="dxa"/>
            <w:vAlign w:val="bottom"/>
            <w:tcBorders>
              <w:bottom w:val="single" w:sz="8" w:color="DCDDDE"/>
            </w:tcBorders>
            <w:shd w:val="clear" w:color="auto" w:fill="DCDDDE"/>
          </w:tcPr>
          <w:p>
            <w:pPr>
              <w:ind w:left="260"/>
              <w:spacing w:after="0"/>
              <w:rPr>
                <w:sz w:val="20"/>
                <w:szCs w:val="20"/>
                <w:color w:val="auto"/>
              </w:rPr>
            </w:pPr>
            <w:r>
              <w:rPr>
                <w:rFonts w:ascii="Arial" w:cs="Arial" w:eastAsia="Arial" w:hAnsi="Arial"/>
                <w:sz w:val="16"/>
                <w:szCs w:val="16"/>
                <w:color w:val="auto"/>
              </w:rPr>
              <w:t>25% per year with remaining vesting dates of 3/10/2023, 3/10/2024 and 3/10/2025</w:t>
            </w:r>
          </w:p>
        </w:tc>
      </w:tr>
      <w:tr>
        <w:trPr>
          <w:trHeight w:val="228"/>
        </w:trPr>
        <w:tc>
          <w:tcPr>
            <w:tcW w:w="1160" w:type="dxa"/>
            <w:vAlign w:val="bottom"/>
          </w:tcPr>
          <w:p>
            <w:pPr>
              <w:spacing w:after="0"/>
              <w:rPr>
                <w:sz w:val="20"/>
                <w:szCs w:val="20"/>
                <w:color w:val="auto"/>
              </w:rPr>
            </w:pPr>
            <w:r>
              <w:rPr>
                <w:rFonts w:ascii="Arial" w:cs="Arial" w:eastAsia="Arial" w:hAnsi="Arial"/>
                <w:sz w:val="16"/>
                <w:szCs w:val="16"/>
                <w:color w:val="auto"/>
              </w:rPr>
              <w:t>3/3/2022</w:t>
            </w:r>
          </w:p>
        </w:tc>
        <w:tc>
          <w:tcPr>
            <w:tcW w:w="9720" w:type="dxa"/>
            <w:vAlign w:val="bottom"/>
          </w:tcPr>
          <w:p>
            <w:pPr>
              <w:ind w:left="260"/>
              <w:spacing w:after="0"/>
              <w:rPr>
                <w:sz w:val="20"/>
                <w:szCs w:val="20"/>
                <w:color w:val="auto"/>
              </w:rPr>
            </w:pPr>
            <w:r>
              <w:rPr>
                <w:rFonts w:ascii="Arial" w:cs="Arial" w:eastAsia="Arial" w:hAnsi="Arial"/>
                <w:sz w:val="16"/>
                <w:szCs w:val="16"/>
                <w:color w:val="auto"/>
              </w:rPr>
              <w:t>25% per year with remaining vesting dates of 3/10/2023, 3/10/2024, 3/10/2025 and 3/10/2026</w:t>
            </w:r>
          </w:p>
        </w:tc>
      </w:tr>
      <w:tr>
        <w:trPr>
          <w:trHeight w:val="56"/>
        </w:trPr>
        <w:tc>
          <w:tcPr>
            <w:tcW w:w="1160" w:type="dxa"/>
            <w:vAlign w:val="bottom"/>
          </w:tcPr>
          <w:p>
            <w:pPr>
              <w:spacing w:after="0"/>
              <w:rPr>
                <w:sz w:val="4"/>
                <w:szCs w:val="4"/>
                <w:color w:val="auto"/>
              </w:rPr>
            </w:pPr>
          </w:p>
        </w:tc>
        <w:tc>
          <w:tcPr>
            <w:tcW w:w="9720" w:type="dxa"/>
            <w:vAlign w:val="bottom"/>
          </w:tcPr>
          <w:p>
            <w:pPr>
              <w:spacing w:after="0"/>
              <w:rPr>
                <w:sz w:val="4"/>
                <w:szCs w:val="4"/>
                <w:color w:val="auto"/>
              </w:rPr>
            </w:pPr>
          </w:p>
        </w:tc>
      </w:tr>
      <w:tr>
        <w:trPr>
          <w:trHeight w:val="263"/>
        </w:trPr>
        <w:tc>
          <w:tcPr>
            <w:tcW w:w="1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6"/>
                <w:szCs w:val="16"/>
                <w:color w:val="auto"/>
              </w:rPr>
              <w:t>5/26/2022</w:t>
            </w:r>
          </w:p>
        </w:tc>
        <w:tc>
          <w:tcPr>
            <w:tcW w:w="9720" w:type="dxa"/>
            <w:vAlign w:val="bottom"/>
            <w:tcBorders>
              <w:bottom w:val="single" w:sz="8" w:color="DCDDDE"/>
            </w:tcBorders>
            <w:shd w:val="clear" w:color="auto" w:fill="DCDDDE"/>
          </w:tcPr>
          <w:p>
            <w:pPr>
              <w:ind w:left="260"/>
              <w:spacing w:after="0"/>
              <w:rPr>
                <w:sz w:val="20"/>
                <w:szCs w:val="20"/>
                <w:color w:val="auto"/>
              </w:rPr>
            </w:pPr>
            <w:r>
              <w:rPr>
                <w:rFonts w:ascii="Arial" w:cs="Arial" w:eastAsia="Arial" w:hAnsi="Arial"/>
                <w:sz w:val="16"/>
                <w:szCs w:val="16"/>
                <w:color w:val="auto"/>
              </w:rPr>
              <w:t>50% on 6/10/2024 and 50% on 6/10/2025</w:t>
            </w:r>
          </w:p>
        </w:tc>
      </w:tr>
      <w:tr>
        <w:trPr>
          <w:trHeight w:val="20"/>
        </w:trPr>
        <w:tc>
          <w:tcPr>
            <w:tcW w:w="1160" w:type="dxa"/>
            <w:vAlign w:val="bottom"/>
            <w:shd w:val="clear" w:color="auto" w:fill="000000"/>
          </w:tcPr>
          <w:p>
            <w:pPr>
              <w:spacing w:after="0" w:line="20" w:lineRule="exact"/>
              <w:rPr>
                <w:sz w:val="1"/>
                <w:szCs w:val="1"/>
                <w:color w:val="auto"/>
              </w:rPr>
            </w:pPr>
          </w:p>
        </w:tc>
        <w:tc>
          <w:tcPr>
            <w:tcW w:w="97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 Equity Incentive Plan Awards: Number of Unearned Shares, Units or Other Rights That Have Not Vested</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numbers reported relate to outstanding PSUs granted in fiscal year 2022 that have time remaining in their three-year performance cycle, as discussed on page </w:t>
      </w:r>
      <w:r>
        <w:rPr>
          <w:rFonts w:ascii="Arial" w:cs="Arial" w:eastAsia="Arial" w:hAnsi="Arial"/>
          <w:sz w:val="16"/>
          <w:szCs w:val="16"/>
          <w:u w:val="single" w:color="auto"/>
          <w:color w:val="0000EE"/>
        </w:rPr>
        <w:t>42</w:t>
      </w:r>
      <w:r>
        <w:rPr>
          <w:rFonts w:ascii="Arial" w:cs="Arial" w:eastAsia="Arial" w:hAnsi="Arial"/>
          <w:sz w:val="16"/>
          <w:szCs w:val="16"/>
          <w:color w:val="auto"/>
        </w:rPr>
        <w:t>. If the performance cycle had ended on the last day of fiscal year 2022, the minimum percentage of 75% of PSUs outstanding would have been earned, which is reflected in the table.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(d) Equity Incentive Plan Awards: Market or Payout Value of Unearned Shares, Units or Other Rights That Have Not Vested</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amounts reported relate to outstanding PSUs granted in fiscal year 2022 that have time remaining in their three-year performance cycle, as discussed on page </w:t>
      </w:r>
      <w:r>
        <w:rPr>
          <w:rFonts w:ascii="Arial" w:cs="Arial" w:eastAsia="Arial" w:hAnsi="Arial"/>
          <w:sz w:val="16"/>
          <w:szCs w:val="16"/>
          <w:u w:val="single" w:color="auto"/>
          <w:color w:val="0000EE"/>
        </w:rPr>
        <w:t>42</w:t>
      </w:r>
      <w:r>
        <w:rPr>
          <w:rFonts w:ascii="Arial" w:cs="Arial" w:eastAsia="Arial" w:hAnsi="Arial"/>
          <w:sz w:val="16"/>
          <w:szCs w:val="16"/>
          <w:color w:val="auto"/>
        </w:rPr>
        <w:t>. If the performance cycle had ended on the last day of fiscal year 2022 and the PSUs vested, the minimum percentage of 75% of PSUs outstanding would have been earned at $18.42, the closing price of Common Stock on January 27, 2023, the last market trading day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327660</wp:posOffset>
            </wp:positionV>
            <wp:extent cx="1020445" cy="1289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7860"/>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Option Exercises and Stock Vested in Fiscal Year 2022</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provides information for the NEOs on the number of shares of Common Stock acquired and value realized from Options exercised and Awards that vested with respect to fiscal year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Option Awards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jc w:val="right"/>
              <w:ind w:right="1219"/>
              <w:spacing w:after="0"/>
              <w:rPr>
                <w:sz w:val="20"/>
                <w:szCs w:val="20"/>
                <w:color w:val="auto"/>
              </w:rPr>
            </w:pPr>
            <w:r>
              <w:rPr>
                <w:rFonts w:ascii="Arial" w:cs="Arial" w:eastAsia="Arial" w:hAnsi="Arial"/>
                <w:sz w:val="16"/>
                <w:szCs w:val="16"/>
                <w:b w:val="1"/>
                <w:bCs w:val="1"/>
                <w:color w:val="auto"/>
              </w:rPr>
              <w:t>Stock Awards</w:t>
            </w:r>
          </w:p>
        </w:tc>
      </w:tr>
      <w:tr>
        <w:trPr>
          <w:trHeight w:val="21"/>
        </w:trPr>
        <w:tc>
          <w:tcPr>
            <w:tcW w:w="346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8"/>
        </w:trPr>
        <w:tc>
          <w:tcPr>
            <w:tcW w:w="3460" w:type="dxa"/>
            <w:vAlign w:val="bottom"/>
          </w:tcPr>
          <w:p>
            <w:pPr>
              <w:spacing w:after="0"/>
              <w:rPr>
                <w:sz w:val="14"/>
                <w:szCs w:val="14"/>
                <w:color w:val="auto"/>
              </w:rPr>
            </w:pPr>
          </w:p>
        </w:tc>
        <w:tc>
          <w:tcPr>
            <w:tcW w:w="2420" w:type="dxa"/>
            <w:vAlign w:val="bottom"/>
          </w:tcPr>
          <w:p>
            <w:pPr>
              <w:jc w:val="right"/>
              <w:ind w:right="499"/>
              <w:spacing w:after="0" w:line="168" w:lineRule="exact"/>
              <w:rPr>
                <w:sz w:val="20"/>
                <w:szCs w:val="20"/>
                <w:color w:val="auto"/>
              </w:rPr>
            </w:pPr>
            <w:r>
              <w:rPr>
                <w:rFonts w:ascii="Arial" w:cs="Arial" w:eastAsia="Arial" w:hAnsi="Arial"/>
                <w:sz w:val="16"/>
                <w:szCs w:val="16"/>
                <w:b w:val="1"/>
                <w:bCs w:val="1"/>
                <w:color w:val="auto"/>
              </w:rPr>
              <w:t>Number of Shares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9"/>
        </w:trPr>
        <w:tc>
          <w:tcPr>
            <w:tcW w:w="3460" w:type="dxa"/>
            <w:vAlign w:val="bottom"/>
          </w:tcPr>
          <w:p>
            <w:pPr>
              <w:spacing w:after="0"/>
              <w:rPr>
                <w:sz w:val="16"/>
                <w:szCs w:val="16"/>
                <w:color w:val="auto"/>
              </w:rPr>
            </w:pPr>
          </w:p>
        </w:tc>
        <w:tc>
          <w:tcPr>
            <w:tcW w:w="2420" w:type="dxa"/>
            <w:vAlign w:val="bottom"/>
          </w:tcPr>
          <w:p>
            <w:pPr>
              <w:jc w:val="right"/>
              <w:ind w:right="499"/>
              <w:spacing w:after="0"/>
              <w:rPr>
                <w:sz w:val="20"/>
                <w:szCs w:val="20"/>
                <w:color w:val="auto"/>
              </w:rPr>
            </w:pPr>
            <w:r>
              <w:rPr>
                <w:rFonts w:ascii="Arial" w:cs="Arial" w:eastAsia="Arial" w:hAnsi="Arial"/>
                <w:sz w:val="16"/>
                <w:szCs w:val="16"/>
                <w:b w:val="1"/>
                <w:bCs w:val="1"/>
                <w:color w:val="auto"/>
              </w:rPr>
              <w:t>Acquired on</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Value Realized</w:t>
            </w:r>
          </w:p>
        </w:tc>
        <w:tc>
          <w:tcPr>
            <w:tcW w:w="2040" w:type="dxa"/>
            <w:vAlign w:val="bottom"/>
          </w:tcPr>
          <w:p>
            <w:pPr>
              <w:jc w:val="right"/>
              <w:ind w:right="119"/>
              <w:spacing w:after="0"/>
              <w:rPr>
                <w:sz w:val="20"/>
                <w:szCs w:val="20"/>
                <w:color w:val="auto"/>
              </w:rPr>
            </w:pPr>
            <w:r>
              <w:rPr>
                <w:rFonts w:ascii="Arial" w:cs="Arial" w:eastAsia="Arial" w:hAnsi="Arial"/>
                <w:sz w:val="16"/>
                <w:szCs w:val="16"/>
                <w:b w:val="1"/>
                <w:bCs w:val="1"/>
                <w:color w:val="auto"/>
              </w:rPr>
              <w:t>Number of Shares</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Value Realized on</w:t>
            </w:r>
          </w:p>
        </w:tc>
      </w:tr>
      <w:tr>
        <w:trPr>
          <w:trHeight w:val="189"/>
        </w:trPr>
        <w:tc>
          <w:tcPr>
            <w:tcW w:w="3460" w:type="dxa"/>
            <w:vAlign w:val="bottom"/>
          </w:tcPr>
          <w:p>
            <w:pPr>
              <w:spacing w:after="0"/>
              <w:rPr>
                <w:sz w:val="16"/>
                <w:szCs w:val="16"/>
                <w:color w:val="auto"/>
              </w:rPr>
            </w:pPr>
          </w:p>
        </w:tc>
        <w:tc>
          <w:tcPr>
            <w:tcW w:w="2420" w:type="dxa"/>
            <w:vAlign w:val="bottom"/>
          </w:tcPr>
          <w:p>
            <w:pPr>
              <w:jc w:val="right"/>
              <w:ind w:right="499"/>
              <w:spacing w:after="0"/>
              <w:rPr>
                <w:sz w:val="20"/>
                <w:szCs w:val="20"/>
                <w:color w:val="auto"/>
              </w:rPr>
            </w:pPr>
            <w:r>
              <w:rPr>
                <w:rFonts w:ascii="Arial" w:cs="Arial" w:eastAsia="Arial" w:hAnsi="Arial"/>
                <w:sz w:val="16"/>
                <w:szCs w:val="16"/>
                <w:b w:val="1"/>
                <w:bCs w:val="1"/>
                <w:color w:val="auto"/>
              </w:rPr>
              <w:t>Exercise</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on Exercise</w:t>
            </w:r>
          </w:p>
        </w:tc>
        <w:tc>
          <w:tcPr>
            <w:tcW w:w="2040" w:type="dxa"/>
            <w:vAlign w:val="bottom"/>
          </w:tcPr>
          <w:p>
            <w:pPr>
              <w:jc w:val="right"/>
              <w:ind w:right="119"/>
              <w:spacing w:after="0"/>
              <w:rPr>
                <w:sz w:val="20"/>
                <w:szCs w:val="20"/>
                <w:color w:val="auto"/>
              </w:rPr>
            </w:pPr>
            <w:r>
              <w:rPr>
                <w:rFonts w:ascii="Arial" w:cs="Arial" w:eastAsia="Arial" w:hAnsi="Arial"/>
                <w:sz w:val="16"/>
                <w:szCs w:val="16"/>
                <w:b w:val="1"/>
                <w:bCs w:val="1"/>
                <w:color w:val="auto"/>
              </w:rPr>
              <w:t>Acquired on Vesting</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Vesting</w:t>
            </w:r>
          </w:p>
        </w:tc>
      </w:tr>
      <w:tr>
        <w:trPr>
          <w:trHeight w:val="223"/>
        </w:trPr>
        <w:tc>
          <w:tcPr>
            <w:tcW w:w="346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242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2040" w:type="dxa"/>
            <w:vAlign w:val="bottom"/>
          </w:tcPr>
          <w:p>
            <w:pPr>
              <w:jc w:val="right"/>
              <w:ind w:right="79"/>
              <w:spacing w:after="0"/>
              <w:rPr>
                <w:sz w:val="20"/>
                <w:szCs w:val="20"/>
                <w:color w:val="auto"/>
              </w:rPr>
            </w:pPr>
            <w:r>
              <w:rPr>
                <w:rFonts w:ascii="Arial" w:cs="Arial" w:eastAsia="Arial" w:hAnsi="Arial"/>
                <w:sz w:val="16"/>
                <w:szCs w:val="16"/>
                <w:b w:val="1"/>
                <w:bCs w:val="1"/>
                <w:color w:val="auto"/>
              </w:rPr>
              <w:t>(#)(a)</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($)(b)</w:t>
            </w:r>
          </w:p>
        </w:tc>
      </w:tr>
      <w:tr>
        <w:trPr>
          <w:trHeight w:val="21"/>
        </w:trPr>
        <w:tc>
          <w:tcPr>
            <w:tcW w:w="34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57"/>
        </w:trPr>
        <w:tc>
          <w:tcPr>
            <w:tcW w:w="34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Erik B. Nordstrom</w:t>
            </w:r>
          </w:p>
        </w:tc>
        <w:tc>
          <w:tcPr>
            <w:tcW w:w="2420" w:type="dxa"/>
            <w:vAlign w:val="bottom"/>
            <w:tcBorders>
              <w:bottom w:val="single" w:sz="8" w:color="DCDDDE"/>
            </w:tcBorders>
            <w:shd w:val="clear" w:color="auto" w:fill="DCDDDE"/>
          </w:tcPr>
          <w:p>
            <w:pPr>
              <w:jc w:val="right"/>
              <w:ind w:right="4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13,656</w:t>
            </w:r>
          </w:p>
        </w:tc>
        <w:tc>
          <w:tcPr>
            <w:tcW w:w="16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322,633</w:t>
            </w:r>
          </w:p>
        </w:tc>
      </w:tr>
      <w:tr>
        <w:trPr>
          <w:trHeight w:val="254"/>
        </w:trPr>
        <w:tc>
          <w:tcPr>
            <w:tcW w:w="3460" w:type="dxa"/>
            <w:vAlign w:val="bottom"/>
          </w:tcPr>
          <w:p>
            <w:pPr>
              <w:ind w:left="60"/>
              <w:spacing w:after="0"/>
              <w:rPr>
                <w:sz w:val="20"/>
                <w:szCs w:val="20"/>
                <w:color w:val="auto"/>
              </w:rPr>
            </w:pPr>
            <w:r>
              <w:rPr>
                <w:rFonts w:ascii="Arial" w:cs="Arial" w:eastAsia="Arial" w:hAnsi="Arial"/>
                <w:sz w:val="16"/>
                <w:szCs w:val="16"/>
                <w:color w:val="auto"/>
              </w:rPr>
              <w:t>Michael W. Maher</w:t>
            </w:r>
          </w:p>
        </w:tc>
        <w:tc>
          <w:tcPr>
            <w:tcW w:w="24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12,745</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282,788</w:t>
            </w:r>
          </w:p>
        </w:tc>
      </w:tr>
      <w:tr>
        <w:trPr>
          <w:trHeight w:val="29"/>
        </w:trPr>
        <w:tc>
          <w:tcPr>
            <w:tcW w:w="34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3"/>
        </w:trPr>
        <w:tc>
          <w:tcPr>
            <w:tcW w:w="34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Peter E. Nordstrom</w:t>
            </w:r>
          </w:p>
        </w:tc>
        <w:tc>
          <w:tcPr>
            <w:tcW w:w="2420" w:type="dxa"/>
            <w:vAlign w:val="bottom"/>
            <w:tcBorders>
              <w:bottom w:val="single" w:sz="8" w:color="DCDDDE"/>
            </w:tcBorders>
            <w:shd w:val="clear" w:color="auto" w:fill="DCDDDE"/>
          </w:tcPr>
          <w:p>
            <w:pPr>
              <w:jc w:val="right"/>
              <w:ind w:right="4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13,656</w:t>
            </w:r>
          </w:p>
        </w:tc>
        <w:tc>
          <w:tcPr>
            <w:tcW w:w="16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322,633</w:t>
            </w:r>
          </w:p>
        </w:tc>
      </w:tr>
      <w:tr>
        <w:trPr>
          <w:trHeight w:val="254"/>
        </w:trPr>
        <w:tc>
          <w:tcPr>
            <w:tcW w:w="3460" w:type="dxa"/>
            <w:vAlign w:val="bottom"/>
          </w:tcPr>
          <w:p>
            <w:pPr>
              <w:ind w:left="60"/>
              <w:spacing w:after="0"/>
              <w:rPr>
                <w:sz w:val="20"/>
                <w:szCs w:val="20"/>
                <w:color w:val="auto"/>
              </w:rPr>
            </w:pPr>
            <w:r>
              <w:rPr>
                <w:rFonts w:ascii="Arial" w:cs="Arial" w:eastAsia="Arial" w:hAnsi="Arial"/>
                <w:sz w:val="16"/>
                <w:szCs w:val="16"/>
                <w:color w:val="auto"/>
              </w:rPr>
              <w:t>Kenneth J. Worzel</w:t>
            </w:r>
          </w:p>
        </w:tc>
        <w:tc>
          <w:tcPr>
            <w:tcW w:w="24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44,589</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1,064,499</w:t>
            </w:r>
          </w:p>
        </w:tc>
      </w:tr>
      <w:tr>
        <w:trPr>
          <w:trHeight w:val="29"/>
        </w:trPr>
        <w:tc>
          <w:tcPr>
            <w:tcW w:w="34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3"/>
        </w:trPr>
        <w:tc>
          <w:tcPr>
            <w:tcW w:w="34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Alexis DePree</w:t>
            </w:r>
          </w:p>
        </w:tc>
        <w:tc>
          <w:tcPr>
            <w:tcW w:w="2420" w:type="dxa"/>
            <w:vAlign w:val="bottom"/>
            <w:tcBorders>
              <w:bottom w:val="single" w:sz="8" w:color="DCDDDE"/>
            </w:tcBorders>
            <w:shd w:val="clear" w:color="auto" w:fill="DCDDDE"/>
          </w:tcPr>
          <w:p>
            <w:pPr>
              <w:jc w:val="right"/>
              <w:ind w:right="4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46,977</w:t>
            </w:r>
          </w:p>
        </w:tc>
        <w:tc>
          <w:tcPr>
            <w:tcW w:w="16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1,149,135</w:t>
            </w:r>
          </w:p>
        </w:tc>
      </w:tr>
      <w:tr>
        <w:trPr>
          <w:trHeight w:val="254"/>
        </w:trPr>
        <w:tc>
          <w:tcPr>
            <w:tcW w:w="3460" w:type="dxa"/>
            <w:vAlign w:val="bottom"/>
          </w:tcPr>
          <w:p>
            <w:pPr>
              <w:ind w:left="60"/>
              <w:spacing w:after="0"/>
              <w:rPr>
                <w:sz w:val="20"/>
                <w:szCs w:val="20"/>
                <w:color w:val="auto"/>
              </w:rPr>
            </w:pPr>
            <w:r>
              <w:rPr>
                <w:rFonts w:ascii="Arial" w:cs="Arial" w:eastAsia="Arial" w:hAnsi="Arial"/>
                <w:sz w:val="16"/>
                <w:szCs w:val="16"/>
                <w:color w:val="auto"/>
              </w:rPr>
              <w:t>Anne L. Bramman</w:t>
            </w:r>
          </w:p>
        </w:tc>
        <w:tc>
          <w:tcPr>
            <w:tcW w:w="2420" w:type="dxa"/>
            <w:vAlign w:val="bottom"/>
          </w:tcPr>
          <w:p>
            <w:pPr>
              <w:jc w:val="right"/>
              <w:ind w:right="459"/>
              <w:spacing w:after="0"/>
              <w:rPr>
                <w:sz w:val="20"/>
                <w:szCs w:val="20"/>
                <w:color w:val="auto"/>
              </w:rPr>
            </w:pPr>
            <w:r>
              <w:rPr>
                <w:rFonts w:ascii="Arial" w:cs="Arial" w:eastAsia="Arial" w:hAnsi="Arial"/>
                <w:sz w:val="16"/>
                <w:szCs w:val="16"/>
                <w:color w:val="auto"/>
              </w:rPr>
              <w:t>281,657</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483,943</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40,613</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973,087</w:t>
            </w:r>
          </w:p>
        </w:tc>
      </w:tr>
      <w:tr>
        <w:trPr>
          <w:trHeight w:val="29"/>
        </w:trPr>
        <w:tc>
          <w:tcPr>
            <w:tcW w:w="34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4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Edmond Mesrobian</w:t>
            </w:r>
          </w:p>
        </w:tc>
        <w:tc>
          <w:tcPr>
            <w:tcW w:w="2420" w:type="dxa"/>
            <w:vAlign w:val="bottom"/>
            <w:tcBorders>
              <w:bottom w:val="single" w:sz="8" w:color="DCDDDE"/>
            </w:tcBorders>
            <w:shd w:val="clear" w:color="auto" w:fill="DCDDDE"/>
          </w:tcPr>
          <w:p>
            <w:pPr>
              <w:jc w:val="right"/>
              <w:ind w:right="459"/>
              <w:spacing w:after="0"/>
              <w:rPr>
                <w:sz w:val="20"/>
                <w:szCs w:val="20"/>
                <w:color w:val="auto"/>
              </w:rPr>
            </w:pPr>
            <w:r>
              <w:rPr>
                <w:rFonts w:ascii="Arial" w:cs="Arial" w:eastAsia="Arial" w:hAnsi="Arial"/>
                <w:sz w:val="16"/>
                <w:szCs w:val="16"/>
                <w:color w:val="auto"/>
              </w:rPr>
              <w:t>212,207</w:t>
            </w:r>
          </w:p>
        </w:tc>
        <w:tc>
          <w:tcPr>
            <w:tcW w:w="1320" w:type="dxa"/>
            <w:vAlign w:val="bottom"/>
            <w:tcBorders>
              <w:bottom w:val="single" w:sz="8" w:color="DCDDDE"/>
            </w:tcBorders>
            <w:gridSpan w:val="2"/>
            <w:shd w:val="clear" w:color="auto" w:fill="DCDDDE"/>
          </w:tcPr>
          <w:p>
            <w:pPr>
              <w:jc w:val="right"/>
              <w:ind w:right="100"/>
              <w:spacing w:after="0"/>
              <w:rPr>
                <w:sz w:val="20"/>
                <w:szCs w:val="20"/>
                <w:color w:val="auto"/>
              </w:rPr>
            </w:pPr>
            <w:r>
              <w:rPr>
                <w:rFonts w:ascii="Arial" w:cs="Arial" w:eastAsia="Arial" w:hAnsi="Arial"/>
                <w:sz w:val="16"/>
                <w:szCs w:val="16"/>
                <w:color w:val="auto"/>
              </w:rPr>
              <w:t>1,198,821</w:t>
            </w:r>
          </w:p>
        </w:tc>
        <w:tc>
          <w:tcPr>
            <w:tcW w:w="2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42,287</w:t>
            </w:r>
          </w:p>
        </w:tc>
        <w:tc>
          <w:tcPr>
            <w:tcW w:w="16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911,208</w:t>
            </w:r>
          </w:p>
        </w:tc>
      </w:tr>
      <w:tr>
        <w:trPr>
          <w:trHeight w:val="20"/>
        </w:trPr>
        <w:tc>
          <w:tcPr>
            <w:tcW w:w="346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Number of Shares Acquired on Vesting</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numbers reported include RSUs that vested during fiscal year 2022 for the NEOs. The amounts also include PSUs that vested for Erik Nordstrom, Peter Nordstrom and Kenneth Worzel of 603, 603 and 509, respectively, which vested on an accelerated basis in fiscal year 2022 solely to satisfy Social Security, Medicare or income tax withholding obligations of retirement-eligible employees with respect to their PSUs.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Value Realized on Vesting</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amounts reported are the values realized for the RSUs that vested during fiscal year 2022 for the NEOs. The amounts also include the number of shares of Common Stock withheld on the vesting of PSUs for Erik Nordstrom, Peter Nordstrom and Kenneth Worzel to satisfy tax withholding obligations as described previously, multiplied by $16.39, the closing price of Common Stock on December 19, 2022, the vesting date.</w:t>
      </w:r>
    </w:p>
    <w:p>
      <w:pPr>
        <w:spacing w:after="0"/>
        <w:rPr>
          <w:sz w:val="20"/>
          <w:szCs w:val="20"/>
          <w:color w:val="auto"/>
        </w:rPr>
      </w:pPr>
      <w:r>
        <w:rPr>
          <w:rFonts w:ascii="Arial" w:cs="Arial" w:eastAsia="Arial" w:hAnsi="Arial"/>
          <w:sz w:val="32"/>
          <w:szCs w:val="32"/>
          <w:b w:val="1"/>
          <w:bCs w:val="1"/>
          <w:color w:val="67686B"/>
        </w:rPr>
        <w:t>Pension Benefits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Company’s original SERP was introduced in the 1980s. Over the years, the plan design changed to better meet the purpose of encouraging designated executives to stay with Nordstrom throughout their careers and rewarding their significant and sustained contribution to the Company’s success by adding to their financial security upon retirement. Beginning in 2012, the SERP was closed to new entrants.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NEOs, except Michael Maher, Alexis DePree, Anne Bramman and Edmond Mesrobian, who joined the Company or moved into an eligible role after the SERP had been closed to new entrants, are eligible for the SERP. The eligible NEOs are entitled to receive their full retirement benefit at age</w:t>
      </w:r>
    </w:p>
    <w:p>
      <w:pPr>
        <w:spacing w:after="0" w:line="1" w:lineRule="exact"/>
        <w:rPr>
          <w:sz w:val="20"/>
          <w:szCs w:val="20"/>
          <w:color w:val="auto"/>
        </w:rPr>
      </w:pPr>
    </w:p>
    <w:p>
      <w:pPr>
        <w:jc w:val="both"/>
        <w:ind w:right="20" w:firstLine="8"/>
        <w:spacing w:after="0" w:line="246" w:lineRule="auto"/>
        <w:tabs>
          <w:tab w:leader="none" w:pos="27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Their full benefit is equal to 1.6% multiplied by final average pay, as described in the following paragraph, and their years of credited service, up to a maximum of 25 years. They may retire early and could receive a reduced benefit if they are between the ages of 53 and 57, inclusive, with at least</w:t>
      </w:r>
    </w:p>
    <w:p>
      <w:pPr>
        <w:jc w:val="both"/>
        <w:ind w:firstLine="8"/>
        <w:spacing w:after="0" w:line="252" w:lineRule="auto"/>
        <w:tabs>
          <w:tab w:leader="none" w:pos="257" w:val="left"/>
        </w:tabs>
        <w:numPr>
          <w:ilvl w:val="0"/>
          <w:numId w:val="72"/>
        </w:numPr>
        <w:rPr>
          <w:rFonts w:ascii="Arial" w:cs="Arial" w:eastAsia="Arial" w:hAnsi="Arial"/>
          <w:sz w:val="16"/>
          <w:szCs w:val="16"/>
          <w:color w:val="auto"/>
        </w:rPr>
      </w:pPr>
      <w:r>
        <w:rPr>
          <w:rFonts w:ascii="Arial" w:cs="Arial" w:eastAsia="Arial" w:hAnsi="Arial"/>
          <w:sz w:val="16"/>
          <w:szCs w:val="16"/>
          <w:color w:val="auto"/>
        </w:rPr>
        <w:t>years of credited service and the CPCC approves the early retirement. The early retirement benefit is reduced 10% for each year that their retirement age is less than 58. If they retire after age 58, they are entitled to their full retirement benefit, increased with interest of 5% per year, compounded annually, for each full year worked beyond age 58, for a maximum of 10 years. The annual SERP benefit is capped at $700,000 after any early retirement reductions are applied.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Final average pay is the average base salary and annual performance-based cash bonus of the highest 36 months over the longer of:</w:t>
      </w:r>
    </w:p>
    <w:p>
      <w:pPr>
        <w:spacing w:after="0" w:line="86"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most recent five years of service; or</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entire period of service after the executive’s 53rd birthday.</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annual SERP benefit is paid upon retirement for the remaining life of the executive with a 50% annuity paid to a surviving spouse or life partner after the executive’s death. A surviving spouse or life partner also receives a 50% survivor benefit if the executive dies before retiring. The amount of this survivor benefit depends on the executive’s age and years of credited service at the time of death.</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SERP provides that no benefit will be paid to an executive whose employment is terminated for cause, which includes competitive behavior against the Company, as determined by the CPCC in the exercise of its discretion in accordance with the Plan. The CPCC also has discretion to discontinue payment of benefits under the SERP if the retired executive is found to have engaged in misconduct or in competitive behavior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1019810" cy="1289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Information about payment of the SERP benefit related to change in control is provided on page </w:t>
      </w:r>
      <w:r>
        <w:rPr>
          <w:rFonts w:ascii="Arial" w:cs="Arial" w:eastAsia="Arial" w:hAnsi="Arial"/>
          <w:sz w:val="16"/>
          <w:szCs w:val="16"/>
          <w:u w:val="single" w:color="auto"/>
          <w:color w:val="0000EE"/>
        </w:rPr>
        <w:t>63</w:t>
      </w:r>
      <w:r>
        <w:rPr>
          <w:rFonts w:ascii="Arial" w:cs="Arial" w:eastAsia="Arial" w:hAnsi="Arial"/>
          <w:sz w:val="16"/>
          <w:szCs w:val="16"/>
          <w:color w:val="auto"/>
        </w:rPr>
        <w:t xml:space="preserve"> in footnote (b) to the Potential Payments Upon Termination or Change in Control at Fiscal Year End 2022 table.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Because the SERP is a nonqualified deferred compensation plan, the Company is not obligated to fund it. If the Company were to become insolvent, participants would be unsecured general creditors, and there is no guarantee that funds would be available to pay all creditors in full. See the notes to the financial statements contained within the Company’s 2022 Annual Report for a discussion of the benefit obligation.</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Fiscal Year 2022 Pension Benefits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table shows the present value of the accumulated SERP benefit payable to each of the NEOs, based on the number of years of service credited under the Plan to each NEO and actuarial assumptions consistent with those used in the Company’s 2022 Annual Report to calculate the Company’s obligations under the Plan. See the notes to the financial statements contained within the Company’s 2022 Annual Report for a discussion of the benefit obligation and assumptions used.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Payments</w:t>
            </w:r>
          </w:p>
        </w:tc>
      </w:tr>
      <w:tr>
        <w:trPr>
          <w:trHeight w:val="189"/>
        </w:trPr>
        <w:tc>
          <w:tcPr>
            <w:tcW w:w="2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0" w:type="dxa"/>
            <w:vAlign w:val="bottom"/>
          </w:tcPr>
          <w:p>
            <w:pPr>
              <w:jc w:val="right"/>
              <w:ind w:right="239"/>
              <w:spacing w:after="0"/>
              <w:rPr>
                <w:sz w:val="20"/>
                <w:szCs w:val="20"/>
                <w:color w:val="auto"/>
              </w:rPr>
            </w:pPr>
            <w:r>
              <w:rPr>
                <w:rFonts w:ascii="Arial" w:cs="Arial" w:eastAsia="Arial" w:hAnsi="Arial"/>
                <w:sz w:val="16"/>
                <w:szCs w:val="16"/>
                <w:b w:val="1"/>
                <w:bCs w:val="1"/>
                <w:color w:val="auto"/>
              </w:rPr>
              <w:t>Number of Years</w:t>
            </w:r>
          </w:p>
        </w:tc>
        <w:tc>
          <w:tcPr>
            <w:tcW w:w="2220" w:type="dxa"/>
            <w:vAlign w:val="bottom"/>
          </w:tcPr>
          <w:p>
            <w:pPr>
              <w:jc w:val="right"/>
              <w:ind w:right="219"/>
              <w:spacing w:after="0"/>
              <w:rPr>
                <w:sz w:val="20"/>
                <w:szCs w:val="20"/>
                <w:color w:val="auto"/>
              </w:rPr>
            </w:pPr>
            <w:r>
              <w:rPr>
                <w:rFonts w:ascii="Arial" w:cs="Arial" w:eastAsia="Arial" w:hAnsi="Arial"/>
                <w:sz w:val="16"/>
                <w:szCs w:val="16"/>
                <w:b w:val="1"/>
                <w:bCs w:val="1"/>
                <w:color w:val="auto"/>
              </w:rPr>
              <w:t>Present Value of</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During Last</w:t>
            </w:r>
          </w:p>
        </w:tc>
      </w:tr>
      <w:tr>
        <w:trPr>
          <w:trHeight w:val="189"/>
        </w:trPr>
        <w:tc>
          <w:tcPr>
            <w:tcW w:w="2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b w:val="1"/>
                <w:bCs w:val="1"/>
                <w:color w:val="auto"/>
              </w:rPr>
              <w:t>Age</w:t>
            </w:r>
          </w:p>
        </w:tc>
        <w:tc>
          <w:tcPr>
            <w:tcW w:w="2000" w:type="dxa"/>
            <w:vAlign w:val="bottom"/>
          </w:tcPr>
          <w:p>
            <w:pPr>
              <w:jc w:val="right"/>
              <w:ind w:right="239"/>
              <w:spacing w:after="0"/>
              <w:rPr>
                <w:sz w:val="20"/>
                <w:szCs w:val="20"/>
                <w:color w:val="auto"/>
              </w:rPr>
            </w:pPr>
            <w:r>
              <w:rPr>
                <w:rFonts w:ascii="Arial" w:cs="Arial" w:eastAsia="Arial" w:hAnsi="Arial"/>
                <w:sz w:val="16"/>
                <w:szCs w:val="16"/>
                <w:b w:val="1"/>
                <w:bCs w:val="1"/>
                <w:color w:val="auto"/>
              </w:rPr>
              <w:t>Credited Service</w:t>
            </w:r>
          </w:p>
        </w:tc>
        <w:tc>
          <w:tcPr>
            <w:tcW w:w="2220" w:type="dxa"/>
            <w:vAlign w:val="bottom"/>
          </w:tcPr>
          <w:p>
            <w:pPr>
              <w:jc w:val="right"/>
              <w:ind w:right="219"/>
              <w:spacing w:after="0"/>
              <w:rPr>
                <w:sz w:val="20"/>
                <w:szCs w:val="20"/>
                <w:color w:val="auto"/>
              </w:rPr>
            </w:pPr>
            <w:r>
              <w:rPr>
                <w:rFonts w:ascii="Arial" w:cs="Arial" w:eastAsia="Arial" w:hAnsi="Arial"/>
                <w:sz w:val="16"/>
                <w:szCs w:val="16"/>
                <w:b w:val="1"/>
                <w:bCs w:val="1"/>
                <w:color w:val="auto"/>
              </w:rPr>
              <w:t>Accumulated Benefit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Fiscal Year</w:t>
            </w:r>
          </w:p>
        </w:tc>
      </w:tr>
      <w:tr>
        <w:trPr>
          <w:trHeight w:val="223"/>
        </w:trPr>
        <w:tc>
          <w:tcPr>
            <w:tcW w:w="210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1980" w:type="dxa"/>
            <w:vAlign w:val="bottom"/>
          </w:tcPr>
          <w:p>
            <w:pPr>
              <w:jc w:val="right"/>
              <w:ind w:right="459"/>
              <w:spacing w:after="0"/>
              <w:rPr>
                <w:sz w:val="20"/>
                <w:szCs w:val="20"/>
                <w:color w:val="auto"/>
              </w:rPr>
            </w:pPr>
            <w:r>
              <w:rPr>
                <w:rFonts w:ascii="Arial" w:cs="Arial" w:eastAsia="Arial" w:hAnsi="Arial"/>
                <w:sz w:val="16"/>
                <w:szCs w:val="16"/>
                <w:b w:val="1"/>
                <w:bCs w:val="1"/>
                <w:color w:val="auto"/>
              </w:rPr>
              <w:t>Plan Name</w:t>
            </w: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(#)(a)</w:t>
            </w:r>
          </w:p>
        </w:tc>
        <w:tc>
          <w:tcPr>
            <w:tcW w:w="2000" w:type="dxa"/>
            <w:vAlign w:val="bottom"/>
          </w:tcPr>
          <w:p>
            <w:pPr>
              <w:jc w:val="right"/>
              <w:ind w:right="199"/>
              <w:spacing w:after="0"/>
              <w:rPr>
                <w:sz w:val="20"/>
                <w:szCs w:val="20"/>
                <w:color w:val="auto"/>
              </w:rPr>
            </w:pPr>
            <w:r>
              <w:rPr>
                <w:rFonts w:ascii="Arial" w:cs="Arial" w:eastAsia="Arial" w:hAnsi="Arial"/>
                <w:sz w:val="16"/>
                <w:szCs w:val="16"/>
                <w:b w:val="1"/>
                <w:bCs w:val="1"/>
                <w:color w:val="auto"/>
              </w:rPr>
              <w:t>(#)(b)</w:t>
            </w:r>
          </w:p>
        </w:tc>
        <w:tc>
          <w:tcPr>
            <w:tcW w:w="2220" w:type="dxa"/>
            <w:vAlign w:val="bottom"/>
          </w:tcPr>
          <w:p>
            <w:pPr>
              <w:jc w:val="right"/>
              <w:ind w:right="179"/>
              <w:spacing w:after="0"/>
              <w:rPr>
                <w:sz w:val="20"/>
                <w:szCs w:val="20"/>
                <w:color w:val="auto"/>
              </w:rPr>
            </w:pPr>
            <w:r>
              <w:rPr>
                <w:rFonts w:ascii="Arial" w:cs="Arial" w:eastAsia="Arial" w:hAnsi="Arial"/>
                <w:sz w:val="16"/>
                <w:szCs w:val="16"/>
                <w:b w:val="1"/>
                <w:bCs w:val="1"/>
                <w:color w:val="auto"/>
              </w:rPr>
              <w:t>($)(c)</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7"/>
        </w:trPr>
        <w:tc>
          <w:tcPr>
            <w:tcW w:w="2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Erik B. Nordstrom</w:t>
            </w:r>
          </w:p>
        </w:tc>
        <w:tc>
          <w:tcPr>
            <w:tcW w:w="1980" w:type="dxa"/>
            <w:vAlign w:val="bottom"/>
            <w:tcBorders>
              <w:bottom w:val="single" w:sz="8" w:color="DCDDDE"/>
            </w:tcBorders>
            <w:shd w:val="clear" w:color="auto" w:fill="DCDDDE"/>
          </w:tcPr>
          <w:p>
            <w:pPr>
              <w:jc w:val="right"/>
              <w:ind w:right="459"/>
              <w:spacing w:after="0"/>
              <w:rPr>
                <w:sz w:val="20"/>
                <w:szCs w:val="20"/>
                <w:color w:val="auto"/>
              </w:rPr>
            </w:pPr>
            <w:r>
              <w:rPr>
                <w:rFonts w:ascii="Arial" w:cs="Arial" w:eastAsia="Arial" w:hAnsi="Arial"/>
                <w:sz w:val="16"/>
                <w:szCs w:val="16"/>
                <w:color w:val="auto"/>
              </w:rPr>
              <w:t>SERP</w:t>
            </w:r>
          </w:p>
        </w:tc>
        <w:tc>
          <w:tcPr>
            <w:tcW w:w="1340" w:type="dxa"/>
            <w:vAlign w:val="bottom"/>
            <w:tcBorders>
              <w:bottom w:val="single" w:sz="8" w:color="DCDDDE"/>
            </w:tcBorders>
            <w:shd w:val="clear" w:color="auto" w:fill="DCDDDE"/>
          </w:tcPr>
          <w:p>
            <w:pPr>
              <w:jc w:val="right"/>
              <w:ind w:right="319"/>
              <w:spacing w:after="0"/>
              <w:rPr>
                <w:sz w:val="20"/>
                <w:szCs w:val="20"/>
                <w:color w:val="auto"/>
              </w:rPr>
            </w:pPr>
            <w:r>
              <w:rPr>
                <w:rFonts w:ascii="Arial" w:cs="Arial" w:eastAsia="Arial" w:hAnsi="Arial"/>
                <w:sz w:val="16"/>
                <w:szCs w:val="16"/>
                <w:color w:val="auto"/>
              </w:rPr>
              <w:t>59</w:t>
            </w:r>
          </w:p>
        </w:tc>
        <w:tc>
          <w:tcPr>
            <w:tcW w:w="2000" w:type="dxa"/>
            <w:vAlign w:val="bottom"/>
            <w:tcBorders>
              <w:bottom w:val="single" w:sz="8" w:color="DCDDDE"/>
            </w:tcBorders>
            <w:shd w:val="clear" w:color="auto" w:fill="DCDDDE"/>
          </w:tcPr>
          <w:p>
            <w:pPr>
              <w:jc w:val="right"/>
              <w:ind w:right="199"/>
              <w:spacing w:after="0"/>
              <w:rPr>
                <w:sz w:val="20"/>
                <w:szCs w:val="20"/>
                <w:color w:val="auto"/>
              </w:rPr>
            </w:pPr>
            <w:r>
              <w:rPr>
                <w:rFonts w:ascii="Arial" w:cs="Arial" w:eastAsia="Arial" w:hAnsi="Arial"/>
                <w:sz w:val="16"/>
                <w:szCs w:val="16"/>
                <w:color w:val="auto"/>
              </w:rPr>
              <w:t>25</w:t>
            </w:r>
          </w:p>
        </w:tc>
        <w:tc>
          <w:tcPr>
            <w:tcW w:w="22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10,805,200</w:t>
            </w:r>
          </w:p>
        </w:tc>
        <w:tc>
          <w:tcPr>
            <w:tcW w:w="12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4"/>
        </w:trPr>
        <w:tc>
          <w:tcPr>
            <w:tcW w:w="2100" w:type="dxa"/>
            <w:vAlign w:val="bottom"/>
          </w:tcPr>
          <w:p>
            <w:pPr>
              <w:ind w:left="60"/>
              <w:spacing w:after="0"/>
              <w:rPr>
                <w:sz w:val="20"/>
                <w:szCs w:val="20"/>
                <w:color w:val="auto"/>
              </w:rPr>
            </w:pPr>
            <w:r>
              <w:rPr>
                <w:rFonts w:ascii="Arial" w:cs="Arial" w:eastAsia="Arial" w:hAnsi="Arial"/>
                <w:sz w:val="16"/>
                <w:szCs w:val="16"/>
                <w:color w:val="auto"/>
              </w:rPr>
              <w:t>Michael W. Maher</w:t>
            </w:r>
          </w:p>
        </w:tc>
        <w:tc>
          <w:tcPr>
            <w:tcW w:w="19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2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Peter E. Nordstrom</w:t>
            </w:r>
          </w:p>
        </w:tc>
        <w:tc>
          <w:tcPr>
            <w:tcW w:w="1980" w:type="dxa"/>
            <w:vAlign w:val="bottom"/>
            <w:tcBorders>
              <w:bottom w:val="single" w:sz="8" w:color="DCDDDE"/>
            </w:tcBorders>
            <w:shd w:val="clear" w:color="auto" w:fill="DCDDDE"/>
          </w:tcPr>
          <w:p>
            <w:pPr>
              <w:jc w:val="right"/>
              <w:ind w:right="459"/>
              <w:spacing w:after="0"/>
              <w:rPr>
                <w:sz w:val="20"/>
                <w:szCs w:val="20"/>
                <w:color w:val="auto"/>
              </w:rPr>
            </w:pPr>
            <w:r>
              <w:rPr>
                <w:rFonts w:ascii="Arial" w:cs="Arial" w:eastAsia="Arial" w:hAnsi="Arial"/>
                <w:sz w:val="16"/>
                <w:szCs w:val="16"/>
                <w:color w:val="auto"/>
              </w:rPr>
              <w:t>SERP</w:t>
            </w:r>
          </w:p>
        </w:tc>
        <w:tc>
          <w:tcPr>
            <w:tcW w:w="1340" w:type="dxa"/>
            <w:vAlign w:val="bottom"/>
            <w:tcBorders>
              <w:bottom w:val="single" w:sz="8" w:color="DCDDDE"/>
            </w:tcBorders>
            <w:shd w:val="clear" w:color="auto" w:fill="DCDDDE"/>
          </w:tcPr>
          <w:p>
            <w:pPr>
              <w:jc w:val="right"/>
              <w:ind w:right="319"/>
              <w:spacing w:after="0"/>
              <w:rPr>
                <w:sz w:val="20"/>
                <w:szCs w:val="20"/>
                <w:color w:val="auto"/>
              </w:rPr>
            </w:pPr>
            <w:r>
              <w:rPr>
                <w:rFonts w:ascii="Arial" w:cs="Arial" w:eastAsia="Arial" w:hAnsi="Arial"/>
                <w:sz w:val="16"/>
                <w:szCs w:val="16"/>
                <w:color w:val="auto"/>
              </w:rPr>
              <w:t>60</w:t>
            </w:r>
          </w:p>
        </w:tc>
        <w:tc>
          <w:tcPr>
            <w:tcW w:w="2000" w:type="dxa"/>
            <w:vAlign w:val="bottom"/>
            <w:tcBorders>
              <w:bottom w:val="single" w:sz="8" w:color="DCDDDE"/>
            </w:tcBorders>
            <w:shd w:val="clear" w:color="auto" w:fill="DCDDDE"/>
          </w:tcPr>
          <w:p>
            <w:pPr>
              <w:jc w:val="right"/>
              <w:ind w:right="199"/>
              <w:spacing w:after="0"/>
              <w:rPr>
                <w:sz w:val="20"/>
                <w:szCs w:val="20"/>
                <w:color w:val="auto"/>
              </w:rPr>
            </w:pPr>
            <w:r>
              <w:rPr>
                <w:rFonts w:ascii="Arial" w:cs="Arial" w:eastAsia="Arial" w:hAnsi="Arial"/>
                <w:sz w:val="16"/>
                <w:szCs w:val="16"/>
                <w:color w:val="auto"/>
              </w:rPr>
              <w:t>25</w:t>
            </w:r>
          </w:p>
        </w:tc>
        <w:tc>
          <w:tcPr>
            <w:tcW w:w="22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10,857,560</w:t>
            </w:r>
          </w:p>
        </w:tc>
        <w:tc>
          <w:tcPr>
            <w:tcW w:w="12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4"/>
        </w:trPr>
        <w:tc>
          <w:tcPr>
            <w:tcW w:w="2100" w:type="dxa"/>
            <w:vAlign w:val="bottom"/>
          </w:tcPr>
          <w:p>
            <w:pPr>
              <w:ind w:left="60"/>
              <w:spacing w:after="0"/>
              <w:rPr>
                <w:sz w:val="20"/>
                <w:szCs w:val="20"/>
                <w:color w:val="auto"/>
              </w:rPr>
            </w:pPr>
            <w:r>
              <w:rPr>
                <w:rFonts w:ascii="Arial" w:cs="Arial" w:eastAsia="Arial" w:hAnsi="Arial"/>
                <w:sz w:val="16"/>
                <w:szCs w:val="16"/>
                <w:color w:val="auto"/>
              </w:rPr>
              <w:t>Kenneth J. Worzel</w:t>
            </w:r>
          </w:p>
        </w:tc>
        <w:tc>
          <w:tcPr>
            <w:tcW w:w="1980" w:type="dxa"/>
            <w:vAlign w:val="bottom"/>
          </w:tcPr>
          <w:p>
            <w:pPr>
              <w:jc w:val="right"/>
              <w:ind w:right="459"/>
              <w:spacing w:after="0"/>
              <w:rPr>
                <w:sz w:val="20"/>
                <w:szCs w:val="20"/>
                <w:color w:val="auto"/>
              </w:rPr>
            </w:pPr>
            <w:r>
              <w:rPr>
                <w:rFonts w:ascii="Arial" w:cs="Arial" w:eastAsia="Arial" w:hAnsi="Arial"/>
                <w:sz w:val="16"/>
                <w:szCs w:val="16"/>
                <w:color w:val="auto"/>
              </w:rPr>
              <w:t>SERP</w:t>
            </w:r>
          </w:p>
        </w:tc>
        <w:tc>
          <w:tcPr>
            <w:tcW w:w="1340" w:type="dxa"/>
            <w:vAlign w:val="bottom"/>
          </w:tcPr>
          <w:p>
            <w:pPr>
              <w:jc w:val="right"/>
              <w:ind w:right="319"/>
              <w:spacing w:after="0"/>
              <w:rPr>
                <w:sz w:val="20"/>
                <w:szCs w:val="20"/>
                <w:color w:val="auto"/>
              </w:rPr>
            </w:pPr>
            <w:r>
              <w:rPr>
                <w:rFonts w:ascii="Arial" w:cs="Arial" w:eastAsia="Arial" w:hAnsi="Arial"/>
                <w:sz w:val="16"/>
                <w:szCs w:val="16"/>
                <w:color w:val="auto"/>
              </w:rPr>
              <w:t>58</w:t>
            </w:r>
          </w:p>
        </w:tc>
        <w:tc>
          <w:tcPr>
            <w:tcW w:w="2000" w:type="dxa"/>
            <w:vAlign w:val="bottom"/>
          </w:tcPr>
          <w:p>
            <w:pPr>
              <w:jc w:val="right"/>
              <w:ind w:right="199"/>
              <w:spacing w:after="0"/>
              <w:rPr>
                <w:sz w:val="20"/>
                <w:szCs w:val="20"/>
                <w:color w:val="auto"/>
              </w:rPr>
            </w:pPr>
            <w:r>
              <w:rPr>
                <w:rFonts w:ascii="Arial" w:cs="Arial" w:eastAsia="Arial" w:hAnsi="Arial"/>
                <w:sz w:val="16"/>
                <w:szCs w:val="16"/>
                <w:color w:val="auto"/>
              </w:rPr>
              <w:t>13</w:t>
            </w:r>
          </w:p>
        </w:tc>
        <w:tc>
          <w:tcPr>
            <w:tcW w:w="2220" w:type="dxa"/>
            <w:vAlign w:val="bottom"/>
          </w:tcPr>
          <w:p>
            <w:pPr>
              <w:jc w:val="right"/>
              <w:ind w:right="179"/>
              <w:spacing w:after="0"/>
              <w:rPr>
                <w:sz w:val="20"/>
                <w:szCs w:val="20"/>
                <w:color w:val="auto"/>
              </w:rPr>
            </w:pPr>
            <w:r>
              <w:rPr>
                <w:rFonts w:ascii="Arial" w:cs="Arial" w:eastAsia="Arial" w:hAnsi="Arial"/>
                <w:sz w:val="16"/>
                <w:szCs w:val="16"/>
                <w:color w:val="auto"/>
              </w:rPr>
              <w:t>6,051,510</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2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Alexis DePree</w:t>
            </w:r>
          </w:p>
        </w:tc>
        <w:tc>
          <w:tcPr>
            <w:tcW w:w="1980" w:type="dxa"/>
            <w:vAlign w:val="bottom"/>
            <w:tcBorders>
              <w:bottom w:val="single" w:sz="8" w:color="DCDDDE"/>
            </w:tcBorders>
            <w:shd w:val="clear" w:color="auto" w:fill="DCDDDE"/>
          </w:tcPr>
          <w:p>
            <w:pPr>
              <w:spacing w:after="0"/>
              <w:rPr>
                <w:sz w:val="22"/>
                <w:szCs w:val="22"/>
                <w:color w:val="auto"/>
              </w:rPr>
            </w:pPr>
          </w:p>
        </w:tc>
        <w:tc>
          <w:tcPr>
            <w:tcW w:w="1340" w:type="dxa"/>
            <w:vAlign w:val="bottom"/>
            <w:tcBorders>
              <w:bottom w:val="single" w:sz="8" w:color="DCDDDE"/>
            </w:tcBorders>
            <w:shd w:val="clear" w:color="auto" w:fill="DCDDDE"/>
          </w:tcPr>
          <w:p>
            <w:pPr>
              <w:spacing w:after="0"/>
              <w:rPr>
                <w:sz w:val="22"/>
                <w:szCs w:val="22"/>
                <w:color w:val="auto"/>
              </w:rPr>
            </w:pPr>
          </w:p>
        </w:tc>
        <w:tc>
          <w:tcPr>
            <w:tcW w:w="2000" w:type="dxa"/>
            <w:vAlign w:val="bottom"/>
            <w:tcBorders>
              <w:bottom w:val="single" w:sz="8" w:color="DCDDDE"/>
            </w:tcBorders>
            <w:shd w:val="clear" w:color="auto" w:fill="DCDDDE"/>
          </w:tcPr>
          <w:p>
            <w:pPr>
              <w:spacing w:after="0"/>
              <w:rPr>
                <w:sz w:val="22"/>
                <w:szCs w:val="22"/>
                <w:color w:val="auto"/>
              </w:rPr>
            </w:pPr>
          </w:p>
        </w:tc>
        <w:tc>
          <w:tcPr>
            <w:tcW w:w="22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4"/>
        </w:trPr>
        <w:tc>
          <w:tcPr>
            <w:tcW w:w="2100" w:type="dxa"/>
            <w:vAlign w:val="bottom"/>
          </w:tcPr>
          <w:p>
            <w:pPr>
              <w:ind w:left="60"/>
              <w:spacing w:after="0"/>
              <w:rPr>
                <w:sz w:val="20"/>
                <w:szCs w:val="20"/>
                <w:color w:val="auto"/>
              </w:rPr>
            </w:pPr>
            <w:r>
              <w:rPr>
                <w:rFonts w:ascii="Arial" w:cs="Arial" w:eastAsia="Arial" w:hAnsi="Arial"/>
                <w:sz w:val="16"/>
                <w:szCs w:val="16"/>
                <w:color w:val="auto"/>
              </w:rPr>
              <w:t>Anne L. Bramman</w:t>
            </w:r>
          </w:p>
        </w:tc>
        <w:tc>
          <w:tcPr>
            <w:tcW w:w="19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Edmond Mesrobian</w:t>
            </w:r>
          </w:p>
        </w:tc>
        <w:tc>
          <w:tcPr>
            <w:tcW w:w="1980" w:type="dxa"/>
            <w:vAlign w:val="bottom"/>
            <w:tcBorders>
              <w:bottom w:val="single" w:sz="8" w:color="DCDDDE"/>
            </w:tcBorders>
            <w:shd w:val="clear" w:color="auto" w:fill="DCDDDE"/>
          </w:tcPr>
          <w:p>
            <w:pPr>
              <w:spacing w:after="0"/>
              <w:rPr>
                <w:sz w:val="21"/>
                <w:szCs w:val="21"/>
                <w:color w:val="auto"/>
              </w:rPr>
            </w:pPr>
          </w:p>
        </w:tc>
        <w:tc>
          <w:tcPr>
            <w:tcW w:w="1340" w:type="dxa"/>
            <w:vAlign w:val="bottom"/>
            <w:tcBorders>
              <w:bottom w:val="single" w:sz="8" w:color="DCDDDE"/>
            </w:tcBorders>
            <w:shd w:val="clear" w:color="auto" w:fill="DCDDDE"/>
          </w:tcPr>
          <w:p>
            <w:pPr>
              <w:spacing w:after="0"/>
              <w:rPr>
                <w:sz w:val="21"/>
                <w:szCs w:val="21"/>
                <w:color w:val="auto"/>
              </w:rPr>
            </w:pPr>
          </w:p>
        </w:tc>
        <w:tc>
          <w:tcPr>
            <w:tcW w:w="2000" w:type="dxa"/>
            <w:vAlign w:val="bottom"/>
            <w:tcBorders>
              <w:bottom w:val="single" w:sz="8" w:color="DCDDDE"/>
            </w:tcBorders>
            <w:shd w:val="clear" w:color="auto" w:fill="DCDDDE"/>
          </w:tcPr>
          <w:p>
            <w:pPr>
              <w:spacing w:after="0"/>
              <w:rPr>
                <w:sz w:val="21"/>
                <w:szCs w:val="21"/>
                <w:color w:val="auto"/>
              </w:rPr>
            </w:pPr>
          </w:p>
        </w:tc>
        <w:tc>
          <w:tcPr>
            <w:tcW w:w="22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21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Age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Age is as of January 28, 2023, the last day of the fiscal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Number of Years Credited Service</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Erik Nordstrom and Peter Nordstrom each have more than 25 years of service, the number of years of credited service under the SERP is capped at 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 Present Value of Accumulated Benefit</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Erik Nordstrom, Peter Nordstrom and Kenneth Worzel have met the minimum full retirement age of 58 with at least 10 years of credited service and would be eligible to receive the SERP benefit having the present values as shown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313690</wp:posOffset>
            </wp:positionV>
            <wp:extent cx="1020445" cy="1289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57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Nonqualified Deferred Compensation</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 offers participation in the NDCP to eligible employees, including the NEOs. Under this Plan, a participant may defer up to 80% of base salary, up to 100% of performance-based bonus earned under the Company’s bonus plan and up to 100% of any vested PSUs, less applicable payroll taxes. Deferral elections are irrevocable and are made in compliance with Section 409A of the IRC. If a participant’s NDCP deferrals cause a reduction in the Company’s 401(k) match contribution, the Company may deposit a make-up contribution into the participant’s NDCP account. The Company may also provide a matching contribution, up to 4% of eligible pay over the 401(k) calendar year compensation limit, on deferrals into the NDCP by eligible participants. Participants in the Company’s SERP are not eligible for this matching contribution.</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Plan participants may direct their cash deferrals to deemed investment alternatives, priced and valued similar to retail mutual funds. As of the end of the fiscal year, the Company offered nine deemed investment alternatives. In addition, Plan participants are offered a fixed rate option, which was 4.36% for calendar year 2022 and 4.18% for calendar year 2023, which is not subsidized by the Company but rather is a rate based on guaranteed contractual returns from a third-party insurance company provider. With the exception of the fixed rate fund, participants may change their investment allocations among these investment alternatives daily. Gains and losses for cash deferrals are credited to participant accounts daily, based on their investment elections. The deemed investment alternatives for cash do not include Common Stock. Vested PSUs that are deferred into the NDCP remain as stock units until distribution.</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Fiscal Year 2022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following table discloses information on nonqualified deferred compensation for the NEOs under the Company’s NDCP for the fiscal year ended January 28, 2023. The Company’s SERP is also a nonqualified plan. Information regarding benefits payable to NEOs under the SERP is provided beginning on page </w:t>
      </w:r>
      <w:r>
        <w:rPr>
          <w:rFonts w:ascii="Arial" w:cs="Arial" w:eastAsia="Arial" w:hAnsi="Arial"/>
          <w:sz w:val="16"/>
          <w:szCs w:val="16"/>
          <w:u w:val="single" w:color="auto"/>
          <w:color w:val="0000EE"/>
        </w:rPr>
        <w:t>57</w:t>
      </w:r>
      <w:r>
        <w:rPr>
          <w:rFonts w:ascii="Arial" w:cs="Arial" w:eastAsia="Arial" w:hAnsi="Arial"/>
          <w:sz w:val="16"/>
          <w:szCs w:val="16"/>
          <w:color w:val="auto"/>
        </w:rPr>
        <w: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Executive</w:t>
            </w:r>
          </w:p>
        </w:tc>
        <w:tc>
          <w:tcPr>
            <w:tcW w:w="2040" w:type="dxa"/>
            <w:vAlign w:val="bottom"/>
          </w:tcPr>
          <w:p>
            <w:pPr>
              <w:jc w:val="right"/>
              <w:ind w:right="119"/>
              <w:spacing w:after="0"/>
              <w:rPr>
                <w:sz w:val="20"/>
                <w:szCs w:val="20"/>
                <w:color w:val="auto"/>
              </w:rPr>
            </w:pPr>
            <w:r>
              <w:rPr>
                <w:rFonts w:ascii="Arial" w:cs="Arial" w:eastAsia="Arial" w:hAnsi="Arial"/>
                <w:sz w:val="16"/>
                <w:szCs w:val="16"/>
                <w:b w:val="1"/>
                <w:bCs w:val="1"/>
                <w:color w:val="auto"/>
              </w:rPr>
              <w:t>Registrant</w:t>
            </w:r>
          </w:p>
        </w:tc>
        <w:tc>
          <w:tcPr>
            <w:tcW w:w="2040" w:type="dxa"/>
            <w:vAlign w:val="bottom"/>
          </w:tcPr>
          <w:p>
            <w:pPr>
              <w:spacing w:after="0"/>
              <w:rPr>
                <w:sz w:val="16"/>
                <w:szCs w:val="16"/>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b w:val="1"/>
                <w:bCs w:val="1"/>
                <w:color w:val="auto"/>
              </w:rPr>
              <w:t>Aggregate</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1780" w:type="dxa"/>
            <w:vAlign w:val="bottom"/>
          </w:tcPr>
          <w:p>
            <w:pPr>
              <w:spacing w:after="0"/>
              <w:rPr>
                <w:sz w:val="16"/>
                <w:szCs w:val="16"/>
                <w:color w:val="auto"/>
              </w:rPr>
            </w:pP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Contributions in</w:t>
            </w:r>
          </w:p>
        </w:tc>
        <w:tc>
          <w:tcPr>
            <w:tcW w:w="2040" w:type="dxa"/>
            <w:vAlign w:val="bottom"/>
          </w:tcPr>
          <w:p>
            <w:pPr>
              <w:jc w:val="right"/>
              <w:ind w:right="119"/>
              <w:spacing w:after="0"/>
              <w:rPr>
                <w:sz w:val="20"/>
                <w:szCs w:val="20"/>
                <w:color w:val="auto"/>
              </w:rPr>
            </w:pPr>
            <w:r>
              <w:rPr>
                <w:rFonts w:ascii="Arial" w:cs="Arial" w:eastAsia="Arial" w:hAnsi="Arial"/>
                <w:sz w:val="16"/>
                <w:szCs w:val="16"/>
                <w:b w:val="1"/>
                <w:bCs w:val="1"/>
                <w:color w:val="auto"/>
              </w:rPr>
              <w:t>Contributions in Last</w:t>
            </w:r>
          </w:p>
        </w:tc>
        <w:tc>
          <w:tcPr>
            <w:tcW w:w="2040" w:type="dxa"/>
            <w:vAlign w:val="bottom"/>
          </w:tcPr>
          <w:p>
            <w:pPr>
              <w:jc w:val="right"/>
              <w:ind w:right="239"/>
              <w:spacing w:after="0"/>
              <w:rPr>
                <w:sz w:val="20"/>
                <w:szCs w:val="20"/>
                <w:color w:val="auto"/>
              </w:rPr>
            </w:pPr>
            <w:r>
              <w:rPr>
                <w:rFonts w:ascii="Arial" w:cs="Arial" w:eastAsia="Arial" w:hAnsi="Arial"/>
                <w:sz w:val="16"/>
                <w:szCs w:val="16"/>
                <w:b w:val="1"/>
                <w:bCs w:val="1"/>
                <w:color w:val="auto"/>
              </w:rPr>
              <w:t>Aggregate Earnings</w:t>
            </w: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Withdrawals/</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Balance at Last</w:t>
            </w:r>
          </w:p>
        </w:tc>
      </w:tr>
      <w:tr>
        <w:trPr>
          <w:trHeight w:val="189"/>
        </w:trPr>
        <w:tc>
          <w:tcPr>
            <w:tcW w:w="1780" w:type="dxa"/>
            <w:vAlign w:val="bottom"/>
          </w:tcPr>
          <w:p>
            <w:pPr>
              <w:spacing w:after="0"/>
              <w:rPr>
                <w:sz w:val="16"/>
                <w:szCs w:val="16"/>
                <w:color w:val="auto"/>
              </w:rPr>
            </w:pP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Last Fiscal Year</w:t>
            </w:r>
          </w:p>
        </w:tc>
        <w:tc>
          <w:tcPr>
            <w:tcW w:w="2040" w:type="dxa"/>
            <w:vAlign w:val="bottom"/>
          </w:tcPr>
          <w:p>
            <w:pPr>
              <w:jc w:val="right"/>
              <w:ind w:right="119"/>
              <w:spacing w:after="0"/>
              <w:rPr>
                <w:sz w:val="20"/>
                <w:szCs w:val="20"/>
                <w:color w:val="auto"/>
              </w:rPr>
            </w:pPr>
            <w:r>
              <w:rPr>
                <w:rFonts w:ascii="Arial" w:cs="Arial" w:eastAsia="Arial" w:hAnsi="Arial"/>
                <w:sz w:val="16"/>
                <w:szCs w:val="16"/>
                <w:b w:val="1"/>
                <w:bCs w:val="1"/>
                <w:color w:val="auto"/>
              </w:rPr>
              <w:t>Fiscal Year</w:t>
            </w:r>
          </w:p>
        </w:tc>
        <w:tc>
          <w:tcPr>
            <w:tcW w:w="2040" w:type="dxa"/>
            <w:vAlign w:val="bottom"/>
          </w:tcPr>
          <w:p>
            <w:pPr>
              <w:jc w:val="right"/>
              <w:ind w:right="239"/>
              <w:spacing w:after="0"/>
              <w:rPr>
                <w:sz w:val="20"/>
                <w:szCs w:val="20"/>
                <w:color w:val="auto"/>
              </w:rPr>
            </w:pPr>
            <w:r>
              <w:rPr>
                <w:rFonts w:ascii="Arial" w:cs="Arial" w:eastAsia="Arial" w:hAnsi="Arial"/>
                <w:sz w:val="16"/>
                <w:szCs w:val="16"/>
                <w:b w:val="1"/>
                <w:bCs w:val="1"/>
                <w:color w:val="auto"/>
              </w:rPr>
              <w:t>in Last Fiscal Year</w:t>
            </w:r>
          </w:p>
        </w:tc>
        <w:tc>
          <w:tcPr>
            <w:tcW w:w="1620" w:type="dxa"/>
            <w:vAlign w:val="bottom"/>
          </w:tcPr>
          <w:p>
            <w:pPr>
              <w:jc w:val="right"/>
              <w:ind w:right="239"/>
              <w:spacing w:after="0"/>
              <w:rPr>
                <w:sz w:val="20"/>
                <w:szCs w:val="20"/>
                <w:color w:val="auto"/>
              </w:rPr>
            </w:pPr>
            <w:r>
              <w:rPr>
                <w:rFonts w:ascii="Arial" w:cs="Arial" w:eastAsia="Arial" w:hAnsi="Arial"/>
                <w:sz w:val="16"/>
                <w:szCs w:val="16"/>
                <w:b w:val="1"/>
                <w:bCs w:val="1"/>
                <w:color w:val="auto"/>
              </w:rPr>
              <w:t>Distributions</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Fiscal Year End</w:t>
            </w:r>
          </w:p>
        </w:tc>
      </w:tr>
      <w:tr>
        <w:trPr>
          <w:trHeight w:val="223"/>
        </w:trPr>
        <w:tc>
          <w:tcPr>
            <w:tcW w:w="178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1820" w:type="dxa"/>
            <w:vAlign w:val="bottom"/>
          </w:tcPr>
          <w:p>
            <w:pPr>
              <w:jc w:val="right"/>
              <w:ind w:right="119"/>
              <w:spacing w:after="0"/>
              <w:rPr>
                <w:sz w:val="20"/>
                <w:szCs w:val="20"/>
                <w:color w:val="auto"/>
              </w:rPr>
            </w:pPr>
            <w:r>
              <w:rPr>
                <w:rFonts w:ascii="Arial" w:cs="Arial" w:eastAsia="Arial" w:hAnsi="Arial"/>
                <w:sz w:val="16"/>
                <w:szCs w:val="16"/>
                <w:b w:val="1"/>
                <w:bCs w:val="1"/>
                <w:color w:val="auto"/>
              </w:rPr>
              <w:t>($)(a)</w:t>
            </w:r>
          </w:p>
        </w:tc>
        <w:tc>
          <w:tcPr>
            <w:tcW w:w="2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040" w:type="dxa"/>
            <w:vAlign w:val="bottom"/>
          </w:tcPr>
          <w:p>
            <w:pPr>
              <w:jc w:val="right"/>
              <w:ind w:right="199"/>
              <w:spacing w:after="0"/>
              <w:rPr>
                <w:sz w:val="20"/>
                <w:szCs w:val="20"/>
                <w:color w:val="auto"/>
              </w:rPr>
            </w:pPr>
            <w:r>
              <w:rPr>
                <w:rFonts w:ascii="Arial" w:cs="Arial" w:eastAsia="Arial" w:hAnsi="Arial"/>
                <w:sz w:val="16"/>
                <w:szCs w:val="16"/>
                <w:b w:val="1"/>
                <w:bCs w:val="1"/>
                <w:color w:val="auto"/>
              </w:rPr>
              <w:t>($)(b)</w:t>
            </w: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($)(c)</w:t>
            </w:r>
          </w:p>
        </w:tc>
      </w:tr>
      <w:tr>
        <w:trPr>
          <w:trHeight w:val="21"/>
        </w:trPr>
        <w:tc>
          <w:tcPr>
            <w:tcW w:w="1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7"/>
        </w:trPr>
        <w:tc>
          <w:tcPr>
            <w:tcW w:w="17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Erik B. Nordstrom</w:t>
            </w:r>
          </w:p>
        </w:tc>
        <w:tc>
          <w:tcPr>
            <w:tcW w:w="182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DCDDDE"/>
            </w:tcBorders>
            <w:shd w:val="clear" w:color="auto" w:fill="DCDDDE"/>
          </w:tcPr>
          <w:p>
            <w:pPr>
              <w:jc w:val="right"/>
              <w:ind w:right="2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780" w:type="dxa"/>
            <w:vAlign w:val="bottom"/>
          </w:tcPr>
          <w:p>
            <w:pPr>
              <w:ind w:left="60"/>
              <w:spacing w:after="0"/>
              <w:rPr>
                <w:sz w:val="20"/>
                <w:szCs w:val="20"/>
                <w:color w:val="auto"/>
              </w:rPr>
            </w:pPr>
            <w:r>
              <w:rPr>
                <w:rFonts w:ascii="Arial" w:cs="Arial" w:eastAsia="Arial" w:hAnsi="Arial"/>
                <w:sz w:val="16"/>
                <w:szCs w:val="16"/>
                <w:color w:val="auto"/>
              </w:rPr>
              <w:t>Michael W. Maher</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219"/>
              <w:spacing w:after="0"/>
              <w:rPr>
                <w:sz w:val="20"/>
                <w:szCs w:val="20"/>
                <w:color w:val="auto"/>
              </w:rPr>
            </w:pPr>
            <w:r>
              <w:rPr>
                <w:rFonts w:ascii="Arial" w:cs="Arial" w:eastAsia="Arial" w:hAnsi="Arial"/>
                <w:sz w:val="16"/>
                <w:szCs w:val="16"/>
                <w:color w:val="auto"/>
              </w:rPr>
              <w:t>(11,604)</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206,219</w:t>
            </w:r>
          </w:p>
        </w:tc>
      </w:tr>
      <w:tr>
        <w:trPr>
          <w:trHeight w:val="29"/>
        </w:trPr>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3"/>
        </w:trPr>
        <w:tc>
          <w:tcPr>
            <w:tcW w:w="17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Peter E. Nordstrom</w:t>
            </w:r>
          </w:p>
        </w:tc>
        <w:tc>
          <w:tcPr>
            <w:tcW w:w="182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DCDDDE"/>
            </w:tcBorders>
            <w:shd w:val="clear" w:color="auto" w:fill="DCDDDE"/>
          </w:tcPr>
          <w:p>
            <w:pPr>
              <w:jc w:val="right"/>
              <w:ind w:right="2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780" w:type="dxa"/>
            <w:vAlign w:val="bottom"/>
          </w:tcPr>
          <w:p>
            <w:pPr>
              <w:ind w:left="60"/>
              <w:spacing w:after="0"/>
              <w:rPr>
                <w:sz w:val="20"/>
                <w:szCs w:val="20"/>
                <w:color w:val="auto"/>
              </w:rPr>
            </w:pPr>
            <w:r>
              <w:rPr>
                <w:rFonts w:ascii="Arial" w:cs="Arial" w:eastAsia="Arial" w:hAnsi="Arial"/>
                <w:sz w:val="16"/>
                <w:szCs w:val="16"/>
                <w:color w:val="auto"/>
              </w:rPr>
              <w:t>Kenneth J. Worzel</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86,058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279"/>
              <w:spacing w:after="0"/>
              <w:rPr>
                <w:sz w:val="20"/>
                <w:szCs w:val="20"/>
                <w:color w:val="auto"/>
              </w:rPr>
            </w:pPr>
            <w:r>
              <w:rPr>
                <w:rFonts w:ascii="Arial" w:cs="Arial" w:eastAsia="Arial" w:hAnsi="Arial"/>
                <w:sz w:val="16"/>
                <w:szCs w:val="16"/>
                <w:color w:val="auto"/>
              </w:rPr>
              <w:t>18,013</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992,508</w:t>
            </w:r>
          </w:p>
        </w:tc>
      </w:tr>
      <w:tr>
        <w:trPr>
          <w:trHeight w:val="29"/>
        </w:trPr>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7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Alexis DePree</w:t>
            </w:r>
          </w:p>
        </w:tc>
        <w:tc>
          <w:tcPr>
            <w:tcW w:w="182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DCDDDE"/>
            </w:tcBorders>
            <w:shd w:val="clear" w:color="auto" w:fill="DCDDDE"/>
          </w:tcPr>
          <w:p>
            <w:pPr>
              <w:jc w:val="right"/>
              <w:ind w:right="2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CDDDE"/>
            </w:tcBorders>
            <w:shd w:val="clear" w:color="auto" w:fill="DCDDDE"/>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1780" w:type="dxa"/>
            <w:vAlign w:val="bottom"/>
          </w:tcPr>
          <w:p>
            <w:pPr>
              <w:ind w:left="60"/>
              <w:spacing w:after="0"/>
              <w:rPr>
                <w:sz w:val="20"/>
                <w:szCs w:val="20"/>
                <w:color w:val="auto"/>
              </w:rPr>
            </w:pPr>
            <w:r>
              <w:rPr>
                <w:rFonts w:ascii="Arial" w:cs="Arial" w:eastAsia="Arial" w:hAnsi="Arial"/>
                <w:sz w:val="16"/>
                <w:szCs w:val="16"/>
                <w:color w:val="auto"/>
              </w:rPr>
              <w:t>Anne L. Bramman</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74,173</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279"/>
              <w:spacing w:after="0"/>
              <w:rPr>
                <w:sz w:val="20"/>
                <w:szCs w:val="20"/>
                <w:color w:val="auto"/>
              </w:rPr>
            </w:pPr>
            <w:r>
              <w:rPr>
                <w:rFonts w:ascii="Arial" w:cs="Arial" w:eastAsia="Arial" w:hAnsi="Arial"/>
                <w:sz w:val="16"/>
                <w:szCs w:val="16"/>
                <w:color w:val="auto"/>
              </w:rPr>
              <w:t>12,696</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338,949</w:t>
            </w:r>
          </w:p>
        </w:tc>
      </w:tr>
      <w:tr>
        <w:trPr>
          <w:trHeight w:val="29"/>
        </w:trPr>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3"/>
        </w:trPr>
        <w:tc>
          <w:tcPr>
            <w:tcW w:w="178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Edmond Mesrobian</w:t>
            </w:r>
          </w:p>
        </w:tc>
        <w:tc>
          <w:tcPr>
            <w:tcW w:w="1820" w:type="dxa"/>
            <w:vAlign w:val="bottom"/>
            <w:tcBorders>
              <w:bottom w:val="single" w:sz="8" w:color="auto"/>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DCDDDE"/>
          </w:tcPr>
          <w:p>
            <w:pPr>
              <w:jc w:val="right"/>
              <w:ind w:right="219"/>
              <w:spacing w:after="0"/>
              <w:rPr>
                <w:sz w:val="20"/>
                <w:szCs w:val="20"/>
                <w:color w:val="auto"/>
              </w:rPr>
            </w:pPr>
            <w:r>
              <w:rPr>
                <w:rFonts w:ascii="Arial" w:cs="Arial" w:eastAsia="Arial" w:hAnsi="Arial"/>
                <w:sz w:val="16"/>
                <w:szCs w:val="16"/>
                <w:color w:val="auto"/>
              </w:rPr>
              <w:t>(33,173)</w:t>
            </w:r>
          </w:p>
        </w:tc>
        <w:tc>
          <w:tcPr>
            <w:tcW w:w="1620" w:type="dxa"/>
            <w:vAlign w:val="bottom"/>
            <w:tcBorders>
              <w:bottom w:val="single" w:sz="8" w:color="auto"/>
            </w:tcBorders>
            <w:shd w:val="clear" w:color="auto" w:fill="DCDDDE"/>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color w:val="auto"/>
              </w:rPr>
              <w:t>167,361</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Executive Contributions in Last Fiscal Year</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amounts reported are the deferrals made during the fiscal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Aggregate Earnings in Last Fiscal Year</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amounts include the total interest or other earnings (loss) accrued in fiscal year 2022 on the entire NDCP account balance, including deferred PSUs.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 Aggregate Balance at Last Fiscal Year End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amounts shown are the total NDCP balances, including earnings on deferrals, as of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1019810" cy="1200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Potential Payments Upon Termination or Change in Control</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information on the following pages describes and quantifies certain amounts that would become payable under existing compensation plans if the NEOs’ employment had terminated on January 28, 2023, the last day of the fiscal year. The amounts are based on each executive’s compensation and years of service as of that date and, if applicable, based on the closing price of Common Stock on January 27, 2023, the last market trading day of the fiscal year, of $18.42. The estimates are based on all relevant plans effective at the end of the fiscal year and information available at that time. Actual values would reflect specific circumstances at the time of any termination, the plans and provisions effective if and when a termination event occurs and any other applicable factors.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does not have employment agreements with any Nordstrom employees, including the NEOs. The Company maintains an executive severance plan to provide certain NEOs an appropriate level of severance benefits in the event of involuntary separation of service, not for cause. Except as described on the following pages, there are no agreements, arrangements or plans that entitle the NEOs to enhanced benefits upon termination of their employment.</w:t>
      </w:r>
    </w:p>
    <w:p>
      <w:pPr>
        <w:spacing w:after="0" w:line="140" w:lineRule="exact"/>
        <w:rPr>
          <w:sz w:val="20"/>
          <w:szCs w:val="20"/>
          <w:color w:val="auto"/>
        </w:rPr>
      </w:pPr>
    </w:p>
    <w:p>
      <w:pPr>
        <w:ind w:left="60" w:right="2640"/>
        <w:spacing w:after="0" w:line="298" w:lineRule="auto"/>
        <w:rPr>
          <w:sz w:val="20"/>
          <w:szCs w:val="20"/>
          <w:color w:val="auto"/>
        </w:rPr>
      </w:pPr>
      <w:r>
        <w:rPr>
          <w:rFonts w:ascii="Arial" w:cs="Arial" w:eastAsia="Arial" w:hAnsi="Arial"/>
          <w:sz w:val="25"/>
          <w:szCs w:val="25"/>
          <w:b w:val="1"/>
          <w:bCs w:val="1"/>
          <w:color w:val="auto"/>
        </w:rPr>
        <w:t>Potential Payments Upon Termination or Change in Control at Fiscal Year-End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0054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shows various termination scenarios and payments that would be triggered under the Company’s compensation plans, with the exception of Anne Bramman and Edmond Mesrobian who separated prior to the end of the fiscal year on December 2, 2022 and October 14, 2022, respectively, and for whom actual payments upon termination are shown.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Qualifying</w:t>
            </w:r>
          </w:p>
        </w:tc>
      </w:tr>
      <w:tr>
        <w:trPr>
          <w:trHeight w:val="189"/>
        </w:trPr>
        <w:tc>
          <w:tcPr>
            <w:tcW w:w="4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Termination</w:t>
            </w:r>
          </w:p>
        </w:tc>
      </w:tr>
      <w:tr>
        <w:trPr>
          <w:trHeight w:val="189"/>
        </w:trPr>
        <w:tc>
          <w:tcPr>
            <w:tcW w:w="4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Termination</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Following a</w:t>
            </w:r>
          </w:p>
        </w:tc>
      </w:tr>
      <w:tr>
        <w:trPr>
          <w:trHeight w:val="189"/>
        </w:trPr>
        <w:tc>
          <w:tcPr>
            <w:tcW w:w="4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without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 in</w:t>
            </w:r>
          </w:p>
        </w:tc>
      </w:tr>
      <w:tr>
        <w:trPr>
          <w:trHeight w:val="189"/>
        </w:trPr>
        <w:tc>
          <w:tcPr>
            <w:tcW w:w="4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Arial" w:cs="Arial" w:eastAsia="Arial" w:hAnsi="Arial"/>
                <w:sz w:val="16"/>
                <w:szCs w:val="16"/>
                <w:b w:val="1"/>
                <w:bCs w:val="1"/>
                <w:color w:val="auto"/>
              </w:rPr>
              <w:t>Death</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Disability</w:t>
            </w: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Retirement</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Cause</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Control</w:t>
            </w:r>
          </w:p>
        </w:tc>
      </w:tr>
      <w:tr>
        <w:trPr>
          <w:trHeight w:val="223"/>
        </w:trPr>
        <w:tc>
          <w:tcPr>
            <w:tcW w:w="4400" w:type="dxa"/>
            <w:vAlign w:val="bottom"/>
            <w:gridSpan w:val="2"/>
          </w:tcPr>
          <w:p>
            <w:pPr>
              <w:ind w:left="60"/>
              <w:spacing w:after="0"/>
              <w:rPr>
                <w:sz w:val="20"/>
                <w:szCs w:val="20"/>
                <w:color w:val="auto"/>
              </w:rPr>
            </w:pPr>
            <w:r>
              <w:rPr>
                <w:rFonts w:ascii="Arial" w:cs="Arial" w:eastAsia="Arial" w:hAnsi="Arial"/>
                <w:sz w:val="16"/>
                <w:szCs w:val="16"/>
                <w:b w:val="1"/>
                <w:bCs w:val="1"/>
                <w:color w:val="auto"/>
              </w:rPr>
              <w:t>Name and Potential Payment</w:t>
            </w:r>
          </w:p>
        </w:tc>
        <w:tc>
          <w:tcPr>
            <w:tcW w:w="152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
        </w:trPr>
        <w:tc>
          <w:tcPr>
            <w:tcW w:w="440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440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b w:val="1"/>
                <w:bCs w:val="1"/>
                <w:color w:val="auto"/>
              </w:rPr>
              <w:t>Erik B. Nordstrom</w:t>
            </w:r>
          </w:p>
        </w:tc>
        <w:tc>
          <w:tcPr>
            <w:tcW w:w="1520" w:type="dxa"/>
            <w:vAlign w:val="bottom"/>
            <w:tcBorders>
              <w:bottom w:val="single" w:sz="8" w:color="DCDDDE"/>
            </w:tcBorders>
            <w:shd w:val="clear" w:color="auto" w:fill="DCDDDE"/>
          </w:tcPr>
          <w:p>
            <w:pPr>
              <w:spacing w:after="0"/>
              <w:rPr>
                <w:sz w:val="22"/>
                <w:szCs w:val="22"/>
                <w:color w:val="auto"/>
              </w:rPr>
            </w:pPr>
          </w:p>
        </w:tc>
        <w:tc>
          <w:tcPr>
            <w:tcW w:w="1200" w:type="dxa"/>
            <w:vAlign w:val="bottom"/>
            <w:tcBorders>
              <w:bottom w:val="single" w:sz="8" w:color="DCDDDE"/>
            </w:tcBorders>
            <w:shd w:val="clear" w:color="auto" w:fill="DCDDDE"/>
          </w:tcPr>
          <w:p>
            <w:pPr>
              <w:spacing w:after="0"/>
              <w:rPr>
                <w:sz w:val="22"/>
                <w:szCs w:val="22"/>
                <w:color w:val="auto"/>
              </w:rPr>
            </w:pPr>
          </w:p>
        </w:tc>
        <w:tc>
          <w:tcPr>
            <w:tcW w:w="1240" w:type="dxa"/>
            <w:vAlign w:val="bottom"/>
            <w:tcBorders>
              <w:bottom w:val="single" w:sz="8" w:color="DCDDDE"/>
            </w:tcBorders>
            <w:shd w:val="clear" w:color="auto" w:fill="DCDDDE"/>
          </w:tcPr>
          <w:p>
            <w:pPr>
              <w:spacing w:after="0"/>
              <w:rPr>
                <w:sz w:val="22"/>
                <w:szCs w:val="22"/>
                <w:color w:val="auto"/>
              </w:rPr>
            </w:pPr>
          </w:p>
        </w:tc>
        <w:tc>
          <w:tcPr>
            <w:tcW w:w="1320" w:type="dxa"/>
            <w:vAlign w:val="bottom"/>
            <w:tcBorders>
              <w:bottom w:val="single" w:sz="8" w:color="DCDDDE"/>
            </w:tcBorders>
            <w:shd w:val="clear" w:color="auto" w:fill="DCDDDE"/>
          </w:tcPr>
          <w:p>
            <w:pPr>
              <w:spacing w:after="0"/>
              <w:rPr>
                <w:sz w:val="22"/>
                <w:szCs w:val="22"/>
                <w:color w:val="auto"/>
              </w:rPr>
            </w:pPr>
          </w:p>
        </w:tc>
        <w:tc>
          <w:tcPr>
            <w:tcW w:w="1200" w:type="dxa"/>
            <w:vAlign w:val="bottom"/>
            <w:tcBorders>
              <w:bottom w:val="single" w:sz="8" w:color="DCDDDE"/>
            </w:tcBorders>
            <w:shd w:val="clear" w:color="auto" w:fill="DCDDDE"/>
          </w:tcPr>
          <w:p>
            <w:pPr>
              <w:spacing w:after="0"/>
              <w:rPr>
                <w:sz w:val="22"/>
                <w:szCs w:val="22"/>
                <w:color w:val="auto"/>
              </w:rPr>
            </w:pPr>
          </w:p>
        </w:tc>
      </w:tr>
      <w:tr>
        <w:trPr>
          <w:trHeight w:val="283"/>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18"/>
                <w:szCs w:val="18"/>
                <w:color w:val="auto"/>
                <w:vertAlign w:val="superscript"/>
              </w:rPr>
              <w:t>(a)</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429,389</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429,389</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322,041</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322,041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966,124</w:t>
            </w:r>
          </w:p>
        </w:tc>
      </w:tr>
      <w:tr>
        <w:trPr>
          <w:trHeight w:val="283"/>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Vested SERP Benefit</w:t>
            </w:r>
            <w:r>
              <w:rPr>
                <w:rFonts w:ascii="Arial" w:cs="Arial" w:eastAsia="Arial" w:hAnsi="Arial"/>
                <w:sz w:val="18"/>
                <w:szCs w:val="18"/>
                <w:color w:val="auto"/>
                <w:vertAlign w:val="superscript"/>
              </w:rPr>
              <w:t>(b)</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5,209,255</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10,805,200</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10,805,200</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10,805,200</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10,805,200</w:t>
            </w:r>
          </w:p>
        </w:tc>
      </w:tr>
      <w:tr>
        <w:trPr>
          <w:trHeight w:val="284"/>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Life Insurance Proceeds</w:t>
            </w:r>
            <w:r>
              <w:rPr>
                <w:rFonts w:ascii="Arial" w:cs="Arial" w:eastAsia="Arial" w:hAnsi="Arial"/>
                <w:sz w:val="18"/>
                <w:szCs w:val="18"/>
                <w:color w:val="auto"/>
                <w:vertAlign w:val="superscript"/>
              </w:rPr>
              <w:t>(c)</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1,517,000</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Retiree Health Care Benefit</w:t>
            </w:r>
            <w:r>
              <w:rPr>
                <w:rFonts w:ascii="Arial" w:cs="Arial" w:eastAsia="Arial" w:hAnsi="Arial"/>
                <w:sz w:val="18"/>
                <w:szCs w:val="18"/>
                <w:color w:val="auto"/>
                <w:vertAlign w:val="superscript"/>
              </w:rPr>
              <w:t>(d)</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159,075</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328,029</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328,029</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328,029</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328,029</w:t>
            </w:r>
          </w:p>
        </w:tc>
      </w:tr>
      <w:tr>
        <w:trPr>
          <w:trHeight w:val="283"/>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Separation Benefit</w:t>
            </w:r>
            <w:r>
              <w:rPr>
                <w:rFonts w:ascii="Arial" w:cs="Arial" w:eastAsia="Arial" w:hAnsi="Arial"/>
                <w:sz w:val="18"/>
                <w:szCs w:val="18"/>
                <w:color w:val="auto"/>
                <w:vertAlign w:val="superscript"/>
              </w:rPr>
              <w:t>(e)</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Disability Insurance Benefit</w:t>
            </w:r>
            <w:r>
              <w:rPr>
                <w:rFonts w:ascii="Arial" w:cs="Arial" w:eastAsia="Arial" w:hAnsi="Arial"/>
                <w:sz w:val="18"/>
                <w:szCs w:val="18"/>
                <w:color w:val="auto"/>
                <w:vertAlign w:val="superscript"/>
              </w:rPr>
              <w:t>(f)</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35,000</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Executive Management Bonus</w:t>
            </w:r>
            <w:r>
              <w:rPr>
                <w:rFonts w:ascii="Arial" w:cs="Arial" w:eastAsia="Arial" w:hAnsi="Arial"/>
                <w:sz w:val="18"/>
                <w:szCs w:val="18"/>
                <w:color w:val="auto"/>
                <w:vertAlign w:val="superscript"/>
              </w:rPr>
              <w:t>(g)</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5"/>
        </w:trPr>
        <w:tc>
          <w:tcPr>
            <w:tcW w:w="440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color w:val="auto"/>
              </w:rPr>
              <w:t>Total Value of Incremental Benefits</w:t>
            </w:r>
          </w:p>
        </w:tc>
        <w:tc>
          <w:tcPr>
            <w:tcW w:w="1520" w:type="dxa"/>
            <w:vAlign w:val="bottom"/>
            <w:tcBorders>
              <w:bottom w:val="single" w:sz="8" w:color="DCDDDE"/>
            </w:tcBorders>
            <w:shd w:val="clear" w:color="auto" w:fill="DCDDDE"/>
          </w:tcPr>
          <w:p>
            <w:pPr>
              <w:jc w:val="right"/>
              <w:ind w:right="139"/>
              <w:spacing w:after="0"/>
              <w:rPr>
                <w:sz w:val="20"/>
                <w:szCs w:val="20"/>
                <w:color w:val="auto"/>
              </w:rPr>
            </w:pPr>
            <w:r>
              <w:rPr>
                <w:rFonts w:ascii="Arial" w:cs="Arial" w:eastAsia="Arial" w:hAnsi="Arial"/>
                <w:sz w:val="16"/>
                <w:szCs w:val="16"/>
                <w:color w:val="auto"/>
              </w:rPr>
              <w:t>7,314,719</w:t>
            </w:r>
          </w:p>
        </w:tc>
        <w:tc>
          <w:tcPr>
            <w:tcW w:w="1200" w:type="dxa"/>
            <w:vAlign w:val="bottom"/>
            <w:tcBorders>
              <w:bottom w:val="single" w:sz="8" w:color="DCDDDE"/>
            </w:tcBorders>
            <w:shd w:val="clear" w:color="auto" w:fill="DCDDDE"/>
          </w:tcPr>
          <w:p>
            <w:pPr>
              <w:jc w:val="right"/>
              <w:ind w:right="99"/>
              <w:spacing w:after="0"/>
              <w:rPr>
                <w:sz w:val="20"/>
                <w:szCs w:val="20"/>
                <w:color w:val="auto"/>
              </w:rPr>
            </w:pPr>
            <w:r>
              <w:rPr>
                <w:rFonts w:ascii="Arial" w:cs="Arial" w:eastAsia="Arial" w:hAnsi="Arial"/>
                <w:sz w:val="16"/>
                <w:szCs w:val="16"/>
                <w:color w:val="auto"/>
              </w:rPr>
              <w:t>11,597,618</w:t>
            </w:r>
          </w:p>
        </w:tc>
        <w:tc>
          <w:tcPr>
            <w:tcW w:w="12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11,455,270</w:t>
            </w:r>
          </w:p>
        </w:tc>
        <w:tc>
          <w:tcPr>
            <w:tcW w:w="132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11,455,270</w:t>
            </w:r>
          </w:p>
        </w:tc>
        <w:tc>
          <w:tcPr>
            <w:tcW w:w="120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12,099,353</w:t>
            </w:r>
          </w:p>
        </w:tc>
      </w:tr>
      <w:tr>
        <w:trPr>
          <w:trHeight w:val="256"/>
        </w:trPr>
        <w:tc>
          <w:tcPr>
            <w:tcW w:w="44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Michael W. Maher</w:t>
            </w:r>
          </w:p>
        </w:tc>
        <w:tc>
          <w:tcPr>
            <w:tcW w:w="15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1"/>
        </w:trPr>
        <w:tc>
          <w:tcPr>
            <w:tcW w:w="44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83"/>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18"/>
                <w:szCs w:val="18"/>
                <w:color w:val="auto"/>
                <w:vertAlign w:val="superscript"/>
              </w:rPr>
              <w:t>(a)</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726,172</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726,172</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1,519,134</w:t>
            </w:r>
          </w:p>
        </w:tc>
      </w:tr>
      <w:tr>
        <w:trPr>
          <w:trHeight w:val="283"/>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Vested SERP Benefit</w:t>
            </w:r>
            <w:r>
              <w:rPr>
                <w:rFonts w:ascii="Arial" w:cs="Arial" w:eastAsia="Arial" w:hAnsi="Arial"/>
                <w:sz w:val="18"/>
                <w:szCs w:val="18"/>
                <w:color w:val="auto"/>
                <w:vertAlign w:val="superscript"/>
              </w:rPr>
              <w:t>(b)</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Life Insurance Proceeds</w:t>
            </w:r>
            <w:r>
              <w:rPr>
                <w:rFonts w:ascii="Arial" w:cs="Arial" w:eastAsia="Arial" w:hAnsi="Arial"/>
                <w:sz w:val="18"/>
                <w:szCs w:val="18"/>
                <w:color w:val="auto"/>
                <w:vertAlign w:val="superscript"/>
              </w:rPr>
              <w:t>(c)</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1,050,000</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Retiree Health Care Benefit</w:t>
            </w:r>
            <w:r>
              <w:rPr>
                <w:rFonts w:ascii="Arial" w:cs="Arial" w:eastAsia="Arial" w:hAnsi="Arial"/>
                <w:sz w:val="18"/>
                <w:szCs w:val="18"/>
                <w:color w:val="auto"/>
                <w:vertAlign w:val="superscript"/>
              </w:rPr>
              <w:t>(d)</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Separation Benefit</w:t>
            </w:r>
            <w:r>
              <w:rPr>
                <w:rFonts w:ascii="Arial" w:cs="Arial" w:eastAsia="Arial" w:hAnsi="Arial"/>
                <w:sz w:val="18"/>
                <w:szCs w:val="18"/>
                <w:color w:val="auto"/>
                <w:vertAlign w:val="superscript"/>
              </w:rPr>
              <w:t>(e)</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808,662</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Disability Insurance Benefit</w:t>
            </w:r>
            <w:r>
              <w:rPr>
                <w:rFonts w:ascii="Arial" w:cs="Arial" w:eastAsia="Arial" w:hAnsi="Arial"/>
                <w:sz w:val="18"/>
                <w:szCs w:val="18"/>
                <w:color w:val="auto"/>
                <w:vertAlign w:val="superscript"/>
              </w:rPr>
              <w:t>(f)</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35,000</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Executive Management Bonus</w:t>
            </w:r>
            <w:r>
              <w:rPr>
                <w:rFonts w:ascii="Arial" w:cs="Arial" w:eastAsia="Arial" w:hAnsi="Arial"/>
                <w:sz w:val="18"/>
                <w:szCs w:val="18"/>
                <w:color w:val="auto"/>
                <w:vertAlign w:val="superscript"/>
              </w:rPr>
              <w:t>(g)</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41"/>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Total Value of Incremental Benefits</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1,776,172</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761,172</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808,662</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1,519,134</w:t>
            </w:r>
          </w:p>
        </w:tc>
      </w:tr>
      <w:tr>
        <w:trPr>
          <w:trHeight w:val="29"/>
        </w:trPr>
        <w:tc>
          <w:tcPr>
            <w:tcW w:w="44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b w:val="1"/>
                <w:bCs w:val="1"/>
                <w:color w:val="auto"/>
              </w:rPr>
              <w:t>Peter E. Nordstrom</w:t>
            </w:r>
          </w:p>
        </w:tc>
        <w:tc>
          <w:tcPr>
            <w:tcW w:w="1520" w:type="dxa"/>
            <w:vAlign w:val="bottom"/>
            <w:tcBorders>
              <w:bottom w:val="single" w:sz="8" w:color="DCDDDE"/>
            </w:tcBorders>
            <w:shd w:val="clear" w:color="auto" w:fill="DCDDDE"/>
          </w:tcPr>
          <w:p>
            <w:pPr>
              <w:spacing w:after="0"/>
              <w:rPr>
                <w:sz w:val="22"/>
                <w:szCs w:val="22"/>
                <w:color w:val="auto"/>
              </w:rPr>
            </w:pPr>
          </w:p>
        </w:tc>
        <w:tc>
          <w:tcPr>
            <w:tcW w:w="1200" w:type="dxa"/>
            <w:vAlign w:val="bottom"/>
            <w:tcBorders>
              <w:bottom w:val="single" w:sz="8" w:color="DCDDDE"/>
            </w:tcBorders>
            <w:shd w:val="clear" w:color="auto" w:fill="DCDDDE"/>
          </w:tcPr>
          <w:p>
            <w:pPr>
              <w:spacing w:after="0"/>
              <w:rPr>
                <w:sz w:val="22"/>
                <w:szCs w:val="22"/>
                <w:color w:val="auto"/>
              </w:rPr>
            </w:pPr>
          </w:p>
        </w:tc>
        <w:tc>
          <w:tcPr>
            <w:tcW w:w="1240" w:type="dxa"/>
            <w:vAlign w:val="bottom"/>
            <w:tcBorders>
              <w:bottom w:val="single" w:sz="8" w:color="DCDDDE"/>
            </w:tcBorders>
            <w:shd w:val="clear" w:color="auto" w:fill="DCDDDE"/>
          </w:tcPr>
          <w:p>
            <w:pPr>
              <w:spacing w:after="0"/>
              <w:rPr>
                <w:sz w:val="22"/>
                <w:szCs w:val="22"/>
                <w:color w:val="auto"/>
              </w:rPr>
            </w:pPr>
          </w:p>
        </w:tc>
        <w:tc>
          <w:tcPr>
            <w:tcW w:w="1320" w:type="dxa"/>
            <w:vAlign w:val="bottom"/>
            <w:tcBorders>
              <w:bottom w:val="single" w:sz="8" w:color="DCDDDE"/>
            </w:tcBorders>
            <w:shd w:val="clear" w:color="auto" w:fill="DCDDDE"/>
          </w:tcPr>
          <w:p>
            <w:pPr>
              <w:spacing w:after="0"/>
              <w:rPr>
                <w:sz w:val="22"/>
                <w:szCs w:val="22"/>
                <w:color w:val="auto"/>
              </w:rPr>
            </w:pPr>
          </w:p>
        </w:tc>
        <w:tc>
          <w:tcPr>
            <w:tcW w:w="1200" w:type="dxa"/>
            <w:vAlign w:val="bottom"/>
            <w:tcBorders>
              <w:bottom w:val="single" w:sz="8" w:color="DCDDDE"/>
            </w:tcBorders>
            <w:shd w:val="clear" w:color="auto" w:fill="DCDDDE"/>
          </w:tcPr>
          <w:p>
            <w:pPr>
              <w:spacing w:after="0"/>
              <w:rPr>
                <w:sz w:val="22"/>
                <w:szCs w:val="22"/>
                <w:color w:val="auto"/>
              </w:rPr>
            </w:pPr>
          </w:p>
        </w:tc>
      </w:tr>
      <w:tr>
        <w:trPr>
          <w:trHeight w:val="283"/>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18"/>
                <w:szCs w:val="18"/>
                <w:color w:val="auto"/>
                <w:vertAlign w:val="superscript"/>
              </w:rPr>
              <w:t>(a)</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429,389</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429,389</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322,041</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322,041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966,124</w:t>
            </w:r>
          </w:p>
        </w:tc>
      </w:tr>
      <w:tr>
        <w:trPr>
          <w:trHeight w:val="284"/>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Vested SERP Benefit</w:t>
            </w:r>
            <w:r>
              <w:rPr>
                <w:rFonts w:ascii="Arial" w:cs="Arial" w:eastAsia="Arial" w:hAnsi="Arial"/>
                <w:sz w:val="18"/>
                <w:szCs w:val="18"/>
                <w:color w:val="auto"/>
                <w:vertAlign w:val="superscript"/>
              </w:rPr>
              <w:t>(b)</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5,525,170</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10,857,560</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10,857,560</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10,857,560</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10,857,560</w:t>
            </w:r>
          </w:p>
        </w:tc>
      </w:tr>
      <w:tr>
        <w:trPr>
          <w:trHeight w:val="284"/>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Life Insurance Proceeds</w:t>
            </w:r>
            <w:r>
              <w:rPr>
                <w:rFonts w:ascii="Arial" w:cs="Arial" w:eastAsia="Arial" w:hAnsi="Arial"/>
                <w:sz w:val="18"/>
                <w:szCs w:val="18"/>
                <w:color w:val="auto"/>
                <w:vertAlign w:val="superscript"/>
              </w:rPr>
              <w:t>(c)</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1,517,000</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Retiree Health Care Benefit</w:t>
            </w:r>
            <w:r>
              <w:rPr>
                <w:rFonts w:ascii="Arial" w:cs="Arial" w:eastAsia="Arial" w:hAnsi="Arial"/>
                <w:sz w:val="18"/>
                <w:szCs w:val="18"/>
                <w:color w:val="auto"/>
                <w:vertAlign w:val="superscript"/>
              </w:rPr>
              <w:t>(d)</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148,341</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296,811</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296,811</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296,811</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296,811</w:t>
            </w:r>
          </w:p>
        </w:tc>
      </w:tr>
      <w:tr>
        <w:trPr>
          <w:trHeight w:val="284"/>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Separation Benefit</w:t>
            </w:r>
            <w:r>
              <w:rPr>
                <w:rFonts w:ascii="Arial" w:cs="Arial" w:eastAsia="Arial" w:hAnsi="Arial"/>
                <w:sz w:val="18"/>
                <w:szCs w:val="18"/>
                <w:color w:val="auto"/>
                <w:vertAlign w:val="superscript"/>
              </w:rPr>
              <w:t>(e)</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Disability Insurance Benefit</w:t>
            </w:r>
            <w:r>
              <w:rPr>
                <w:rFonts w:ascii="Arial" w:cs="Arial" w:eastAsia="Arial" w:hAnsi="Arial"/>
                <w:sz w:val="18"/>
                <w:szCs w:val="18"/>
                <w:color w:val="auto"/>
                <w:vertAlign w:val="superscript"/>
              </w:rPr>
              <w:t>(f)</w:t>
            </w:r>
          </w:p>
        </w:tc>
        <w:tc>
          <w:tcPr>
            <w:tcW w:w="152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35,000</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gridSpan w:val="2"/>
          </w:tcPr>
          <w:p>
            <w:pPr>
              <w:ind w:left="60"/>
              <w:spacing w:after="0"/>
              <w:rPr>
                <w:sz w:val="20"/>
                <w:szCs w:val="20"/>
                <w:color w:val="auto"/>
              </w:rPr>
            </w:pPr>
            <w:r>
              <w:rPr>
                <w:rFonts w:ascii="Arial" w:cs="Arial" w:eastAsia="Arial" w:hAnsi="Arial"/>
                <w:sz w:val="16"/>
                <w:szCs w:val="16"/>
                <w:color w:val="auto"/>
              </w:rPr>
              <w:t>Executive Management Bonus</w:t>
            </w:r>
            <w:r>
              <w:rPr>
                <w:rFonts w:ascii="Arial" w:cs="Arial" w:eastAsia="Arial" w:hAnsi="Arial"/>
                <w:sz w:val="18"/>
                <w:szCs w:val="18"/>
                <w:color w:val="auto"/>
                <w:vertAlign w:val="superscript"/>
              </w:rPr>
              <w:t>(g)</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5"/>
        </w:trPr>
        <w:tc>
          <w:tcPr>
            <w:tcW w:w="4400" w:type="dxa"/>
            <w:vAlign w:val="bottom"/>
            <w:tcBorders>
              <w:bottom w:val="single" w:sz="8" w:color="DCDDDE"/>
            </w:tcBorders>
            <w:gridSpan w:val="2"/>
            <w:shd w:val="clear" w:color="auto" w:fill="DCDDDE"/>
          </w:tcPr>
          <w:p>
            <w:pPr>
              <w:ind w:left="60"/>
              <w:spacing w:after="0"/>
              <w:rPr>
                <w:sz w:val="20"/>
                <w:szCs w:val="20"/>
                <w:color w:val="auto"/>
              </w:rPr>
            </w:pPr>
            <w:r>
              <w:rPr>
                <w:rFonts w:ascii="Arial" w:cs="Arial" w:eastAsia="Arial" w:hAnsi="Arial"/>
                <w:sz w:val="16"/>
                <w:szCs w:val="16"/>
                <w:color w:val="auto"/>
              </w:rPr>
              <w:t>Total Value of Incremental Benefits</w:t>
            </w:r>
          </w:p>
        </w:tc>
        <w:tc>
          <w:tcPr>
            <w:tcW w:w="1520" w:type="dxa"/>
            <w:vAlign w:val="bottom"/>
            <w:tcBorders>
              <w:bottom w:val="single" w:sz="8" w:color="DCDDDE"/>
            </w:tcBorders>
            <w:shd w:val="clear" w:color="auto" w:fill="DCDDDE"/>
          </w:tcPr>
          <w:p>
            <w:pPr>
              <w:jc w:val="right"/>
              <w:ind w:right="139"/>
              <w:spacing w:after="0"/>
              <w:rPr>
                <w:sz w:val="20"/>
                <w:szCs w:val="20"/>
                <w:color w:val="auto"/>
              </w:rPr>
            </w:pPr>
            <w:r>
              <w:rPr>
                <w:rFonts w:ascii="Arial" w:cs="Arial" w:eastAsia="Arial" w:hAnsi="Arial"/>
                <w:sz w:val="16"/>
                <w:szCs w:val="16"/>
                <w:color w:val="auto"/>
              </w:rPr>
              <w:t>7,619,900</w:t>
            </w:r>
          </w:p>
        </w:tc>
        <w:tc>
          <w:tcPr>
            <w:tcW w:w="1200" w:type="dxa"/>
            <w:vAlign w:val="bottom"/>
            <w:tcBorders>
              <w:bottom w:val="single" w:sz="8" w:color="DCDDDE"/>
            </w:tcBorders>
            <w:shd w:val="clear" w:color="auto" w:fill="DCDDDE"/>
          </w:tcPr>
          <w:p>
            <w:pPr>
              <w:jc w:val="right"/>
              <w:ind w:right="99"/>
              <w:spacing w:after="0"/>
              <w:rPr>
                <w:sz w:val="20"/>
                <w:szCs w:val="20"/>
                <w:color w:val="auto"/>
              </w:rPr>
            </w:pPr>
            <w:r>
              <w:rPr>
                <w:rFonts w:ascii="Arial" w:cs="Arial" w:eastAsia="Arial" w:hAnsi="Arial"/>
                <w:sz w:val="16"/>
                <w:szCs w:val="16"/>
                <w:color w:val="auto"/>
              </w:rPr>
              <w:t>11,618,760</w:t>
            </w:r>
          </w:p>
        </w:tc>
        <w:tc>
          <w:tcPr>
            <w:tcW w:w="12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11,476,412</w:t>
            </w:r>
          </w:p>
        </w:tc>
        <w:tc>
          <w:tcPr>
            <w:tcW w:w="132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11,476,412</w:t>
            </w:r>
          </w:p>
        </w:tc>
        <w:tc>
          <w:tcPr>
            <w:tcW w:w="120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12,120,495</w:t>
            </w:r>
          </w:p>
        </w:tc>
      </w:tr>
      <w:tr>
        <w:trPr>
          <w:trHeight w:val="747"/>
        </w:trPr>
        <w:tc>
          <w:tcPr>
            <w:tcW w:w="4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59</w:t>
            </w:r>
          </w:p>
        </w:tc>
        <w:tc>
          <w:tcPr>
            <w:tcW w:w="3980" w:type="dxa"/>
            <w:vAlign w:val="bottom"/>
            <w:tcBorders>
              <w:top w:val="single" w:sz="8" w:color="auto"/>
            </w:tcBorders>
          </w:tcPr>
          <w:p>
            <w:pPr>
              <w:ind w:left="240"/>
              <w:spacing w:after="0"/>
              <w:rPr>
                <w:sz w:val="20"/>
                <w:szCs w:val="20"/>
                <w:color w:val="auto"/>
              </w:rPr>
            </w:pPr>
            <w:r>
              <w:rPr>
                <w:rFonts w:ascii="Arial" w:cs="Arial" w:eastAsia="Arial" w:hAnsi="Arial"/>
                <w:sz w:val="14"/>
                <w:szCs w:val="14"/>
                <w:b w:val="1"/>
                <w:bCs w:val="1"/>
                <w:color w:val="auto"/>
              </w:rPr>
              <w:t>2023 Proxy Statement</w:t>
            </w:r>
          </w:p>
        </w:tc>
        <w:tc>
          <w:tcPr>
            <w:tcW w:w="15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407"/>
        </w:trPr>
        <w:tc>
          <w:tcPr>
            <w:tcW w:w="4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-402590</wp:posOffset>
            </wp:positionV>
            <wp:extent cx="1020445" cy="1289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ectPr>
          <w:pgSz w:w="11900" w:h="16838" w:orient="portrait"/>
          <w:cols w:equalWidth="0" w:num="1">
            <w:col w:w="10880"/>
          </w:cols>
          <w:pgMar w:left="500" w:top="270" w:right="519" w:bottom="393"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Qualifying</w:t>
            </w:r>
          </w:p>
        </w:tc>
      </w:tr>
      <w:tr>
        <w:trPr>
          <w:trHeight w:val="189"/>
        </w:trPr>
        <w:tc>
          <w:tcPr>
            <w:tcW w:w="4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Termination</w:t>
            </w:r>
          </w:p>
        </w:tc>
      </w:tr>
      <w:tr>
        <w:trPr>
          <w:trHeight w:val="189"/>
        </w:trPr>
        <w:tc>
          <w:tcPr>
            <w:tcW w:w="4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Termination</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Following a</w:t>
            </w:r>
          </w:p>
        </w:tc>
      </w:tr>
      <w:tr>
        <w:trPr>
          <w:trHeight w:val="189"/>
        </w:trPr>
        <w:tc>
          <w:tcPr>
            <w:tcW w:w="4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without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 in</w:t>
            </w:r>
          </w:p>
        </w:tc>
      </w:tr>
      <w:tr>
        <w:trPr>
          <w:trHeight w:val="189"/>
        </w:trPr>
        <w:tc>
          <w:tcPr>
            <w:tcW w:w="4400" w:type="dxa"/>
            <w:vAlign w:val="bottom"/>
          </w:tcPr>
          <w:p>
            <w:pPr>
              <w:spacing w:after="0"/>
              <w:rPr>
                <w:sz w:val="16"/>
                <w:szCs w:val="16"/>
                <w:color w:val="auto"/>
              </w:rPr>
            </w:pPr>
          </w:p>
        </w:tc>
        <w:tc>
          <w:tcPr>
            <w:tcW w:w="1540" w:type="dxa"/>
            <w:vAlign w:val="bottom"/>
          </w:tcPr>
          <w:p>
            <w:pPr>
              <w:jc w:val="right"/>
              <w:ind w:right="219"/>
              <w:spacing w:after="0"/>
              <w:rPr>
                <w:sz w:val="20"/>
                <w:szCs w:val="20"/>
                <w:color w:val="auto"/>
              </w:rPr>
            </w:pPr>
            <w:r>
              <w:rPr>
                <w:rFonts w:ascii="Arial" w:cs="Arial" w:eastAsia="Arial" w:hAnsi="Arial"/>
                <w:sz w:val="16"/>
                <w:szCs w:val="16"/>
                <w:b w:val="1"/>
                <w:bCs w:val="1"/>
                <w:color w:val="auto"/>
              </w:rPr>
              <w:t>Death</w:t>
            </w: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Disability</w:t>
            </w: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Retirement</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Cause</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Control</w:t>
            </w:r>
          </w:p>
        </w:tc>
      </w:tr>
      <w:tr>
        <w:trPr>
          <w:trHeight w:val="223"/>
        </w:trPr>
        <w:tc>
          <w:tcPr>
            <w:tcW w:w="4400" w:type="dxa"/>
            <w:vAlign w:val="bottom"/>
          </w:tcPr>
          <w:p>
            <w:pPr>
              <w:ind w:left="60"/>
              <w:spacing w:after="0"/>
              <w:rPr>
                <w:sz w:val="20"/>
                <w:szCs w:val="20"/>
                <w:color w:val="auto"/>
              </w:rPr>
            </w:pPr>
            <w:r>
              <w:rPr>
                <w:rFonts w:ascii="Arial" w:cs="Arial" w:eastAsia="Arial" w:hAnsi="Arial"/>
                <w:sz w:val="16"/>
                <w:szCs w:val="16"/>
                <w:b w:val="1"/>
                <w:bCs w:val="1"/>
                <w:color w:val="auto"/>
              </w:rPr>
              <w:t>Name and Potential Payment</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44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Kenneth J. Worzel</w:t>
            </w:r>
          </w:p>
        </w:tc>
        <w:tc>
          <w:tcPr>
            <w:tcW w:w="1540" w:type="dxa"/>
            <w:vAlign w:val="bottom"/>
            <w:tcBorders>
              <w:bottom w:val="single" w:sz="8" w:color="DCDDDE"/>
            </w:tcBorders>
            <w:shd w:val="clear" w:color="auto" w:fill="DCDDDE"/>
          </w:tcPr>
          <w:p>
            <w:pPr>
              <w:spacing w:after="0"/>
              <w:rPr>
                <w:sz w:val="22"/>
                <w:szCs w:val="22"/>
                <w:color w:val="auto"/>
              </w:rPr>
            </w:pPr>
          </w:p>
        </w:tc>
        <w:tc>
          <w:tcPr>
            <w:tcW w:w="1180" w:type="dxa"/>
            <w:vAlign w:val="bottom"/>
            <w:tcBorders>
              <w:bottom w:val="single" w:sz="8" w:color="DCDDDE"/>
            </w:tcBorders>
            <w:shd w:val="clear" w:color="auto" w:fill="DCDDDE"/>
          </w:tcPr>
          <w:p>
            <w:pPr>
              <w:spacing w:after="0"/>
              <w:rPr>
                <w:sz w:val="22"/>
                <w:szCs w:val="22"/>
                <w:color w:val="auto"/>
              </w:rPr>
            </w:pPr>
          </w:p>
        </w:tc>
        <w:tc>
          <w:tcPr>
            <w:tcW w:w="1240" w:type="dxa"/>
            <w:vAlign w:val="bottom"/>
            <w:tcBorders>
              <w:bottom w:val="single" w:sz="8" w:color="DCDDDE"/>
            </w:tcBorders>
            <w:shd w:val="clear" w:color="auto" w:fill="DCDDDE"/>
          </w:tcPr>
          <w:p>
            <w:pPr>
              <w:spacing w:after="0"/>
              <w:rPr>
                <w:sz w:val="22"/>
                <w:szCs w:val="22"/>
                <w:color w:val="auto"/>
              </w:rPr>
            </w:pPr>
          </w:p>
        </w:tc>
        <w:tc>
          <w:tcPr>
            <w:tcW w:w="1320" w:type="dxa"/>
            <w:vAlign w:val="bottom"/>
            <w:tcBorders>
              <w:bottom w:val="single" w:sz="8" w:color="DCDDDE"/>
            </w:tcBorders>
            <w:shd w:val="clear" w:color="auto" w:fill="DCDDDE"/>
          </w:tcPr>
          <w:p>
            <w:pPr>
              <w:spacing w:after="0"/>
              <w:rPr>
                <w:sz w:val="22"/>
                <w:szCs w:val="22"/>
                <w:color w:val="auto"/>
              </w:rPr>
            </w:pPr>
          </w:p>
        </w:tc>
        <w:tc>
          <w:tcPr>
            <w:tcW w:w="1200" w:type="dxa"/>
            <w:vAlign w:val="bottom"/>
            <w:tcBorders>
              <w:bottom w:val="single" w:sz="8" w:color="DCDDDE"/>
            </w:tcBorders>
            <w:shd w:val="clear" w:color="auto" w:fill="DCDDDE"/>
          </w:tcPr>
          <w:p>
            <w:pPr>
              <w:spacing w:after="0"/>
              <w:rPr>
                <w:sz w:val="22"/>
                <w:szCs w:val="22"/>
                <w:color w:val="auto"/>
              </w:rPr>
            </w:pP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18"/>
                <w:szCs w:val="18"/>
                <w:color w:val="auto"/>
                <w:vertAlign w:val="superscript"/>
              </w:rPr>
              <w:t>(a)</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1,433,408</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1,433,408</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1,342,933</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1,342,933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1,885,780</w:t>
            </w:r>
          </w:p>
        </w:tc>
      </w:tr>
      <w:tr>
        <w:trPr>
          <w:trHeight w:val="284"/>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Vested SERP Benefit</w:t>
            </w:r>
            <w:r>
              <w:rPr>
                <w:rFonts w:ascii="Arial" w:cs="Arial" w:eastAsia="Arial" w:hAnsi="Arial"/>
                <w:sz w:val="18"/>
                <w:szCs w:val="18"/>
                <w:color w:val="auto"/>
                <w:vertAlign w:val="superscript"/>
              </w:rPr>
              <w:t>(b)</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3,075,526</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6,051,510</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6,051,510</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6,051,510</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6,051,510</w:t>
            </w: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Life Insurance Proceeds</w:t>
            </w:r>
            <w:r>
              <w:rPr>
                <w:rFonts w:ascii="Arial" w:cs="Arial" w:eastAsia="Arial" w:hAnsi="Arial"/>
                <w:sz w:val="18"/>
                <w:szCs w:val="18"/>
                <w:color w:val="auto"/>
                <w:vertAlign w:val="superscript"/>
              </w:rPr>
              <w:t>(c)</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1,790,000</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Retiree Health Care Benefit</w:t>
            </w:r>
            <w:r>
              <w:rPr>
                <w:rFonts w:ascii="Arial" w:cs="Arial" w:eastAsia="Arial" w:hAnsi="Arial"/>
                <w:sz w:val="18"/>
                <w:szCs w:val="18"/>
                <w:color w:val="auto"/>
                <w:vertAlign w:val="superscript"/>
              </w:rPr>
              <w:t>(d)</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163,725</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342,065</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342,065</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342,065</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342,065</w:t>
            </w: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Separation Benefit</w:t>
            </w:r>
            <w:r>
              <w:rPr>
                <w:rFonts w:ascii="Arial" w:cs="Arial" w:eastAsia="Arial" w:hAnsi="Arial"/>
                <w:sz w:val="18"/>
                <w:szCs w:val="18"/>
                <w:color w:val="auto"/>
                <w:vertAlign w:val="superscript"/>
              </w:rPr>
              <w:t>(e)</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1,043,180</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Disability Insurance Benefit</w:t>
            </w:r>
            <w:r>
              <w:rPr>
                <w:rFonts w:ascii="Arial" w:cs="Arial" w:eastAsia="Arial" w:hAnsi="Arial"/>
                <w:sz w:val="18"/>
                <w:szCs w:val="18"/>
                <w:color w:val="auto"/>
                <w:vertAlign w:val="superscript"/>
              </w:rPr>
              <w:t>(f)</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35,000</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Executive Management Bonus</w:t>
            </w:r>
            <w:r>
              <w:rPr>
                <w:rFonts w:ascii="Arial" w:cs="Arial" w:eastAsia="Arial" w:hAnsi="Arial"/>
                <w:sz w:val="18"/>
                <w:szCs w:val="18"/>
                <w:color w:val="auto"/>
                <w:vertAlign w:val="superscript"/>
              </w:rPr>
              <w:t>(g)</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5"/>
        </w:trPr>
        <w:tc>
          <w:tcPr>
            <w:tcW w:w="44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Total Value of Incremental Benefits</w:t>
            </w:r>
          </w:p>
        </w:tc>
        <w:tc>
          <w:tcPr>
            <w:tcW w:w="1540" w:type="dxa"/>
            <w:vAlign w:val="bottom"/>
            <w:tcBorders>
              <w:bottom w:val="single" w:sz="8" w:color="DCDDDE"/>
            </w:tcBorders>
            <w:shd w:val="clear" w:color="auto" w:fill="DCDDDE"/>
          </w:tcPr>
          <w:p>
            <w:pPr>
              <w:jc w:val="right"/>
              <w:ind w:right="159"/>
              <w:spacing w:after="0"/>
              <w:rPr>
                <w:sz w:val="20"/>
                <w:szCs w:val="20"/>
                <w:color w:val="auto"/>
              </w:rPr>
            </w:pPr>
            <w:r>
              <w:rPr>
                <w:rFonts w:ascii="Arial" w:cs="Arial" w:eastAsia="Arial" w:hAnsi="Arial"/>
                <w:sz w:val="16"/>
                <w:szCs w:val="16"/>
                <w:color w:val="auto"/>
              </w:rPr>
              <w:t>6,462,659</w:t>
            </w:r>
          </w:p>
        </w:tc>
        <w:tc>
          <w:tcPr>
            <w:tcW w:w="1180" w:type="dxa"/>
            <w:vAlign w:val="bottom"/>
            <w:tcBorders>
              <w:bottom w:val="single" w:sz="8" w:color="DCDDDE"/>
            </w:tcBorders>
            <w:shd w:val="clear" w:color="auto" w:fill="DCDDDE"/>
          </w:tcPr>
          <w:p>
            <w:pPr>
              <w:jc w:val="right"/>
              <w:ind w:right="99"/>
              <w:spacing w:after="0"/>
              <w:rPr>
                <w:sz w:val="20"/>
                <w:szCs w:val="20"/>
                <w:color w:val="auto"/>
              </w:rPr>
            </w:pPr>
            <w:r>
              <w:rPr>
                <w:rFonts w:ascii="Arial" w:cs="Arial" w:eastAsia="Arial" w:hAnsi="Arial"/>
                <w:sz w:val="16"/>
                <w:szCs w:val="16"/>
                <w:color w:val="auto"/>
              </w:rPr>
              <w:t>7,861,983</w:t>
            </w:r>
          </w:p>
        </w:tc>
        <w:tc>
          <w:tcPr>
            <w:tcW w:w="12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7,736,508</w:t>
            </w:r>
          </w:p>
        </w:tc>
        <w:tc>
          <w:tcPr>
            <w:tcW w:w="132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8,779,688</w:t>
            </w:r>
          </w:p>
        </w:tc>
        <w:tc>
          <w:tcPr>
            <w:tcW w:w="120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8,279,355</w:t>
            </w:r>
          </w:p>
        </w:tc>
      </w:tr>
      <w:tr>
        <w:trPr>
          <w:trHeight w:val="256"/>
        </w:trPr>
        <w:tc>
          <w:tcPr>
            <w:tcW w:w="44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Alexis DePree</w:t>
            </w:r>
          </w:p>
        </w:tc>
        <w:tc>
          <w:tcPr>
            <w:tcW w:w="15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1"/>
        </w:trPr>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18"/>
                <w:szCs w:val="18"/>
                <w:color w:val="auto"/>
                <w:vertAlign w:val="superscript"/>
              </w:rPr>
              <w:t>(a)</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1,294,798</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1,294,798</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2,144,562</w:t>
            </w: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Vested SERP Benefit</w:t>
            </w:r>
            <w:r>
              <w:rPr>
                <w:rFonts w:ascii="Arial" w:cs="Arial" w:eastAsia="Arial" w:hAnsi="Arial"/>
                <w:sz w:val="18"/>
                <w:szCs w:val="18"/>
                <w:color w:val="auto"/>
                <w:vertAlign w:val="superscript"/>
              </w:rPr>
              <w:t>(b)</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Life Insurance Proceeds</w:t>
            </w:r>
            <w:r>
              <w:rPr>
                <w:rFonts w:ascii="Arial" w:cs="Arial" w:eastAsia="Arial" w:hAnsi="Arial"/>
                <w:sz w:val="18"/>
                <w:szCs w:val="18"/>
                <w:color w:val="auto"/>
                <w:vertAlign w:val="superscript"/>
              </w:rPr>
              <w:t>(c)</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1,300,000</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tcPr>
          <w:p>
            <w:pPr>
              <w:ind w:left="60"/>
              <w:spacing w:after="0"/>
              <w:rPr>
                <w:sz w:val="20"/>
                <w:szCs w:val="20"/>
                <w:color w:val="auto"/>
              </w:rPr>
            </w:pPr>
            <w:r>
              <w:rPr>
                <w:rFonts w:ascii="Arial" w:cs="Arial" w:eastAsia="Arial" w:hAnsi="Arial"/>
                <w:sz w:val="16"/>
                <w:szCs w:val="16"/>
                <w:color w:val="auto"/>
              </w:rPr>
              <w:t>Retiree Health Care Benefit</w:t>
            </w:r>
            <w:r>
              <w:rPr>
                <w:rFonts w:ascii="Arial" w:cs="Arial" w:eastAsia="Arial" w:hAnsi="Arial"/>
                <w:sz w:val="18"/>
                <w:szCs w:val="18"/>
                <w:color w:val="auto"/>
                <w:vertAlign w:val="superscript"/>
              </w:rPr>
              <w:t>(d)</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Separation Benefit</w:t>
            </w:r>
            <w:r>
              <w:rPr>
                <w:rFonts w:ascii="Arial" w:cs="Arial" w:eastAsia="Arial" w:hAnsi="Arial"/>
                <w:sz w:val="18"/>
                <w:szCs w:val="18"/>
                <w:color w:val="auto"/>
                <w:vertAlign w:val="superscript"/>
              </w:rPr>
              <w:t>(e)</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1,321,162</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Disability Insurance Benefit</w:t>
            </w:r>
            <w:r>
              <w:rPr>
                <w:rFonts w:ascii="Arial" w:cs="Arial" w:eastAsia="Arial" w:hAnsi="Arial"/>
                <w:sz w:val="18"/>
                <w:szCs w:val="18"/>
                <w:color w:val="auto"/>
                <w:vertAlign w:val="superscript"/>
              </w:rPr>
              <w:t>(f)</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35,000</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Executive Management Bonus</w:t>
            </w:r>
            <w:r>
              <w:rPr>
                <w:rFonts w:ascii="Arial" w:cs="Arial" w:eastAsia="Arial" w:hAnsi="Arial"/>
                <w:sz w:val="18"/>
                <w:szCs w:val="18"/>
                <w:color w:val="auto"/>
                <w:vertAlign w:val="superscript"/>
              </w:rPr>
              <w:t>(g)</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41"/>
        </w:trPr>
        <w:tc>
          <w:tcPr>
            <w:tcW w:w="4400" w:type="dxa"/>
            <w:vAlign w:val="bottom"/>
          </w:tcPr>
          <w:p>
            <w:pPr>
              <w:ind w:left="60"/>
              <w:spacing w:after="0"/>
              <w:rPr>
                <w:sz w:val="20"/>
                <w:szCs w:val="20"/>
                <w:color w:val="auto"/>
              </w:rPr>
            </w:pPr>
            <w:r>
              <w:rPr>
                <w:rFonts w:ascii="Arial" w:cs="Arial" w:eastAsia="Arial" w:hAnsi="Arial"/>
                <w:sz w:val="16"/>
                <w:szCs w:val="16"/>
                <w:color w:val="auto"/>
              </w:rPr>
              <w:t>Total Value of Incremental Benefits</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2,594,798</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1,329,798</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1,321,162</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2,144,562</w:t>
            </w:r>
          </w:p>
        </w:tc>
      </w:tr>
      <w:tr>
        <w:trPr>
          <w:trHeight w:val="29"/>
        </w:trPr>
        <w:tc>
          <w:tcPr>
            <w:tcW w:w="4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Anne L. Bramman</w:t>
            </w:r>
          </w:p>
        </w:tc>
        <w:tc>
          <w:tcPr>
            <w:tcW w:w="1540" w:type="dxa"/>
            <w:vAlign w:val="bottom"/>
            <w:tcBorders>
              <w:bottom w:val="single" w:sz="8" w:color="DCDDDE"/>
            </w:tcBorders>
            <w:shd w:val="clear" w:color="auto" w:fill="DCDDDE"/>
          </w:tcPr>
          <w:p>
            <w:pPr>
              <w:spacing w:after="0"/>
              <w:rPr>
                <w:sz w:val="22"/>
                <w:szCs w:val="22"/>
                <w:color w:val="auto"/>
              </w:rPr>
            </w:pPr>
          </w:p>
        </w:tc>
        <w:tc>
          <w:tcPr>
            <w:tcW w:w="1180" w:type="dxa"/>
            <w:vAlign w:val="bottom"/>
            <w:tcBorders>
              <w:bottom w:val="single" w:sz="8" w:color="DCDDDE"/>
            </w:tcBorders>
            <w:shd w:val="clear" w:color="auto" w:fill="DCDDDE"/>
          </w:tcPr>
          <w:p>
            <w:pPr>
              <w:spacing w:after="0"/>
              <w:rPr>
                <w:sz w:val="22"/>
                <w:szCs w:val="22"/>
                <w:color w:val="auto"/>
              </w:rPr>
            </w:pPr>
          </w:p>
        </w:tc>
        <w:tc>
          <w:tcPr>
            <w:tcW w:w="1240" w:type="dxa"/>
            <w:vAlign w:val="bottom"/>
            <w:tcBorders>
              <w:bottom w:val="single" w:sz="8" w:color="DCDDDE"/>
            </w:tcBorders>
            <w:shd w:val="clear" w:color="auto" w:fill="DCDDDE"/>
          </w:tcPr>
          <w:p>
            <w:pPr>
              <w:spacing w:after="0"/>
              <w:rPr>
                <w:sz w:val="22"/>
                <w:szCs w:val="22"/>
                <w:color w:val="auto"/>
              </w:rPr>
            </w:pPr>
          </w:p>
        </w:tc>
        <w:tc>
          <w:tcPr>
            <w:tcW w:w="1320" w:type="dxa"/>
            <w:vAlign w:val="bottom"/>
            <w:tcBorders>
              <w:bottom w:val="single" w:sz="8" w:color="DCDDDE"/>
            </w:tcBorders>
            <w:shd w:val="clear" w:color="auto" w:fill="DCDDDE"/>
          </w:tcPr>
          <w:p>
            <w:pPr>
              <w:spacing w:after="0"/>
              <w:rPr>
                <w:sz w:val="22"/>
                <w:szCs w:val="22"/>
                <w:color w:val="auto"/>
              </w:rPr>
            </w:pPr>
          </w:p>
        </w:tc>
        <w:tc>
          <w:tcPr>
            <w:tcW w:w="1200" w:type="dxa"/>
            <w:vAlign w:val="bottom"/>
            <w:tcBorders>
              <w:bottom w:val="single" w:sz="8" w:color="DCDDDE"/>
            </w:tcBorders>
            <w:shd w:val="clear" w:color="auto" w:fill="DCDDDE"/>
          </w:tcPr>
          <w:p>
            <w:pPr>
              <w:spacing w:after="0"/>
              <w:rPr>
                <w:sz w:val="22"/>
                <w:szCs w:val="22"/>
                <w:color w:val="auto"/>
              </w:rPr>
            </w:pP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18"/>
                <w:szCs w:val="18"/>
                <w:color w:val="auto"/>
                <w:vertAlign w:val="superscript"/>
              </w:rPr>
              <w:t>(a)</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Vested SERP Benefit</w:t>
            </w:r>
            <w:r>
              <w:rPr>
                <w:rFonts w:ascii="Arial" w:cs="Arial" w:eastAsia="Arial" w:hAnsi="Arial"/>
                <w:sz w:val="18"/>
                <w:szCs w:val="18"/>
                <w:color w:val="auto"/>
                <w:vertAlign w:val="superscript"/>
              </w:rPr>
              <w:t>(b)</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tcPr>
          <w:p>
            <w:pPr>
              <w:ind w:left="60"/>
              <w:spacing w:after="0"/>
              <w:rPr>
                <w:sz w:val="20"/>
                <w:szCs w:val="20"/>
                <w:color w:val="auto"/>
              </w:rPr>
            </w:pPr>
            <w:r>
              <w:rPr>
                <w:rFonts w:ascii="Arial" w:cs="Arial" w:eastAsia="Arial" w:hAnsi="Arial"/>
                <w:sz w:val="16"/>
                <w:szCs w:val="16"/>
                <w:color w:val="auto"/>
              </w:rPr>
              <w:t>Life Insurance Proceeds</w:t>
            </w:r>
            <w:r>
              <w:rPr>
                <w:rFonts w:ascii="Arial" w:cs="Arial" w:eastAsia="Arial" w:hAnsi="Arial"/>
                <w:sz w:val="18"/>
                <w:szCs w:val="18"/>
                <w:color w:val="auto"/>
                <w:vertAlign w:val="superscript"/>
              </w:rPr>
              <w:t>(c)</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Retiree Health Care Benefit</w:t>
            </w:r>
            <w:r>
              <w:rPr>
                <w:rFonts w:ascii="Arial" w:cs="Arial" w:eastAsia="Arial" w:hAnsi="Arial"/>
                <w:sz w:val="18"/>
                <w:szCs w:val="18"/>
                <w:color w:val="auto"/>
                <w:vertAlign w:val="superscript"/>
              </w:rPr>
              <w:t>(d)</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tcPr>
          <w:p>
            <w:pPr>
              <w:ind w:left="60"/>
              <w:spacing w:after="0"/>
              <w:rPr>
                <w:sz w:val="20"/>
                <w:szCs w:val="20"/>
                <w:color w:val="auto"/>
              </w:rPr>
            </w:pPr>
            <w:r>
              <w:rPr>
                <w:rFonts w:ascii="Arial" w:cs="Arial" w:eastAsia="Arial" w:hAnsi="Arial"/>
                <w:sz w:val="16"/>
                <w:szCs w:val="16"/>
                <w:color w:val="auto"/>
              </w:rPr>
              <w:t>Separation Benefit</w:t>
            </w:r>
            <w:r>
              <w:rPr>
                <w:rFonts w:ascii="Arial" w:cs="Arial" w:eastAsia="Arial" w:hAnsi="Arial"/>
                <w:sz w:val="18"/>
                <w:szCs w:val="18"/>
                <w:color w:val="auto"/>
                <w:vertAlign w:val="superscript"/>
              </w:rPr>
              <w:t>(e)</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Disability Insurance Benefit</w:t>
            </w:r>
            <w:r>
              <w:rPr>
                <w:rFonts w:ascii="Arial" w:cs="Arial" w:eastAsia="Arial" w:hAnsi="Arial"/>
                <w:sz w:val="18"/>
                <w:szCs w:val="18"/>
                <w:color w:val="auto"/>
                <w:vertAlign w:val="superscript"/>
              </w:rPr>
              <w:t>(f)</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Executive Management Bonus</w:t>
            </w:r>
            <w:r>
              <w:rPr>
                <w:rFonts w:ascii="Arial" w:cs="Arial" w:eastAsia="Arial" w:hAnsi="Arial"/>
                <w:sz w:val="18"/>
                <w:szCs w:val="18"/>
                <w:color w:val="auto"/>
                <w:vertAlign w:val="superscript"/>
              </w:rPr>
              <w:t>(g)</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5"/>
        </w:trPr>
        <w:tc>
          <w:tcPr>
            <w:tcW w:w="44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Total Value of Incremental Benefits</w:t>
            </w:r>
          </w:p>
        </w:tc>
        <w:tc>
          <w:tcPr>
            <w:tcW w:w="1540" w:type="dxa"/>
            <w:vAlign w:val="bottom"/>
            <w:tcBorders>
              <w:bottom w:val="single" w:sz="8" w:color="DCDDDE"/>
            </w:tcBorders>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CDDDE"/>
            </w:tcBorders>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44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Edmond Mesrobian</w:t>
            </w:r>
          </w:p>
        </w:tc>
        <w:tc>
          <w:tcPr>
            <w:tcW w:w="15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1"/>
        </w:trPr>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18"/>
                <w:szCs w:val="18"/>
                <w:color w:val="auto"/>
                <w:vertAlign w:val="superscript"/>
              </w:rPr>
              <w:t>(a)</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tcPr>
          <w:p>
            <w:pPr>
              <w:ind w:left="60"/>
              <w:spacing w:after="0"/>
              <w:rPr>
                <w:sz w:val="20"/>
                <w:szCs w:val="20"/>
                <w:color w:val="auto"/>
              </w:rPr>
            </w:pPr>
            <w:r>
              <w:rPr>
                <w:rFonts w:ascii="Arial" w:cs="Arial" w:eastAsia="Arial" w:hAnsi="Arial"/>
                <w:sz w:val="16"/>
                <w:szCs w:val="16"/>
                <w:color w:val="auto"/>
              </w:rPr>
              <w:t>Vested SERP Benefit</w:t>
            </w:r>
            <w:r>
              <w:rPr>
                <w:rFonts w:ascii="Arial" w:cs="Arial" w:eastAsia="Arial" w:hAnsi="Arial"/>
                <w:sz w:val="18"/>
                <w:szCs w:val="18"/>
                <w:color w:val="auto"/>
                <w:vertAlign w:val="superscript"/>
              </w:rPr>
              <w:t>(b)</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Life Insurance Proceeds</w:t>
            </w:r>
            <w:r>
              <w:rPr>
                <w:rFonts w:ascii="Arial" w:cs="Arial" w:eastAsia="Arial" w:hAnsi="Arial"/>
                <w:sz w:val="18"/>
                <w:szCs w:val="18"/>
                <w:color w:val="auto"/>
                <w:vertAlign w:val="superscript"/>
              </w:rPr>
              <w:t>(c)</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Retiree Health Care Benefit</w:t>
            </w:r>
            <w:r>
              <w:rPr>
                <w:rFonts w:ascii="Arial" w:cs="Arial" w:eastAsia="Arial" w:hAnsi="Arial"/>
                <w:sz w:val="18"/>
                <w:szCs w:val="18"/>
                <w:color w:val="auto"/>
                <w:vertAlign w:val="superscript"/>
              </w:rPr>
              <w:t>(d)</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Separation Benefit</w:t>
            </w:r>
            <w:r>
              <w:rPr>
                <w:rFonts w:ascii="Arial" w:cs="Arial" w:eastAsia="Arial" w:hAnsi="Arial"/>
                <w:sz w:val="18"/>
                <w:szCs w:val="18"/>
                <w:color w:val="auto"/>
                <w:vertAlign w:val="superscript"/>
              </w:rPr>
              <w:t>(e)</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1,650,000</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400" w:type="dxa"/>
            <w:vAlign w:val="bottom"/>
          </w:tcPr>
          <w:p>
            <w:pPr>
              <w:ind w:left="60"/>
              <w:spacing w:after="0"/>
              <w:rPr>
                <w:sz w:val="20"/>
                <w:szCs w:val="20"/>
                <w:color w:val="auto"/>
              </w:rPr>
            </w:pPr>
            <w:r>
              <w:rPr>
                <w:rFonts w:ascii="Arial" w:cs="Arial" w:eastAsia="Arial" w:hAnsi="Arial"/>
                <w:sz w:val="16"/>
                <w:szCs w:val="16"/>
                <w:color w:val="auto"/>
              </w:rPr>
              <w:t>Disability Insurance Benefit</w:t>
            </w:r>
            <w:r>
              <w:rPr>
                <w:rFonts w:ascii="Arial" w:cs="Arial" w:eastAsia="Arial" w:hAnsi="Arial"/>
                <w:sz w:val="18"/>
                <w:szCs w:val="18"/>
                <w:color w:val="auto"/>
                <w:vertAlign w:val="superscript"/>
              </w:rPr>
              <w:t>(f)</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400" w:type="dxa"/>
            <w:vAlign w:val="bottom"/>
            <w:shd w:val="clear" w:color="auto" w:fill="DCDDDE"/>
          </w:tcPr>
          <w:p>
            <w:pPr>
              <w:ind w:left="60"/>
              <w:spacing w:after="0"/>
              <w:rPr>
                <w:sz w:val="20"/>
                <w:szCs w:val="20"/>
                <w:color w:val="auto"/>
              </w:rPr>
            </w:pPr>
            <w:r>
              <w:rPr>
                <w:rFonts w:ascii="Arial" w:cs="Arial" w:eastAsia="Arial" w:hAnsi="Arial"/>
                <w:sz w:val="16"/>
                <w:szCs w:val="16"/>
                <w:color w:val="auto"/>
              </w:rPr>
              <w:t>Executive Management Bonus</w:t>
            </w:r>
            <w:r>
              <w:rPr>
                <w:rFonts w:ascii="Arial" w:cs="Arial" w:eastAsia="Arial" w:hAnsi="Arial"/>
                <w:sz w:val="18"/>
                <w:szCs w:val="18"/>
                <w:color w:val="auto"/>
                <w:vertAlign w:val="superscript"/>
              </w:rPr>
              <w:t>(g)</w:t>
            </w:r>
          </w:p>
        </w:tc>
        <w:tc>
          <w:tcPr>
            <w:tcW w:w="1540" w:type="dxa"/>
            <w:vAlign w:val="bottom"/>
            <w:shd w:val="clear" w:color="auto" w:fill="DCDDDE"/>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41"/>
        </w:trPr>
        <w:tc>
          <w:tcPr>
            <w:tcW w:w="4400" w:type="dxa"/>
            <w:vAlign w:val="bottom"/>
          </w:tcPr>
          <w:p>
            <w:pPr>
              <w:ind w:left="60"/>
              <w:spacing w:after="0"/>
              <w:rPr>
                <w:sz w:val="20"/>
                <w:szCs w:val="20"/>
                <w:color w:val="auto"/>
              </w:rPr>
            </w:pPr>
            <w:r>
              <w:rPr>
                <w:rFonts w:ascii="Arial" w:cs="Arial" w:eastAsia="Arial" w:hAnsi="Arial"/>
                <w:sz w:val="16"/>
                <w:szCs w:val="16"/>
                <w:color w:val="auto"/>
              </w:rPr>
              <w:t>Total Value of Incremental Benefits</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1,650,000</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4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Continued or Accelerated Vesting of Equity Awards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the end of fiscal year 2022, Erik Nordstrom, Michael Maher, Peter Nordstrom, Kenneth Worzel and Alexis DePree had unvested equity awards under our 2010 and 2019 EIPs. Treatment of the awards under various termination scenarios is described in this section. Anne Bramman and Edmond Mesrobian forfeited their unvested equity upon their separations on December 2, 2022 and October 14, 2022,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Stock Options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Death or Disability</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stock option agreements under the Company’s 2010 and 2019 EIPs generally provide that if a participant’s employment is terminated by reason of death or disability, all unvested stock options will immediately vest, with the exception of one-time stock option grants. The one-time stock option grant made on March 5, 2019 to Kenneth Worzel provides that if a participant’s employment is terminated by reason of death or disability, a prorated number of the stock options granted will immediately vest based on the number of full months employed. Vested stock options may be exercised by the participant or participant’s beneficiary during the period ending four years after termination, provided the 10-year term of the grant has not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328930</wp:posOffset>
            </wp:positionV>
            <wp:extent cx="1019810" cy="1289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closing price of Common Stock as of the end of fiscal year 2022 was lower than the exercise prices of the unvested stock options that would immediately vest and be exercisable during the earlier of four years after termination or the 10-year term date of the grant. Therefore, no amounts are included in the table.</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during the term of any outstanding grant, the executive engages in any business competitive with the Company or divulges or improperly uses any of the Company’s confidential or proprietary information, then the post-separation vesting and exercise rights will cease immediately and all outstanding vested and unvested options and any shares of Common Stock delivered under such grants will be automatically forfeited.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Retirement or Termination without Cause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Stock option agreements under the Company’s 2010 and 2019 EIPs for annual grants generally provide that if a participant satisfies a minimum age and years of service requirement and the participant’s employment is terminated by reason of retirement or termination without cause, stock options granted more than six months prior to termination will continue to vest and may be exercised during the period ending four years after termination, provided the 10-year term of the grant has not expired. Erik Nordstrom, Peter Nordstrom and Kenneth Worzel qualify for this continued vesting for their annual stock option grants as they have reached the minimum retirement age of 55 with at least 10 years of service. The one-time stock option grant made on March 5, 2019 to Kenneth Worzel does not provide for continued vesting upon retirement or termination without cause.</w:t>
      </w:r>
    </w:p>
    <w:p>
      <w:pPr>
        <w:spacing w:after="0" w:line="7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closing price of Common Stock as of the end of fiscal year 2022 was lower than the exercise prices of the unvested stock options that would continue to vest and be exercisable during the earlier of four years after termination or the 10-year term date of the grant. Therefore, no amounts are included in the table.</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during the term of any outstanding grant, the executive engages in any business competitive with the Company or divulges or improperly uses any of the Company’s confidential or proprietary information, then the post-separation vesting and exercise rights will cease immediately and all outstanding vested and unvested options and any shares of Common Stock delivered under such grants will be automatically forfeited.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Qualifying Termination Following a Change in Control</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option grants under the Company’s 2010 and 2019 EIPs do not provide for any payment or accelerated benefit upon a change in control. In the event of a change of control, outstanding awards shall continue in effect or be assumed, or an equivalent award substituted, by the successor corporation. If a participant experiences a qualifying termination (termination by the Company without cause or termination by the participant for good reason) within 12 months following a change in control of the Company, then the unvested stock options will automatically vest in full. Notwithstanding, if the successor corporation refuses to assume or substitute the award, then the CPCC shall provide for the cancellation of the vested portion of any such award in exchange for either an amount of cash (or stock, other securities or other property) and provide for the cancellation of the unvested portion of the award, if any, without payment of consideration. Generally, a change in control occurs upon:</w:t>
      </w:r>
    </w:p>
    <w:p>
      <w:pPr>
        <w:spacing w:after="0" w:line="33"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merger or consolidation of the Company with or into another entity;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the Company’s assets;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change in composition of 50% or more of the Board; or</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transaction as a result of which any person is the “beneficial owner” of securities of the Company representing at least 30% of the total voting power of the Company’s outstanding voting securities.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closing price of Common Stock as of the end of fiscal year 2022 was lower than the exercise prices of the unvested stock options that would immediately vest and be exercisable if the NEOs experienced a qualifying termination within 12 months following a change in control of the Company. Therefore, no amounts are included in the table.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RSUs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Death or Disability</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RSU agreements under the 2010 and 2019 EIPs generally provide that if a participant’s employment is terminated by reason of death or disability, all unvested RSUs will immediately vest, with the exception of the one-time RSU grant made on March 9, 2020 to Alexis DePree, the RSU grant made on August 27, 2020 to Michael Maher and the RSU grants made on May 26, 2022 to Michael Maher and Alexis DePree. These one -time RSU grants provide that if employment is terminated by reason of death or disability, a prorated number of the RSUs will immediately vest based on the number of full months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328930</wp:posOffset>
            </wp:positionV>
            <wp:extent cx="1020445" cy="1200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7860"/>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10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amounts in the table for Michael Maher, Kenneth Worzel and Alexis Depree include the values, as of the end of fiscal year 2022, of unvested RSUs that would immediately vest.</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during the term of any outstanding grant, the participant engages in any business competitive with the Company or divulges or improperly uses any of the Company’s confidential or proprietary information, then any unvested RSUs and any Common Stock delivered on vesting under such grants will be automatically forfeited.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Retirement or Termination without Cause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RSU agreements for annual grants under the 2010 and 2019 EIPs generally provide that if a participant satisfies a minimum age and years of service requirement and the participant’s employment is terminated by reason of retirement or termination without cause, RSUs granted more than six months prior to termination will continue to vest. Kenneth Worzel qualifies for this continued vesting as of the end of fiscal year 2022 as he has reached the minimum retirement age of 55 with at least 10 years of service.</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amounts in the table for Kenneth Worzel include the values, as of the end of fiscal year 2022, of unvested RSUs for his annual grants that would continue to vest after termination.</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during the term of any outstanding grant, the participant engages in any business competitive with the Company or divulges or improperly uses any of the Company’s confidential or proprietary information, then any unvested RSUs and any Common Stock delivered on vesting under such grants will be automatically forfeited.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Qualifying Termination Following a Change in Control</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RSU grants under the 2010 and 2019 EIPs do not provide for any payment or accelerated benefit upon a change in control. In the event of a change of control, outstanding awards shall continue in effect or be assumed, or an equivalent award substituted, by the successor corporation. If a participant experiences a qualifying termination (termination by the Company without cause or termination by the participant for good reason) within 12 months following a change in control of the Company, then the unvested RSUs will automatically vest in full. Notwithstanding, if the successor corporation refuses to assume or substitute the award, then the CPCC shall provide for the cancellation of the vested portion of any such award in exchange for either an amount of cash (or stock, other securities or other property) and provide for the cancellation of the unvested portion of the award, if any, without payment of consideration. See the Change in Control paragraph under Stock Options on page </w:t>
      </w:r>
      <w:r>
        <w:rPr>
          <w:rFonts w:ascii="Arial" w:cs="Arial" w:eastAsia="Arial" w:hAnsi="Arial"/>
          <w:sz w:val="16"/>
          <w:szCs w:val="16"/>
          <w:u w:val="single" w:color="auto"/>
          <w:color w:val="0000EE"/>
        </w:rPr>
        <w:t>61</w:t>
      </w:r>
      <w:r>
        <w:rPr>
          <w:rFonts w:ascii="Arial" w:cs="Arial" w:eastAsia="Arial" w:hAnsi="Arial"/>
          <w:sz w:val="16"/>
          <w:szCs w:val="16"/>
          <w:color w:val="auto"/>
        </w:rPr>
        <w:t xml:space="preserve"> for information about when a change in control occurs.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amounts in the table include the values, as of the end of fiscal year 2022, of unvested RSUs that would vest if Michael Maher, Kenneth Worzel and Alexis Depree experienced a qualifying termination within 12 months following a change in control of the Company.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1E295B"/>
        </w:rPr>
        <w:t>PSUs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Death or Disability</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2022 PSU agreement under the 2019 EIP provides that if a participant’s employment is terminated before the end of a performance cycle by reason of death or disability, the participant, or participant’s beneficiary, will be entitled to a prorated payment, based on target performance and the number of full months employed during the performance cycle.</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amounts in the table for Erik Nordstrom, Peter Nordstrom, Kenneth Worzel and Alexis DePree include the values of the prorated 2022 PSUs at a payout of 100% (target) based on termination on the last day of fiscal year 2022.</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during the term of any outstanding grant, the participant engages in any business competitive with the Company or divulges or improperly uses any of the Company’s confidential or proprietary information, then any unvested PSUs and any Common Stock delivered on vesting under such grants will be automatically forfeited.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Retirement or Termination without Cause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2022 PSU agreement under the 2019 EIP provides that if a participant satisfies a minimum age and years of service requirement and the participant’s employment is terminated before the end of the performance cycle by reason of retirement or termination without cause, the participant will be entitled to a prorated payment, based on the number of full months employed during the performance cycle, with respect to any performance share units granted more than six months prior to termination that were earned during the performance cycle. Erik Nordstrom, Peter Nordstrom and Kenneth Worzel qualify for this prorated payment upon retirement as of the end of the fiscal year as they have reached the minimum retirement age of 55 with at least 10 years of service.</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amounts in the table for Erik Nordstrom, Peter Nordstrom and Kenneth Worzel include the values of the prorated number of PSUs at a 75% payout that would have been earned if the end of the performance cycle and retirement dates had both occurred on the last day of fiscal year 2022.</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during the term of any outstanding grant, the participant engages in any business competitive with the Company or divulges or improperly uses any of the Company’s confidential or proprietary information, then any unvested PSUs and any Common Stock delivered on vesting under such grants will be automatically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1019810" cy="1200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Qualifying Termination Following a Change in Control</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PSU grants under the 2019 EIP do not provide for any payment or accelerated benefit upon a change in control. In the event of a change of control, outstanding awards shall continue in effect or be assumed, or an equivalent award substituted, by the successor corporation. If a participant experiences a qualifying termination (termination by the Company without cause or termination by the participant for good reason) within 12 months following a change in control of the Company, then the unvested PSUs will vest in full based on the CPCC’s assessment of performance through the date of the qualifying termination, or if such performance is indeterminable at that time, at the 100% “target” level of performance. Notwithstanding, if the successor corporation refuses to assume or substitute the award, then the CPCC shall provide for the cancellation of the vested portion of any such award in exchange for either an amount of cash (or stock, other securities or other property) and provide for the cancellation of the unvested portion of the award, if any, without payment of consideration. See the Change in Control paragraph under Stock Options on page </w:t>
      </w:r>
      <w:r>
        <w:rPr>
          <w:rFonts w:ascii="Arial" w:cs="Arial" w:eastAsia="Arial" w:hAnsi="Arial"/>
          <w:sz w:val="16"/>
          <w:szCs w:val="16"/>
          <w:u w:val="single" w:color="auto"/>
          <w:color w:val="0000EE"/>
        </w:rPr>
        <w:t>61</w:t>
      </w:r>
      <w:r>
        <w:rPr>
          <w:rFonts w:ascii="Arial" w:cs="Arial" w:eastAsia="Arial" w:hAnsi="Arial"/>
          <w:sz w:val="16"/>
          <w:szCs w:val="16"/>
          <w:color w:val="auto"/>
        </w:rPr>
        <w:t xml:space="preserve"> for information about when a change in control occurs.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the performance cycle had ended as of the close of fiscal year 2022, 75% of the outstanding 2022 PSUs would have been earned. The amounts in the table for Erik Nordstrom, Peter Nordstrom, Kenneth Worzel and Alexis DePree include the values of unvested PSUs at a 75% payout that would vest if they experienced a qualifying termination within 12 months following a change in control of the Company.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Vested SERP Benefit</w:t>
      </w:r>
    </w:p>
    <w:p>
      <w:pPr>
        <w:spacing w:after="0" w:line="10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annual SERP benefit is paid upon retirement for the remaining life of the executive with a 50% survivor annuity paid to the surviving spouse or life partner for the remainder of their life after the executive’s death, as described in the Pension Benefits section beginning on page </w:t>
      </w:r>
      <w:r>
        <w:rPr>
          <w:rFonts w:ascii="Arial" w:cs="Arial" w:eastAsia="Arial" w:hAnsi="Arial"/>
          <w:sz w:val="16"/>
          <w:szCs w:val="16"/>
          <w:u w:val="single" w:color="auto"/>
          <w:color w:val="0000EE"/>
        </w:rPr>
        <w:t>56</w:t>
      </w:r>
      <w:r>
        <w:rPr>
          <w:rFonts w:ascii="Arial" w:cs="Arial" w:eastAsia="Arial" w:hAnsi="Arial"/>
          <w:sz w:val="16"/>
          <w:szCs w:val="16"/>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Death</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amounts shown are the present values of the 50% survivor annuity, payable in equal installments to the spouse or life partner of the executive, and would continue for the remaining lifetime of the spouse or life partner.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Disability</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amounts shown for Erik Nordstrom, Peter Nordstrom and Kenneth Worzel are the present values of their SERP benefits as they have met the minimum age of 58 with at least 10 years of service and would be eligible for their full retirement benefits under the SERP. The amounts payable would be paid in equal installments on the Company’s regular payroll dates, assuming the payments would begin as of the last day of fiscal year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Retirement or Termination without Cause</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amounts shown for Erik Nordstrom, Peter Nordstrom and Kenneth Worzel are the present values of their SERP benefits as they have met the minimum age of 58 with at least 10 years of service and would be eligible for their full retirement benefits under the SERP. The amounts payable would be paid in equal installments on the Company’s regular payroll dates, assuming the payments would begin as of the last day of fiscal year 2022.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Qualifying Termination Following a Change in Control</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 benefits are paid solely due to a change in control, although a change in control triggers immediate vesting and an obligation for the Company to fully fund accrued benefits through a trust. If an executive was separated from the Company after a change in control, a deferred annuity would be payable upon the executive reaching retirement age, or the executive’s actual age, if older.</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amounts shown for Erik Nordstrom, Peter Nordstrom and Kenneth Worzel are the present values of their SERP benefits as they have met the minimum age of 58 with at least 10 years of service and would be eligible for their full retirement benefits under the SERP. The amounts payable would be paid in equal installments on the Company’s regular payroll dates, assuming the payments would begin as of the last day of fiscal year 2022.</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CPCC has discretion to discontinue payment of benefits under the SERP if the retired executive is found to have engaged in misconduct or in competitive behavior against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 Life Insurance Proceeds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Company provides life insurance for the NEOs of approximately 2 times annual base salary. The amounts reported in the table represent the life insurance proceeds that would be payable if Erik Nordstrom, Michael Maher, Peter Nordstrom, Kenneth Worzel or Alexis DePree had died as of the last day of the fiscal year. The premiums paid for the Company-provided life insurance are included in column (b) in the All Other Compensation in Fiscal Year 2022 table on page </w:t>
      </w:r>
      <w:r>
        <w:rPr>
          <w:rFonts w:ascii="Arial" w:cs="Arial" w:eastAsia="Arial" w:hAnsi="Arial"/>
          <w:sz w:val="16"/>
          <w:szCs w:val="16"/>
          <w:u w:val="single" w:color="auto"/>
          <w:color w:val="0000EE"/>
        </w:rPr>
        <w:t>50</w:t>
      </w:r>
      <w:r>
        <w:rPr>
          <w:rFonts w:ascii="Arial" w:cs="Arial" w:eastAsia="Arial" w:hAnsi="Arial"/>
          <w:sz w:val="16"/>
          <w:szCs w:val="16"/>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(d) Retiree Health Care Benefit</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 provides continued health care coverage for the eligible NEOs if they separate from the Company after age 55 with at least 10 profit sharing years of service. These benefits include medical, behavioral health/substance abuse, vision, prescription drug and dental coverage. The eligible NEOs and their spouses or registered domestic partners and eligible dependents would be covered under the retiree health plan, and the executive and the Company would continue to share in the cost of the insurance premium. Coverage and cost sharing would continue for the surviving spouse or registered domestic partner and eligible dependents after the executive’s death. Effective November 1, 2013, the retiree health plan was closed to new entrants.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330200</wp:posOffset>
            </wp:positionV>
            <wp:extent cx="1020445" cy="1289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63</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7860"/>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102"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amounts in the table for the eligible NEOs are the present values of the health care cost that would be payable by the Company if they had separated on the last day of the fiscal year. Erik Nordstrom, Peter Nordstrom and Kenneth Worzel have met the minimum retirement age of 55 with at least 10 profit sharing years of service and would be eligible for retirement. Assumptions used in determining these amounts include a discount rate of 4.95% and the PRI2012 White Collar, Fully Generational Mortality Table with projection scale MP2021.</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executive who is terminated for cause, as determined by the Company in the exercise of its discretion in accordance with the Plan, is not eligible to receive the retiree health care benefit.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(e) Separation Benefit</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Nordstrom, Inc. Executive Severance Plan, Michael Maher, Kenneth Worzel and Alexis DePree are eligible to receive benefits upon involuntary termination of employment by the Company, not for cause. To be eligible to participate in the Plan upon involuntary termination, the eligible NEO must have signed a non-competition and non-solicitation agreement. Prior to his appointment to Interim Chief Financial Officer and Chief Accounting Officer on December 5, 2022, Michael Maher was eligible, and remains eligible, for the Nordstrom, Inc. Executive Severance Plan, subject only to a non-solicitation agreement.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Erik Nordstrom and Peter Nordstrom are not eligible under the Plan. The benefits for eligible and participating employees include:</w:t>
      </w:r>
    </w:p>
    <w:p>
      <w:pPr>
        <w:spacing w:after="0" w:line="86" w:lineRule="exact"/>
        <w:rPr>
          <w:sz w:val="20"/>
          <w:szCs w:val="20"/>
          <w:color w:val="auto"/>
        </w:rPr>
      </w:pPr>
    </w:p>
    <w:p>
      <w:pPr>
        <w:jc w:val="both"/>
        <w:ind w:left="200" w:hanging="192"/>
        <w:spacing w:after="0" w:line="275" w:lineRule="auto"/>
        <w:tabs>
          <w:tab w:leader="none" w:pos="2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lump sum cash payment for severance: 18 or 24 months of base salary for Executive Officers, depending on their roles. This is reduced by an amount equal to the participant’s gross monthly SERP benefit multiplied by the number of months used to calculate the severance payment, if applicable;</w:t>
      </w:r>
    </w:p>
    <w:p>
      <w:pPr>
        <w:spacing w:after="0" w:line="212" w:lineRule="exact"/>
        <w:rPr>
          <w:rFonts w:ascii="Arial" w:cs="Arial" w:eastAsia="Arial" w:hAnsi="Arial"/>
          <w:sz w:val="16"/>
          <w:szCs w:val="16"/>
          <w:color w:val="auto"/>
        </w:rPr>
      </w:pPr>
    </w:p>
    <w:p>
      <w:pPr>
        <w:ind w:left="200" w:right="20" w:hanging="192"/>
        <w:spacing w:after="0" w:line="286" w:lineRule="auto"/>
        <w:tabs>
          <w:tab w:leader="none" w:pos="2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lump sum cash payment for health coverage: the cost of the Company-paid portion of the employee’s currently elected health coverage for 12 months, unless the employee is eligible for the retiree health care benefit, as described in footnote (d), “Retiree Health Care Benefit”; and</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six months of outplacement services.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Kenneth Worzel’s estimated separation payment shown on the following table is reduced by an amount equal to his estimated gross monthly SERP benefit multiplied by the number of months used to calculate his separation payment. No amount is included for the Company-paid portion of medical benefits as he qualifies for retiree health care benefits.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be eligible to receive any benefits under the Nordstrom, Inc. Executive Severance Plan, the NEO must sign a release in which the executive agrees, among other things, not to disclose to anyone at any time any confidential information acquired during employment with the Company, and not to publish any statement, or instigate, assist or participate in the making or publication of any statement which is disparaging or detrimental in any way to the Company, except in each case as required by applicable law.</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potential separation benefits for the NEOs are shown in the following table, with the exception of Anne Bramman and Edmond Mesrobian who separated prior to the end of the fiscal year, and for whom actual benefits received are shown. Anne Bramman received no separation benefits upon her separation on December 2, 2022. In connection with his separation on October 14, 2022, Edmond Mesrobian received a lump sum cash severance payment equal to 24 months of base salary, in accordance with the terms for involuntary separation without cause under the Nordstrom, Inc. Executive Severance Plan; he received no lump sum cash payment for health coverage as he was not participating in the Company’s medical benefit plans, and he did not choose to utilize outplacement services.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auto"/>
              </w:rPr>
              <w:t>Company-Paid</w:t>
            </w:r>
          </w:p>
        </w:tc>
        <w:tc>
          <w:tcPr>
            <w:tcW w:w="1820" w:type="dxa"/>
            <w:vAlign w:val="bottom"/>
          </w:tcPr>
          <w:p>
            <w:pPr>
              <w:jc w:val="right"/>
              <w:ind w:right="299"/>
              <w:spacing w:after="0"/>
              <w:rPr>
                <w:sz w:val="20"/>
                <w:szCs w:val="20"/>
                <w:color w:val="auto"/>
              </w:rPr>
            </w:pPr>
            <w:r>
              <w:rPr>
                <w:rFonts w:ascii="Arial" w:cs="Arial" w:eastAsia="Arial" w:hAnsi="Arial"/>
                <w:sz w:val="16"/>
                <w:szCs w:val="16"/>
                <w:b w:val="1"/>
                <w:bCs w:val="1"/>
                <w:color w:val="auto"/>
              </w:rPr>
              <w:t>Cost of</w:t>
            </w:r>
          </w:p>
        </w:tc>
        <w:tc>
          <w:tcPr>
            <w:tcW w:w="1740" w:type="dxa"/>
            <w:vAlign w:val="bottom"/>
          </w:tcPr>
          <w:p>
            <w:pPr>
              <w:spacing w:after="0"/>
              <w:rPr>
                <w:sz w:val="16"/>
                <w:szCs w:val="16"/>
                <w:color w:val="auto"/>
              </w:rPr>
            </w:pPr>
          </w:p>
        </w:tc>
      </w:tr>
      <w:tr>
        <w:trPr>
          <w:trHeight w:val="189"/>
        </w:trPr>
        <w:tc>
          <w:tcPr>
            <w:tcW w:w="2840" w:type="dxa"/>
            <w:vAlign w:val="bottom"/>
          </w:tcPr>
          <w:p>
            <w:pPr>
              <w:spacing w:after="0"/>
              <w:rPr>
                <w:sz w:val="16"/>
                <w:szCs w:val="16"/>
                <w:color w:val="auto"/>
              </w:rPr>
            </w:pPr>
          </w:p>
        </w:tc>
        <w:tc>
          <w:tcPr>
            <w:tcW w:w="2540" w:type="dxa"/>
            <w:vAlign w:val="bottom"/>
          </w:tcPr>
          <w:p>
            <w:pPr>
              <w:jc w:val="right"/>
              <w:ind w:right="239"/>
              <w:spacing w:after="0"/>
              <w:rPr>
                <w:sz w:val="20"/>
                <w:szCs w:val="20"/>
                <w:color w:val="auto"/>
              </w:rPr>
            </w:pPr>
            <w:r>
              <w:rPr>
                <w:rFonts w:ascii="Arial" w:cs="Arial" w:eastAsia="Arial" w:hAnsi="Arial"/>
                <w:sz w:val="16"/>
                <w:szCs w:val="16"/>
                <w:b w:val="1"/>
                <w:bCs w:val="1"/>
                <w:color w:val="auto"/>
              </w:rPr>
              <w:t>Separation</w:t>
            </w: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auto"/>
              </w:rPr>
              <w:t>Portion of</w:t>
            </w:r>
          </w:p>
        </w:tc>
        <w:tc>
          <w:tcPr>
            <w:tcW w:w="1820" w:type="dxa"/>
            <w:vAlign w:val="bottom"/>
          </w:tcPr>
          <w:p>
            <w:pPr>
              <w:jc w:val="right"/>
              <w:ind w:right="299"/>
              <w:spacing w:after="0"/>
              <w:rPr>
                <w:sz w:val="20"/>
                <w:szCs w:val="20"/>
                <w:color w:val="auto"/>
              </w:rPr>
            </w:pPr>
            <w:r>
              <w:rPr>
                <w:rFonts w:ascii="Arial" w:cs="Arial" w:eastAsia="Arial" w:hAnsi="Arial"/>
                <w:sz w:val="16"/>
                <w:szCs w:val="16"/>
                <w:b w:val="1"/>
                <w:bCs w:val="1"/>
                <w:color w:val="auto"/>
              </w:rPr>
              <w:t>Outplacement</w:t>
            </w:r>
          </w:p>
        </w:tc>
        <w:tc>
          <w:tcPr>
            <w:tcW w:w="174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 Separation</w:t>
            </w:r>
          </w:p>
        </w:tc>
      </w:tr>
      <w:tr>
        <w:trPr>
          <w:trHeight w:val="189"/>
        </w:trPr>
        <w:tc>
          <w:tcPr>
            <w:tcW w:w="2840" w:type="dxa"/>
            <w:vAlign w:val="bottom"/>
          </w:tcPr>
          <w:p>
            <w:pPr>
              <w:spacing w:after="0"/>
              <w:rPr>
                <w:sz w:val="16"/>
                <w:szCs w:val="16"/>
                <w:color w:val="auto"/>
              </w:rPr>
            </w:pPr>
          </w:p>
        </w:tc>
        <w:tc>
          <w:tcPr>
            <w:tcW w:w="2540" w:type="dxa"/>
            <w:vAlign w:val="bottom"/>
          </w:tcPr>
          <w:p>
            <w:pPr>
              <w:jc w:val="right"/>
              <w:ind w:right="239"/>
              <w:spacing w:after="0"/>
              <w:rPr>
                <w:sz w:val="20"/>
                <w:szCs w:val="20"/>
                <w:color w:val="auto"/>
              </w:rPr>
            </w:pPr>
            <w:r>
              <w:rPr>
                <w:rFonts w:ascii="Arial" w:cs="Arial" w:eastAsia="Arial" w:hAnsi="Arial"/>
                <w:sz w:val="16"/>
                <w:szCs w:val="16"/>
                <w:b w:val="1"/>
                <w:bCs w:val="1"/>
                <w:color w:val="auto"/>
              </w:rPr>
              <w:t>Payment</w:t>
            </w: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auto"/>
              </w:rPr>
              <w:t>Medical Benefits</w:t>
            </w:r>
          </w:p>
        </w:tc>
        <w:tc>
          <w:tcPr>
            <w:tcW w:w="1820" w:type="dxa"/>
            <w:vAlign w:val="bottom"/>
          </w:tcPr>
          <w:p>
            <w:pPr>
              <w:jc w:val="right"/>
              <w:ind w:right="299"/>
              <w:spacing w:after="0"/>
              <w:rPr>
                <w:sz w:val="20"/>
                <w:szCs w:val="20"/>
                <w:color w:val="auto"/>
              </w:rPr>
            </w:pPr>
            <w:r>
              <w:rPr>
                <w:rFonts w:ascii="Arial" w:cs="Arial" w:eastAsia="Arial" w:hAnsi="Arial"/>
                <w:sz w:val="16"/>
                <w:szCs w:val="16"/>
                <w:b w:val="1"/>
                <w:bCs w:val="1"/>
                <w:color w:val="auto"/>
              </w:rPr>
              <w:t>Services</w:t>
            </w:r>
          </w:p>
        </w:tc>
        <w:tc>
          <w:tcPr>
            <w:tcW w:w="1740" w:type="dxa"/>
            <w:vAlign w:val="bottom"/>
          </w:tcPr>
          <w:p>
            <w:pPr>
              <w:jc w:val="right"/>
              <w:ind w:right="59"/>
              <w:spacing w:after="0"/>
              <w:rPr>
                <w:sz w:val="20"/>
                <w:szCs w:val="20"/>
                <w:color w:val="auto"/>
              </w:rPr>
            </w:pPr>
            <w:r>
              <w:rPr>
                <w:rFonts w:ascii="Arial" w:cs="Arial" w:eastAsia="Arial" w:hAnsi="Arial"/>
                <w:sz w:val="16"/>
                <w:szCs w:val="16"/>
                <w:b w:val="1"/>
                <w:bCs w:val="1"/>
                <w:color w:val="auto"/>
              </w:rPr>
              <w:t>Benefit</w:t>
            </w:r>
          </w:p>
        </w:tc>
      </w:tr>
      <w:tr>
        <w:trPr>
          <w:trHeight w:val="223"/>
        </w:trPr>
        <w:tc>
          <w:tcPr>
            <w:tcW w:w="284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254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r>
      <w:tr>
        <w:trPr>
          <w:trHeight w:val="21"/>
        </w:trPr>
        <w:tc>
          <w:tcPr>
            <w:tcW w:w="28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7"/>
        </w:trPr>
        <w:tc>
          <w:tcPr>
            <w:tcW w:w="28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Erik B. Nordstrom</w:t>
            </w:r>
          </w:p>
        </w:tc>
        <w:tc>
          <w:tcPr>
            <w:tcW w:w="2540" w:type="dxa"/>
            <w:vAlign w:val="bottom"/>
            <w:tcBorders>
              <w:bottom w:val="single" w:sz="8" w:color="DCDDDE"/>
            </w:tcBorders>
            <w:shd w:val="clear" w:color="auto" w:fill="DCDDDE"/>
          </w:tcPr>
          <w:p>
            <w:pPr>
              <w:jc w:val="right"/>
              <w:ind w:right="1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DCDDDE"/>
            </w:tcBorders>
            <w:shd w:val="clear" w:color="auto" w:fill="DCDDDE"/>
          </w:tcPr>
          <w:p>
            <w:pPr>
              <w:jc w:val="right"/>
              <w:ind w:right="27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DCDDDE"/>
            </w:tcBorders>
            <w:shd w:val="clear" w:color="auto" w:fill="DCDDDE"/>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2840" w:type="dxa"/>
            <w:vAlign w:val="bottom"/>
          </w:tcPr>
          <w:p>
            <w:pPr>
              <w:ind w:left="60"/>
              <w:spacing w:after="0"/>
              <w:rPr>
                <w:sz w:val="20"/>
                <w:szCs w:val="20"/>
                <w:color w:val="auto"/>
              </w:rPr>
            </w:pPr>
            <w:r>
              <w:rPr>
                <w:rFonts w:ascii="Arial" w:cs="Arial" w:eastAsia="Arial" w:hAnsi="Arial"/>
                <w:sz w:val="16"/>
                <w:szCs w:val="16"/>
                <w:color w:val="auto"/>
              </w:rPr>
              <w:t>Michael W. Maher</w:t>
            </w:r>
          </w:p>
        </w:tc>
        <w:tc>
          <w:tcPr>
            <w:tcW w:w="2540" w:type="dxa"/>
            <w:vAlign w:val="bottom"/>
          </w:tcPr>
          <w:p>
            <w:pPr>
              <w:jc w:val="right"/>
              <w:ind w:right="199"/>
              <w:spacing w:after="0"/>
              <w:rPr>
                <w:sz w:val="20"/>
                <w:szCs w:val="20"/>
                <w:color w:val="auto"/>
              </w:rPr>
            </w:pPr>
            <w:r>
              <w:rPr>
                <w:rFonts w:ascii="Arial" w:cs="Arial" w:eastAsia="Arial" w:hAnsi="Arial"/>
                <w:sz w:val="16"/>
                <w:szCs w:val="16"/>
                <w:color w:val="auto"/>
              </w:rPr>
              <w:t>787,500</w:t>
            </w:r>
          </w:p>
        </w:tc>
        <w:tc>
          <w:tcPr>
            <w:tcW w:w="1940" w:type="dxa"/>
            <w:vAlign w:val="bottom"/>
          </w:tcPr>
          <w:p>
            <w:pPr>
              <w:jc w:val="right"/>
              <w:ind w:right="279"/>
              <w:spacing w:after="0"/>
              <w:rPr>
                <w:sz w:val="20"/>
                <w:szCs w:val="20"/>
                <w:color w:val="auto"/>
              </w:rPr>
            </w:pPr>
            <w:r>
              <w:rPr>
                <w:rFonts w:ascii="Arial" w:cs="Arial" w:eastAsia="Arial" w:hAnsi="Arial"/>
                <w:sz w:val="16"/>
                <w:szCs w:val="16"/>
                <w:color w:val="auto"/>
              </w:rPr>
              <w:t>16,962</w:t>
            </w: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4,200</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808,662</w:t>
            </w:r>
          </w:p>
        </w:tc>
      </w:tr>
      <w:tr>
        <w:trPr>
          <w:trHeight w:val="29"/>
        </w:trPr>
        <w:tc>
          <w:tcPr>
            <w:tcW w:w="2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3"/>
        </w:trPr>
        <w:tc>
          <w:tcPr>
            <w:tcW w:w="28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Peter E. Nordstrom</w:t>
            </w:r>
          </w:p>
        </w:tc>
        <w:tc>
          <w:tcPr>
            <w:tcW w:w="2540" w:type="dxa"/>
            <w:vAlign w:val="bottom"/>
            <w:tcBorders>
              <w:bottom w:val="single" w:sz="8" w:color="DCDDDE"/>
            </w:tcBorders>
            <w:shd w:val="clear" w:color="auto" w:fill="DCDDDE"/>
          </w:tcPr>
          <w:p>
            <w:pPr>
              <w:jc w:val="right"/>
              <w:ind w:right="1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DCDDDE"/>
            </w:tcBorders>
            <w:shd w:val="clear" w:color="auto" w:fill="DCDDDE"/>
          </w:tcPr>
          <w:p>
            <w:pPr>
              <w:jc w:val="right"/>
              <w:ind w:right="27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DCDDDE"/>
            </w:tcBorders>
            <w:shd w:val="clear" w:color="auto" w:fill="DCDDDE"/>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2840" w:type="dxa"/>
            <w:vAlign w:val="bottom"/>
          </w:tcPr>
          <w:p>
            <w:pPr>
              <w:ind w:left="60"/>
              <w:spacing w:after="0"/>
              <w:rPr>
                <w:sz w:val="20"/>
                <w:szCs w:val="20"/>
                <w:color w:val="auto"/>
              </w:rPr>
            </w:pPr>
            <w:r>
              <w:rPr>
                <w:rFonts w:ascii="Arial" w:cs="Arial" w:eastAsia="Arial" w:hAnsi="Arial"/>
                <w:sz w:val="16"/>
                <w:szCs w:val="16"/>
                <w:color w:val="auto"/>
              </w:rPr>
              <w:t>Kenneth J. Worzel</w:t>
            </w:r>
          </w:p>
        </w:tc>
        <w:tc>
          <w:tcPr>
            <w:tcW w:w="2540" w:type="dxa"/>
            <w:vAlign w:val="bottom"/>
          </w:tcPr>
          <w:p>
            <w:pPr>
              <w:jc w:val="right"/>
              <w:ind w:right="199"/>
              <w:spacing w:after="0"/>
              <w:rPr>
                <w:sz w:val="20"/>
                <w:szCs w:val="20"/>
                <w:color w:val="auto"/>
              </w:rPr>
            </w:pPr>
            <w:r>
              <w:rPr>
                <w:rFonts w:ascii="Arial" w:cs="Arial" w:eastAsia="Arial" w:hAnsi="Arial"/>
                <w:sz w:val="16"/>
                <w:szCs w:val="16"/>
                <w:color w:val="auto"/>
              </w:rPr>
              <w:t>1,038,980</w:t>
            </w:r>
          </w:p>
        </w:tc>
        <w:tc>
          <w:tcPr>
            <w:tcW w:w="19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4,200</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1,043,180</w:t>
            </w:r>
          </w:p>
        </w:tc>
      </w:tr>
      <w:tr>
        <w:trPr>
          <w:trHeight w:val="29"/>
        </w:trPr>
        <w:tc>
          <w:tcPr>
            <w:tcW w:w="2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3"/>
        </w:trPr>
        <w:tc>
          <w:tcPr>
            <w:tcW w:w="28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Alexis DePree</w:t>
            </w:r>
          </w:p>
        </w:tc>
        <w:tc>
          <w:tcPr>
            <w:tcW w:w="2540" w:type="dxa"/>
            <w:vAlign w:val="bottom"/>
            <w:tcBorders>
              <w:bottom w:val="single" w:sz="8" w:color="DCDDDE"/>
            </w:tcBorders>
            <w:shd w:val="clear" w:color="auto" w:fill="DCDDDE"/>
          </w:tcPr>
          <w:p>
            <w:pPr>
              <w:jc w:val="right"/>
              <w:ind w:right="199"/>
              <w:spacing w:after="0"/>
              <w:rPr>
                <w:sz w:val="20"/>
                <w:szCs w:val="20"/>
                <w:color w:val="auto"/>
              </w:rPr>
            </w:pPr>
            <w:r>
              <w:rPr>
                <w:rFonts w:ascii="Arial" w:cs="Arial" w:eastAsia="Arial" w:hAnsi="Arial"/>
                <w:sz w:val="16"/>
                <w:szCs w:val="16"/>
                <w:color w:val="auto"/>
              </w:rPr>
              <w:t>1,300,000</w:t>
            </w:r>
          </w:p>
        </w:tc>
        <w:tc>
          <w:tcPr>
            <w:tcW w:w="1940" w:type="dxa"/>
            <w:vAlign w:val="bottom"/>
            <w:tcBorders>
              <w:bottom w:val="single" w:sz="8" w:color="DCDDDE"/>
            </w:tcBorders>
            <w:shd w:val="clear" w:color="auto" w:fill="DCDDDE"/>
          </w:tcPr>
          <w:p>
            <w:pPr>
              <w:jc w:val="right"/>
              <w:ind w:right="279"/>
              <w:spacing w:after="0"/>
              <w:rPr>
                <w:sz w:val="20"/>
                <w:szCs w:val="20"/>
                <w:color w:val="auto"/>
              </w:rPr>
            </w:pPr>
            <w:r>
              <w:rPr>
                <w:rFonts w:ascii="Arial" w:cs="Arial" w:eastAsia="Arial" w:hAnsi="Arial"/>
                <w:sz w:val="16"/>
                <w:szCs w:val="16"/>
                <w:color w:val="auto"/>
              </w:rPr>
              <w:t>16,962</w:t>
            </w:r>
          </w:p>
        </w:tc>
        <w:tc>
          <w:tcPr>
            <w:tcW w:w="1820" w:type="dxa"/>
            <w:vAlign w:val="bottom"/>
            <w:tcBorders>
              <w:bottom w:val="single" w:sz="8" w:color="DCDDDE"/>
            </w:tcBorders>
            <w:shd w:val="clear" w:color="auto" w:fill="DCDDDE"/>
          </w:tcPr>
          <w:p>
            <w:pPr>
              <w:jc w:val="right"/>
              <w:ind w:right="239"/>
              <w:spacing w:after="0"/>
              <w:rPr>
                <w:sz w:val="20"/>
                <w:szCs w:val="20"/>
                <w:color w:val="auto"/>
              </w:rPr>
            </w:pPr>
            <w:r>
              <w:rPr>
                <w:rFonts w:ascii="Arial" w:cs="Arial" w:eastAsia="Arial" w:hAnsi="Arial"/>
                <w:sz w:val="16"/>
                <w:szCs w:val="16"/>
                <w:color w:val="auto"/>
              </w:rPr>
              <w:t>4,200</w:t>
            </w:r>
          </w:p>
        </w:tc>
        <w:tc>
          <w:tcPr>
            <w:tcW w:w="17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1,321,162</w:t>
            </w:r>
          </w:p>
        </w:tc>
      </w:tr>
      <w:tr>
        <w:trPr>
          <w:trHeight w:val="255"/>
        </w:trPr>
        <w:tc>
          <w:tcPr>
            <w:tcW w:w="2840" w:type="dxa"/>
            <w:vAlign w:val="bottom"/>
          </w:tcPr>
          <w:p>
            <w:pPr>
              <w:ind w:left="60"/>
              <w:spacing w:after="0"/>
              <w:rPr>
                <w:sz w:val="20"/>
                <w:szCs w:val="20"/>
                <w:color w:val="auto"/>
              </w:rPr>
            </w:pPr>
            <w:r>
              <w:rPr>
                <w:rFonts w:ascii="Arial" w:cs="Arial" w:eastAsia="Arial" w:hAnsi="Arial"/>
                <w:sz w:val="16"/>
                <w:szCs w:val="16"/>
                <w:color w:val="auto"/>
              </w:rPr>
              <w:t>Anne L. Bramman</w:t>
            </w:r>
          </w:p>
        </w:tc>
        <w:tc>
          <w:tcPr>
            <w:tcW w:w="2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
        </w:trPr>
        <w:tc>
          <w:tcPr>
            <w:tcW w:w="2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Edmond Mesrobian</w:t>
            </w:r>
          </w:p>
        </w:tc>
        <w:tc>
          <w:tcPr>
            <w:tcW w:w="2540" w:type="dxa"/>
            <w:vAlign w:val="bottom"/>
            <w:tcBorders>
              <w:bottom w:val="single" w:sz="8" w:color="DCDDDE"/>
            </w:tcBorders>
            <w:shd w:val="clear" w:color="auto" w:fill="DCDDDE"/>
          </w:tcPr>
          <w:p>
            <w:pPr>
              <w:jc w:val="right"/>
              <w:ind w:right="199"/>
              <w:spacing w:after="0"/>
              <w:rPr>
                <w:sz w:val="20"/>
                <w:szCs w:val="20"/>
                <w:color w:val="auto"/>
              </w:rPr>
            </w:pPr>
            <w:r>
              <w:rPr>
                <w:rFonts w:ascii="Arial" w:cs="Arial" w:eastAsia="Arial" w:hAnsi="Arial"/>
                <w:sz w:val="16"/>
                <w:szCs w:val="16"/>
                <w:color w:val="auto"/>
              </w:rPr>
              <w:t>1,650,000</w:t>
            </w:r>
          </w:p>
        </w:tc>
        <w:tc>
          <w:tcPr>
            <w:tcW w:w="1940" w:type="dxa"/>
            <w:vAlign w:val="bottom"/>
            <w:tcBorders>
              <w:bottom w:val="single" w:sz="8" w:color="DCDDDE"/>
            </w:tcBorders>
            <w:shd w:val="clear" w:color="auto" w:fill="DCDDDE"/>
          </w:tcPr>
          <w:p>
            <w:pPr>
              <w:jc w:val="right"/>
              <w:ind w:right="27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DCDDDE"/>
            </w:tcBorders>
            <w:shd w:val="clear" w:color="auto" w:fill="DCDDDE"/>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color w:val="auto"/>
              </w:rPr>
              <w:t>1,650,000</w:t>
            </w:r>
          </w:p>
        </w:tc>
      </w:tr>
      <w:tr>
        <w:trPr>
          <w:trHeight w:val="20"/>
        </w:trPr>
        <w:tc>
          <w:tcPr>
            <w:tcW w:w="284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(f) Disability Insurance Benefit</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Company provides long-term disability insurance for the NEOs. The amount reported in the table for each NEO is the long-term disability benefit provided of up to $35,000 per month. The premiums for the Company-provided disability insurance are included in column (b) in the All Other Compensation in Fiscal Year 2022 table on page </w:t>
      </w:r>
      <w:r>
        <w:rPr>
          <w:rFonts w:ascii="Arial" w:cs="Arial" w:eastAsia="Arial" w:hAnsi="Arial"/>
          <w:sz w:val="16"/>
          <w:szCs w:val="16"/>
          <w:u w:val="single" w:color="auto"/>
          <w:color w:val="0000EE"/>
        </w:rPr>
        <w:t>50</w:t>
      </w:r>
      <w:r>
        <w:rPr>
          <w:rFonts w:ascii="Arial" w:cs="Arial" w:eastAsia="Arial" w:hAnsi="Arial"/>
          <w:sz w:val="16"/>
          <w:szCs w:val="16"/>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(g) Executive Management Bonus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performance period under the EMBP is the fiscal year. Therefore, a termination event that occurred on the last day of the fiscal year would not result in any additional or accelerated benefits under this Plan. However, if an employee died, became disabled or retired (after having met certain age and years of service requirements) during the fiscal year, the CPCC would have the sole discretion to determine what amounts, if any, an executive would remain eligible to receive as a performance-based bonus award. Any bonus award would be prorated to reflect the period of service during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451485</wp:posOffset>
            </wp:positionV>
            <wp:extent cx="1019810" cy="1200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COMPENSATION OF EXECUTIVE OFFICERS</w:t>
      </w:r>
    </w:p>
    <w:p>
      <w:pPr>
        <w:spacing w:after="0" w:line="86"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Pay Ratio Disclosure</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 rules require that U.S. publicly traded companies disclose the ratio of their PEO’s compensation to that of their median employee. Our PEO is our CEO, Erik Nordstrom.</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For fiscal year 2022:</w:t>
      </w:r>
    </w:p>
    <w:p>
      <w:pPr>
        <w:spacing w:after="0" w:line="73"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annual total compensation of Erik Nordstrom was $3,470,982; and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estimated median of the annual total compensation of all employees of our Company, other than Erik Nordstrom, was $32,185.</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Based on this information, for 2022 the ratio of the annual total compensation of Erik Nordstrom, our Chief Executive Officer and PEO, to the median of the annual compensation of all employees was 108 to 1. In fiscal year 2021, we previously reported Erik Nordstrom’s annual total compensation as $5,753,133 resulting in a pay ratio of 217 to 1. As discussed on page </w:t>
      </w:r>
      <w:r>
        <w:rPr>
          <w:rFonts w:ascii="Arial" w:cs="Arial" w:eastAsia="Arial" w:hAnsi="Arial"/>
          <w:sz w:val="16"/>
          <w:szCs w:val="16"/>
          <w:u w:val="single" w:color="auto"/>
          <w:color w:val="0000EE"/>
        </w:rPr>
        <w:t>49</w:t>
      </w:r>
      <w:r>
        <w:rPr>
          <w:rFonts w:ascii="Arial" w:cs="Arial" w:eastAsia="Arial" w:hAnsi="Arial"/>
          <w:sz w:val="16"/>
          <w:szCs w:val="16"/>
          <w:color w:val="auto"/>
        </w:rPr>
        <w:t xml:space="preserve"> in footnote (f) to the Summary Compensation Table, the negative change in pension value previously reported in fiscal year 2021 for Erik Nordstrom, reflecting a decrease of $692,013, was erroneously included in the table in fiscal year 2021. After taking into account this correction, the pay ratio for fiscal year 2021 is 243 to 1.</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SEC rules for identifying the median employee and calculating the pay ratio permit companies to use various methodologies and assumptions to apply certain exclusions and to make reasonable estimates that reflect their employee population and compensation practices. As a result, the pay ratio reported by other companies may not be comparable to the pay ratio that we have reported.</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To identify the median employee, we used the total compensation as reported on the 2022 W-2 for all of our U.S. employees, excluding our PEO, and the Canadian equivalent T4 for all of our Canadian employees, who were employed by us on January 28, 2023, the last day of our fiscal year. We included full-time, part-time, seasonal and temporary employees and did not annualize the compensation for our permanent full-time and part-time employees who were not employed with us for the entire fiscal year. We applied a Canadian to U.S. dollar exchange rate to the compensation elements paid in Canadian currency. Similar to other large retail companies, a significant portion of our workforce is employed on a part-time and seasonal basis. As of the end of fiscal year 2022, approximately 31,000 of our 60,000 employees – or 52% of our workforce – were either part-time or seasonal.</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After identifying the median employee, we calculated annual total compensation for the median employee using the same methodology we used for determining total compensation for our NEOs as shown in the 2022 Summary Compensation Table on page </w:t>
      </w:r>
      <w:r>
        <w:rPr>
          <w:rFonts w:ascii="Arial" w:cs="Arial" w:eastAsia="Arial" w:hAnsi="Arial"/>
          <w:sz w:val="16"/>
          <w:szCs w:val="16"/>
          <w:u w:val="single" w:color="auto"/>
          <w:color w:val="0000EE"/>
        </w:rPr>
        <w:t>48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313690</wp:posOffset>
            </wp:positionV>
            <wp:extent cx="1020445" cy="1289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54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PAY VERSUS PERFORMANCE DISCLOSURE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required by SEC rules to disclose the following information regarding compensation paid to our NEOs. The amounts set forth under the headings “Compensation Actually Paid to CEO” and “Average Compensation Actually Paid for non-CEO NEOs” have been calculated in a manner consistent with Item 402(v) of Regulation S-K. Footnote (d) sets forth the adjustments from the Total Compensation for each NEO reported in the Summary Compensation Table.</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sets forth additional compensation information for our CEO and our non-CEO NEOs, along with total shareholder return, net earnings and Incentive Adjusted EBIT performance results for fiscal years 2020, 2021 and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right"/>
              <w:ind w:right="185"/>
              <w:spacing w:after="0"/>
              <w:rPr>
                <w:sz w:val="20"/>
                <w:szCs w:val="20"/>
                <w:color w:val="auto"/>
              </w:rPr>
            </w:pPr>
            <w:r>
              <w:rPr>
                <w:rFonts w:ascii="Arial" w:cs="Arial" w:eastAsia="Arial" w:hAnsi="Arial"/>
                <w:sz w:val="14"/>
                <w:szCs w:val="14"/>
                <w:b w:val="1"/>
                <w:bCs w:val="1"/>
                <w:color w:val="auto"/>
              </w:rPr>
              <w:t>Value of Initial Fixed $100</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5"/>
        </w:trPr>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right"/>
              <w:ind w:right="305"/>
              <w:spacing w:after="0"/>
              <w:rPr>
                <w:sz w:val="20"/>
                <w:szCs w:val="20"/>
                <w:color w:val="auto"/>
              </w:rPr>
            </w:pPr>
            <w:r>
              <w:rPr>
                <w:rFonts w:ascii="Arial" w:cs="Arial" w:eastAsia="Arial" w:hAnsi="Arial"/>
                <w:sz w:val="14"/>
                <w:szCs w:val="14"/>
                <w:b w:val="1"/>
                <w:bCs w:val="1"/>
                <w:color w:val="auto"/>
              </w:rPr>
              <w:t>Investment Based On:</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39"/>
        </w:trPr>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jc w:val="right"/>
              <w:ind w:right="185"/>
              <w:spacing w:after="0" w:line="139" w:lineRule="exact"/>
              <w:rPr>
                <w:sz w:val="20"/>
                <w:szCs w:val="20"/>
                <w:color w:val="auto"/>
              </w:rPr>
            </w:pPr>
            <w:r>
              <w:rPr>
                <w:rFonts w:ascii="Arial" w:cs="Arial" w:eastAsia="Arial" w:hAnsi="Arial"/>
                <w:sz w:val="14"/>
                <w:szCs w:val="14"/>
                <w:b w:val="1"/>
                <w:bCs w:val="1"/>
                <w:color w:val="auto"/>
              </w:rPr>
              <w:t>Average</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Arial" w:cs="Arial" w:eastAsia="Arial" w:hAnsi="Arial"/>
                <w:sz w:val="14"/>
                <w:szCs w:val="14"/>
                <w:b w:val="1"/>
                <w:bCs w:val="1"/>
                <w:color w:val="auto"/>
              </w:rPr>
              <w:t>Summary</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Average</w:t>
            </w:r>
          </w:p>
        </w:tc>
        <w:tc>
          <w:tcPr>
            <w:tcW w:w="1080" w:type="dxa"/>
            <w:vAlign w:val="bottom"/>
          </w:tcPr>
          <w:p>
            <w:pPr>
              <w:spacing w:after="0"/>
              <w:rPr>
                <w:sz w:val="14"/>
                <w:szCs w:val="14"/>
                <w:color w:val="auto"/>
              </w:rPr>
            </w:pPr>
          </w:p>
        </w:tc>
        <w:tc>
          <w:tcPr>
            <w:tcW w:w="1040" w:type="dxa"/>
            <w:vAlign w:val="bottom"/>
          </w:tcPr>
          <w:p>
            <w:pPr>
              <w:jc w:val="right"/>
              <w:ind w:right="5"/>
              <w:spacing w:after="0"/>
              <w:rPr>
                <w:sz w:val="20"/>
                <w:szCs w:val="20"/>
                <w:color w:val="auto"/>
              </w:rPr>
            </w:pPr>
            <w:r>
              <w:rPr>
                <w:rFonts w:ascii="Arial" w:cs="Arial" w:eastAsia="Arial" w:hAnsi="Arial"/>
                <w:sz w:val="14"/>
                <w:szCs w:val="14"/>
                <w:b w:val="1"/>
                <w:bCs w:val="1"/>
                <w:color w:val="auto"/>
              </w:rPr>
              <w:t>Peer Group</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880" w:type="dxa"/>
            <w:vAlign w:val="bottom"/>
          </w:tcPr>
          <w:p>
            <w:pPr>
              <w:spacing w:after="0"/>
              <w:rPr>
                <w:sz w:val="14"/>
                <w:szCs w:val="14"/>
                <w:color w:val="auto"/>
              </w:rPr>
            </w:pPr>
          </w:p>
        </w:tc>
        <w:tc>
          <w:tcPr>
            <w:tcW w:w="1500" w:type="dxa"/>
            <w:vAlign w:val="bottom"/>
          </w:tcPr>
          <w:p>
            <w:pPr>
              <w:jc w:val="right"/>
              <w:ind w:right="104"/>
              <w:spacing w:after="0"/>
              <w:rPr>
                <w:sz w:val="20"/>
                <w:szCs w:val="20"/>
                <w:color w:val="auto"/>
              </w:rPr>
            </w:pPr>
            <w:r>
              <w:rPr>
                <w:rFonts w:ascii="Arial" w:cs="Arial" w:eastAsia="Arial" w:hAnsi="Arial"/>
                <w:sz w:val="14"/>
                <w:szCs w:val="14"/>
                <w:b w:val="1"/>
                <w:bCs w:val="1"/>
                <w:color w:val="auto"/>
              </w:rPr>
              <w:t>Summary</w:t>
            </w:r>
          </w:p>
        </w:tc>
        <w:tc>
          <w:tcPr>
            <w:tcW w:w="142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tcPr>
          <w:p>
            <w:pPr>
              <w:jc w:val="right"/>
              <w:ind w:right="65"/>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right"/>
              <w:ind w:right="5"/>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880" w:type="dxa"/>
            <w:vAlign w:val="bottom"/>
          </w:tcPr>
          <w:p>
            <w:pPr>
              <w:spacing w:after="0"/>
              <w:rPr>
                <w:sz w:val="14"/>
                <w:szCs w:val="14"/>
                <w:color w:val="auto"/>
              </w:rPr>
            </w:pPr>
          </w:p>
        </w:tc>
        <w:tc>
          <w:tcPr>
            <w:tcW w:w="1500" w:type="dxa"/>
            <w:vAlign w:val="bottom"/>
          </w:tcPr>
          <w:p>
            <w:pPr>
              <w:jc w:val="right"/>
              <w:ind w:right="104"/>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tcPr>
          <w:p>
            <w:pPr>
              <w:jc w:val="right"/>
              <w:ind w:right="104"/>
              <w:spacing w:after="0"/>
              <w:rPr>
                <w:sz w:val="20"/>
                <w:szCs w:val="20"/>
                <w:color w:val="auto"/>
              </w:rPr>
            </w:pPr>
            <w:r>
              <w:rPr>
                <w:rFonts w:ascii="Arial" w:cs="Arial" w:eastAsia="Arial" w:hAnsi="Arial"/>
                <w:sz w:val="14"/>
                <w:szCs w:val="14"/>
                <w:b w:val="1"/>
                <w:bCs w:val="1"/>
                <w:color w:val="auto"/>
              </w:rPr>
              <w:t>Compensation</w:t>
            </w:r>
          </w:p>
        </w:tc>
        <w:tc>
          <w:tcPr>
            <w:tcW w:w="1460" w:type="dxa"/>
            <w:vAlign w:val="bottom"/>
          </w:tcPr>
          <w:p>
            <w:pPr>
              <w:jc w:val="right"/>
              <w:ind w:right="185"/>
              <w:spacing w:after="0"/>
              <w:rPr>
                <w:sz w:val="20"/>
                <w:szCs w:val="20"/>
                <w:color w:val="auto"/>
              </w:rPr>
            </w:pPr>
            <w:r>
              <w:rPr>
                <w:rFonts w:ascii="Arial" w:cs="Arial" w:eastAsia="Arial" w:hAnsi="Arial"/>
                <w:sz w:val="14"/>
                <w:szCs w:val="14"/>
                <w:b w:val="1"/>
                <w:bCs w:val="1"/>
                <w:color w:val="auto"/>
              </w:rPr>
              <w:t>Table Total for</w:t>
            </w:r>
          </w:p>
        </w:tc>
        <w:tc>
          <w:tcPr>
            <w:tcW w:w="1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Actually Paid to</w:t>
            </w:r>
          </w:p>
        </w:tc>
        <w:tc>
          <w:tcPr>
            <w:tcW w:w="1080" w:type="dxa"/>
            <w:vAlign w:val="bottom"/>
          </w:tcPr>
          <w:p>
            <w:pPr>
              <w:jc w:val="right"/>
              <w:ind w:right="65"/>
              <w:spacing w:after="0"/>
              <w:rPr>
                <w:sz w:val="20"/>
                <w:szCs w:val="20"/>
                <w:color w:val="auto"/>
              </w:rPr>
            </w:pPr>
            <w:r>
              <w:rPr>
                <w:rFonts w:ascii="Arial" w:cs="Arial" w:eastAsia="Arial" w:hAnsi="Arial"/>
                <w:sz w:val="14"/>
                <w:szCs w:val="14"/>
                <w:b w:val="1"/>
                <w:bCs w:val="1"/>
                <w:color w:val="auto"/>
              </w:rPr>
              <w:t>Shareholder</w:t>
            </w:r>
          </w:p>
        </w:tc>
        <w:tc>
          <w:tcPr>
            <w:tcW w:w="1040" w:type="dxa"/>
            <w:vAlign w:val="bottom"/>
          </w:tcPr>
          <w:p>
            <w:pPr>
              <w:jc w:val="right"/>
              <w:ind w:right="5"/>
              <w:spacing w:after="0"/>
              <w:rPr>
                <w:sz w:val="20"/>
                <w:szCs w:val="20"/>
                <w:color w:val="auto"/>
              </w:rPr>
            </w:pPr>
            <w:r>
              <w:rPr>
                <w:rFonts w:ascii="Arial" w:cs="Arial" w:eastAsia="Arial" w:hAnsi="Arial"/>
                <w:sz w:val="14"/>
                <w:szCs w:val="14"/>
                <w:b w:val="1"/>
                <w:bCs w:val="1"/>
                <w:color w:val="auto"/>
              </w:rPr>
              <w:t>Shareholder</w:t>
            </w:r>
          </w:p>
        </w:tc>
        <w:tc>
          <w:tcPr>
            <w:tcW w:w="960" w:type="dxa"/>
            <w:vAlign w:val="bottom"/>
          </w:tcPr>
          <w:p>
            <w:pPr>
              <w:jc w:val="right"/>
              <w:ind w:right="123"/>
              <w:spacing w:after="0"/>
              <w:rPr>
                <w:sz w:val="20"/>
                <w:szCs w:val="20"/>
                <w:color w:val="auto"/>
              </w:rPr>
            </w:pPr>
            <w:r>
              <w:rPr>
                <w:rFonts w:ascii="Arial" w:cs="Arial" w:eastAsia="Arial" w:hAnsi="Arial"/>
                <w:sz w:val="14"/>
                <w:szCs w:val="14"/>
                <w:b w:val="1"/>
                <w:bCs w:val="1"/>
                <w:color w:val="auto"/>
              </w:rPr>
              <w:t>Net</w:t>
            </w:r>
          </w:p>
        </w:tc>
        <w:tc>
          <w:tcPr>
            <w:tcW w:w="1040" w:type="dxa"/>
            <w:vAlign w:val="bottom"/>
          </w:tcPr>
          <w:p>
            <w:pPr>
              <w:jc w:val="right"/>
              <w:ind w:right="64"/>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880" w:type="dxa"/>
            <w:vAlign w:val="bottom"/>
          </w:tcPr>
          <w:p>
            <w:pPr>
              <w:spacing w:after="0"/>
              <w:rPr>
                <w:sz w:val="14"/>
                <w:szCs w:val="14"/>
                <w:color w:val="auto"/>
              </w:rPr>
            </w:pPr>
          </w:p>
        </w:tc>
        <w:tc>
          <w:tcPr>
            <w:tcW w:w="1500" w:type="dxa"/>
            <w:vAlign w:val="bottom"/>
          </w:tcPr>
          <w:p>
            <w:pPr>
              <w:jc w:val="right"/>
              <w:ind w:right="104"/>
              <w:spacing w:after="0"/>
              <w:rPr>
                <w:sz w:val="20"/>
                <w:szCs w:val="20"/>
                <w:color w:val="auto"/>
              </w:rPr>
            </w:pPr>
            <w:r>
              <w:rPr>
                <w:rFonts w:ascii="Arial" w:cs="Arial" w:eastAsia="Arial" w:hAnsi="Arial"/>
                <w:sz w:val="14"/>
                <w:szCs w:val="14"/>
                <w:b w:val="1"/>
                <w:bCs w:val="1"/>
                <w:color w:val="auto"/>
              </w:rPr>
              <w:t>Table Total for</w:t>
            </w:r>
          </w:p>
        </w:tc>
        <w:tc>
          <w:tcPr>
            <w:tcW w:w="1420" w:type="dxa"/>
            <w:vAlign w:val="bottom"/>
          </w:tcPr>
          <w:p>
            <w:pPr>
              <w:jc w:val="right"/>
              <w:ind w:right="104"/>
              <w:spacing w:after="0"/>
              <w:rPr>
                <w:sz w:val="20"/>
                <w:szCs w:val="20"/>
                <w:color w:val="auto"/>
              </w:rPr>
            </w:pPr>
            <w:r>
              <w:rPr>
                <w:rFonts w:ascii="Arial" w:cs="Arial" w:eastAsia="Arial" w:hAnsi="Arial"/>
                <w:sz w:val="14"/>
                <w:szCs w:val="14"/>
                <w:b w:val="1"/>
                <w:bCs w:val="1"/>
                <w:color w:val="auto"/>
              </w:rPr>
              <w:t>Actually Paid to</w:t>
            </w:r>
          </w:p>
        </w:tc>
        <w:tc>
          <w:tcPr>
            <w:tcW w:w="1460" w:type="dxa"/>
            <w:vAlign w:val="bottom"/>
          </w:tcPr>
          <w:p>
            <w:pPr>
              <w:jc w:val="right"/>
              <w:ind w:right="185"/>
              <w:spacing w:after="0"/>
              <w:rPr>
                <w:sz w:val="20"/>
                <w:szCs w:val="20"/>
                <w:color w:val="auto"/>
              </w:rPr>
            </w:pPr>
            <w:r>
              <w:rPr>
                <w:rFonts w:ascii="Arial" w:cs="Arial" w:eastAsia="Arial" w:hAnsi="Arial"/>
                <w:sz w:val="14"/>
                <w:szCs w:val="14"/>
                <w:b w:val="1"/>
                <w:bCs w:val="1"/>
                <w:color w:val="auto"/>
              </w:rPr>
              <w:t>non-CEO NEOs</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non-CEO NEOs</w:t>
            </w:r>
          </w:p>
        </w:tc>
        <w:tc>
          <w:tcPr>
            <w:tcW w:w="1080" w:type="dxa"/>
            <w:vAlign w:val="bottom"/>
          </w:tcPr>
          <w:p>
            <w:pPr>
              <w:jc w:val="right"/>
              <w:ind w:right="65"/>
              <w:spacing w:after="0"/>
              <w:rPr>
                <w:sz w:val="20"/>
                <w:szCs w:val="20"/>
                <w:color w:val="auto"/>
              </w:rPr>
            </w:pPr>
            <w:r>
              <w:rPr>
                <w:rFonts w:ascii="Arial" w:cs="Arial" w:eastAsia="Arial" w:hAnsi="Arial"/>
                <w:sz w:val="14"/>
                <w:szCs w:val="14"/>
                <w:b w:val="1"/>
                <w:bCs w:val="1"/>
                <w:color w:val="auto"/>
              </w:rPr>
              <w:t>Return ($)</w:t>
            </w:r>
          </w:p>
        </w:tc>
        <w:tc>
          <w:tcPr>
            <w:tcW w:w="2000" w:type="dxa"/>
            <w:vAlign w:val="bottom"/>
            <w:gridSpan w:val="2"/>
          </w:tcPr>
          <w:p>
            <w:pPr>
              <w:jc w:val="right"/>
              <w:ind w:right="123"/>
              <w:spacing w:after="0"/>
              <w:rPr>
                <w:sz w:val="20"/>
                <w:szCs w:val="20"/>
                <w:color w:val="auto"/>
              </w:rPr>
            </w:pPr>
            <w:r>
              <w:rPr>
                <w:rFonts w:ascii="Arial" w:cs="Arial" w:eastAsia="Arial" w:hAnsi="Arial"/>
                <w:sz w:val="14"/>
                <w:szCs w:val="14"/>
                <w:b w:val="1"/>
                <w:bCs w:val="1"/>
                <w:color w:val="auto"/>
              </w:rPr>
              <w:t>Return ($)   Earnings</w:t>
            </w:r>
          </w:p>
        </w:tc>
        <w:tc>
          <w:tcPr>
            <w:tcW w:w="1040" w:type="dxa"/>
            <w:vAlign w:val="bottom"/>
          </w:tcPr>
          <w:p>
            <w:pPr>
              <w:jc w:val="right"/>
              <w:ind w:right="64"/>
              <w:spacing w:after="0"/>
              <w:rPr>
                <w:sz w:val="20"/>
                <w:szCs w:val="20"/>
                <w:color w:val="auto"/>
              </w:rPr>
            </w:pPr>
            <w:r>
              <w:rPr>
                <w:rFonts w:ascii="Arial" w:cs="Arial" w:eastAsia="Arial" w:hAnsi="Arial"/>
                <w:sz w:val="14"/>
                <w:szCs w:val="14"/>
                <w:b w:val="1"/>
                <w:bCs w:val="1"/>
                <w:color w:val="auto"/>
              </w:rPr>
              <w:t>Adjusted</w:t>
            </w:r>
          </w:p>
        </w:tc>
      </w:tr>
      <w:tr>
        <w:trPr>
          <w:trHeight w:val="205"/>
        </w:trPr>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 (a)</w:t>
            </w:r>
          </w:p>
        </w:tc>
        <w:tc>
          <w:tcPr>
            <w:tcW w:w="15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CEO ($)</w:t>
            </w:r>
          </w:p>
        </w:tc>
        <w:tc>
          <w:tcPr>
            <w:tcW w:w="14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CEO ($) (b, c, d)</w:t>
            </w:r>
          </w:p>
        </w:tc>
        <w:tc>
          <w:tcPr>
            <w:tcW w:w="14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 (b, c, d)</w:t>
            </w: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w:t>
            </w: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($M)</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EBIT ($M) (f)</w:t>
            </w:r>
          </w:p>
        </w:tc>
      </w:tr>
      <w:tr>
        <w:trPr>
          <w:trHeight w:val="229"/>
        </w:trPr>
        <w:tc>
          <w:tcPr>
            <w:tcW w:w="880" w:type="dxa"/>
            <w:vAlign w:val="bottom"/>
            <w:shd w:val="clear" w:color="auto" w:fill="DCDDDE"/>
          </w:tcPr>
          <w:p>
            <w:pPr>
              <w:ind w:left="60"/>
              <w:spacing w:after="0"/>
              <w:rPr>
                <w:sz w:val="20"/>
                <w:szCs w:val="20"/>
                <w:color w:val="auto"/>
              </w:rPr>
            </w:pPr>
            <w:r>
              <w:rPr>
                <w:rFonts w:ascii="Arial" w:cs="Arial" w:eastAsia="Arial" w:hAnsi="Arial"/>
                <w:sz w:val="16"/>
                <w:szCs w:val="16"/>
                <w:color w:val="auto"/>
              </w:rPr>
              <w:t>2022</w:t>
            </w:r>
          </w:p>
        </w:tc>
        <w:tc>
          <w:tcPr>
            <w:tcW w:w="1500" w:type="dxa"/>
            <w:vAlign w:val="bottom"/>
            <w:shd w:val="clear" w:color="auto" w:fill="DCDDDE"/>
          </w:tcPr>
          <w:p>
            <w:pPr>
              <w:jc w:val="right"/>
              <w:ind w:right="64"/>
              <w:spacing w:after="0"/>
              <w:rPr>
                <w:sz w:val="20"/>
                <w:szCs w:val="20"/>
                <w:color w:val="auto"/>
              </w:rPr>
            </w:pPr>
            <w:r>
              <w:rPr>
                <w:rFonts w:ascii="Arial" w:cs="Arial" w:eastAsia="Arial" w:hAnsi="Arial"/>
                <w:sz w:val="16"/>
                <w:szCs w:val="16"/>
                <w:color w:val="auto"/>
              </w:rPr>
              <w:t>3,470,982</w:t>
            </w:r>
          </w:p>
        </w:tc>
        <w:tc>
          <w:tcPr>
            <w:tcW w:w="1420" w:type="dxa"/>
            <w:vAlign w:val="bottom"/>
            <w:shd w:val="clear" w:color="auto" w:fill="DCDDDE"/>
          </w:tcPr>
          <w:p>
            <w:pPr>
              <w:jc w:val="right"/>
              <w:ind w:right="64"/>
              <w:spacing w:after="0"/>
              <w:rPr>
                <w:sz w:val="20"/>
                <w:szCs w:val="20"/>
                <w:color w:val="auto"/>
              </w:rPr>
            </w:pPr>
            <w:r>
              <w:rPr>
                <w:rFonts w:ascii="Arial" w:cs="Arial" w:eastAsia="Arial" w:hAnsi="Arial"/>
                <w:sz w:val="16"/>
                <w:szCs w:val="16"/>
                <w:color w:val="auto"/>
              </w:rPr>
              <w:t>2,237,191</w:t>
            </w:r>
          </w:p>
        </w:tc>
        <w:tc>
          <w:tcPr>
            <w:tcW w:w="1460" w:type="dxa"/>
            <w:vAlign w:val="bottom"/>
            <w:shd w:val="clear" w:color="auto" w:fill="DCDDDE"/>
          </w:tcPr>
          <w:p>
            <w:pPr>
              <w:jc w:val="right"/>
              <w:ind w:right="145"/>
              <w:spacing w:after="0"/>
              <w:rPr>
                <w:sz w:val="20"/>
                <w:szCs w:val="20"/>
                <w:color w:val="auto"/>
              </w:rPr>
            </w:pPr>
            <w:r>
              <w:rPr>
                <w:rFonts w:ascii="Arial" w:cs="Arial" w:eastAsia="Arial" w:hAnsi="Arial"/>
                <w:sz w:val="16"/>
                <w:szCs w:val="16"/>
                <w:color w:val="auto"/>
              </w:rPr>
              <w:t>3,078,195</w:t>
            </w:r>
          </w:p>
        </w:tc>
        <w:tc>
          <w:tcPr>
            <w:tcW w:w="140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1,264,807</w:t>
            </w:r>
          </w:p>
        </w:tc>
        <w:tc>
          <w:tcPr>
            <w:tcW w:w="100" w:type="dxa"/>
            <w:vAlign w:val="bottom"/>
            <w:shd w:val="clear" w:color="auto" w:fill="DCDDDE"/>
          </w:tcPr>
          <w:p>
            <w:pPr>
              <w:spacing w:after="0"/>
              <w:rPr>
                <w:sz w:val="19"/>
                <w:szCs w:val="19"/>
                <w:color w:val="auto"/>
              </w:rPr>
            </w:pPr>
          </w:p>
        </w:tc>
        <w:tc>
          <w:tcPr>
            <w:tcW w:w="1080" w:type="dxa"/>
            <w:vAlign w:val="bottom"/>
            <w:shd w:val="clear" w:color="auto" w:fill="DCDDDE"/>
          </w:tcPr>
          <w:p>
            <w:pPr>
              <w:ind w:left="780"/>
              <w:spacing w:after="0"/>
              <w:rPr>
                <w:sz w:val="20"/>
                <w:szCs w:val="20"/>
                <w:color w:val="auto"/>
              </w:rPr>
            </w:pPr>
            <w:r>
              <w:rPr>
                <w:rFonts w:ascii="Arial" w:cs="Arial" w:eastAsia="Arial" w:hAnsi="Arial"/>
                <w:sz w:val="16"/>
                <w:szCs w:val="16"/>
                <w:color w:val="auto"/>
              </w:rPr>
              <w:t>53</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118</w:t>
            </w:r>
          </w:p>
        </w:tc>
        <w:tc>
          <w:tcPr>
            <w:tcW w:w="960" w:type="dxa"/>
            <w:vAlign w:val="bottom"/>
            <w:shd w:val="clear" w:color="auto" w:fill="DCDDDE"/>
          </w:tcPr>
          <w:p>
            <w:pPr>
              <w:jc w:val="right"/>
              <w:ind w:right="83"/>
              <w:spacing w:after="0"/>
              <w:rPr>
                <w:sz w:val="20"/>
                <w:szCs w:val="20"/>
                <w:color w:val="auto"/>
              </w:rPr>
            </w:pPr>
            <w:r>
              <w:rPr>
                <w:rFonts w:ascii="Arial" w:cs="Arial" w:eastAsia="Arial" w:hAnsi="Arial"/>
                <w:sz w:val="16"/>
                <w:szCs w:val="16"/>
                <w:color w:val="auto"/>
              </w:rPr>
              <w:t>245</w:t>
            </w:r>
          </w:p>
        </w:tc>
        <w:tc>
          <w:tcPr>
            <w:tcW w:w="1040" w:type="dxa"/>
            <w:vAlign w:val="bottom"/>
            <w:shd w:val="clear" w:color="auto" w:fill="DCDDDE"/>
          </w:tcPr>
          <w:p>
            <w:pPr>
              <w:jc w:val="right"/>
              <w:ind w:right="24"/>
              <w:spacing w:after="0"/>
              <w:rPr>
                <w:sz w:val="20"/>
                <w:szCs w:val="20"/>
                <w:color w:val="auto"/>
              </w:rPr>
            </w:pPr>
            <w:r>
              <w:rPr>
                <w:rFonts w:ascii="Arial" w:cs="Arial" w:eastAsia="Arial" w:hAnsi="Arial"/>
                <w:sz w:val="16"/>
                <w:szCs w:val="16"/>
                <w:color w:val="auto"/>
              </w:rPr>
              <w:t>524</w:t>
            </w:r>
          </w:p>
        </w:tc>
      </w:tr>
      <w:tr>
        <w:trPr>
          <w:trHeight w:val="222"/>
        </w:trPr>
        <w:tc>
          <w:tcPr>
            <w:tcW w:w="880" w:type="dxa"/>
            <w:vAlign w:val="bottom"/>
          </w:tcPr>
          <w:p>
            <w:pPr>
              <w:ind w:left="60"/>
              <w:spacing w:after="0"/>
              <w:rPr>
                <w:sz w:val="20"/>
                <w:szCs w:val="20"/>
                <w:color w:val="auto"/>
              </w:rPr>
            </w:pPr>
            <w:r>
              <w:rPr>
                <w:rFonts w:ascii="Arial" w:cs="Arial" w:eastAsia="Arial" w:hAnsi="Arial"/>
                <w:sz w:val="16"/>
                <w:szCs w:val="16"/>
                <w:color w:val="auto"/>
              </w:rPr>
              <w:t>2021</w:t>
            </w:r>
          </w:p>
        </w:tc>
        <w:tc>
          <w:tcPr>
            <w:tcW w:w="1500" w:type="dxa"/>
            <w:vAlign w:val="bottom"/>
          </w:tcPr>
          <w:p>
            <w:pPr>
              <w:jc w:val="right"/>
              <w:ind w:right="64"/>
              <w:spacing w:after="0"/>
              <w:rPr>
                <w:sz w:val="20"/>
                <w:szCs w:val="20"/>
                <w:color w:val="auto"/>
              </w:rPr>
            </w:pPr>
            <w:r>
              <w:rPr>
                <w:rFonts w:ascii="Arial" w:cs="Arial" w:eastAsia="Arial" w:hAnsi="Arial"/>
                <w:sz w:val="16"/>
                <w:szCs w:val="16"/>
                <w:color w:val="auto"/>
              </w:rPr>
              <w:t>6,445,146</w:t>
            </w:r>
          </w:p>
        </w:tc>
        <w:tc>
          <w:tcPr>
            <w:tcW w:w="1420" w:type="dxa"/>
            <w:vAlign w:val="bottom"/>
          </w:tcPr>
          <w:p>
            <w:pPr>
              <w:jc w:val="right"/>
              <w:ind w:right="64"/>
              <w:spacing w:after="0"/>
              <w:rPr>
                <w:sz w:val="20"/>
                <w:szCs w:val="20"/>
                <w:color w:val="auto"/>
              </w:rPr>
            </w:pPr>
            <w:r>
              <w:rPr>
                <w:rFonts w:ascii="Arial" w:cs="Arial" w:eastAsia="Arial" w:hAnsi="Arial"/>
                <w:sz w:val="16"/>
                <w:szCs w:val="16"/>
                <w:color w:val="auto"/>
              </w:rPr>
              <w:t>820,766</w:t>
            </w:r>
          </w:p>
        </w:tc>
        <w:tc>
          <w:tcPr>
            <w:tcW w:w="1460" w:type="dxa"/>
            <w:vAlign w:val="bottom"/>
          </w:tcPr>
          <w:p>
            <w:pPr>
              <w:jc w:val="right"/>
              <w:ind w:right="145"/>
              <w:spacing w:after="0"/>
              <w:rPr>
                <w:sz w:val="20"/>
                <w:szCs w:val="20"/>
                <w:color w:val="auto"/>
              </w:rPr>
            </w:pPr>
            <w:r>
              <w:rPr>
                <w:rFonts w:ascii="Arial" w:cs="Arial" w:eastAsia="Arial" w:hAnsi="Arial"/>
                <w:sz w:val="16"/>
                <w:szCs w:val="16"/>
                <w:color w:val="auto"/>
              </w:rPr>
              <w:t>5,165,440</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(534,350)</w:t>
            </w:r>
          </w:p>
        </w:tc>
        <w:tc>
          <w:tcPr>
            <w:tcW w:w="1080" w:type="dxa"/>
            <w:vAlign w:val="bottom"/>
          </w:tcPr>
          <w:p>
            <w:pPr>
              <w:ind w:left="780"/>
              <w:spacing w:after="0"/>
              <w:rPr>
                <w:sz w:val="20"/>
                <w:szCs w:val="20"/>
                <w:color w:val="auto"/>
              </w:rPr>
            </w:pPr>
            <w:r>
              <w:rPr>
                <w:rFonts w:ascii="Arial" w:cs="Arial" w:eastAsia="Arial" w:hAnsi="Arial"/>
                <w:sz w:val="16"/>
                <w:szCs w:val="16"/>
                <w:color w:val="auto"/>
              </w:rPr>
              <w:t>61</w:t>
            </w: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178</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666</w:t>
            </w:r>
          </w:p>
        </w:tc>
      </w:tr>
      <w:tr>
        <w:trPr>
          <w:trHeight w:val="230"/>
        </w:trPr>
        <w:tc>
          <w:tcPr>
            <w:tcW w:w="88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2020</w:t>
            </w:r>
          </w:p>
        </w:tc>
        <w:tc>
          <w:tcPr>
            <w:tcW w:w="1500" w:type="dxa"/>
            <w:vAlign w:val="bottom"/>
            <w:tcBorders>
              <w:bottom w:val="single" w:sz="8" w:color="auto"/>
            </w:tcBorders>
            <w:shd w:val="clear" w:color="auto" w:fill="DCDDDE"/>
          </w:tcPr>
          <w:p>
            <w:pPr>
              <w:jc w:val="right"/>
              <w:ind w:right="64"/>
              <w:spacing w:after="0"/>
              <w:rPr>
                <w:sz w:val="20"/>
                <w:szCs w:val="20"/>
                <w:color w:val="auto"/>
              </w:rPr>
            </w:pPr>
            <w:r>
              <w:rPr>
                <w:rFonts w:ascii="Arial" w:cs="Arial" w:eastAsia="Arial" w:hAnsi="Arial"/>
                <w:sz w:val="16"/>
                <w:szCs w:val="16"/>
                <w:color w:val="auto"/>
              </w:rPr>
              <w:t>5,647,670</w:t>
            </w:r>
          </w:p>
        </w:tc>
        <w:tc>
          <w:tcPr>
            <w:tcW w:w="1420" w:type="dxa"/>
            <w:vAlign w:val="bottom"/>
            <w:tcBorders>
              <w:bottom w:val="single" w:sz="8" w:color="auto"/>
            </w:tcBorders>
            <w:shd w:val="clear" w:color="auto" w:fill="DCDDDE"/>
          </w:tcPr>
          <w:p>
            <w:pPr>
              <w:jc w:val="right"/>
              <w:ind w:right="64"/>
              <w:spacing w:after="0"/>
              <w:rPr>
                <w:sz w:val="20"/>
                <w:szCs w:val="20"/>
                <w:color w:val="auto"/>
              </w:rPr>
            </w:pPr>
            <w:r>
              <w:rPr>
                <w:rFonts w:ascii="Arial" w:cs="Arial" w:eastAsia="Arial" w:hAnsi="Arial"/>
                <w:sz w:val="16"/>
                <w:szCs w:val="16"/>
                <w:color w:val="auto"/>
              </w:rPr>
              <w:t>7,598,410</w:t>
            </w:r>
          </w:p>
        </w:tc>
        <w:tc>
          <w:tcPr>
            <w:tcW w:w="1460" w:type="dxa"/>
            <w:vAlign w:val="bottom"/>
            <w:tcBorders>
              <w:bottom w:val="single" w:sz="8" w:color="auto"/>
            </w:tcBorders>
            <w:shd w:val="clear" w:color="auto" w:fill="DCDDDE"/>
          </w:tcPr>
          <w:p>
            <w:pPr>
              <w:jc w:val="right"/>
              <w:ind w:right="145"/>
              <w:spacing w:after="0"/>
              <w:rPr>
                <w:sz w:val="20"/>
                <w:szCs w:val="20"/>
                <w:color w:val="auto"/>
              </w:rPr>
            </w:pPr>
            <w:r>
              <w:rPr>
                <w:rFonts w:ascii="Arial" w:cs="Arial" w:eastAsia="Arial" w:hAnsi="Arial"/>
                <w:sz w:val="16"/>
                <w:szCs w:val="16"/>
                <w:color w:val="auto"/>
              </w:rPr>
              <w:t>5,122,901</w:t>
            </w:r>
          </w:p>
        </w:tc>
        <w:tc>
          <w:tcPr>
            <w:tcW w:w="14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color w:val="auto"/>
              </w:rPr>
              <w:t>7,722,084</w:t>
            </w:r>
          </w:p>
        </w:tc>
        <w:tc>
          <w:tcPr>
            <w:tcW w:w="100" w:type="dxa"/>
            <w:vAlign w:val="bottom"/>
            <w:tcBorders>
              <w:bottom w:val="single" w:sz="8" w:color="auto"/>
            </w:tcBorders>
            <w:shd w:val="clear" w:color="auto" w:fill="DCDDDE"/>
          </w:tcPr>
          <w:p>
            <w:pPr>
              <w:spacing w:after="0"/>
              <w:rPr>
                <w:sz w:val="20"/>
                <w:szCs w:val="20"/>
                <w:color w:val="auto"/>
              </w:rPr>
            </w:pPr>
          </w:p>
        </w:tc>
        <w:tc>
          <w:tcPr>
            <w:tcW w:w="1080" w:type="dxa"/>
            <w:vAlign w:val="bottom"/>
            <w:tcBorders>
              <w:bottom w:val="single" w:sz="8" w:color="auto"/>
            </w:tcBorders>
            <w:shd w:val="clear" w:color="auto" w:fill="DCDDDE"/>
          </w:tcPr>
          <w:p>
            <w:pPr>
              <w:ind w:left="780"/>
              <w:spacing w:after="0"/>
              <w:rPr>
                <w:sz w:val="20"/>
                <w:szCs w:val="20"/>
                <w:color w:val="auto"/>
              </w:rPr>
            </w:pPr>
            <w:r>
              <w:rPr>
                <w:rFonts w:ascii="Arial" w:cs="Arial" w:eastAsia="Arial" w:hAnsi="Arial"/>
                <w:sz w:val="16"/>
                <w:szCs w:val="16"/>
                <w:color w:val="auto"/>
              </w:rPr>
              <w:t>98</w:t>
            </w:r>
          </w:p>
        </w:tc>
        <w:tc>
          <w:tcPr>
            <w:tcW w:w="10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color w:val="auto"/>
              </w:rPr>
              <w:t>141</w:t>
            </w:r>
          </w:p>
        </w:tc>
        <w:tc>
          <w:tcPr>
            <w:tcW w:w="960" w:type="dxa"/>
            <w:vAlign w:val="bottom"/>
            <w:tcBorders>
              <w:bottom w:val="single" w:sz="8" w:color="auto"/>
            </w:tcBorders>
            <w:shd w:val="clear" w:color="auto" w:fill="DCDDDE"/>
          </w:tcPr>
          <w:p>
            <w:pPr>
              <w:jc w:val="right"/>
              <w:ind w:right="23"/>
              <w:spacing w:after="0"/>
              <w:rPr>
                <w:sz w:val="20"/>
                <w:szCs w:val="20"/>
                <w:color w:val="auto"/>
              </w:rPr>
            </w:pPr>
            <w:r>
              <w:rPr>
                <w:rFonts w:ascii="Arial" w:cs="Arial" w:eastAsia="Arial" w:hAnsi="Arial"/>
                <w:sz w:val="16"/>
                <w:szCs w:val="16"/>
                <w:color w:val="auto"/>
              </w:rPr>
              <w:t>(690)</w:t>
            </w:r>
          </w:p>
        </w:tc>
        <w:tc>
          <w:tcPr>
            <w:tcW w:w="10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color w:val="auto"/>
              </w:rPr>
              <w:t>(1,047)</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NEOs included in the compensation columns reflect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ind w:left="60"/>
              <w:spacing w:after="0"/>
              <w:rPr>
                <w:sz w:val="20"/>
                <w:szCs w:val="20"/>
                <w:color w:val="auto"/>
              </w:rPr>
            </w:pPr>
            <w:r>
              <w:rPr>
                <w:rFonts w:ascii="Arial" w:cs="Arial" w:eastAsia="Arial" w:hAnsi="Arial"/>
                <w:sz w:val="16"/>
                <w:szCs w:val="16"/>
                <w:b w:val="1"/>
                <w:bCs w:val="1"/>
                <w:color w:val="auto"/>
              </w:rPr>
              <w:t>Year</w:t>
            </w:r>
          </w:p>
        </w:tc>
        <w:tc>
          <w:tcPr>
            <w:tcW w:w="1740" w:type="dxa"/>
            <w:vAlign w:val="bottom"/>
          </w:tcPr>
          <w:p>
            <w:pPr>
              <w:ind w:left="220"/>
              <w:spacing w:after="0"/>
              <w:rPr>
                <w:sz w:val="20"/>
                <w:szCs w:val="20"/>
                <w:color w:val="auto"/>
              </w:rPr>
            </w:pPr>
            <w:r>
              <w:rPr>
                <w:rFonts w:ascii="Arial" w:cs="Arial" w:eastAsia="Arial" w:hAnsi="Arial"/>
                <w:sz w:val="16"/>
                <w:szCs w:val="16"/>
                <w:b w:val="1"/>
                <w:bCs w:val="1"/>
                <w:color w:val="auto"/>
              </w:rPr>
              <w:t>CEO</w:t>
            </w:r>
          </w:p>
        </w:tc>
        <w:tc>
          <w:tcPr>
            <w:tcW w:w="8520" w:type="dxa"/>
            <w:vAlign w:val="bottom"/>
          </w:tcPr>
          <w:p>
            <w:pPr>
              <w:ind w:left="260"/>
              <w:spacing w:after="0"/>
              <w:rPr>
                <w:sz w:val="20"/>
                <w:szCs w:val="20"/>
                <w:color w:val="auto"/>
              </w:rPr>
            </w:pPr>
            <w:r>
              <w:rPr>
                <w:rFonts w:ascii="Arial" w:cs="Arial" w:eastAsia="Arial" w:hAnsi="Arial"/>
                <w:sz w:val="16"/>
                <w:szCs w:val="16"/>
                <w:b w:val="1"/>
                <w:bCs w:val="1"/>
                <w:color w:val="auto"/>
              </w:rPr>
              <w:t>Non-CEO NEOs</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520" w:type="dxa"/>
            <w:vAlign w:val="bottom"/>
            <w:tcBorders>
              <w:bottom w:val="single" w:sz="8" w:color="auto"/>
            </w:tcBorders>
          </w:tcPr>
          <w:p>
            <w:pPr>
              <w:spacing w:after="0" w:line="20" w:lineRule="exact"/>
              <w:rPr>
                <w:sz w:val="1"/>
                <w:szCs w:val="1"/>
                <w:color w:val="auto"/>
              </w:rPr>
            </w:pPr>
          </w:p>
        </w:tc>
      </w:tr>
      <w:tr>
        <w:trPr>
          <w:trHeight w:val="223"/>
        </w:trPr>
        <w:tc>
          <w:tcPr>
            <w:tcW w:w="620" w:type="dxa"/>
            <w:vAlign w:val="bottom"/>
            <w:shd w:val="clear" w:color="auto" w:fill="DCDDDE"/>
          </w:tcPr>
          <w:p>
            <w:pPr>
              <w:ind w:left="60"/>
              <w:spacing w:after="0"/>
              <w:rPr>
                <w:sz w:val="20"/>
                <w:szCs w:val="20"/>
                <w:color w:val="auto"/>
              </w:rPr>
            </w:pPr>
            <w:r>
              <w:rPr>
                <w:rFonts w:ascii="Arial" w:cs="Arial" w:eastAsia="Arial" w:hAnsi="Arial"/>
                <w:sz w:val="16"/>
                <w:szCs w:val="16"/>
                <w:color w:val="auto"/>
              </w:rPr>
              <w:t>2022</w:t>
            </w:r>
          </w:p>
        </w:tc>
        <w:tc>
          <w:tcPr>
            <w:tcW w:w="1740" w:type="dxa"/>
            <w:vAlign w:val="bottom"/>
            <w:shd w:val="clear" w:color="auto" w:fill="DCDDDE"/>
          </w:tcPr>
          <w:p>
            <w:pPr>
              <w:ind w:left="220"/>
              <w:spacing w:after="0"/>
              <w:rPr>
                <w:sz w:val="20"/>
                <w:szCs w:val="20"/>
                <w:color w:val="auto"/>
              </w:rPr>
            </w:pPr>
            <w:r>
              <w:rPr>
                <w:rFonts w:ascii="Arial" w:cs="Arial" w:eastAsia="Arial" w:hAnsi="Arial"/>
                <w:sz w:val="16"/>
                <w:szCs w:val="16"/>
                <w:color w:val="auto"/>
              </w:rPr>
              <w:t>Erik B. Nordstrom</w:t>
            </w:r>
          </w:p>
        </w:tc>
        <w:tc>
          <w:tcPr>
            <w:tcW w:w="8520" w:type="dxa"/>
            <w:vAlign w:val="bottom"/>
            <w:shd w:val="clear" w:color="auto" w:fill="DCDDDE"/>
          </w:tcPr>
          <w:p>
            <w:pPr>
              <w:ind w:left="260"/>
              <w:spacing w:after="0"/>
              <w:rPr>
                <w:sz w:val="20"/>
                <w:szCs w:val="20"/>
                <w:color w:val="auto"/>
              </w:rPr>
            </w:pPr>
            <w:r>
              <w:rPr>
                <w:rFonts w:ascii="Arial" w:cs="Arial" w:eastAsia="Arial" w:hAnsi="Arial"/>
                <w:sz w:val="16"/>
                <w:szCs w:val="16"/>
                <w:color w:val="auto"/>
              </w:rPr>
              <w:t>Michael W. Maher, Peter E. Nordstrom, Kenneth J. Worzel, Alexis DePree, Anne L. Bramman, Edmond Mesrobian</w:t>
            </w:r>
          </w:p>
        </w:tc>
      </w:tr>
      <w:tr>
        <w:trPr>
          <w:trHeight w:val="222"/>
        </w:trPr>
        <w:tc>
          <w:tcPr>
            <w:tcW w:w="620" w:type="dxa"/>
            <w:vAlign w:val="bottom"/>
          </w:tcPr>
          <w:p>
            <w:pPr>
              <w:ind w:left="60"/>
              <w:spacing w:after="0"/>
              <w:rPr>
                <w:sz w:val="20"/>
                <w:szCs w:val="20"/>
                <w:color w:val="auto"/>
              </w:rPr>
            </w:pPr>
            <w:r>
              <w:rPr>
                <w:rFonts w:ascii="Arial" w:cs="Arial" w:eastAsia="Arial" w:hAnsi="Arial"/>
                <w:sz w:val="16"/>
                <w:szCs w:val="16"/>
                <w:color w:val="auto"/>
              </w:rPr>
              <w:t>2021</w:t>
            </w:r>
          </w:p>
        </w:tc>
        <w:tc>
          <w:tcPr>
            <w:tcW w:w="1740" w:type="dxa"/>
            <w:vAlign w:val="bottom"/>
          </w:tcPr>
          <w:p>
            <w:pPr>
              <w:ind w:left="220"/>
              <w:spacing w:after="0"/>
              <w:rPr>
                <w:sz w:val="20"/>
                <w:szCs w:val="20"/>
                <w:color w:val="auto"/>
              </w:rPr>
            </w:pPr>
            <w:r>
              <w:rPr>
                <w:rFonts w:ascii="Arial" w:cs="Arial" w:eastAsia="Arial" w:hAnsi="Arial"/>
                <w:sz w:val="16"/>
                <w:szCs w:val="16"/>
                <w:color w:val="auto"/>
              </w:rPr>
              <w:t>Erik B. Nordstrom</w:t>
            </w:r>
          </w:p>
        </w:tc>
        <w:tc>
          <w:tcPr>
            <w:tcW w:w="8520" w:type="dxa"/>
            <w:vAlign w:val="bottom"/>
          </w:tcPr>
          <w:p>
            <w:pPr>
              <w:ind w:left="260"/>
              <w:spacing w:after="0"/>
              <w:rPr>
                <w:sz w:val="20"/>
                <w:szCs w:val="20"/>
                <w:color w:val="auto"/>
              </w:rPr>
            </w:pPr>
            <w:r>
              <w:rPr>
                <w:rFonts w:ascii="Arial" w:cs="Arial" w:eastAsia="Arial" w:hAnsi="Arial"/>
                <w:sz w:val="16"/>
                <w:szCs w:val="16"/>
                <w:color w:val="auto"/>
              </w:rPr>
              <w:t>Anne L. Bramman, Peter E. Nordstrom, Kenneth J. Worzel, Edmond Mesrobian</w:t>
            </w:r>
          </w:p>
        </w:tc>
      </w:tr>
      <w:tr>
        <w:trPr>
          <w:trHeight w:val="230"/>
        </w:trPr>
        <w:tc>
          <w:tcPr>
            <w:tcW w:w="62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2020</w:t>
            </w:r>
          </w:p>
        </w:tc>
        <w:tc>
          <w:tcPr>
            <w:tcW w:w="1740" w:type="dxa"/>
            <w:vAlign w:val="bottom"/>
            <w:tcBorders>
              <w:bottom w:val="single" w:sz="8" w:color="auto"/>
            </w:tcBorders>
            <w:shd w:val="clear" w:color="auto" w:fill="DCDDDE"/>
          </w:tcPr>
          <w:p>
            <w:pPr>
              <w:ind w:left="220"/>
              <w:spacing w:after="0"/>
              <w:rPr>
                <w:sz w:val="20"/>
                <w:szCs w:val="20"/>
                <w:color w:val="auto"/>
              </w:rPr>
            </w:pPr>
            <w:r>
              <w:rPr>
                <w:rFonts w:ascii="Arial" w:cs="Arial" w:eastAsia="Arial" w:hAnsi="Arial"/>
                <w:sz w:val="16"/>
                <w:szCs w:val="16"/>
                <w:color w:val="auto"/>
              </w:rPr>
              <w:t>Erik B. Nordstrom</w:t>
            </w:r>
          </w:p>
        </w:tc>
        <w:tc>
          <w:tcPr>
            <w:tcW w:w="8520" w:type="dxa"/>
            <w:vAlign w:val="bottom"/>
            <w:tcBorders>
              <w:bottom w:val="single" w:sz="8" w:color="auto"/>
            </w:tcBorders>
            <w:shd w:val="clear" w:color="auto" w:fill="DCDDDE"/>
          </w:tcPr>
          <w:p>
            <w:pPr>
              <w:ind w:left="260"/>
              <w:spacing w:after="0"/>
              <w:rPr>
                <w:sz w:val="20"/>
                <w:szCs w:val="20"/>
                <w:color w:val="auto"/>
              </w:rPr>
            </w:pPr>
            <w:r>
              <w:rPr>
                <w:rFonts w:ascii="Arial" w:cs="Arial" w:eastAsia="Arial" w:hAnsi="Arial"/>
                <w:sz w:val="16"/>
                <w:szCs w:val="16"/>
                <w:color w:val="auto"/>
              </w:rPr>
              <w:t>Anne L. Bramman, Peter E. Nordstrom, Kenneth J. Worzel, Edmond Mesrobian</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Fair value or change in fair value</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Compensation Actually Paid (“CAP”) was calculated by beginning with the total amount reported in the Summary Compensation Table (“SCT”) for the applicable year, (i) subtracting the grant date fair value of stock awards reported in the Stock Awards column of the SCT (“Stock Awards”),</w:t>
      </w:r>
    </w:p>
    <w:p>
      <w:pPr>
        <w:spacing w:after="0" w:line="1" w:lineRule="exact"/>
        <w:rPr>
          <w:sz w:val="20"/>
          <w:szCs w:val="20"/>
          <w:color w:val="auto"/>
        </w:rPr>
      </w:pPr>
    </w:p>
    <w:p>
      <w:pPr>
        <w:jc w:val="both"/>
        <w:ind w:firstLine="8"/>
        <w:spacing w:after="0" w:line="252"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subtracting the grant date fair value of option awards reported in the Option Awards column of the SCT (“Option Awards”), (iii) subtracting the actuarial present value of the accumulated benefit under defined benefit plans reported in the Change in Pension Value and Nonqualified Deferred Compensation Earnings column of the SCT (“Change in Pension Value”), (iv) adding the change in fair value of stock and option awards for the applicable year and (v) adding the service cost and prior service cost for all defined benefit plans for the applicable year.</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Fair value amounts were computed in a manner consistent with the fair value methodology used to account for stock-based compensation in accordance with ASC 718 and for PSUs, adjusted based on the probable achievement at each measurement date. The fair value amounts were calculated using our stock price on the last day of each fiscal year or the date of vesting, as applicable. The service cost and prior service cost for defined benefit plans were calculated using the same methodology as used for our financial statements under GAAP.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 Year-end stock price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For the portion of CAP that is based on year-end stock prices, the following prices were used for 2022: $18.42 (16% decrease change from prior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2021: $21.85 (38% decrease change from prior year), and for 2020: $35.45 (4% decrease change from prior year).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(d) Compensation Actually Paid to CEO and non-CEO NEOs</w:t>
      </w:r>
    </w:p>
    <w:p>
      <w:pPr>
        <w:spacing w:after="0" w:line="10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CAP for the CEO and non-CEO NEOs reflects the adjustments from Total Compensation for each respective year reported in the SCT, as shown on the following table. Total Adjustments are calculated using un-rounded numbers and then rounded to the nearest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89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PAY VERSUS PERFORMANCE DISCLOSURE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CEO</w:t>
            </w:r>
          </w:p>
        </w:tc>
        <w:tc>
          <w:tcPr>
            <w:tcW w:w="1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r>
      <w:tr>
        <w:trPr>
          <w:trHeight w:val="223"/>
        </w:trPr>
        <w:tc>
          <w:tcPr>
            <w:tcW w:w="7480" w:type="dxa"/>
            <w:vAlign w:val="bottom"/>
            <w:tcBorders>
              <w:bottom w:val="single" w:sz="8" w:color="auto"/>
            </w:tcBorders>
            <w:gridSpan w:val="2"/>
            <w:shd w:val="clear" w:color="auto" w:fill="DCDDDE"/>
          </w:tcPr>
          <w:p>
            <w:pPr>
              <w:ind w:left="60"/>
              <w:spacing w:after="0"/>
              <w:rPr>
                <w:sz w:val="20"/>
                <w:szCs w:val="20"/>
                <w:color w:val="auto"/>
              </w:rPr>
            </w:pPr>
            <w:r>
              <w:rPr>
                <w:rFonts w:ascii="Arial" w:cs="Arial" w:eastAsia="Arial" w:hAnsi="Arial"/>
                <w:sz w:val="16"/>
                <w:szCs w:val="16"/>
                <w:b w:val="1"/>
                <w:bCs w:val="1"/>
                <w:color w:val="auto"/>
              </w:rPr>
              <w:t>SCT Total ($)</w:t>
            </w:r>
          </w:p>
        </w:tc>
        <w:tc>
          <w:tcPr>
            <w:tcW w:w="140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5,647,670</w:t>
            </w:r>
          </w:p>
        </w:tc>
        <w:tc>
          <w:tcPr>
            <w:tcW w:w="104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6,445,146</w:t>
            </w:r>
          </w:p>
        </w:tc>
        <w:tc>
          <w:tcPr>
            <w:tcW w:w="96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color w:val="auto"/>
              </w:rPr>
              <w:t>3,470,982</w:t>
            </w:r>
          </w:p>
        </w:tc>
      </w:tr>
      <w:tr>
        <w:trPr>
          <w:trHeight w:val="219"/>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7220" w:type="dxa"/>
            <w:vAlign w:val="bottom"/>
          </w:tcPr>
          <w:p>
            <w:pPr>
              <w:ind w:left="80"/>
              <w:spacing w:after="0"/>
              <w:rPr>
                <w:sz w:val="20"/>
                <w:szCs w:val="20"/>
                <w:color w:val="auto"/>
              </w:rPr>
            </w:pPr>
            <w:r>
              <w:rPr>
                <w:rFonts w:ascii="Arial" w:cs="Arial" w:eastAsia="Arial" w:hAnsi="Arial"/>
                <w:sz w:val="16"/>
                <w:szCs w:val="16"/>
                <w:color w:val="auto"/>
              </w:rPr>
              <w:t>Value of stock awards and option awards reported in SCT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4,247,586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3,699,999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2,654,734</w:t>
            </w:r>
          </w:p>
        </w:tc>
      </w:tr>
      <w:tr>
        <w:trPr>
          <w:trHeight w:val="237"/>
        </w:trPr>
        <w:tc>
          <w:tcPr>
            <w:tcW w:w="260" w:type="dxa"/>
            <w:vAlign w:val="bottom"/>
            <w:shd w:val="clear" w:color="auto" w:fill="DCDDDE"/>
          </w:tcPr>
          <w:p>
            <w:pPr>
              <w:ind w:left="60"/>
              <w:spacing w:after="0"/>
              <w:rPr>
                <w:sz w:val="20"/>
                <w:szCs w:val="20"/>
                <w:color w:val="auto"/>
              </w:rPr>
            </w:pPr>
            <w:r>
              <w:rPr>
                <w:rFonts w:ascii="Arial" w:cs="Arial" w:eastAsia="Arial" w:hAnsi="Arial"/>
                <w:sz w:val="16"/>
                <w:szCs w:val="16"/>
                <w:color w:val="auto"/>
              </w:rPr>
              <w:t>-</w:t>
            </w:r>
          </w:p>
        </w:tc>
        <w:tc>
          <w:tcPr>
            <w:tcW w:w="7220" w:type="dxa"/>
            <w:vAlign w:val="bottom"/>
            <w:shd w:val="clear" w:color="auto" w:fill="DCDDDE"/>
          </w:tcPr>
          <w:p>
            <w:pPr>
              <w:ind w:left="80"/>
              <w:spacing w:after="0"/>
              <w:rPr>
                <w:sz w:val="20"/>
                <w:szCs w:val="20"/>
                <w:color w:val="auto"/>
              </w:rPr>
            </w:pPr>
            <w:r>
              <w:rPr>
                <w:rFonts w:ascii="Arial" w:cs="Arial" w:eastAsia="Arial" w:hAnsi="Arial"/>
                <w:sz w:val="16"/>
                <w:szCs w:val="16"/>
                <w:color w:val="auto"/>
              </w:rPr>
              <w:t>Change in pension value and Nonqualified Deferred Compensation reported in SCT</w:t>
            </w:r>
          </w:p>
        </w:tc>
        <w:tc>
          <w:tcPr>
            <w:tcW w:w="140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1,010,681</w:t>
            </w:r>
          </w:p>
        </w:tc>
        <w:tc>
          <w:tcPr>
            <w:tcW w:w="10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22"/>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7220" w:type="dxa"/>
            <w:vAlign w:val="bottom"/>
          </w:tcPr>
          <w:p>
            <w:pPr>
              <w:ind w:left="80"/>
              <w:spacing w:after="0"/>
              <w:rPr>
                <w:sz w:val="20"/>
                <w:szCs w:val="20"/>
                <w:color w:val="auto"/>
              </w:rPr>
            </w:pPr>
            <w:r>
              <w:rPr>
                <w:rFonts w:ascii="Arial" w:cs="Arial" w:eastAsia="Arial" w:hAnsi="Arial"/>
                <w:sz w:val="16"/>
                <w:szCs w:val="16"/>
                <w:color w:val="auto"/>
              </w:rPr>
              <w:t>Year-end value of awards granted in fiscal year that are unvested and outstanding</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7,132,586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1,429,354</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1,485,367</w:t>
            </w:r>
          </w:p>
        </w:tc>
      </w:tr>
      <w:tr>
        <w:trPr>
          <w:trHeight w:val="237"/>
        </w:trPr>
        <w:tc>
          <w:tcPr>
            <w:tcW w:w="260" w:type="dxa"/>
            <w:vAlign w:val="bottom"/>
            <w:shd w:val="clear" w:color="auto" w:fill="DCDDDE"/>
          </w:tcPr>
          <w:p>
            <w:pPr>
              <w:ind w:left="60"/>
              <w:spacing w:after="0"/>
              <w:rPr>
                <w:sz w:val="20"/>
                <w:szCs w:val="20"/>
                <w:color w:val="auto"/>
              </w:rPr>
            </w:pPr>
            <w:r>
              <w:rPr>
                <w:rFonts w:ascii="Arial" w:cs="Arial" w:eastAsia="Arial" w:hAnsi="Arial"/>
                <w:sz w:val="16"/>
                <w:szCs w:val="16"/>
                <w:color w:val="auto"/>
              </w:rPr>
              <w:t>+</w:t>
            </w:r>
          </w:p>
        </w:tc>
        <w:tc>
          <w:tcPr>
            <w:tcW w:w="7220" w:type="dxa"/>
            <w:vAlign w:val="bottom"/>
            <w:shd w:val="clear" w:color="auto" w:fill="DCDDDE"/>
          </w:tcPr>
          <w:p>
            <w:pPr>
              <w:ind w:left="80"/>
              <w:spacing w:after="0"/>
              <w:rPr>
                <w:sz w:val="20"/>
                <w:szCs w:val="20"/>
                <w:color w:val="auto"/>
              </w:rPr>
            </w:pPr>
            <w:r>
              <w:rPr>
                <w:rFonts w:ascii="Arial" w:cs="Arial" w:eastAsia="Arial" w:hAnsi="Arial"/>
                <w:sz w:val="16"/>
                <w:szCs w:val="16"/>
                <w:color w:val="auto"/>
              </w:rPr>
              <w:t>Change in fair value of prior year awards that are unvested and outstanding</w:t>
            </w:r>
          </w:p>
        </w:tc>
        <w:tc>
          <w:tcPr>
            <w:tcW w:w="140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155,911</w:t>
            </w:r>
          </w:p>
        </w:tc>
        <w:tc>
          <w:tcPr>
            <w:tcW w:w="104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(3,800,744)</w:t>
            </w:r>
          </w:p>
        </w:tc>
        <w:tc>
          <w:tcPr>
            <w:tcW w:w="960" w:type="dxa"/>
            <w:vAlign w:val="bottom"/>
            <w:shd w:val="clear" w:color="auto" w:fill="DCDDDE"/>
          </w:tcPr>
          <w:p>
            <w:pPr>
              <w:jc w:val="right"/>
              <w:spacing w:after="0"/>
              <w:rPr>
                <w:sz w:val="20"/>
                <w:szCs w:val="20"/>
                <w:color w:val="auto"/>
              </w:rPr>
            </w:pPr>
            <w:r>
              <w:rPr>
                <w:rFonts w:ascii="Arial" w:cs="Arial" w:eastAsia="Arial" w:hAnsi="Arial"/>
                <w:sz w:val="16"/>
                <w:szCs w:val="16"/>
                <w:color w:val="auto"/>
              </w:rPr>
              <w:t>(76,644)</w:t>
            </w:r>
          </w:p>
        </w:tc>
      </w:tr>
      <w:tr>
        <w:trPr>
          <w:trHeight w:val="222"/>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7220" w:type="dxa"/>
            <w:vAlign w:val="bottom"/>
          </w:tcPr>
          <w:p>
            <w:pPr>
              <w:ind w:left="80"/>
              <w:spacing w:after="0"/>
              <w:rPr>
                <w:sz w:val="20"/>
                <w:szCs w:val="20"/>
                <w:color w:val="auto"/>
              </w:rPr>
            </w:pPr>
            <w:r>
              <w:rPr>
                <w:rFonts w:ascii="Arial" w:cs="Arial" w:eastAsia="Arial" w:hAnsi="Arial"/>
                <w:sz w:val="16"/>
                <w:szCs w:val="16"/>
                <w:color w:val="auto"/>
              </w:rPr>
              <w:t>Fair market value of awards granted this year and that vested this year</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9,883</w:t>
            </w:r>
          </w:p>
        </w:tc>
      </w:tr>
      <w:tr>
        <w:trPr>
          <w:trHeight w:val="237"/>
        </w:trPr>
        <w:tc>
          <w:tcPr>
            <w:tcW w:w="260" w:type="dxa"/>
            <w:vAlign w:val="bottom"/>
            <w:shd w:val="clear" w:color="auto" w:fill="DCDDDE"/>
          </w:tcPr>
          <w:p>
            <w:pPr>
              <w:ind w:left="60"/>
              <w:spacing w:after="0"/>
              <w:rPr>
                <w:sz w:val="20"/>
                <w:szCs w:val="20"/>
                <w:color w:val="auto"/>
              </w:rPr>
            </w:pPr>
            <w:r>
              <w:rPr>
                <w:rFonts w:ascii="Arial" w:cs="Arial" w:eastAsia="Arial" w:hAnsi="Arial"/>
                <w:sz w:val="16"/>
                <w:szCs w:val="16"/>
                <w:color w:val="auto"/>
              </w:rPr>
              <w:t>+</w:t>
            </w:r>
          </w:p>
        </w:tc>
        <w:tc>
          <w:tcPr>
            <w:tcW w:w="7220" w:type="dxa"/>
            <w:vAlign w:val="bottom"/>
            <w:shd w:val="clear" w:color="auto" w:fill="DCDDDE"/>
          </w:tcPr>
          <w:p>
            <w:pPr>
              <w:ind w:left="80"/>
              <w:spacing w:after="0"/>
              <w:rPr>
                <w:sz w:val="20"/>
                <w:szCs w:val="20"/>
                <w:color w:val="auto"/>
              </w:rPr>
            </w:pPr>
            <w:r>
              <w:rPr>
                <w:rFonts w:ascii="Arial" w:cs="Arial" w:eastAsia="Arial" w:hAnsi="Arial"/>
                <w:sz w:val="16"/>
                <w:szCs w:val="16"/>
                <w:color w:val="auto"/>
              </w:rPr>
              <w:t>Change in fair value (from prior year end) of prior year awards that vested this year</w:t>
            </w:r>
          </w:p>
        </w:tc>
        <w:tc>
          <w:tcPr>
            <w:tcW w:w="14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(372,946)</w:t>
            </w:r>
          </w:p>
        </w:tc>
        <w:tc>
          <w:tcPr>
            <w:tcW w:w="10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139,177</w:t>
            </w:r>
          </w:p>
        </w:tc>
        <w:tc>
          <w:tcPr>
            <w:tcW w:w="96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(215,375)</w:t>
            </w:r>
          </w:p>
        </w:tc>
      </w:tr>
      <w:tr>
        <w:trPr>
          <w:trHeight w:val="222"/>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7220" w:type="dxa"/>
            <w:vAlign w:val="bottom"/>
          </w:tcPr>
          <w:p>
            <w:pPr>
              <w:ind w:left="80"/>
              <w:spacing w:after="0"/>
              <w:rPr>
                <w:sz w:val="20"/>
                <w:szCs w:val="20"/>
                <w:color w:val="auto"/>
              </w:rPr>
            </w:pPr>
            <w:r>
              <w:rPr>
                <w:rFonts w:ascii="Arial" w:cs="Arial" w:eastAsia="Arial" w:hAnsi="Arial"/>
                <w:sz w:val="16"/>
                <w:szCs w:val="16"/>
                <w:color w:val="auto"/>
              </w:rPr>
              <w:t>Prior year fair value of prior year awards that failed to vest this year</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26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w:t>
            </w:r>
          </w:p>
        </w:tc>
        <w:tc>
          <w:tcPr>
            <w:tcW w:w="7220" w:type="dxa"/>
            <w:vAlign w:val="bottom"/>
            <w:tcBorders>
              <w:bottom w:val="single" w:sz="8" w:color="auto"/>
            </w:tcBorders>
            <w:shd w:val="clear" w:color="auto" w:fill="DCDDDE"/>
          </w:tcPr>
          <w:p>
            <w:pPr>
              <w:ind w:left="80"/>
              <w:spacing w:after="0"/>
              <w:rPr>
                <w:sz w:val="20"/>
                <w:szCs w:val="20"/>
                <w:color w:val="auto"/>
              </w:rPr>
            </w:pPr>
            <w:r>
              <w:rPr>
                <w:rFonts w:ascii="Arial" w:cs="Arial" w:eastAsia="Arial" w:hAnsi="Arial"/>
                <w:sz w:val="16"/>
                <w:szCs w:val="16"/>
                <w:color w:val="auto"/>
              </w:rPr>
              <w:t>Service and prior service cost for pension plans</w:t>
            </w:r>
          </w:p>
        </w:tc>
        <w:tc>
          <w:tcPr>
            <w:tcW w:w="140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293,457</w:t>
            </w:r>
          </w:p>
        </w:tc>
        <w:tc>
          <w:tcPr>
            <w:tcW w:w="104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307,833</w:t>
            </w:r>
          </w:p>
        </w:tc>
        <w:tc>
          <w:tcPr>
            <w:tcW w:w="96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color w:val="auto"/>
              </w:rPr>
              <w:t>217,712</w:t>
            </w:r>
          </w:p>
        </w:tc>
      </w:tr>
      <w:tr>
        <w:trPr>
          <w:trHeight w:val="226"/>
        </w:trPr>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7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Adjustments</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1,950,740</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(5,624,380)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(1,233,791)</w:t>
            </w:r>
          </w:p>
        </w:tc>
      </w:tr>
      <w:tr>
        <w:trPr>
          <w:trHeight w:val="223"/>
        </w:trPr>
        <w:tc>
          <w:tcPr>
            <w:tcW w:w="7480" w:type="dxa"/>
            <w:vAlign w:val="bottom"/>
            <w:tcBorders>
              <w:bottom w:val="single" w:sz="8" w:color="auto"/>
            </w:tcBorders>
            <w:gridSpan w:val="2"/>
            <w:shd w:val="clear" w:color="auto" w:fill="DCDDDE"/>
          </w:tcPr>
          <w:p>
            <w:pPr>
              <w:ind w:left="60"/>
              <w:spacing w:after="0"/>
              <w:rPr>
                <w:sz w:val="20"/>
                <w:szCs w:val="20"/>
                <w:color w:val="auto"/>
              </w:rPr>
            </w:pPr>
            <w:r>
              <w:rPr>
                <w:rFonts w:ascii="Arial" w:cs="Arial" w:eastAsia="Arial" w:hAnsi="Arial"/>
                <w:sz w:val="16"/>
                <w:szCs w:val="16"/>
                <w:b w:val="1"/>
                <w:bCs w:val="1"/>
                <w:color w:val="auto"/>
              </w:rPr>
              <w:t>CAP ($)</w:t>
            </w:r>
          </w:p>
        </w:tc>
        <w:tc>
          <w:tcPr>
            <w:tcW w:w="140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7,598,410</w:t>
            </w:r>
          </w:p>
        </w:tc>
        <w:tc>
          <w:tcPr>
            <w:tcW w:w="104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820,766</w:t>
            </w:r>
          </w:p>
        </w:tc>
        <w:tc>
          <w:tcPr>
            <w:tcW w:w="96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color w:val="auto"/>
              </w:rPr>
              <w:t>2,237,191</w:t>
            </w:r>
          </w:p>
        </w:tc>
      </w:tr>
      <w:tr>
        <w:trPr>
          <w:trHeight w:val="172"/>
        </w:trPr>
        <w:tc>
          <w:tcPr>
            <w:tcW w:w="7480" w:type="dxa"/>
            <w:vAlign w:val="bottom"/>
            <w:tcBorders>
              <w:bottom w:val="single" w:sz="8" w:color="auto"/>
            </w:tcBorders>
            <w:gridSpan w:val="2"/>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220"/>
        </w:trPr>
        <w:tc>
          <w:tcPr>
            <w:tcW w:w="74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Non-CEO NEO</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r>
      <w:tr>
        <w:trPr>
          <w:trHeight w:val="223"/>
        </w:trPr>
        <w:tc>
          <w:tcPr>
            <w:tcW w:w="7480" w:type="dxa"/>
            <w:vAlign w:val="bottom"/>
            <w:tcBorders>
              <w:bottom w:val="single" w:sz="8" w:color="auto"/>
            </w:tcBorders>
            <w:gridSpan w:val="2"/>
            <w:shd w:val="clear" w:color="auto" w:fill="DCDDDE"/>
          </w:tcPr>
          <w:p>
            <w:pPr>
              <w:ind w:left="60"/>
              <w:spacing w:after="0"/>
              <w:rPr>
                <w:sz w:val="20"/>
                <w:szCs w:val="20"/>
                <w:color w:val="auto"/>
              </w:rPr>
            </w:pPr>
            <w:r>
              <w:rPr>
                <w:rFonts w:ascii="Arial" w:cs="Arial" w:eastAsia="Arial" w:hAnsi="Arial"/>
                <w:sz w:val="16"/>
                <w:szCs w:val="16"/>
                <w:b w:val="1"/>
                <w:bCs w:val="1"/>
                <w:color w:val="auto"/>
              </w:rPr>
              <w:t>Average SCT ($)</w:t>
            </w:r>
          </w:p>
        </w:tc>
        <w:tc>
          <w:tcPr>
            <w:tcW w:w="140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5,122,901</w:t>
            </w:r>
          </w:p>
        </w:tc>
        <w:tc>
          <w:tcPr>
            <w:tcW w:w="104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5,165,440</w:t>
            </w:r>
          </w:p>
        </w:tc>
        <w:tc>
          <w:tcPr>
            <w:tcW w:w="96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color w:val="auto"/>
              </w:rPr>
              <w:t>3,078,195</w:t>
            </w:r>
          </w:p>
        </w:tc>
      </w:tr>
      <w:tr>
        <w:trPr>
          <w:trHeight w:val="219"/>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7220" w:type="dxa"/>
            <w:vAlign w:val="bottom"/>
          </w:tcPr>
          <w:p>
            <w:pPr>
              <w:ind w:left="80"/>
              <w:spacing w:after="0"/>
              <w:rPr>
                <w:sz w:val="20"/>
                <w:szCs w:val="20"/>
                <w:color w:val="auto"/>
              </w:rPr>
            </w:pPr>
            <w:r>
              <w:rPr>
                <w:rFonts w:ascii="Arial" w:cs="Arial" w:eastAsia="Arial" w:hAnsi="Arial"/>
                <w:sz w:val="16"/>
                <w:szCs w:val="16"/>
                <w:color w:val="auto"/>
              </w:rPr>
              <w:t>Average value of stock awards and option awards reported in SCT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3,999,378</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2,657,792</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2,071,922</w:t>
            </w:r>
          </w:p>
        </w:tc>
      </w:tr>
      <w:tr>
        <w:trPr>
          <w:trHeight w:val="237"/>
        </w:trPr>
        <w:tc>
          <w:tcPr>
            <w:tcW w:w="260" w:type="dxa"/>
            <w:vAlign w:val="bottom"/>
            <w:shd w:val="clear" w:color="auto" w:fill="DCDDDE"/>
          </w:tcPr>
          <w:p>
            <w:pPr>
              <w:ind w:left="60"/>
              <w:spacing w:after="0"/>
              <w:rPr>
                <w:sz w:val="20"/>
                <w:szCs w:val="20"/>
                <w:color w:val="auto"/>
              </w:rPr>
            </w:pPr>
            <w:r>
              <w:rPr>
                <w:rFonts w:ascii="Arial" w:cs="Arial" w:eastAsia="Arial" w:hAnsi="Arial"/>
                <w:sz w:val="16"/>
                <w:szCs w:val="16"/>
                <w:color w:val="auto"/>
              </w:rPr>
              <w:t>-</w:t>
            </w:r>
          </w:p>
        </w:tc>
        <w:tc>
          <w:tcPr>
            <w:tcW w:w="7220" w:type="dxa"/>
            <w:vAlign w:val="bottom"/>
            <w:shd w:val="clear" w:color="auto" w:fill="DCDDDE"/>
          </w:tcPr>
          <w:p>
            <w:pPr>
              <w:ind w:left="80"/>
              <w:spacing w:after="0"/>
              <w:rPr>
                <w:sz w:val="20"/>
                <w:szCs w:val="20"/>
                <w:color w:val="auto"/>
              </w:rPr>
            </w:pPr>
            <w:r>
              <w:rPr>
                <w:rFonts w:ascii="Arial" w:cs="Arial" w:eastAsia="Arial" w:hAnsi="Arial"/>
                <w:sz w:val="16"/>
                <w:szCs w:val="16"/>
                <w:color w:val="auto"/>
              </w:rPr>
              <w:t>Average change in pension value and Nonqualified Deferred Compensation reported in SCT</w:t>
            </w:r>
          </w:p>
        </w:tc>
        <w:tc>
          <w:tcPr>
            <w:tcW w:w="140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480,022</w:t>
            </w:r>
          </w:p>
        </w:tc>
        <w:tc>
          <w:tcPr>
            <w:tcW w:w="10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347,475</w:t>
            </w:r>
          </w:p>
        </w:tc>
        <w:tc>
          <w:tcPr>
            <w:tcW w:w="96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w:t>
            </w:r>
          </w:p>
        </w:tc>
      </w:tr>
      <w:tr>
        <w:trPr>
          <w:trHeight w:val="222"/>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7220" w:type="dxa"/>
            <w:vAlign w:val="bottom"/>
          </w:tcPr>
          <w:p>
            <w:pPr>
              <w:ind w:left="80"/>
              <w:spacing w:after="0"/>
              <w:rPr>
                <w:sz w:val="20"/>
                <w:szCs w:val="20"/>
                <w:color w:val="auto"/>
              </w:rPr>
            </w:pPr>
            <w:r>
              <w:rPr>
                <w:rFonts w:ascii="Arial" w:cs="Arial" w:eastAsia="Arial" w:hAnsi="Arial"/>
                <w:sz w:val="16"/>
                <w:szCs w:val="16"/>
                <w:color w:val="auto"/>
              </w:rPr>
              <w:t>Average year end value of awards granted in fiscal year that are unvested and outstanding</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6,928,154</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1,298,263</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855,524</w:t>
            </w:r>
          </w:p>
        </w:tc>
      </w:tr>
      <w:tr>
        <w:trPr>
          <w:trHeight w:val="237"/>
        </w:trPr>
        <w:tc>
          <w:tcPr>
            <w:tcW w:w="260" w:type="dxa"/>
            <w:vAlign w:val="bottom"/>
            <w:shd w:val="clear" w:color="auto" w:fill="DCDDDE"/>
          </w:tcPr>
          <w:p>
            <w:pPr>
              <w:ind w:left="60"/>
              <w:spacing w:after="0"/>
              <w:rPr>
                <w:sz w:val="20"/>
                <w:szCs w:val="20"/>
                <w:color w:val="auto"/>
              </w:rPr>
            </w:pPr>
            <w:r>
              <w:rPr>
                <w:rFonts w:ascii="Arial" w:cs="Arial" w:eastAsia="Arial" w:hAnsi="Arial"/>
                <w:sz w:val="16"/>
                <w:szCs w:val="16"/>
                <w:color w:val="auto"/>
              </w:rPr>
              <w:t>+</w:t>
            </w:r>
          </w:p>
        </w:tc>
        <w:tc>
          <w:tcPr>
            <w:tcW w:w="7220" w:type="dxa"/>
            <w:vAlign w:val="bottom"/>
            <w:shd w:val="clear" w:color="auto" w:fill="DCDDDE"/>
          </w:tcPr>
          <w:p>
            <w:pPr>
              <w:ind w:left="80"/>
              <w:spacing w:after="0"/>
              <w:rPr>
                <w:sz w:val="20"/>
                <w:szCs w:val="20"/>
                <w:color w:val="auto"/>
              </w:rPr>
            </w:pPr>
            <w:r>
              <w:rPr>
                <w:rFonts w:ascii="Arial" w:cs="Arial" w:eastAsia="Arial" w:hAnsi="Arial"/>
                <w:sz w:val="16"/>
                <w:szCs w:val="16"/>
                <w:color w:val="auto"/>
              </w:rPr>
              <w:t>Average change in fair value of prior year awards that are unvested and outstanding</w:t>
            </w:r>
          </w:p>
        </w:tc>
        <w:tc>
          <w:tcPr>
            <w:tcW w:w="140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296,961</w:t>
            </w:r>
          </w:p>
        </w:tc>
        <w:tc>
          <w:tcPr>
            <w:tcW w:w="104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(4,256,482)</w:t>
            </w:r>
          </w:p>
        </w:tc>
        <w:tc>
          <w:tcPr>
            <w:tcW w:w="96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(121,002)</w:t>
            </w:r>
          </w:p>
        </w:tc>
      </w:tr>
      <w:tr>
        <w:trPr>
          <w:trHeight w:val="222"/>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7220" w:type="dxa"/>
            <w:vAlign w:val="bottom"/>
          </w:tcPr>
          <w:p>
            <w:pPr>
              <w:ind w:left="80"/>
              <w:spacing w:after="0"/>
              <w:rPr>
                <w:sz w:val="20"/>
                <w:szCs w:val="20"/>
                <w:color w:val="auto"/>
              </w:rPr>
            </w:pPr>
            <w:r>
              <w:rPr>
                <w:rFonts w:ascii="Arial" w:cs="Arial" w:eastAsia="Arial" w:hAnsi="Arial"/>
                <w:sz w:val="16"/>
                <w:szCs w:val="16"/>
                <w:color w:val="auto"/>
              </w:rPr>
              <w:t>Average fair market value of awards granted this year and that vested this year</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12,197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8,747</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3,038</w:t>
            </w:r>
          </w:p>
        </w:tc>
      </w:tr>
      <w:tr>
        <w:trPr>
          <w:trHeight w:val="237"/>
        </w:trPr>
        <w:tc>
          <w:tcPr>
            <w:tcW w:w="260" w:type="dxa"/>
            <w:vAlign w:val="bottom"/>
            <w:shd w:val="clear" w:color="auto" w:fill="DCDDDE"/>
          </w:tcPr>
          <w:p>
            <w:pPr>
              <w:ind w:left="60"/>
              <w:spacing w:after="0"/>
              <w:rPr>
                <w:sz w:val="20"/>
                <w:szCs w:val="20"/>
                <w:color w:val="auto"/>
              </w:rPr>
            </w:pPr>
            <w:r>
              <w:rPr>
                <w:rFonts w:ascii="Arial" w:cs="Arial" w:eastAsia="Arial" w:hAnsi="Arial"/>
                <w:sz w:val="16"/>
                <w:szCs w:val="16"/>
                <w:color w:val="auto"/>
              </w:rPr>
              <w:t>+</w:t>
            </w:r>
          </w:p>
        </w:tc>
        <w:tc>
          <w:tcPr>
            <w:tcW w:w="7220" w:type="dxa"/>
            <w:vAlign w:val="bottom"/>
            <w:shd w:val="clear" w:color="auto" w:fill="DCDDDE"/>
          </w:tcPr>
          <w:p>
            <w:pPr>
              <w:ind w:left="80"/>
              <w:spacing w:after="0"/>
              <w:rPr>
                <w:sz w:val="20"/>
                <w:szCs w:val="20"/>
                <w:color w:val="auto"/>
              </w:rPr>
            </w:pPr>
            <w:r>
              <w:rPr>
                <w:rFonts w:ascii="Arial" w:cs="Arial" w:eastAsia="Arial" w:hAnsi="Arial"/>
                <w:sz w:val="16"/>
                <w:szCs w:val="16"/>
                <w:color w:val="auto"/>
              </w:rPr>
              <w:t>Average change in fair value (from prior year end) of prior year awards that vested this year</w:t>
            </w:r>
          </w:p>
        </w:tc>
        <w:tc>
          <w:tcPr>
            <w:tcW w:w="140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(355,907)</w:t>
            </w:r>
          </w:p>
        </w:tc>
        <w:tc>
          <w:tcPr>
            <w:tcW w:w="1040" w:type="dxa"/>
            <w:vAlign w:val="bottom"/>
            <w:shd w:val="clear" w:color="auto" w:fill="DCDDDE"/>
          </w:tcPr>
          <w:p>
            <w:pPr>
              <w:jc w:val="right"/>
              <w:ind w:right="79"/>
              <w:spacing w:after="0"/>
              <w:rPr>
                <w:sz w:val="20"/>
                <w:szCs w:val="20"/>
                <w:color w:val="auto"/>
              </w:rPr>
            </w:pPr>
            <w:r>
              <w:rPr>
                <w:rFonts w:ascii="Arial" w:cs="Arial" w:eastAsia="Arial" w:hAnsi="Arial"/>
                <w:sz w:val="16"/>
                <w:szCs w:val="16"/>
                <w:color w:val="auto"/>
              </w:rPr>
              <w:t>46,199</w:t>
            </w:r>
          </w:p>
        </w:tc>
        <w:tc>
          <w:tcPr>
            <w:tcW w:w="960" w:type="dxa"/>
            <w:vAlign w:val="bottom"/>
            <w:shd w:val="clear" w:color="auto" w:fill="DCDDDE"/>
          </w:tcPr>
          <w:p>
            <w:pPr>
              <w:jc w:val="right"/>
              <w:spacing w:after="0"/>
              <w:rPr>
                <w:sz w:val="20"/>
                <w:szCs w:val="20"/>
                <w:color w:val="auto"/>
              </w:rPr>
            </w:pPr>
            <w:r>
              <w:rPr>
                <w:rFonts w:ascii="Arial" w:cs="Arial" w:eastAsia="Arial" w:hAnsi="Arial"/>
                <w:sz w:val="16"/>
                <w:szCs w:val="16"/>
                <w:color w:val="auto"/>
              </w:rPr>
              <w:t>(47,797)</w:t>
            </w:r>
          </w:p>
        </w:tc>
      </w:tr>
      <w:tr>
        <w:trPr>
          <w:trHeight w:val="222"/>
        </w:trPr>
        <w:tc>
          <w:tcPr>
            <w:tcW w:w="260" w:type="dxa"/>
            <w:vAlign w:val="bottom"/>
          </w:tcPr>
          <w:p>
            <w:pPr>
              <w:ind w:left="60"/>
              <w:spacing w:after="0"/>
              <w:rPr>
                <w:sz w:val="20"/>
                <w:szCs w:val="20"/>
                <w:color w:val="auto"/>
              </w:rPr>
            </w:pPr>
            <w:r>
              <w:rPr>
                <w:rFonts w:ascii="Arial" w:cs="Arial" w:eastAsia="Arial" w:hAnsi="Arial"/>
                <w:sz w:val="16"/>
                <w:szCs w:val="16"/>
                <w:color w:val="auto"/>
              </w:rPr>
              <w:t>-</w:t>
            </w:r>
          </w:p>
        </w:tc>
        <w:tc>
          <w:tcPr>
            <w:tcW w:w="7220" w:type="dxa"/>
            <w:vAlign w:val="bottom"/>
          </w:tcPr>
          <w:p>
            <w:pPr>
              <w:ind w:left="80"/>
              <w:spacing w:after="0"/>
              <w:rPr>
                <w:sz w:val="20"/>
                <w:szCs w:val="20"/>
                <w:color w:val="auto"/>
              </w:rPr>
            </w:pPr>
            <w:r>
              <w:rPr>
                <w:rFonts w:ascii="Arial" w:cs="Arial" w:eastAsia="Arial" w:hAnsi="Arial"/>
                <w:sz w:val="16"/>
                <w:szCs w:val="16"/>
                <w:color w:val="auto"/>
              </w:rPr>
              <w:t>Average prior year fair value of prior year awards that failed to vest this year</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553,875</w:t>
            </w:r>
          </w:p>
        </w:tc>
      </w:tr>
      <w:tr>
        <w:trPr>
          <w:trHeight w:val="230"/>
        </w:trPr>
        <w:tc>
          <w:tcPr>
            <w:tcW w:w="26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w:t>
            </w:r>
          </w:p>
        </w:tc>
        <w:tc>
          <w:tcPr>
            <w:tcW w:w="7220" w:type="dxa"/>
            <w:vAlign w:val="bottom"/>
            <w:tcBorders>
              <w:bottom w:val="single" w:sz="8" w:color="auto"/>
            </w:tcBorders>
            <w:shd w:val="clear" w:color="auto" w:fill="DCDDDE"/>
          </w:tcPr>
          <w:p>
            <w:pPr>
              <w:ind w:left="80"/>
              <w:spacing w:after="0"/>
              <w:rPr>
                <w:sz w:val="20"/>
                <w:szCs w:val="20"/>
                <w:color w:val="auto"/>
              </w:rPr>
            </w:pPr>
            <w:r>
              <w:rPr>
                <w:rFonts w:ascii="Arial" w:cs="Arial" w:eastAsia="Arial" w:hAnsi="Arial"/>
                <w:sz w:val="16"/>
                <w:szCs w:val="16"/>
                <w:color w:val="auto"/>
              </w:rPr>
              <w:t>Average service and prior service cost for pension plans</w:t>
            </w:r>
          </w:p>
        </w:tc>
        <w:tc>
          <w:tcPr>
            <w:tcW w:w="140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197,178</w:t>
            </w:r>
          </w:p>
        </w:tc>
        <w:tc>
          <w:tcPr>
            <w:tcW w:w="104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208,750</w:t>
            </w:r>
          </w:p>
        </w:tc>
        <w:tc>
          <w:tcPr>
            <w:tcW w:w="96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color w:val="auto"/>
              </w:rPr>
              <w:t>122,646</w:t>
            </w:r>
          </w:p>
        </w:tc>
      </w:tr>
      <w:tr>
        <w:trPr>
          <w:trHeight w:val="226"/>
        </w:trPr>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7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Adjustments</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2,599,184</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(5,699,789)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(1,813,389)</w:t>
            </w:r>
          </w:p>
        </w:tc>
      </w:tr>
      <w:tr>
        <w:trPr>
          <w:trHeight w:val="223"/>
        </w:trPr>
        <w:tc>
          <w:tcPr>
            <w:tcW w:w="7480" w:type="dxa"/>
            <w:vAlign w:val="bottom"/>
            <w:tcBorders>
              <w:bottom w:val="single" w:sz="8" w:color="auto"/>
            </w:tcBorders>
            <w:gridSpan w:val="2"/>
            <w:shd w:val="clear" w:color="auto" w:fill="DCDDDE"/>
          </w:tcPr>
          <w:p>
            <w:pPr>
              <w:ind w:left="60"/>
              <w:spacing w:after="0"/>
              <w:rPr>
                <w:sz w:val="20"/>
                <w:szCs w:val="20"/>
                <w:color w:val="auto"/>
              </w:rPr>
            </w:pPr>
            <w:r>
              <w:rPr>
                <w:rFonts w:ascii="Arial" w:cs="Arial" w:eastAsia="Arial" w:hAnsi="Arial"/>
                <w:sz w:val="16"/>
                <w:szCs w:val="16"/>
                <w:b w:val="1"/>
                <w:bCs w:val="1"/>
                <w:color w:val="auto"/>
              </w:rPr>
              <w:t>Average CAP ($)</w:t>
            </w:r>
          </w:p>
        </w:tc>
        <w:tc>
          <w:tcPr>
            <w:tcW w:w="140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7,722,084</w:t>
            </w:r>
          </w:p>
        </w:tc>
        <w:tc>
          <w:tcPr>
            <w:tcW w:w="104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color w:val="auto"/>
              </w:rPr>
              <w:t>(534,350)</w:t>
            </w:r>
          </w:p>
        </w:tc>
        <w:tc>
          <w:tcPr>
            <w:tcW w:w="96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color w:val="auto"/>
              </w:rPr>
              <w:t>1,264,807</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(e) TSR and Peer Group TSR</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Peer Group TSR reflects the S&amp;P Retail Index as reflected in our Annual Report on the Form 10-K pursuant to Item 201(e) of Regulation S-K for the fiscal year ended January 28, 2023. Each year of TSR and Peer Group TSR reflects what the cumulative value of $100 would be, including the reinvestment of dividends, if such amount were invested on February 1, 2020.</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(f) Company-Selected Measure</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discussed in the Compensation Discussion &amp; Analysis on page </w:t>
      </w:r>
      <w:r>
        <w:rPr>
          <w:rFonts w:ascii="Arial" w:cs="Arial" w:eastAsia="Arial" w:hAnsi="Arial"/>
          <w:sz w:val="16"/>
          <w:szCs w:val="16"/>
          <w:u w:val="single" w:color="auto"/>
          <w:color w:val="0000EE"/>
        </w:rPr>
        <w:t>37</w:t>
      </w:r>
      <w:r>
        <w:rPr>
          <w:rFonts w:ascii="Arial" w:cs="Arial" w:eastAsia="Arial" w:hAnsi="Arial"/>
          <w:sz w:val="16"/>
          <w:szCs w:val="16"/>
          <w:color w:val="auto"/>
        </w:rPr>
        <w:t>, the NEO’s bonus opportunity for 2022 was based 100% on Incentive Adjusted EBIT subject to achievement of the Incentive Adjusted ROIC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313690</wp:posOffset>
            </wp:positionV>
            <wp:extent cx="1020445"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67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PAY VERSUS PERFORMANCE DISCLOSURE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Pay Versus Performance Descriptive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believe the CAP in each of the years reported over the three-year cumulative period are reflective of the CPCC’s emphasis on “pay-for-performance” as the CAP fluctuated year over year, primarily due to stock performance and our varying levels of achievement against pre-established performance goals under our EMBP and PSUs.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relationship between CAP, TSR and Peer Group TSR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149225</wp:posOffset>
            </wp:positionV>
            <wp:extent cx="3797300" cy="21259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37973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relationship between CAP and Net Earnings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149225</wp:posOffset>
            </wp:positionV>
            <wp:extent cx="3797300" cy="22288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3797300" cy="22288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2720975</wp:posOffset>
            </wp:positionV>
            <wp:extent cx="1019810" cy="1289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PAY VERSUS PERFORMANCE DISCLOSURE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relationship between CAP and Incentive Adjusted EBIT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149225</wp:posOffset>
            </wp:positionV>
            <wp:extent cx="3797300" cy="22371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37973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Table of Measures Most Important to Last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The following table lists our most important performance measures used to link CAP for our NEOs to company performance in 2022. Incentive Adjusted ROIC is used to determine bonus payouts for each of the NEOs as described on page </w:t>
      </w:r>
      <w:r>
        <w:rPr>
          <w:rFonts w:ascii="Arial" w:cs="Arial" w:eastAsia="Arial" w:hAnsi="Arial"/>
          <w:sz w:val="16"/>
          <w:szCs w:val="16"/>
          <w:u w:val="single" w:color="auto"/>
          <w:color w:val="0000EE"/>
        </w:rPr>
        <w:t>42</w:t>
      </w:r>
      <w:r>
        <w:rPr>
          <w:rFonts w:ascii="Arial" w:cs="Arial" w:eastAsia="Arial" w:hAnsi="Arial"/>
          <w:sz w:val="16"/>
          <w:szCs w:val="16"/>
          <w:color w:val="auto"/>
        </w:rPr>
        <w:t xml:space="preserve"> and cumulative sales and EBIT margin % are used to determine 2022 PSU payouts for the NEOs as described on page </w:t>
      </w:r>
      <w:r>
        <w:rPr>
          <w:rFonts w:ascii="Arial" w:cs="Arial" w:eastAsia="Arial" w:hAnsi="Arial"/>
          <w:sz w:val="16"/>
          <w:szCs w:val="16"/>
          <w:u w:val="single" w:color="auto"/>
          <w:color w:val="0000EE"/>
        </w:rPr>
        <w:t>42</w:t>
      </w:r>
      <w:r>
        <w:rPr>
          <w:rFonts w:ascii="Arial" w:cs="Arial" w:eastAsia="Arial" w:hAnsi="Arial"/>
          <w:sz w:val="16"/>
          <w:szCs w:val="16"/>
          <w:color w:val="auto"/>
        </w:rPr>
        <w: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Most important performance measures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270891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Incentive Adjusted EBIT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Incentive Adjusted ROIC</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Cumulative Sales for 2022 - 2024</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Cumulative EBIT margin % for 2022 - 2024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270891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2708910" cy="8890"/>
                    </a:xfrm>
                    <a:prstGeom prst="rect">
                      <a:avLst/>
                    </a:prstGeom>
                    <a:noFill/>
                  </pic:spPr>
                </pic:pic>
              </a:graphicData>
            </a:graphic>
          </wp:anchor>
        </w:drawing>
        <w:drawing>
          <wp:anchor simplePos="0" relativeHeight="251657728" behindDoc="1" locked="0" layoutInCell="0" allowOverlap="1">
            <wp:simplePos x="0" y="0"/>
            <wp:positionH relativeFrom="column">
              <wp:posOffset>5882640</wp:posOffset>
            </wp:positionH>
            <wp:positionV relativeFrom="paragraph">
              <wp:posOffset>389255</wp:posOffset>
            </wp:positionV>
            <wp:extent cx="1020445" cy="1289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54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80" w:right="2200" w:hanging="2879"/>
        <w:spacing w:after="0" w:line="272" w:lineRule="auto"/>
        <w:rPr>
          <w:sz w:val="20"/>
          <w:szCs w:val="20"/>
          <w:color w:val="auto"/>
        </w:rPr>
      </w:pPr>
      <w:r>
        <w:rPr>
          <w:rFonts w:ascii="Arial" w:cs="Arial" w:eastAsia="Arial" w:hAnsi="Arial"/>
          <w:sz w:val="40"/>
          <w:szCs w:val="40"/>
          <w:b w:val="1"/>
          <w:bCs w:val="1"/>
          <w:color w:val="1E295B"/>
        </w:rPr>
        <w:t>PROPOSAL 3: ADVISORY VOTE REGARDING EXECUTIVE COMPENSATION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FOR this proposal.</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is providing shareholders with an advisory (nonbinding) vote on the compensation program of our NEOs as disclosed in this Proxy Statement.</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2017 Annual Meeting of Shareholders, over 95% of the votes cast approved our Board’s recommendation to hold advisory votes on an annual basis. At the 2022 Annual Meeting of Shareholders, over 90% of the votes cast were supportive of our compensation program.</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light of this support of the compensation program for our NEOs, the CPCC continues to apply the same pay and benefits philosophy which underlies our pay-for-performance philosophy.</w:t>
      </w:r>
    </w:p>
    <w:p>
      <w:pPr>
        <w:spacing w:after="0" w:line="4"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Compensation Program Highlights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As described in the CD&amp;A beginning on page </w:t>
      </w:r>
      <w:r>
        <w:rPr>
          <w:rFonts w:ascii="Arial" w:cs="Arial" w:eastAsia="Arial" w:hAnsi="Arial"/>
          <w:sz w:val="16"/>
          <w:szCs w:val="16"/>
          <w:u w:val="single" w:color="auto"/>
          <w:color w:val="0000EE"/>
        </w:rPr>
        <w:t>37</w:t>
      </w:r>
      <w:r>
        <w:rPr>
          <w:rFonts w:ascii="Arial" w:cs="Arial" w:eastAsia="Arial" w:hAnsi="Arial"/>
          <w:sz w:val="16"/>
          <w:szCs w:val="16"/>
          <w:color w:val="auto"/>
        </w:rPr>
        <w:t>, our NEOs are rewarded when defined performance milestones are achieved and when value is created for our shareholders. Our CPCC and Board believe that our compensation program is effective in implementing our executive compensation philosophy and establishing a solid link between compensation and shareholder interests. Highlights of our compensation program include the following:</w:t>
      </w:r>
    </w:p>
    <w:p>
      <w:pPr>
        <w:spacing w:after="0" w:line="234" w:lineRule="exact"/>
        <w:rPr>
          <w:sz w:val="20"/>
          <w:szCs w:val="20"/>
          <w:color w:val="auto"/>
        </w:rPr>
      </w:pPr>
    </w:p>
    <w:p>
      <w:pPr>
        <w:jc w:val="both"/>
        <w:ind w:left="200" w:hanging="192"/>
        <w:spacing w:after="0" w:line="266" w:lineRule="auto"/>
        <w:tabs>
          <w:tab w:leader="none" w:pos="20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deliver the majority of compensation through a pay-for-performance framework where incentives are based on achieving results. At least 70% of the value of the targeted compensation package for each of our NEOs is weighted toward pay-for-performance and variable compensation to reinforce our philosophy of compensating our executives when they and the Company are successful in ways that support shareholder interests.</w:t>
      </w:r>
    </w:p>
    <w:p>
      <w:pPr>
        <w:spacing w:after="0" w:line="22" w:lineRule="exact"/>
        <w:rPr>
          <w:rFonts w:ascii="Arial" w:cs="Arial" w:eastAsia="Arial" w:hAnsi="Arial"/>
          <w:sz w:val="16"/>
          <w:szCs w:val="16"/>
          <w:color w:val="auto"/>
        </w:rPr>
      </w:pPr>
    </w:p>
    <w:p>
      <w:pPr>
        <w:jc w:val="both"/>
        <w:ind w:left="200" w:hanging="192"/>
        <w:spacing w:after="0" w:line="259" w:lineRule="auto"/>
        <w:tabs>
          <w:tab w:leader="none" w:pos="207"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Each year, the CPCC establishes the performance-based bonus measures that focus executives on the most important Company objectives. In 2022, the CPCC maintained the same financial performance measures and weighting of Incentive Adjusted EBIT, which emphasizes the importance of earnings and its role in driving shareholder value, and Incentive Adjusted ROIC, which ensures our overall performance aligns directly with shareholder returns over the long term. For additional detail on our performance-based annual bonus program, see page </w:t>
      </w:r>
      <w:r>
        <w:rPr>
          <w:rFonts w:ascii="Arial" w:cs="Arial" w:eastAsia="Arial" w:hAnsi="Arial"/>
          <w:sz w:val="16"/>
          <w:szCs w:val="16"/>
          <w:u w:val="single" w:color="auto"/>
          <w:color w:val="0000EE"/>
        </w:rPr>
        <w:t>42</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While the CPCC considers the 50th percentile (median) of our peer group as a reference, there is no specific percentage of target total direct compensation targeted by the CPCC other than to remain generally competitive with similarly situated peer companies. Target opportunities for individual pay elements vary by executive role based on scope of responsibilities and expected contributions.</w:t>
      </w:r>
    </w:p>
    <w:p>
      <w:pPr>
        <w:spacing w:after="0" w:line="36"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maintain meaningful executive stock ownership guidelines so that our executives’ interests, as shareholders, are aligned with our broader shareholder base.</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have an executive compensation clawback policy that applies to performance-based compensation.</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CPCC has retained and directs an independent compensation consultant.</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do not have employment agreements with our executives.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do not provide tax gross-ups, except those related to relocation expenses when an executive must move to assume Company responsibilities.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do not allow stock option grant repricing or backdating, nor do we grant options below 100% of fair market value.</w:t>
      </w:r>
    </w:p>
    <w:p>
      <w:pPr>
        <w:spacing w:after="0" w:line="86"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have a derivative and hedging policy that prohibits Directors and Executive Officers (as well as other key insiders and their immediate families) from engaging in hedging transactions with respect to any equity securities of the Company held by them.</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have restrictions on pledging of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Shareholder Support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We are asking our shareholders to indicate their support for our NEOs’ compensation as described in this Proxy Statement.</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proposal gives our shareholders the opportunity to express their views on the compensation of our NEOs. This vote is not intended to address any specific item of compensation, but rather the overall compensation of our NEOs and the philosophy, policies and practices described in this Proxy Statement. Accordingly, we ask our shareholders to vote “FOR” the following resolution at the 2023 Annual Meeting: “RESOLVED, that the Company’s shareholders approve, on an advisory basis, the compensation of the Company’s NEOs, as disclosed in the CD&amp;A, the compensation tables and the related narrative disclosure in this Proxy Statement.”</w:t>
      </w:r>
    </w:p>
    <w:p>
      <w:pPr>
        <w:spacing w:after="0" w:line="7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Board has adopted a policy of annual executive compensation advisory votes. As an advisory vote, this proposal is not binding on the Company. However, our CPCC and Board value the opinions of our shareholders and will consider the outcome of the vote when making future compensation decisions regarding the Company’s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1019810" cy="1200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54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80" w:right="280" w:hanging="2879"/>
        <w:spacing w:after="0" w:line="268" w:lineRule="auto"/>
        <w:rPr>
          <w:sz w:val="20"/>
          <w:szCs w:val="20"/>
          <w:color w:val="auto"/>
        </w:rPr>
      </w:pPr>
      <w:r>
        <w:rPr>
          <w:rFonts w:ascii="Arial" w:cs="Arial" w:eastAsia="Arial" w:hAnsi="Arial"/>
          <w:sz w:val="39"/>
          <w:szCs w:val="39"/>
          <w:b w:val="1"/>
          <w:bCs w:val="1"/>
          <w:color w:val="1E295B"/>
        </w:rPr>
        <w:t>PROPOSAL 4: ADVISORY VOTE REGARDING THE FREQUENCY OF FUTURE ADVISORY VOTES ON EXECUTIVE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for “1 YEAR” for this proposal.</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providing shareholders with the opportunity to cast an advisory vote on executive compensation, we are providing shareholders with an advisory vote on how frequently we should seek an advisory vote on the compensation of our NEOs.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By voting on this Proposal 4, shareholders may indicate whether they would prefer an advisory vote on NEO compensation once every 1, 2, or 3 years.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Board has determined that holding an advisory vote on executive compensation every year is the most appropriate policy for the Company at this time, and recommends that shareholders vote for future advisory votes on executive compensation to occur every year. Many elements of our executive compensation program are reviewed and determined annually, including base salary, performance-based cash awards under the Company’s EMBP, and long-term incentive grants under the 2019 EIP. Holding an annual advisory vote on executive compensation would more closely coincide with these decisions, promote corporate transparency and shareholder awareness of the Company’s compensation policies and practices and also provides the Company with more direct and immediate feedback on our compensation disclosures and practices.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Shareholders will be able to specify one of four choices for this proposal on the proxy card: 1 year, 2 years, 3 years, or abstain. Shareholders are not being asked to approve or disapprove the Board’s recommendation, but rather to indicate their own choice from among the frequency options. The option of 1 year, 2 years or 3 years that receives the highest number of votes cast by shareholders will be the frequency for future advisory votes on executive compensation that has been selected by shareholders. Because this vote is advisory, it is not binding on the Board or the Company. However, the Board values the opinions of our shareholders and will consider the outcome of the vote when setting the frequency of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330200</wp:posOffset>
            </wp:positionV>
            <wp:extent cx="1020445" cy="1289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54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80" w:right="960" w:hanging="2879"/>
        <w:spacing w:after="0" w:line="261" w:lineRule="auto"/>
        <w:rPr>
          <w:sz w:val="20"/>
          <w:szCs w:val="20"/>
          <w:color w:val="auto"/>
        </w:rPr>
      </w:pPr>
      <w:r>
        <w:rPr>
          <w:rFonts w:ascii="Arial" w:cs="Arial" w:eastAsia="Arial" w:hAnsi="Arial"/>
          <w:sz w:val="40"/>
          <w:szCs w:val="40"/>
          <w:b w:val="1"/>
          <w:bCs w:val="1"/>
          <w:color w:val="1E295B"/>
        </w:rPr>
        <w:t>PROPOSAL 5: APPROVAL OF THE NORDSTROM, INC. AMENDED AND RESTATED 2019 EQUITY INCENTIVE PLAN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FOR this proposal.</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Shareholders are being asked to vote on a proposal to approve the Nordstrom, Inc. Amended and Restated 2019 Equity Incentive Plan (the “Plan”). The Company has granted equity awards to its employees and directors under Nordstrom equity compensation plans since 1977 as part of a long-held approach to pay for performance. All of the Company’s prior plans have expired or were terminated when the shareholders approved the Plan at the 2019 Annual Meeting of Shareholders. The Plan was subsequently amended at the 2020 Annual Meeting of Shareholders to increase the reserves for issuance by the Company by 15,000,000 shares to 24,500,000 shares (the “Prior Approval”).</w:t>
      </w:r>
    </w:p>
    <w:p>
      <w:pPr>
        <w:spacing w:after="0" w:line="7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we move forward, we believe it is important the Company have the ability to use stock-based compensation to attract and retain key talent, provide employees with a stake in the Company’s success, and align our team with long-term shareholder outcomes.</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Absent shareholder approval, as a result of the volatility of the price of the Company’s Common Stock, the number of shares remaining available for grant under the Plan may become insufficient to meet the Company’s anticipated needs in 2024 – both with respect to its annual compensatory awards, as well as any potential need to address employee retention concerns. Accordingly, the Compensation, People and Culture Committee (the “Committee”) of the Company’s Board approved on February 28, 2023 an additional 15,000,000 shares for issuance under the Plan, subject to shareholder approval. Therefore, we are asking the Company’s shareholders to approve this amendment to the Plan to increase the reserves for issuance by 15,000,000 shares, which we expect to last 2-3 years. In addition, we have amended the Plan, among other things, to add a limit of $750,000 to non-employee Director compensation that can be granted during the fiscal year (including cash and stock).</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Equity compensation is also fundamental to our compensation philosophy and core objectives of paying for performance and aligning the interests of employees with those of shareholders. We believe that equity awards, and the potential they hold for appreciation through an increase in our stock price, support our pay-for-performance philosophy, provide further incentive to our employees to focus on creating long-term shareholder value and create an ownership culture that links employees’ interests with those of our shareholders and our long-term results, performance, and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 highlights of the Plan, as amended for this share request, are set forth below. Specifically, the Plan:</w:t>
      </w:r>
    </w:p>
    <w:p>
      <w:pPr>
        <w:spacing w:after="0" w:line="73" w:lineRule="exact"/>
        <w:rPr>
          <w:sz w:val="20"/>
          <w:szCs w:val="20"/>
          <w:color w:val="auto"/>
        </w:rPr>
      </w:pPr>
    </w:p>
    <w:p>
      <w:pPr>
        <w:ind w:left="200" w:hanging="192"/>
        <w:spacing w:after="0" w:line="286" w:lineRule="auto"/>
        <w:tabs>
          <w:tab w:leader="none" w:pos="2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reserves for issuance by the Company of 39,500,000 shares, representing the 24,500,000 shares available after the Prior Approval plus the 15,000,000 shares added as a result of the amendment to the Plan;</w:t>
      </w:r>
    </w:p>
    <w:p>
      <w:pPr>
        <w:spacing w:after="0" w:line="7"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requires each share issued as part of a full-value award, such as a grant of unrestricted shares, restricted shares, restricted stock units or performance share units, and dividend equivalents to count as 1.6 shares for purposes of determining shares remaining available for grant;</w:t>
      </w:r>
    </w:p>
    <w:p>
      <w:pPr>
        <w:spacing w:after="0" w:line="20"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prohibits liberal share recycling as shares not issued as a result of the net settlement of an outstanding stock appreciation right or stock option; shares used to pay the exercise price or withholding taxes related to an outstanding award; or shares repurchased on the open market with the proceeds of a stock option exercise price will not be returned to the 2019 Plan;</w:t>
      </w:r>
    </w:p>
    <w:p>
      <w:pPr>
        <w:spacing w:after="0" w:line="22" w:lineRule="exact"/>
        <w:rPr>
          <w:rFonts w:ascii="Arial" w:cs="Arial" w:eastAsia="Arial" w:hAnsi="Arial"/>
          <w:sz w:val="16"/>
          <w:szCs w:val="16"/>
          <w:color w:val="auto"/>
        </w:rPr>
      </w:pPr>
    </w:p>
    <w:p>
      <w:pPr>
        <w:jc w:val="both"/>
        <w:ind w:left="200" w:hanging="192"/>
        <w:spacing w:after="0" w:line="259" w:lineRule="auto"/>
        <w:tabs>
          <w:tab w:leader="none" w:pos="2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provides for “double trigger” rather than “single trigger” accelerated vesting, meaning awards will be accelerated as the result of a change in control where the participant’s employment is involuntarily terminated without cause or the participant terminates for “good reason” within 12 months following a change of control and with respect to performance-based awards allowing for acceleration of vesting at target if actual performance cannot be determined upon a qualifying termination;</w:t>
      </w:r>
    </w:p>
    <w:p>
      <w:pPr>
        <w:spacing w:after="0" w:line="29"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establishes one year as the minimum period for vesting of all awards, provided that the Committee may grant awards that vest in less than one year if the total number of such shares does not exceed 5% of the available shares authorized for issuance under the 2019 Plan;</w:t>
      </w:r>
    </w:p>
    <w:p>
      <w:pPr>
        <w:spacing w:after="0" w:line="20"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prohibits the issuance of dividends or dividend equivalents on stock options and stock appreciation rights and prohibit delivery of dividends or dividend equivalents on all other types of awards unless such awards are earned and vested;</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prohibits the repricing of stock options or stock appreciation rights without shareholder approval;</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subjects all awards to the Company’s clawback policy as described on page </w:t>
      </w:r>
      <w:r>
        <w:rPr>
          <w:rFonts w:ascii="Arial" w:cs="Arial" w:eastAsia="Arial" w:hAnsi="Arial"/>
          <w:sz w:val="16"/>
          <w:szCs w:val="16"/>
          <w:u w:val="single" w:color="auto"/>
          <w:color w:val="0000EE"/>
        </w:rPr>
        <w:t>46</w:t>
      </w:r>
      <w:r>
        <w:rPr>
          <w:rFonts w:ascii="Arial" w:cs="Arial" w:eastAsia="Arial" w:hAnsi="Arial"/>
          <w:sz w:val="16"/>
          <w:szCs w:val="16"/>
          <w:color w:val="auto"/>
        </w:rPr>
        <w:t>;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prohibits the transfer of awards, except in the context of death or as otherwise required by law, or as approved by the Committee.</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the Record Date, the Company had available for issuance 9,762,653 shares under the Plan. In addition, the Plan permits the Company to issue shares if they are forfeited under awards previously issued under the Company’s prior (and now terminated) 2010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00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394"/>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PROPOSAL 5: APPROVAL OF THE NORDSTROM, INC. AMENDED &amp; RESTATED 2019 EQUITY INCENTIVE PLAN</w:t>
      </w:r>
    </w:p>
    <w:p>
      <w:pPr>
        <w:spacing w:after="0" w:line="1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shows information regarding outstanding options and full-value awards as of April 10, 2023 under the 2010 Equity Incentive Plan and the Plan.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Weighted Average</w:t>
            </w:r>
          </w:p>
        </w:tc>
        <w:tc>
          <w:tcPr>
            <w:tcW w:w="336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Weighted Average Remaining</w:t>
            </w:r>
          </w:p>
        </w:tc>
        <w:tc>
          <w:tcPr>
            <w:tcW w:w="2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Unvested Full Value</w:t>
            </w:r>
          </w:p>
        </w:tc>
      </w:tr>
      <w:tr>
        <w:trPr>
          <w:trHeight w:val="189"/>
        </w:trPr>
        <w:tc>
          <w:tcPr>
            <w:tcW w:w="2980" w:type="dxa"/>
            <w:vAlign w:val="bottom"/>
          </w:tcPr>
          <w:p>
            <w:pPr>
              <w:spacing w:after="0"/>
              <w:rPr>
                <w:sz w:val="16"/>
                <w:szCs w:val="16"/>
                <w:color w:val="auto"/>
              </w:rPr>
            </w:pPr>
          </w:p>
        </w:tc>
        <w:tc>
          <w:tcPr>
            <w:tcW w:w="2300" w:type="dxa"/>
            <w:vAlign w:val="bottom"/>
          </w:tcPr>
          <w:p>
            <w:pPr>
              <w:jc w:val="right"/>
              <w:ind w:right="379"/>
              <w:spacing w:after="0"/>
              <w:rPr>
                <w:sz w:val="20"/>
                <w:szCs w:val="20"/>
                <w:color w:val="auto"/>
              </w:rPr>
            </w:pPr>
            <w:r>
              <w:rPr>
                <w:rFonts w:ascii="Arial" w:cs="Arial" w:eastAsia="Arial" w:hAnsi="Arial"/>
                <w:sz w:val="16"/>
                <w:szCs w:val="16"/>
                <w:b w:val="1"/>
                <w:bCs w:val="1"/>
                <w:color w:val="auto"/>
              </w:rPr>
              <w:t>Exercise Price</w:t>
            </w:r>
          </w:p>
        </w:tc>
        <w:tc>
          <w:tcPr>
            <w:tcW w:w="3360" w:type="dxa"/>
            <w:vAlign w:val="bottom"/>
          </w:tcPr>
          <w:p>
            <w:pPr>
              <w:jc w:val="right"/>
              <w:ind w:right="579"/>
              <w:spacing w:after="0"/>
              <w:rPr>
                <w:sz w:val="20"/>
                <w:szCs w:val="20"/>
                <w:color w:val="auto"/>
              </w:rPr>
            </w:pPr>
            <w:r>
              <w:rPr>
                <w:rFonts w:ascii="Arial" w:cs="Arial" w:eastAsia="Arial" w:hAnsi="Arial"/>
                <w:sz w:val="16"/>
                <w:szCs w:val="16"/>
                <w:b w:val="1"/>
                <w:bCs w:val="1"/>
                <w:color w:val="auto"/>
              </w:rPr>
              <w:t>Years of Contractual Life</w:t>
            </w:r>
          </w:p>
        </w:tc>
        <w:tc>
          <w:tcPr>
            <w:tcW w:w="2240" w:type="dxa"/>
            <w:vAlign w:val="bottom"/>
          </w:tcPr>
          <w:p>
            <w:pPr>
              <w:jc w:val="right"/>
              <w:ind w:right="19"/>
              <w:spacing w:after="0"/>
              <w:rPr>
                <w:sz w:val="20"/>
                <w:szCs w:val="20"/>
                <w:color w:val="auto"/>
              </w:rPr>
            </w:pPr>
            <w:r>
              <w:rPr>
                <w:rFonts w:ascii="Arial" w:cs="Arial" w:eastAsia="Arial" w:hAnsi="Arial"/>
                <w:sz w:val="16"/>
                <w:szCs w:val="16"/>
                <w:b w:val="1"/>
                <w:bCs w:val="1"/>
                <w:color w:val="auto"/>
              </w:rPr>
              <w:t>Awards</w:t>
            </w:r>
          </w:p>
        </w:tc>
      </w:tr>
      <w:tr>
        <w:trPr>
          <w:trHeight w:val="223"/>
        </w:trPr>
        <w:tc>
          <w:tcPr>
            <w:tcW w:w="2980" w:type="dxa"/>
            <w:vAlign w:val="bottom"/>
          </w:tcPr>
          <w:p>
            <w:pPr>
              <w:jc w:val="right"/>
              <w:ind w:right="359"/>
              <w:spacing w:after="0"/>
              <w:rPr>
                <w:sz w:val="20"/>
                <w:szCs w:val="20"/>
                <w:color w:val="auto"/>
              </w:rPr>
            </w:pPr>
            <w:r>
              <w:rPr>
                <w:rFonts w:ascii="Arial" w:cs="Arial" w:eastAsia="Arial" w:hAnsi="Arial"/>
                <w:sz w:val="16"/>
                <w:szCs w:val="16"/>
                <w:b w:val="1"/>
                <w:bCs w:val="1"/>
                <w:color w:val="auto"/>
              </w:rPr>
              <w:t>Outstanding Options (#)</w:t>
            </w:r>
          </w:p>
        </w:tc>
        <w:tc>
          <w:tcPr>
            <w:tcW w:w="23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336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c>
          <w:tcPr>
            <w:tcW w:w="2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71"/>
        </w:trPr>
        <w:tc>
          <w:tcPr>
            <w:tcW w:w="2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8,398,633</w:t>
            </w:r>
          </w:p>
        </w:tc>
        <w:tc>
          <w:tcPr>
            <w:tcW w:w="2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34.56</w:t>
            </w:r>
          </w:p>
        </w:tc>
        <w:tc>
          <w:tcPr>
            <w:tcW w:w="3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6.04</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6,636,085</w:t>
            </w:r>
          </w:p>
        </w:tc>
      </w:tr>
    </w:tbl>
    <w:p>
      <w:pPr>
        <w:spacing w:after="0" w:line="163" w:lineRule="exact"/>
        <w:rPr>
          <w:sz w:val="20"/>
          <w:szCs w:val="20"/>
          <w:color w:val="auto"/>
        </w:rPr>
      </w:pPr>
    </w:p>
    <w:p>
      <w:pPr>
        <w:ind w:firstLine="8"/>
        <w:spacing w:after="0" w:line="283" w:lineRule="auto"/>
        <w:tabs>
          <w:tab w:leader="none" w:pos="10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Includes restricted stock units and performance share units granted at maximum. Each outstanding full value award reduces the shares available for grant under the 2019 Equity Incentive Plan by 1.6 shares.</w:t>
      </w:r>
    </w:p>
    <w:p>
      <w:pPr>
        <w:spacing w:after="0" w:line="20"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Summary of Plan Terms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is a summary of the Plan, a complete copy of which has been filed with the SEC as Appendix B to this Proxy Statement and is also available on the SEC’s website at www.sec.gov. This summary is qualified in its entirety by the actual terms of the Plan, which are incorporated herein by this reference.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Eligible participants include the Company’s and its subsidiaries’:</w:t>
      </w:r>
    </w:p>
    <w:p>
      <w:pPr>
        <w:spacing w:after="0" w:line="86" w:lineRule="exact"/>
        <w:rPr>
          <w:sz w:val="20"/>
          <w:szCs w:val="20"/>
          <w:color w:val="auto"/>
        </w:rPr>
      </w:pPr>
    </w:p>
    <w:p>
      <w:pPr>
        <w:ind w:left="220" w:hanging="212"/>
        <w:spacing w:after="0"/>
        <w:tabs>
          <w:tab w:leader="none" w:pos="2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employees; and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non-employee directors.</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Plan is broad enough to cover all of the Company’s and its subsidiaries’ full- or part-time employees and non-employee directors, consisting of approximately 60,000 people as of the Record Date. The Company currently grants equity to approximately 615 eligible employees and its non-employee directors.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Plan is to promote the long-term success of the Company and its subsidiaries and the creation of shareholder value by:</w:t>
      </w:r>
    </w:p>
    <w:p>
      <w:pPr>
        <w:spacing w:after="0" w:line="73"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motivating participants to focus on the Company’s critical long-range objectives;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encouraging the attraction and retention of employees and non-employee directors; and</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aligning participant and shareholder interests through stock ownership.</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administers the Plan, except that it may also appoint a secondary Board committee or one or more senior executive officers to administer the Plan with respect to employees who are not considered executive officers under Section 16 of the Exchange Act. The Committee may delegate certain day-to-day administrative duties under the Plan to the Company’s Compensation Department (or similar department).</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types of awards that may be made under the Plan are:</w:t>
      </w:r>
    </w:p>
    <w:p>
      <w:pPr>
        <w:spacing w:after="0" w:line="73" w:lineRule="exact"/>
        <w:rPr>
          <w:sz w:val="20"/>
          <w:szCs w:val="20"/>
          <w:color w:val="auto"/>
        </w:rPr>
      </w:pPr>
    </w:p>
    <w:p>
      <w:pPr>
        <w:ind w:left="220" w:hanging="212"/>
        <w:spacing w:after="0"/>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options to purchase shares of Common Stock;</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stock appreciation rights;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unrestricted shares of Common Stock;</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restricted shares of Common Stock;</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restricted stock units; and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performance share units.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Share Limits and Vesting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originally approved, the limit on the number of shares of Common Stock that may be delivered under the Plan through the issuance of any type of award could not exceed (i) 24,500,000 plus (ii) any shares currently underlying awards outstanding under the 2010 Equity Incentive Plan and 2004 Equity Incentive Plan but which are forfeited or which expire without exercise during the term of the Plan. If approved by the shareholders, this amendment to the Plan will authorize an additional 15,000,000 for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327660</wp:posOffset>
            </wp:positionV>
            <wp:extent cx="1020445" cy="1200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PROPOSAL 5: APPROVAL OF THE NORDSTROM, INC. AMENDED &amp; RESTATED 2019 EQUITY INCENTIVE PLAN</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maximum number of shares that are available for grant under the Plan are subject to reduction by 1.6 shares for each share that is delivered in settlement of an award of unrestricted shares, restricted shares, restricted stock units, performance share units, dividends and dividend equivalents. When a share is delivered in settlement of one of the foregoing types of awards, the maximum is reduced by 1.6 shares and when a share is delivered in settlement of an option or stock appreciation right, the maximum is reduced by one share.</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awards granted under the Plan shall vest no earlier than the first anniversary of the date of grant provided that up to 5% of the authorized shares under the Plan (including all unrestricted shares of Common Stock) may be granted without this limit.</w:t>
      </w:r>
    </w:p>
    <w:p>
      <w:pPr>
        <w:spacing w:after="0" w:line="4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Plan also sets forth a limit of $750,000 on non-employee Director compensation that can be granted during any fiscal year (including cash and stock).</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Options may be incentive stock options that qualify for favorable tax treatment for the optionee under Section 422 of the IRC or nonqualified stock options not designed to qualify for favorable tax treatment. Incentive stock options may only be granted to employees. Each option agreement will specify the type of option and the date or event when all or any installment of the option is to become exercisable. The Company has historically granted nonqualified options with a four-year vesting period. The option agreement will also specify the term of the option, provided, however, that the term of an option will in no event exceed 10 years from the date of grant. An option agreement may provide for accelerated exercisability in the event of the optionee’s death, disability or retirement and may provide for expiration prior to the end of its term in the event of the termination of the optionee’s service.</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of an option may not be less than 100% of the fair market value of Common Stock on the date of grant. Options may not be repriced.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At the Committee’s discretion, the exercise price of an option may be paid with:</w:t>
      </w:r>
    </w:p>
    <w:p>
      <w:pPr>
        <w:spacing w:after="0" w:line="73" w:lineRule="exact"/>
        <w:rPr>
          <w:sz w:val="20"/>
          <w:szCs w:val="20"/>
          <w:color w:val="auto"/>
        </w:rPr>
      </w:pPr>
    </w:p>
    <w:p>
      <w:pPr>
        <w:ind w:left="220" w:hanging="212"/>
        <w:spacing w:after="0"/>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cash;</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cash equivalents;</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delivery of outstanding shares of Common Stock;</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cashless exercise method through a broker;</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net exercise method through a broker; or</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combination of these methods.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 dividend or dividend equivalent rights shall accrue or be paid with respect to options.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appreciation rights may be granted with such terms and conditions as may be determined by the Committee provided, however, that the term of a stock appreciation right may not exceed 10 years from the date of grant. Each grant will be evidenced by a stock appreciation rights agreement, which will specify the number of shares of Common Stock to which the right pertains. The agreement will also specify the exercise price, the date when all or any installment is to become exercisable and the term of the stock appreciation right. The agreement may provide for accelerated exercisability in the event of the optionee’s death, disability or retirement and may provide for expiration prior to the end of its term in the event of the termination of the optionee’s service. Stock appreciation rights may be awarded in combination with options, and such an award may provide that the stock appreciation rights will not be exercisable unless the related options are forfeited.</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At the Committee’s discretion, upon exercise of a stock appreciation right, the participant (or person having the right to exercise the right after his or her death) will receive:</w:t>
      </w:r>
    </w:p>
    <w:p>
      <w:pPr>
        <w:spacing w:after="0" w:line="7" w:lineRule="exact"/>
        <w:rPr>
          <w:sz w:val="20"/>
          <w:szCs w:val="20"/>
          <w:color w:val="auto"/>
        </w:rPr>
      </w:pPr>
    </w:p>
    <w:p>
      <w:pPr>
        <w:ind w:left="220" w:hanging="212"/>
        <w:spacing w:after="0"/>
        <w:tabs>
          <w:tab w:leader="none" w:pos="2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cash;</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shares of Common Stock; or</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combination of both.</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exercise price of a stock appreciation right may not be less than 100% of the fair market value of Common Stock on the date of grant. Stock appreciation rights may not be repriced.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No dividend or dividend equivalent rights shall accrue or be paid with respect to stock appreciation rights.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Unrestricted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Shares not subject to vesting may be awarded for such consideration, consisting of any tangible or intangible property or benefit to the Company, including services performed and contracts for services, as the Committee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89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PROPOSAL 5: APPROVAL OF THE NORDSTROM, INC. AMENDED &amp; RESTATED 2019 EQUITY INCENTIVE PLAN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Restricted shares may be granted with such terms and conditions as the Committee may determine. These restricted shares may be awarded for such consideration, consisting of any tangible or property or benefit to the Company, including services performed and contracts for services, as the Committee may determine.</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Each award of restricted shares will be subject to vesting. Vesting will occur, in full or in installments, upon satisfaction of the conditions specified in the restricted share agreement. The Committee may include among such conditions the requirement that the performance of the Company or a business unit of the Company equal or exceed a target determined in advance by the Committee. A restricted share agreement may provide for accelerated vesting in the event of the recipient’s death, disability or retirement and may provide for expiration prior to the end of its term in the event of the termination of the recipient’s service.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holders of restricted shares will have the voting, dividend and other rights as set forth in their restricted share agreement, and may have the same voting, dividend or other rights as the Company’s other shareholders provided that any dividends accrued on restricted shares shall be held in escrow by the Company and shall only be paid if and when restricted shares vest, in cash or in shares of unrestricted Common Stock having a fair market value equal to the amount of such dividends. Common Stock distributed to the holder of restricted shares on account of a stock split or stock dividend will be subject to restrictions and risk of forfeiture to the same extent as the restricted shares with respect to which such Common Stock has been distributed.</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Restricted stock units may be granted with such terms and conditions as the Committee may determine. Each award of restricted stock units will be subject to vesting. Vesting will occur, in full or in installments, upon satisfaction of the conditions specified in the restricted stock unit agreement. The Committee may include among such conditions the requirement that the performance of the Company or a business unit of the Company exceed a target determined in advance by the Committee. A restricted stock unit agreement may provide for accelerated vesting in the event of the recipient’s death, disability or retirement and may provide for expiration prior to the end of its term in the event of the termination of the recipient’s service.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holders of restricted stock units will not have voting or dividend rights. Prior to settlement or forfeiture, any restricted stock unit may, at the Committee’s discretion, carry with it a right to dividend equivalents. Such right will entitle the holder to be paid an amount in cash or stock equal to the dividends that would have been paid if the restricted stock units had been issued and outstanding shares of Common Stock as of the record date for the payment of dividends, subject to applicable withholding taxes, if and when the restricted stock units vest.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At the discretion of the Committee, settlement of vested units may be made in the form of:</w:t>
      </w:r>
    </w:p>
    <w:p>
      <w:pPr>
        <w:spacing w:after="0" w:line="73" w:lineRule="exact"/>
        <w:rPr>
          <w:sz w:val="20"/>
          <w:szCs w:val="20"/>
          <w:color w:val="auto"/>
        </w:rPr>
      </w:pPr>
    </w:p>
    <w:p>
      <w:pPr>
        <w:ind w:left="220" w:hanging="212"/>
        <w:spacing w:after="0"/>
        <w:tabs>
          <w:tab w:leader="none" w:pos="2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cash;</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shares of Common Stock (unrestricted or restricted shares); or</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combination of both.</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Performance share units may be granted with such terms and conditions as the Committee may determine. Performance share units are designated in shares of Common Stock.</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Each award of performance share units will be subject to vesting. Vesting will occur, in full or in installments, upon satisfaction of the conditions specified in the performance share unit agreement. The Committee may include among such conditions the requirement that the performance of the Company or a business unit of the Company exceed a target determined in advance by the Committee. A performance share unit agreement may provide for accelerated vesting in the event of the recipient’s death, disability or retirement and may provide for expiration prior to the end of the performance period in the event of the termination of the recipient’s service.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holder of performance share units will have no rights to dividends and will not be entitled to vote such units. Prior to settlement or forfeiture, any performance share unit may, at the Committee’s discretion, carry with it a right to dividend equivalents. Such right will entitle the holder to receive, if and when the applicable performance share units vest, an amount in cash or stock equal to the dividends that would have been paid if the performance share units had been settled in shares of Common Stock on or before the record date for any dividends declared on the Company’s Common Stock, subject to applicable withholding taxes.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At the discretion of the Committee, settlement of vested performance share units may be made in the form of:</w:t>
      </w:r>
    </w:p>
    <w:p>
      <w:pPr>
        <w:spacing w:after="0" w:line="86" w:lineRule="exact"/>
        <w:rPr>
          <w:sz w:val="20"/>
          <w:szCs w:val="20"/>
          <w:color w:val="auto"/>
        </w:rPr>
      </w:pPr>
    </w:p>
    <w:p>
      <w:pPr>
        <w:ind w:left="220" w:hanging="212"/>
        <w:spacing w:after="0"/>
        <w:tabs>
          <w:tab w:leader="none" w:pos="2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cash;</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shares of Common Stock; or</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combination of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354965</wp:posOffset>
            </wp:positionV>
            <wp:extent cx="1020445" cy="1289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75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PROPOSAL 5: APPROVAL OF THE NORDSTROM, INC. AMENDED &amp; RESTATED 2019 EQUITY INCENTIVE PLAN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the event of a change of control, outstanding awards shall continue in effect or be assumed, or an equivalent award substituted, by the successor corporation. Under the Plan, the vesting and exercisability of the awards will accelerate, in whole or in part, upon a “qualifying termination” within 12 months following a change in control. A “qualifying termination” means an involuntary, employer-initiated termination without cause or a voluntary termination for good reason. Notwithstanding, if the successor corporation refuses to assume or substitute the award, then the CPCC shall provide for the cancellation of the vested portion of any such award in exchange for either an amount of cash (or stock, other securities or other property) and provide for the cancellation of the unvested portion of the award, if any, without payment of consideration.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tax consequences of the Plan are complex, and the following discussion deals only with general tax principles applicable to the Plan under federal law.</w:t>
      </w:r>
    </w:p>
    <w:p>
      <w:pPr>
        <w:spacing w:after="0" w:line="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Incentive stock options are options which under certain circumstances and subject to certain tax restrictions, have special tax benefits for employees under the IRC. Nonqualified stock options are options which do not receive such special tax treatment.</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When the Committee grants an incentive stock option and when the participant exercises an incentive stock option and acquires Common Stock, the participant realizes no taxable income and the Company can claim no deduction. (However, the differences between the fair market value of the shares upon exercise and the exercise price is an item of tax preference subject to the possible application of the alternative minimum tax.) If the participant disposes of the stock before two years from grant or one year from exercise of the incentive stock option (a disqualifying disposition), any gain will be deemed compensation and taxed as ordinary income to the extent of the lesser of:</w:t>
      </w:r>
    </w:p>
    <w:p>
      <w:pPr>
        <w:spacing w:after="0" w:line="31"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spread between the option price and the fair market value of the stock at exercise; or</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difference between the sale price and the exercise price.</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 disqualifying disposition occurs, the Company can claim a deduction equal to the amount treated as compensation. If one- and two-year holding periods are satisfied, any gain realized when the shares are sold will be treated as capital gain, and the Company will receive no corresponding tax deduction.</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When the Committee grants a nonqualified stock option, the participant realizes no taxable income and the Company can claim no deduction. On exercise of a nonqualified stock option, the participant realizes ordinary income to the extent of the spread and the Company can claim a tax deduction for the same amount.</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When the Committee grants a stock appreciation right, the participant realizes no taxable income and the Company can claim no deduction. The cash or fair market value of stock received on a stock appreciation right exercise is taxed to the participant at ordinary income rates. The Company can claim a tax deduction in the same amount at such time.</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grant of unrestricted shares, the participant realizes ordinary income equal to the fair market value of the Common Stock on the date of grant and the Company can generally claim a tax deduction for the same amount.</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Grants of restricted shares are generally not taxable to participants at the time of grant and the Company generally claims no deduction at that time. The Company receives a deduction and the participant recognizes taxable income equal to the fair market value of the stock at the time the restrictions lapse (i.e., at the time the restricted shares vest), unless the participant elects, within thirty days of notification of the award, to recognize the income on the award date, in accordance with IRC Section 83(b) (an “83(b) election”). If the participant makes an 83(b) election, the Company receives a corresponding deduction at the time of grant. Any dividends received on restricted shares prior to the date the participant recognizes income on the stock are taxable compensation income when received and the Company is entitled to a corresponding tax deduction at such time.</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grant of restricted stock units and performance share units generally does not result in taxable income to the participant. Upon vesting, the number of shares issued or cash paid is treated as ordinary income, and the Company is entitled to a corresponding tax deduction at such time.</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Committee has full discretion to determine the number and amount of options, stock appreciation rights, unrestricted and restricted shares, and restricted share units and performance share units to be granted to participants. Therefore, the benefits and amounts that will be received by each of the NEOs, the executive officers as a group, non-employee directors and all other employees under the Plan are not presently determinable. The fair market value as of the close of trading on April 10, 2023 was $16.64 per share.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Term, Termination and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Plan will remain in effect until May 29, 2029, unless earlier terminated by the Board. The Board may, at any time and for any reason, amend the Plan. An amendment of the Plan will be subject to the approval of the Company’s shareholders to the extent required by applicable laws, regulations or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1019810" cy="1200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394"/>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60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80" w:right="780" w:hanging="2879"/>
        <w:spacing w:after="0" w:line="268" w:lineRule="auto"/>
        <w:rPr>
          <w:sz w:val="20"/>
          <w:szCs w:val="20"/>
          <w:color w:val="auto"/>
        </w:rPr>
      </w:pPr>
      <w:r>
        <w:rPr>
          <w:rFonts w:ascii="Arial" w:cs="Arial" w:eastAsia="Arial" w:hAnsi="Arial"/>
          <w:sz w:val="39"/>
          <w:szCs w:val="39"/>
          <w:b w:val="1"/>
          <w:bCs w:val="1"/>
          <w:color w:val="1E295B"/>
        </w:rPr>
        <w:t>PROPOSAL 6: APPROVAL OF THE NORDSTROM, INC. AMENDED AND RESTATED EMPLOYEE STOCK PURCHASE PLAN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FOR this proposal.</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Annual Meeting, Shareholders will be asked to approve the Nordstrom, Inc. Amended and Restated Employee Stock Purchase Plan (the “Plan”). Shareholder approval of this amendment to the Plan will increase the maximum number of shares of Common Stock authorized for issuance under the Plan by 3,500,000 shares.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Plan offers eligible employees the opportunity to acquire a stock ownership interest in the Company through periodic payroll deductions that are applied towards the purchase of Common Stock at a discount from the then-current market price.</w:t>
      </w:r>
    </w:p>
    <w:p>
      <w:pPr>
        <w:spacing w:after="0" w:line="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Plan was originally adopted by the Board in November 1999 and was approved by our shareholders in May 2000. On several occasions since the original adoption of the Plan, the Board and the Compensation, People and Culture Committee (the “Committee”) have adopted and put before shareholders for approval amendments to the Plan. Those amendments have addressed changes in law applicable to the Plan and have also increased the number of shares of Common Stock which may be purchased under the Plan to a total of 16,100,000 shares. As of April 10, 2023, out of the authorization of 16,100,000 shares, there were 1,871,175 shares available for future purchase under the Plan. In February 2023, at the recommendation of the Committee, the Board approved the amendment and restatement (collectively, the “Amendment”) of the Plan which, if approved by the shareholders, will increase the aggregate number of shares of Common Stock that may be purchased under the Plan as of the Record Date by 3,500,000 shares, to a total of 19,600,000 shares.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primary purpose of the Amendment is to ensure that Nordstrom will have a sufficient reserve of Common Stock available under the Plan to provide eligible employees of the Company and its participating subsidiaries with the continuing opportunity to acquire an ownership interest in the Company through participation in the Plan. The Board also approved other minor editorial amendments. These administrative changes do not require shareholder approval.</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is a summary of the principal features of the Plan. This summary is qualified in all respects by reference to the full text of the Plan, which has been filed with the SEC, in amended and restated form, as Appendix C to this Proxy Statement.</w:t>
      </w:r>
    </w:p>
    <w:p>
      <w:pPr>
        <w:spacing w:after="0" w:line="4"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Summary of the Plan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are offered under the Plan through a series of consecutive offering periods, each with a maximum duration of six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periods commence each April 1 and October 1. Purchases occur on the last trading day of each March and September.</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With certain exceptions, any eligible employee of the Company or of a participating subsidiary on February 1 who remains an employee through April 1 may participate in the offering period commencing April 1, and any employee of the Company or a participating subsidiary on August 1 who remains an employee through October 1 may participate in the offering period commencing October 1. The price at which the employee may purchase the Common Stock is 90% of the closing price for the Common Stock as reported by the NYSE on the day the offering period terminates. An employee may elect to have up to 15% of his or her compensation withheld for the purpose of purchasing Common Stock under the Plan. As of the last day of each offering period, each participant is deemed to have been granted an option to purchase up to the lesser of (i) 1,000 shares or (ii) that whole number of shares determined by dividing the amount of the participant’s compensation withheld during the offering period by 90% of the fair market value of the Common Stock as determined at the end of the offering period.</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Unless the participant elects to withdraw prior to the end of an offering period, each participant who continues to be employed as an employee by the Company or a participating subsidiary as of the end of an offering period is deemed to have exercised the option and purchased on such date the number of shares as may be purchased with the amount of his or her payroll deductions at the offering price (subject to the maximum number covered by his or her option). If employees subscribe to purchase more than the number of shares of Common Stock available during any offering, the available shares are allocated on a pro-rata basis to subscribing employees.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may at any time amend, suspend or terminate the Plan. However, except in connection with certain reorganizations or recapitalizations of the Company, any increase in the aggregate number of shares of Common Stock issuable under the Plan is subject to approval by a vote of the Shareholders. Moreover, the Plan will automatically terminate on the date on which all shares available for issuance thereunder are sold pursuant to exercised purchase rights.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Plan is administered by the Committee, which is authorized to make rules and guidelines regarding the administration and interpretation of the Plan and to determine which of the company’s subsidiaries’ employees of the Company may participate in the Plan. All costs and expenses incurred in plan administration are paid by the Company without charge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323215</wp:posOffset>
            </wp:positionV>
            <wp:extent cx="1020445" cy="1289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77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2800"/>
        <w:spacing w:after="0"/>
        <w:rPr>
          <w:sz w:val="20"/>
          <w:szCs w:val="20"/>
          <w:color w:val="auto"/>
        </w:rPr>
      </w:pPr>
      <w:r>
        <w:rPr>
          <w:rFonts w:ascii="Arial" w:cs="Arial" w:eastAsia="Arial" w:hAnsi="Arial"/>
          <w:sz w:val="14"/>
          <w:szCs w:val="14"/>
          <w:b w:val="1"/>
          <w:bCs w:val="1"/>
          <w:i w:val="1"/>
          <w:iCs w:val="1"/>
          <w:color w:val="67686B"/>
        </w:rPr>
        <w:t>PROPOSAL 6: APPROVAL OF THE NORDSTROM, INC. AMENDED &amp; RESTATED EMPLOYEE STOCK PURCHASE PLAN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Plan is intended to be an “employee stock purchase plan” within the meaning of Section 423 of the IRC, which provides that the employee does not have to pay federal income tax with respect to shares purchased under the Plan until he or she sells the shares.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the employee has owned the shares for more than one year and sells or otherwise disposes of them at least two years after the day the offering period commenced, the employee will recognize ordinary income in the year of sale or disposition equal to the lesser of (i) ten percent (10%) of the market price of the shares on the date the offering period commenced or (ii) the excess of the amount realized on the disposition over the price paid. Any additional gain upon the sale or disposition will be taxed as a long-term capital gain. The Company will not be entitled to an income tax deduction with respect to such sale or disposition.</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an employee sells or otherwise disposes of the shares before he or she has owned them for more than one year or before the expiration of a two-year period commencing on the day the offering period commenced, that employee will recognize ordinary income in the year of sale or disposition equal to the difference between the purchase price and the fair market value of the shares on the date of purchase, and the Company will be entitled to an income tax deduction for the same amount for the taxable year in which such disposition occurs. Any additional gain or loss recognized on the sale or disposition of the stock will be short-term or long-term capital gain or loss, depending on how long the employee owned the stock.</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Participation in the Plan is entirely within the discretion of the eligible employees of the Company. As a result, the Company cannot forecast the extent of future participation. Therefore, the Company has omitted the tabular disclosure of the benefits or amounts allocated under the Plan.</w:t>
      </w:r>
    </w:p>
    <w:p>
      <w:pPr>
        <w:spacing w:after="0" w:line="4"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Recommendation of the Board</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Board believes that it is in the best interests of the Company and its shareholders to approve the Plan in order to provide current and prospective employees of the Company and participating subsidiaries with the continuing opportunity to acquire equity interests in the Company through the Plan. Therefore, the Board believes that this Amendment to the Plan will advance the interests of the Company’s shareholders. Absent the approval of this Proposal 6, it is anticipated that the reserve of Common Stock available for purchase under the Plan may be exhausted as soon as 2024, depending on fluctuations in the Company’s stock price, which would, at that time, result in the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328930</wp:posOffset>
            </wp:positionV>
            <wp:extent cx="1019810" cy="1289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60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80" w:right="80" w:hanging="2879"/>
        <w:spacing w:after="0" w:line="254" w:lineRule="auto"/>
        <w:rPr>
          <w:sz w:val="20"/>
          <w:szCs w:val="20"/>
          <w:color w:val="auto"/>
        </w:rPr>
      </w:pPr>
      <w:r>
        <w:rPr>
          <w:rFonts w:ascii="Arial" w:cs="Arial" w:eastAsia="Arial" w:hAnsi="Arial"/>
          <w:sz w:val="40"/>
          <w:szCs w:val="40"/>
          <w:b w:val="1"/>
          <w:bCs w:val="1"/>
          <w:color w:val="1E295B"/>
        </w:rPr>
        <w:t>PROPOSAL 7: ADVISORY VOTE ON THE EXTENSION OF THE COMPANY’S SHAREHOLDER RIGHTS PLAN UNTIL SEPTEMBER 19, 2025</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FOR this proposal.</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adopted the Rights Plan on September 19, 2022 to protect the interests of the Company and all shareholders from the likelihood that any entity, person or group gains control of the Company through open-market accumulation or other means without payment of an adequate control premium. The Board believes that it is in the best interests of the Company and all shareholders to extend the Rights Plan until September 19, 2025, with the Board retaining the ability to terminate the Rights Plan prior to such date if warranted.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While shareholder approval is not required to extend the Rights Plan, the Board is asking shareholders to approve this advisory vote on the extension of the Rights Plan as part of the Board’s commitment to good corporate governance and to ensure that shareholders have an opportunity to voice their feedback on this important matter. Although the outcome of this proposal is non-binding, the Board will carefully consider the outcome of this proposal in considering whether to extend the Rights Plan.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Rationale for Extension of the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September 19, 2022, the Board adopted a Shareholder Rights Agreement, by and between the Company and Computershare Trust Company, N.A., as rights agent, and declared a dividend of one common stock right for each outstanding share of Common Stock (the “Rights”) to shareholders of record at the close of business on September 30, 2022. See “Summary Description of the Rights Plan” below for more information about the Rights Plan.</w:t>
      </w:r>
    </w:p>
    <w:p>
      <w:pPr>
        <w:spacing w:after="0" w:line="2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Rights Plan is similar to plans adopted by other public companies and is intended to protect the interests of the Company and all Nordstrom shareholders. As announced at the time of its adoption, the Rights Plan:</w:t>
      </w:r>
    </w:p>
    <w:p>
      <w:pPr>
        <w:spacing w:after="0" w:line="21" w:lineRule="exact"/>
        <w:rPr>
          <w:sz w:val="20"/>
          <w:szCs w:val="20"/>
          <w:color w:val="auto"/>
        </w:rPr>
      </w:pPr>
    </w:p>
    <w:p>
      <w:pPr>
        <w:ind w:left="200" w:hanging="192"/>
        <w:spacing w:after="0" w:line="286" w:lineRule="auto"/>
        <w:tabs>
          <w:tab w:leader="none" w:pos="207"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Reduces the likelihood that any entity, person or group gains control of the Company through open-market accumulation or other means without payment of an adequate control premium;</w:t>
      </w:r>
    </w:p>
    <w:p>
      <w:pPr>
        <w:spacing w:after="0" w:line="7"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89"/>
        </w:numPr>
        <w:rPr>
          <w:rFonts w:ascii="Arial" w:cs="Arial" w:eastAsia="Arial" w:hAnsi="Arial"/>
          <w:sz w:val="16"/>
          <w:szCs w:val="16"/>
          <w:color w:val="auto"/>
        </w:rPr>
      </w:pPr>
      <w:r>
        <w:rPr>
          <w:rFonts w:ascii="Arial" w:cs="Arial" w:eastAsia="Arial" w:hAnsi="Arial"/>
          <w:sz w:val="16"/>
          <w:szCs w:val="16"/>
          <w:color w:val="auto"/>
        </w:rPr>
        <w:t>Helps ensure that the Board has sufficient time to make informed, deliberate decisions that are in the best interests of the Company and all shareholders;</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Applies equally to all current and future shareholders of the Company;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Was not adopted in response to any specific takeover bid or other proposal to acquire control of the Company; and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Is not intended to deter offers that are fair and otherwise in the best interests of all shareholders.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adopted the Rights Plan four days after El Puerto de Liverpool, S.A.B. de C.V. (“Liverpool”) disclosed it had acquired 9.9% of the Company’s Common Stock. Liverpool is a retailer operating mid- and high-end department stores in Mexico. While representatives of the Company had occasionally crossed paths with representatives of Liverpool before this date, such as at industry conferences, the Company was unaware that Liverpool was making an investment in the Company until shortly before Liverpool’s disclosure of their ownership stake.</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light of Liverpool’s rapid open-market share accumulation and the uncertainty regarding Liverpool’s intentions towards the Company, among other factors, the Board determined it was appropriate to adopt the Rights Plan. In making this determination, the Board also considered that if either Liverpool or members of the Nordstrom family increased their ownership, their combined ownership could determine the outcome of most shareholder votes if they voted together. The Rights Plan prevents Liverpool and members of the Nordstrom family from increasing their ownership of Common Stock and prevents Liverpool or any other shareholder from forming a “group” with members of the Nordstrom family, in each case except as permitted by the Rights Plan (including increases in beneficial ownership through the exercise of options and the vesting of restricted stock units granted by the Company).</w:t>
      </w: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on March 6, 2023, RC Ventures LLC (“RC Ventures”), an investment vehicle of Ryan Cohen, disclosed to the Company that it owned 4.2% of the Company’s common stock and formally requested a waiver from the Rights Plan that would permit RC Ventures to acquire up to 19.9% of the Company’s Common Stock (above the 10% trigger of the Rights Plan). If RC Ventures were permitted to and did acquire 19.9% of the Common Stock, then shareholders other than members of the Nordstrom family, Liverpool and RC Ventures (the “Other Public Shareholders”) would collectively own less than 40% of the outstanding Common Stock.</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Rights Plan will terminate in accordance with its terms on September 19, 2023. The Board believes that it is in the best interests of the Company and all shareholders to extend the Rights Plan until September 19, 2025 for the following reasons:</w:t>
      </w:r>
    </w:p>
    <w:p>
      <w:pPr>
        <w:spacing w:after="0" w:line="7" w:lineRule="exact"/>
        <w:rPr>
          <w:sz w:val="20"/>
          <w:szCs w:val="20"/>
          <w:color w:val="auto"/>
        </w:rPr>
      </w:pPr>
    </w:p>
    <w:p>
      <w:pPr>
        <w:jc w:val="both"/>
        <w:ind w:left="200" w:hanging="192"/>
        <w:spacing w:after="0" w:line="266" w:lineRule="auto"/>
        <w:tabs>
          <w:tab w:leader="none" w:pos="383"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Deters a Creeping Acquisition of Control: </w:t>
      </w:r>
      <w:r>
        <w:rPr>
          <w:rFonts w:ascii="Arial" w:cs="Arial" w:eastAsia="Arial" w:hAnsi="Arial"/>
          <w:sz w:val="16"/>
          <w:szCs w:val="16"/>
          <w:color w:val="auto"/>
        </w:rPr>
        <w:t>The Rights Plan reduces the likelihood that any entity, person or group gains control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open-market accumulation or other means without payment of an adequate control premium. As a result of the Rights Plan, no shareholder can acquire beneficial ownership (as defined in the Rights Plan) of 10% or more of the Company’s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323215</wp:posOffset>
            </wp:positionV>
            <wp:extent cx="1020445" cy="1289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79</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PROPOSAL 7: ADVISORY VOTE ON THE EXTENSION OF THE COMPANY’S SHAREHOLDER RIGHTS PLAN UNTIL SEPTEMBER 19, 2025</w:t>
      </w:r>
    </w:p>
    <w:p>
      <w:pPr>
        <w:spacing w:after="0" w:line="75"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color w:val="auto"/>
        </w:rPr>
        <w:t>Stock, including by forming a “group” with other shareholders with total ownership in excess of that threshold. Likewise, the Rights Plan operates to prevent the Nordstrom family from forming a “group” with other shareholders or acquiring additional shares of Common Stock other than in accordance with the Rights Plan. Under the Rights Plan, Anne E. Gittinger, Bruce A. Nordstrom, Erik B. Nordstrom, James F. Nordstrom and Peter E. Nordstrom and their respective affiliates and associates are collectively “grandfathered,” but they cannot acquire additional shares of Common Stock (including by forming a “group” with shareholders other than these persons) except in accordance with the Rights Plan (including increases in beneficial ownership through the exercise of options and the vesting of restricted stock units granted by the Company).</w:t>
      </w:r>
    </w:p>
    <w:p>
      <w:pPr>
        <w:spacing w:after="0" w:line="74" w:lineRule="exact"/>
        <w:rPr>
          <w:sz w:val="20"/>
          <w:szCs w:val="20"/>
          <w:color w:val="auto"/>
        </w:rPr>
      </w:pPr>
    </w:p>
    <w:p>
      <w:pPr>
        <w:jc w:val="both"/>
        <w:ind w:left="200"/>
        <w:spacing w:after="0" w:line="259" w:lineRule="auto"/>
        <w:rPr>
          <w:sz w:val="20"/>
          <w:szCs w:val="20"/>
          <w:color w:val="auto"/>
        </w:rPr>
      </w:pPr>
      <w:r>
        <w:rPr>
          <w:rFonts w:ascii="Arial" w:cs="Arial" w:eastAsia="Arial" w:hAnsi="Arial"/>
          <w:sz w:val="16"/>
          <w:szCs w:val="16"/>
          <w:color w:val="auto"/>
        </w:rPr>
        <w:t>As of April 10, 2023 (or the earlier date set forth under Security Ownership of Certain Beneficial Owners and Management), Liverpool beneficially owned 9.76% of the outstanding Common Stock, and Anne Gittinger, Bruce Nordstrom, Erik Nordstrom, James Nordstrom and Peter Nordstrom beneficially owned 30.23% of the outstanding Common Stock in aggregate. In the absence of the Rights Plan, these persons could freely increase their beneficial ownership, which could result in these persons collectively holding a majority of the outstanding Common Stock.</w:t>
      </w:r>
    </w:p>
    <w:p>
      <w:pPr>
        <w:spacing w:after="0" w:line="29" w:lineRule="exact"/>
        <w:rPr>
          <w:sz w:val="20"/>
          <w:szCs w:val="20"/>
          <w:color w:val="auto"/>
        </w:rPr>
      </w:pPr>
    </w:p>
    <w:p>
      <w:pPr>
        <w:jc w:val="both"/>
        <w:ind w:left="200" w:hanging="192"/>
        <w:spacing w:after="0" w:line="256" w:lineRule="auto"/>
        <w:tabs>
          <w:tab w:leader="none" w:pos="180" w:val="left"/>
        </w:tabs>
        <w:numPr>
          <w:ilvl w:val="0"/>
          <w:numId w:val="9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Enables the Board to Respond to Unsolicited Acquisition Proposals: </w:t>
      </w:r>
      <w:r>
        <w:rPr>
          <w:rFonts w:ascii="Arial" w:cs="Arial" w:eastAsia="Arial" w:hAnsi="Arial"/>
          <w:sz w:val="16"/>
          <w:szCs w:val="16"/>
          <w:color w:val="auto"/>
        </w:rPr>
        <w:t>The Rights Plan helps ensure that the Board has sufficient time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informed, deliberate decisions that are in the best interests of the Company and all Nordstrom shareholders. The Rights Plan is not intended to deter offers that are fair and otherwise in the best interests of all Nordstrom shareholders, but does give the Board the ability to defend shareholders against abusive or coercive takeover tactics by a potential acquirer that could be used to gain control of the Company without the acquirer paying all shareholders a fair price for their shares, including a partial or two-tier tender offer that fails to treat all shareholders equally.</w:t>
      </w:r>
    </w:p>
    <w:p>
      <w:pPr>
        <w:spacing w:after="0" w:line="31" w:lineRule="exact"/>
        <w:rPr>
          <w:rFonts w:ascii="Arial" w:cs="Arial" w:eastAsia="Arial" w:hAnsi="Arial"/>
          <w:sz w:val="16"/>
          <w:szCs w:val="16"/>
          <w:b w:val="1"/>
          <w:bCs w:val="1"/>
          <w:i w:val="1"/>
          <w:iCs w:val="1"/>
          <w:color w:val="auto"/>
        </w:rPr>
      </w:pPr>
    </w:p>
    <w:p>
      <w:pPr>
        <w:jc w:val="both"/>
        <w:ind w:left="200" w:hanging="192"/>
        <w:spacing w:after="0" w:line="255" w:lineRule="auto"/>
        <w:tabs>
          <w:tab w:leader="none" w:pos="18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Ensures the Other Public Shareholders Have the Ability to Reject a Merger Proposal: </w:t>
      </w:r>
      <w:r>
        <w:rPr>
          <w:rFonts w:ascii="Arial" w:cs="Arial" w:eastAsia="Arial" w:hAnsi="Arial"/>
          <w:sz w:val="16"/>
          <w:szCs w:val="16"/>
          <w:color w:val="auto"/>
        </w:rPr>
        <w:t>Under Washington corporate law, approval of a merger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generally requires the approval of two-thirds of the votes entitled to be cast on the approval. RC Ventures has stated that, as of March 6, 2023, it beneficially owned 4.2% of the outstanding Common Stock and requested an exemption to purchase up to 19.9% of the Company’s Common Stock. If RC Ventures acquired 19.9% of the outstanding shares and RC Ventures, members of the Nordstrom family, and Liverpool all supported a merger of the Company, the merger would only require the support of approximately an additional 10% of outstanding shares to be approved.</w:t>
      </w:r>
    </w:p>
    <w:p>
      <w:pPr>
        <w:spacing w:after="0" w:line="2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vote on this proposal will inform the Board’s independent decision in the exercise of its fiduciary duties as to whether it is advisable and in the best interests of the Company and its shareholders to extend the Rights Plan. Accordingly, the Board retains the authority to extend the Rights Plan, with or without amending one or more of its provisions, whether or not shareholders approve this proposal. Likewise, even if shareholders approve this proposal, the Board may determine not to extend the Rights Plan or, at any time during the term of the Rights Plan, may determine that the Rights Plan should be terminated, further extended, or otherwise amended.</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Rights Plan is extended, Erik Nordstrom and Peter Nordstrom would be restricted in their acquisition of additional shares of Common Stock except to the extent such acquisitions were permitted by the Rights Plan.</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Summary Description of the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The Rights. </w:t>
      </w:r>
      <w:r>
        <w:rPr>
          <w:rFonts w:ascii="Arial" w:cs="Arial" w:eastAsia="Arial" w:hAnsi="Arial"/>
          <w:sz w:val="16"/>
          <w:szCs w:val="16"/>
          <w:color w:val="auto"/>
        </w:rPr>
        <w:t>The Rights will attach to any shares of Common Stock that become outstanding after the record date for the Rights Plan and prior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earlier of the Distribution Time (as defined below) and the Expiration Time (as defined below), and in certain other circumstances described in the Rights Plan.</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Plan by reference, and the Rights are transferable with and only with the underlying shares of Common Stock.</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Rights are not exercisable until the Distribution Time. Until a Right is exercised, its holder will have no rights as a shareholder of the Company, including the right to vote or to receive dividends.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Separation and Distribution of Rights; Exercisability. </w:t>
      </w:r>
      <w:r>
        <w:rPr>
          <w:rFonts w:ascii="Arial" w:cs="Arial" w:eastAsia="Arial" w:hAnsi="Arial"/>
          <w:sz w:val="16"/>
          <w:szCs w:val="16"/>
          <w:color w:val="auto"/>
        </w:rPr>
        <w:t>Subject to certain exceptions, the Rights become exercisable and trade separately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only upon the “</w:t>
      </w:r>
      <w:r>
        <w:rPr>
          <w:rFonts w:ascii="Arial" w:cs="Arial" w:eastAsia="Arial" w:hAnsi="Arial"/>
          <w:sz w:val="16"/>
          <w:szCs w:val="16"/>
          <w:b w:val="1"/>
          <w:bCs w:val="1"/>
          <w:i w:val="1"/>
          <w:iCs w:val="1"/>
          <w:color w:val="auto"/>
        </w:rPr>
        <w:t>Distribution Time</w:t>
      </w:r>
      <w:r>
        <w:rPr>
          <w:rFonts w:ascii="Arial" w:cs="Arial" w:eastAsia="Arial" w:hAnsi="Arial"/>
          <w:sz w:val="16"/>
          <w:szCs w:val="16"/>
          <w:color w:val="auto"/>
        </w:rPr>
        <w:t>,” which occurs upon the earlier of:</w:t>
      </w:r>
    </w:p>
    <w:p>
      <w:pPr>
        <w:spacing w:after="0" w:line="57" w:lineRule="exact"/>
        <w:rPr>
          <w:sz w:val="20"/>
          <w:szCs w:val="20"/>
          <w:color w:val="auto"/>
        </w:rPr>
      </w:pPr>
    </w:p>
    <w:p>
      <w:pPr>
        <w:jc w:val="both"/>
        <w:ind w:left="200" w:hanging="192"/>
        <w:spacing w:after="0" w:line="249" w:lineRule="auto"/>
        <w:tabs>
          <w:tab w:leader="none" w:pos="20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close of business on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after the “</w:t>
      </w:r>
      <w:r>
        <w:rPr>
          <w:rFonts w:ascii="Arial" w:cs="Arial" w:eastAsia="Arial" w:hAnsi="Arial"/>
          <w:sz w:val="16"/>
          <w:szCs w:val="16"/>
          <w:b w:val="1"/>
          <w:bCs w:val="1"/>
          <w:i w:val="1"/>
          <w:iCs w:val="1"/>
          <w:color w:val="auto"/>
        </w:rPr>
        <w:t>Share Acquisition Date</w:t>
      </w:r>
      <w:r>
        <w:rPr>
          <w:rFonts w:ascii="Arial" w:cs="Arial" w:eastAsia="Arial" w:hAnsi="Arial"/>
          <w:sz w:val="16"/>
          <w:szCs w:val="16"/>
          <w:color w:val="auto"/>
        </w:rPr>
        <w:t>” (which is defined as (a) the first date of public announcement that any person or group has become an “</w:t>
      </w:r>
      <w:r>
        <w:rPr>
          <w:rFonts w:ascii="Arial" w:cs="Arial" w:eastAsia="Arial" w:hAnsi="Arial"/>
          <w:sz w:val="16"/>
          <w:szCs w:val="16"/>
          <w:b w:val="1"/>
          <w:bCs w:val="1"/>
          <w:i w:val="1"/>
          <w:iCs w:val="1"/>
          <w:color w:val="auto"/>
        </w:rPr>
        <w:t>Acquiring Person</w:t>
      </w:r>
      <w:r>
        <w:rPr>
          <w:rFonts w:ascii="Arial" w:cs="Arial" w:eastAsia="Arial" w:hAnsi="Arial"/>
          <w:sz w:val="16"/>
          <w:szCs w:val="16"/>
          <w:color w:val="auto"/>
        </w:rPr>
        <w:t>,” which is defined as a person or group that, together with its affiliates and associates, beneficially owns 10% or more of the outstanding shares of Common Stock (with certain exceptions, including those described below) or (b) such other date, as determined by the Board, on which a person or group has become an Acquiring Person) or</w:t>
      </w:r>
    </w:p>
    <w:p>
      <w:pPr>
        <w:spacing w:after="0" w:line="49" w:lineRule="exact"/>
        <w:rPr>
          <w:rFonts w:ascii="Arial" w:cs="Arial" w:eastAsia="Arial" w:hAnsi="Arial"/>
          <w:sz w:val="16"/>
          <w:szCs w:val="16"/>
          <w:color w:val="auto"/>
        </w:rPr>
      </w:pPr>
    </w:p>
    <w:p>
      <w:pPr>
        <w:jc w:val="both"/>
        <w:ind w:left="200" w:hanging="192"/>
        <w:spacing w:after="0" w:line="250" w:lineRule="auto"/>
        <w:tabs>
          <w:tab w:leader="none" w:pos="20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close of business on the tenth (10</w:t>
      </w:r>
      <w:r>
        <w:rPr>
          <w:rFonts w:ascii="Arial" w:cs="Arial" w:eastAsia="Arial" w:hAnsi="Arial"/>
          <w:sz w:val="18"/>
          <w:szCs w:val="18"/>
          <w:color w:val="auto"/>
          <w:vertAlign w:val="superscript"/>
        </w:rPr>
        <w:t>th</w:t>
      </w:r>
      <w:r>
        <w:rPr>
          <w:rFonts w:ascii="Arial" w:cs="Arial" w:eastAsia="Arial" w:hAnsi="Arial"/>
          <w:sz w:val="16"/>
          <w:szCs w:val="16"/>
          <w:color w:val="auto"/>
        </w:rPr>
        <w:t>)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1019810" cy="1200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PROPOSAL 7: ADVISORY VOTE ON THE EXTENSION OF THE COMPANY’S SHAREHOLDER RIGHTS PLAN UNTIL SEPTEMBER 19, 2025</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An Acquiring Person does not include:</w:t>
      </w:r>
    </w:p>
    <w:p>
      <w:pPr>
        <w:spacing w:after="0" w:line="86"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or any subsidiary of the Company;</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officer, director or employee of the Company or any subsidiary of the Company in his or her capacity as such;</w:t>
      </w:r>
    </w:p>
    <w:p>
      <w:pPr>
        <w:spacing w:after="0" w:line="72"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w:t>
      </w:r>
    </w:p>
    <w:p>
      <w:pPr>
        <w:spacing w:after="0" w:line="36" w:lineRule="exact"/>
        <w:rPr>
          <w:rFonts w:ascii="Arial" w:cs="Arial" w:eastAsia="Arial" w:hAnsi="Arial"/>
          <w:sz w:val="16"/>
          <w:szCs w:val="16"/>
          <w:color w:val="auto"/>
        </w:rPr>
      </w:pPr>
    </w:p>
    <w:p>
      <w:pPr>
        <w:jc w:val="both"/>
        <w:ind w:left="200" w:hanging="192"/>
        <w:spacing w:after="0" w:line="253" w:lineRule="auto"/>
        <w:tabs>
          <w:tab w:leader="none" w:pos="207"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person or group that, together with its affiliates and associates, as of immediately prior to the first public announcement of the adoption of the Rights Plan, beneficially owns 10% or more of the outstanding shares of Common Stock so long as such person or group continues to beneficially own at least 10% of the outstanding shares of Common Stock and does not acquire shares of Common Stock (excluding as a result of any unilateral grant of any security by the Company, or through the exercise of any options, warrants, rights or similar interests (including restricted stock) granted by the Company to its directors, officers or employees) to beneficially own an amount equal to or greater than the greater of 10% and the sum of the lowest beneficial ownership of such person or group since the public announcement of the adoption of the Rights Plan plus 0.1% of the then outstanding shares of Common Stock.</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the Rights Plan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Anne E. Gittinger, Bruce A. Nordstrom, Erik B. Nordstrom, James F. Nordstrom and Peter E. Nordstrom and their respective affiliates and associates are deemed to be a “group” purely for purposes of the Rights Plan (even if such persons would not be considered to be part of a group under Regulation 13D of the Securities Exchange Act of 1934, as amended).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Expiration Time. </w:t>
      </w:r>
      <w:r>
        <w:rPr>
          <w:rFonts w:ascii="Arial" w:cs="Arial" w:eastAsia="Arial" w:hAnsi="Arial"/>
          <w:sz w:val="16"/>
          <w:szCs w:val="16"/>
          <w:color w:val="auto"/>
        </w:rPr>
        <w:t>The Rights will expire on the earliest to occur of (a) the close of business on September 19, 2023 (the “</w:t>
      </w:r>
      <w:r>
        <w:rPr>
          <w:rFonts w:ascii="Arial" w:cs="Arial" w:eastAsia="Arial" w:hAnsi="Arial"/>
          <w:sz w:val="16"/>
          <w:szCs w:val="16"/>
          <w:b w:val="1"/>
          <w:bCs w:val="1"/>
          <w:i w:val="1"/>
          <w:iCs w:val="1"/>
          <w:color w:val="auto"/>
        </w:rPr>
        <w:t>Final Expiration Time</w:t>
      </w:r>
      <w:r>
        <w:rPr>
          <w:rFonts w:ascii="Arial" w:cs="Arial" w:eastAsia="Arial" w:hAnsi="Arial"/>
          <w:sz w:val="16"/>
          <w:szCs w:val="16"/>
          <w:color w:val="auto"/>
        </w:rPr>
        <w:t>”),</w:t>
      </w:r>
    </w:p>
    <w:p>
      <w:pPr>
        <w:spacing w:after="0" w:line="21" w:lineRule="exact"/>
        <w:rPr>
          <w:sz w:val="20"/>
          <w:szCs w:val="20"/>
          <w:color w:val="auto"/>
        </w:rPr>
      </w:pPr>
    </w:p>
    <w:p>
      <w:pPr>
        <w:jc w:val="both"/>
        <w:ind w:right="20" w:firstLine="8"/>
        <w:spacing w:after="0" w:line="261" w:lineRule="auto"/>
        <w:tabs>
          <w:tab w:leader="none" w:pos="26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time at which the Rights are redeemed or exchanged by the Company (as described below) or (c) upon the closing of any merger or other acquisition transaction involving the Company pursuant to a merger or other acquisition agreement that has been approved by the Board before any person or group becomes an Acquiring Person (the earliest of (a), (b) and (c) being herein referred to as the “</w:t>
      </w: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Flip-in Event. </w:t>
      </w:r>
      <w:r>
        <w:rPr>
          <w:rFonts w:ascii="Arial" w:cs="Arial" w:eastAsia="Arial" w:hAnsi="Arial"/>
          <w:sz w:val="16"/>
          <w:szCs w:val="16"/>
          <w:color w:val="auto"/>
        </w:rPr>
        <w:t>In the event that any person or group (other than certain exempt persons) becomes an Acquiring Person (a “</w:t>
      </w:r>
      <w:r>
        <w:rPr>
          <w:rFonts w:ascii="Arial" w:cs="Arial" w:eastAsia="Arial" w:hAnsi="Arial"/>
          <w:sz w:val="16"/>
          <w:szCs w:val="16"/>
          <w:b w:val="1"/>
          <w:bCs w:val="1"/>
          <w:i w:val="1"/>
          <w:iCs w:val="1"/>
          <w:color w:val="auto"/>
        </w:rPr>
        <w:t>Flip-in Event</w:t>
      </w:r>
      <w:r>
        <w:rPr>
          <w:rFonts w:ascii="Arial" w:cs="Arial" w:eastAsia="Arial" w:hAnsi="Arial"/>
          <w:sz w:val="16"/>
          <w:szCs w:val="16"/>
          <w:color w:val="auto"/>
        </w:rPr>
        <w:t>”), each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example, at an exercise price of $94.00 per Right, each Right not owned by an Acquiring Person (or by certain related parties) following a Flip-in Event would entitle its holder to purchase $188.00 worth of Common Stock for $94.00. Assuming that Common Stock had a per share value of $18.80 at that time, the holder of each valid Right would be entitled to purchase 10 shares of Common Stock for $9.40.</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Flip-over Event. </w:t>
      </w:r>
      <w:r>
        <w:rPr>
          <w:rFonts w:ascii="Arial" w:cs="Arial" w:eastAsia="Arial" w:hAnsi="Arial"/>
          <w:sz w:val="16"/>
          <w:szCs w:val="16"/>
          <w:color w:val="auto"/>
        </w:rPr>
        <w:t>In the event that, at any time following the Share Acquisition Date, any of the following occurs (each, a “</w:t>
      </w:r>
      <w:r>
        <w:rPr>
          <w:rFonts w:ascii="Arial" w:cs="Arial" w:eastAsia="Arial" w:hAnsi="Arial"/>
          <w:sz w:val="16"/>
          <w:szCs w:val="16"/>
          <w:b w:val="1"/>
          <w:bCs w:val="1"/>
          <w:i w:val="1"/>
          <w:iCs w:val="1"/>
          <w:color w:val="auto"/>
        </w:rPr>
        <w:t>Flip-over Event</w:t>
      </w:r>
      <w:r>
        <w:rPr>
          <w:rFonts w:ascii="Arial" w:cs="Arial" w:eastAsia="Arial" w:hAnsi="Arial"/>
          <w:sz w:val="16"/>
          <w:szCs w:val="16"/>
          <w:color w:val="auto"/>
        </w:rPr>
        <w:t>”):</w:t>
      </w:r>
    </w:p>
    <w:p>
      <w:pPr>
        <w:spacing w:after="0" w:line="73" w:lineRule="exact"/>
        <w:rPr>
          <w:sz w:val="20"/>
          <w:szCs w:val="20"/>
          <w:color w:val="auto"/>
        </w:rPr>
      </w:pPr>
    </w:p>
    <w:p>
      <w:pPr>
        <w:ind w:left="220" w:hanging="212"/>
        <w:spacing w:after="0"/>
        <w:tabs>
          <w:tab w:leader="none" w:pos="2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consolidates with, or merges with and into, any other entity, and the Company is not the continuing or surviving entity;</w:t>
      </w:r>
    </w:p>
    <w:p>
      <w:pPr>
        <w:spacing w:after="0" w:line="72" w:lineRule="exact"/>
        <w:rPr>
          <w:rFonts w:ascii="Arial" w:cs="Arial" w:eastAsia="Arial" w:hAnsi="Arial"/>
          <w:sz w:val="16"/>
          <w:szCs w:val="16"/>
          <w:color w:val="auto"/>
        </w:rPr>
      </w:pPr>
    </w:p>
    <w:p>
      <w:pPr>
        <w:jc w:val="both"/>
        <w:ind w:left="200" w:right="20" w:hanging="192"/>
        <w:spacing w:after="0" w:line="266" w:lineRule="auto"/>
        <w:tabs>
          <w:tab w:leader="none" w:pos="207"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36"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sells or otherwise transfers, in one transaction or a series of related transactions, fifty percent (50%) or more of the Company’s assets, cash flow or earning power,</w:t>
      </w:r>
    </w:p>
    <w:p>
      <w:pPr>
        <w:spacing w:after="0" w:line="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4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Anti-dilution Adjustments. </w:t>
      </w:r>
      <w:r>
        <w:rPr>
          <w:rFonts w:ascii="Arial" w:cs="Arial" w:eastAsia="Arial" w:hAnsi="Arial"/>
          <w:sz w:val="16"/>
          <w:szCs w:val="16"/>
          <w:color w:val="auto"/>
        </w:rPr>
        <w:t>The exercise price payable, and the number of shares of Common Stock or other securities or property issuable,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the Rights are subject to adjustment from time to time to prevent dilution:</w:t>
      </w:r>
    </w:p>
    <w:p>
      <w:pPr>
        <w:spacing w:after="0" w:line="7" w:lineRule="exact"/>
        <w:rPr>
          <w:sz w:val="20"/>
          <w:szCs w:val="20"/>
          <w:color w:val="auto"/>
        </w:rPr>
      </w:pPr>
    </w:p>
    <w:p>
      <w:pPr>
        <w:ind w:left="220" w:hanging="212"/>
        <w:spacing w:after="0"/>
        <w:tabs>
          <w:tab w:leader="none" w:pos="2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the event of a stock dividend on, or a subdivision, combination or reclassification of, the Common Stock,</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holders of the Common Stock are granted certain rights, options or warrants to subscribe for Common Stock or convertible securities at less than the current market price of the Common Stock or</w:t>
      </w:r>
    </w:p>
    <w:p>
      <w:pPr>
        <w:spacing w:after="0" w:line="20"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96"/>
        </w:numPr>
        <w:rPr>
          <w:rFonts w:ascii="Arial" w:cs="Arial" w:eastAsia="Arial" w:hAnsi="Arial"/>
          <w:sz w:val="16"/>
          <w:szCs w:val="16"/>
          <w:color w:val="auto"/>
        </w:rPr>
      </w:pPr>
      <w:r>
        <w:rPr>
          <w:rFonts w:ascii="Arial" w:cs="Arial" w:eastAsia="Arial" w:hAnsi="Arial"/>
          <w:sz w:val="16"/>
          <w:szCs w:val="16"/>
          <w:color w:val="auto"/>
        </w:rPr>
        <w:t>upon the distribution to holders of the Common Stock of evidences of indebtedness or assets (excluding regular quarterly cash dividends) or of subscription rights or warrants (other than those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313690</wp:posOffset>
            </wp:positionV>
            <wp:extent cx="1020445" cy="1200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PROPOSAL 7: ADVISORY VOTE ON THE EXTENSION OF THE COMPANY’S SHAREHOLDER RIGHTS PLAN UNTIL SEPTEMBER 19, 2025</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certain exceptions, no adjustment in the exercise price will be required until cumulative adjustments amount to at least one percent (1%) of the exercise price. No fractional shares of Common Stock will be issued and, in lieu thereof, an adjustment in cash will be made based on the market price of the Common Stock on the last trading day prior to the date of exercise.</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i w:val="1"/>
          <w:iCs w:val="1"/>
          <w:color w:val="auto"/>
        </w:rPr>
        <w:t xml:space="preserve">Redemption; Exchange. </w:t>
      </w:r>
      <w:r>
        <w:rPr>
          <w:rFonts w:ascii="Arial" w:cs="Arial" w:eastAsia="Arial" w:hAnsi="Arial"/>
          <w:sz w:val="16"/>
          <w:szCs w:val="16"/>
          <w:color w:val="auto"/>
        </w:rPr>
        <w:t>At any time prior to the earlier of (i) the tenth (10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Share Acquisition Date or (ii) the Final Expiration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may redeem the Rights in whole, but not in part, at a price of $0.001 per Right (subject to adjustment and payable in cash, Common Stock or other consideration deemed appropriate by the Board). Immediately upon the action of the Board authorizing any redemption or at a later time as the Board may establish for the effectiveness of the redemption, the Rights will terminate and the only right of the holders of Rights will be to receive the redemption price.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At any time before any Acquiring Person, together with all of its affiliates and associates, becomes the beneficial owner of fifty percent (50%)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per Right (subject to adjustment).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Amendment of the Rights Plan. </w:t>
      </w:r>
      <w:r>
        <w:rPr>
          <w:rFonts w:ascii="Arial" w:cs="Arial" w:eastAsia="Arial" w:hAnsi="Arial"/>
          <w:sz w:val="16"/>
          <w:szCs w:val="16"/>
          <w:color w:val="auto"/>
        </w:rPr>
        <w:t>The Company and the Rights Agent may from time to time amend or supplement the Rights Plan without the consent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holders of the Rights. However, on or after the Share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Miscellaneous. </w:t>
      </w:r>
      <w:r>
        <w:rPr>
          <w:rFonts w:ascii="Arial" w:cs="Arial" w:eastAsia="Arial" w:hAnsi="Arial"/>
          <w:sz w:val="16"/>
          <w:szCs w:val="16"/>
          <w:color w:val="auto"/>
        </w:rPr>
        <w:t>While the distribution of the Rights will not be taxable to shareholders or to the Company, shareholders may, depending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recognize taxable income in the event that the Rights become exercisable for Common Stock (or other consideration) or for common stock of the acquiring company or in the event of the redemption of the Rights as described above.</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Additional Information. </w:t>
      </w:r>
      <w:r>
        <w:rPr>
          <w:rFonts w:ascii="Arial" w:cs="Arial" w:eastAsia="Arial" w:hAnsi="Arial"/>
          <w:sz w:val="16"/>
          <w:szCs w:val="16"/>
          <w:color w:val="auto"/>
        </w:rPr>
        <w:t>A copy of the Rights Plan has been filed with the Securities and Exchange Commission as an exhibit to a registration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on Form 8-A and a current report on Form 8-K. A copy of the Rights Plan is also available free of charge from the Company.</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description of the Rights does not purport to be complete and is qualified in its entirety by reference to the Rights Plan, which was filed as an exhibit to a Form 8-K filed by the Company with the SEC on September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89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60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EQUITY COMPENSATION PLANS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provides information as of the fiscal year ended January 28, 2023 about Common Stock that may be issued upon the exercise of options and rights that have been or may be granted to employees and members of the Board under all of the Company’s existing equity compensation plans.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98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820" w:type="dxa"/>
            <w:vAlign w:val="bottom"/>
          </w:tcPr>
          <w:p>
            <w:pPr>
              <w:spacing w:after="0"/>
              <w:rPr>
                <w:sz w:val="16"/>
                <w:szCs w:val="16"/>
                <w:color w:val="auto"/>
              </w:rPr>
            </w:pPr>
          </w:p>
        </w:tc>
        <w:tc>
          <w:tcPr>
            <w:tcW w:w="250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 Securities</w:t>
            </w:r>
          </w:p>
        </w:tc>
      </w:tr>
      <w:tr>
        <w:trPr>
          <w:trHeight w:val="189"/>
        </w:trPr>
        <w:tc>
          <w:tcPr>
            <w:tcW w:w="4580" w:type="dxa"/>
            <w:vAlign w:val="bottom"/>
          </w:tcPr>
          <w:p>
            <w:pPr>
              <w:spacing w:after="0"/>
              <w:rPr>
                <w:sz w:val="16"/>
                <w:szCs w:val="16"/>
                <w:color w:val="auto"/>
              </w:rPr>
            </w:pPr>
          </w:p>
        </w:tc>
        <w:tc>
          <w:tcPr>
            <w:tcW w:w="1980" w:type="dxa"/>
            <w:vAlign w:val="bottom"/>
          </w:tcPr>
          <w:p>
            <w:pPr>
              <w:jc w:val="right"/>
              <w:ind w:right="259"/>
              <w:spacing w:after="0"/>
              <w:rPr>
                <w:sz w:val="20"/>
                <w:szCs w:val="20"/>
                <w:color w:val="auto"/>
              </w:rPr>
            </w:pPr>
            <w:r>
              <w:rPr>
                <w:rFonts w:ascii="Arial" w:cs="Arial" w:eastAsia="Arial" w:hAnsi="Arial"/>
                <w:sz w:val="16"/>
                <w:szCs w:val="16"/>
                <w:b w:val="1"/>
                <w:bCs w:val="1"/>
                <w:color w:val="auto"/>
              </w:rPr>
              <w:t>Securities to be</w:t>
            </w:r>
          </w:p>
        </w:tc>
        <w:tc>
          <w:tcPr>
            <w:tcW w:w="1820" w:type="dxa"/>
            <w:vAlign w:val="bottom"/>
          </w:tcPr>
          <w:p>
            <w:pPr>
              <w:spacing w:after="0"/>
              <w:rPr>
                <w:sz w:val="16"/>
                <w:szCs w:val="16"/>
                <w:color w:val="auto"/>
              </w:rPr>
            </w:pPr>
          </w:p>
        </w:tc>
        <w:tc>
          <w:tcPr>
            <w:tcW w:w="2500" w:type="dxa"/>
            <w:vAlign w:val="bottom"/>
          </w:tcPr>
          <w:p>
            <w:pPr>
              <w:jc w:val="right"/>
              <w:ind w:right="79"/>
              <w:spacing w:after="0"/>
              <w:rPr>
                <w:sz w:val="20"/>
                <w:szCs w:val="20"/>
                <w:color w:val="auto"/>
              </w:rPr>
            </w:pPr>
            <w:r>
              <w:rPr>
                <w:rFonts w:ascii="Arial" w:cs="Arial" w:eastAsia="Arial" w:hAnsi="Arial"/>
                <w:sz w:val="16"/>
                <w:szCs w:val="16"/>
                <w:b w:val="1"/>
                <w:bCs w:val="1"/>
                <w:color w:val="auto"/>
              </w:rPr>
              <w:t>Remaining Available for</w:t>
            </w:r>
          </w:p>
        </w:tc>
      </w:tr>
      <w:tr>
        <w:trPr>
          <w:trHeight w:val="189"/>
        </w:trPr>
        <w:tc>
          <w:tcPr>
            <w:tcW w:w="4580" w:type="dxa"/>
            <w:vAlign w:val="bottom"/>
          </w:tcPr>
          <w:p>
            <w:pPr>
              <w:spacing w:after="0"/>
              <w:rPr>
                <w:sz w:val="16"/>
                <w:szCs w:val="16"/>
                <w:color w:val="auto"/>
              </w:rPr>
            </w:pPr>
          </w:p>
        </w:tc>
        <w:tc>
          <w:tcPr>
            <w:tcW w:w="1980" w:type="dxa"/>
            <w:vAlign w:val="bottom"/>
          </w:tcPr>
          <w:p>
            <w:pPr>
              <w:jc w:val="right"/>
              <w:ind w:right="259"/>
              <w:spacing w:after="0"/>
              <w:rPr>
                <w:sz w:val="20"/>
                <w:szCs w:val="20"/>
                <w:color w:val="auto"/>
              </w:rPr>
            </w:pPr>
            <w:r>
              <w:rPr>
                <w:rFonts w:ascii="Arial" w:cs="Arial" w:eastAsia="Arial" w:hAnsi="Arial"/>
                <w:sz w:val="16"/>
                <w:szCs w:val="16"/>
                <w:b w:val="1"/>
                <w:bCs w:val="1"/>
                <w:color w:val="auto"/>
              </w:rPr>
              <w:t>Issued Upon</w:t>
            </w: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Weighted-Average</w:t>
            </w:r>
          </w:p>
        </w:tc>
        <w:tc>
          <w:tcPr>
            <w:tcW w:w="2500" w:type="dxa"/>
            <w:vAlign w:val="bottom"/>
          </w:tcPr>
          <w:p>
            <w:pPr>
              <w:jc w:val="right"/>
              <w:ind w:right="79"/>
              <w:spacing w:after="0"/>
              <w:rPr>
                <w:sz w:val="20"/>
                <w:szCs w:val="20"/>
                <w:color w:val="auto"/>
              </w:rPr>
            </w:pPr>
            <w:r>
              <w:rPr>
                <w:rFonts w:ascii="Arial" w:cs="Arial" w:eastAsia="Arial" w:hAnsi="Arial"/>
                <w:sz w:val="16"/>
                <w:szCs w:val="16"/>
                <w:b w:val="1"/>
                <w:bCs w:val="1"/>
                <w:color w:val="auto"/>
              </w:rPr>
              <w:t>Future Issuance Under</w:t>
            </w:r>
          </w:p>
        </w:tc>
      </w:tr>
      <w:tr>
        <w:trPr>
          <w:trHeight w:val="189"/>
        </w:trPr>
        <w:tc>
          <w:tcPr>
            <w:tcW w:w="4580" w:type="dxa"/>
            <w:vAlign w:val="bottom"/>
          </w:tcPr>
          <w:p>
            <w:pPr>
              <w:spacing w:after="0"/>
              <w:rPr>
                <w:sz w:val="16"/>
                <w:szCs w:val="16"/>
                <w:color w:val="auto"/>
              </w:rPr>
            </w:pPr>
          </w:p>
        </w:tc>
        <w:tc>
          <w:tcPr>
            <w:tcW w:w="1980" w:type="dxa"/>
            <w:vAlign w:val="bottom"/>
          </w:tcPr>
          <w:p>
            <w:pPr>
              <w:jc w:val="right"/>
              <w:ind w:right="259"/>
              <w:spacing w:after="0"/>
              <w:rPr>
                <w:sz w:val="20"/>
                <w:szCs w:val="20"/>
                <w:color w:val="auto"/>
              </w:rPr>
            </w:pPr>
            <w:r>
              <w:rPr>
                <w:rFonts w:ascii="Arial" w:cs="Arial" w:eastAsia="Arial" w:hAnsi="Arial"/>
                <w:sz w:val="16"/>
                <w:szCs w:val="16"/>
                <w:b w:val="1"/>
                <w:bCs w:val="1"/>
                <w:color w:val="auto"/>
              </w:rPr>
              <w:t>Exercise of</w:t>
            </w: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Exercise Price of</w:t>
            </w:r>
          </w:p>
        </w:tc>
        <w:tc>
          <w:tcPr>
            <w:tcW w:w="2500" w:type="dxa"/>
            <w:vAlign w:val="bottom"/>
          </w:tcPr>
          <w:p>
            <w:pPr>
              <w:jc w:val="right"/>
              <w:ind w:right="79"/>
              <w:spacing w:after="0"/>
              <w:rPr>
                <w:sz w:val="20"/>
                <w:szCs w:val="20"/>
                <w:color w:val="auto"/>
              </w:rPr>
            </w:pPr>
            <w:r>
              <w:rPr>
                <w:rFonts w:ascii="Arial" w:cs="Arial" w:eastAsia="Arial" w:hAnsi="Arial"/>
                <w:sz w:val="16"/>
                <w:szCs w:val="16"/>
                <w:b w:val="1"/>
                <w:bCs w:val="1"/>
                <w:color w:val="auto"/>
              </w:rPr>
              <w:t>Equity Compensation Plans</w:t>
            </w:r>
          </w:p>
        </w:tc>
      </w:tr>
      <w:tr>
        <w:trPr>
          <w:trHeight w:val="189"/>
        </w:trPr>
        <w:tc>
          <w:tcPr>
            <w:tcW w:w="4580" w:type="dxa"/>
            <w:vAlign w:val="bottom"/>
          </w:tcPr>
          <w:p>
            <w:pPr>
              <w:spacing w:after="0"/>
              <w:rPr>
                <w:sz w:val="16"/>
                <w:szCs w:val="16"/>
                <w:color w:val="auto"/>
              </w:rPr>
            </w:pPr>
          </w:p>
        </w:tc>
        <w:tc>
          <w:tcPr>
            <w:tcW w:w="1980" w:type="dxa"/>
            <w:vAlign w:val="bottom"/>
          </w:tcPr>
          <w:p>
            <w:pPr>
              <w:jc w:val="right"/>
              <w:ind w:right="259"/>
              <w:spacing w:after="0"/>
              <w:rPr>
                <w:sz w:val="20"/>
                <w:szCs w:val="20"/>
                <w:color w:val="auto"/>
              </w:rPr>
            </w:pPr>
            <w:r>
              <w:rPr>
                <w:rFonts w:ascii="Arial" w:cs="Arial" w:eastAsia="Arial" w:hAnsi="Arial"/>
                <w:sz w:val="16"/>
                <w:szCs w:val="16"/>
                <w:b w:val="1"/>
                <w:bCs w:val="1"/>
                <w:color w:val="auto"/>
              </w:rPr>
              <w:t>Outstanding</w:t>
            </w: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Outstanding</w:t>
            </w:r>
          </w:p>
        </w:tc>
        <w:tc>
          <w:tcPr>
            <w:tcW w:w="2500" w:type="dxa"/>
            <w:vAlign w:val="bottom"/>
          </w:tcPr>
          <w:p>
            <w:pPr>
              <w:jc w:val="right"/>
              <w:ind w:right="79"/>
              <w:spacing w:after="0"/>
              <w:rPr>
                <w:sz w:val="20"/>
                <w:szCs w:val="20"/>
                <w:color w:val="auto"/>
              </w:rPr>
            </w:pPr>
            <w:r>
              <w:rPr>
                <w:rFonts w:ascii="Arial" w:cs="Arial" w:eastAsia="Arial" w:hAnsi="Arial"/>
                <w:sz w:val="16"/>
                <w:szCs w:val="16"/>
                <w:b w:val="1"/>
                <w:bCs w:val="1"/>
                <w:color w:val="auto"/>
              </w:rPr>
              <w:t>(excluding securities to be</w:t>
            </w:r>
          </w:p>
        </w:tc>
      </w:tr>
      <w:tr>
        <w:trPr>
          <w:trHeight w:val="189"/>
        </w:trPr>
        <w:tc>
          <w:tcPr>
            <w:tcW w:w="4580" w:type="dxa"/>
            <w:vAlign w:val="bottom"/>
          </w:tcPr>
          <w:p>
            <w:pPr>
              <w:spacing w:after="0"/>
              <w:rPr>
                <w:sz w:val="16"/>
                <w:szCs w:val="16"/>
                <w:color w:val="auto"/>
              </w:rPr>
            </w:pPr>
          </w:p>
        </w:tc>
        <w:tc>
          <w:tcPr>
            <w:tcW w:w="1980" w:type="dxa"/>
            <w:vAlign w:val="bottom"/>
          </w:tcPr>
          <w:p>
            <w:pPr>
              <w:jc w:val="right"/>
              <w:ind w:right="259"/>
              <w:spacing w:after="0"/>
              <w:rPr>
                <w:sz w:val="20"/>
                <w:szCs w:val="20"/>
                <w:color w:val="auto"/>
              </w:rPr>
            </w:pPr>
            <w:r>
              <w:rPr>
                <w:rFonts w:ascii="Arial" w:cs="Arial" w:eastAsia="Arial" w:hAnsi="Arial"/>
                <w:sz w:val="16"/>
                <w:szCs w:val="16"/>
                <w:b w:val="1"/>
                <w:bCs w:val="1"/>
                <w:color w:val="auto"/>
              </w:rPr>
              <w:t>Options, Warrants</w:t>
            </w: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Options, Warrants</w:t>
            </w:r>
          </w:p>
        </w:tc>
        <w:tc>
          <w:tcPr>
            <w:tcW w:w="2500" w:type="dxa"/>
            <w:vAlign w:val="bottom"/>
          </w:tcPr>
          <w:p>
            <w:pPr>
              <w:jc w:val="right"/>
              <w:ind w:right="79"/>
              <w:spacing w:after="0"/>
              <w:rPr>
                <w:sz w:val="20"/>
                <w:szCs w:val="20"/>
                <w:color w:val="auto"/>
              </w:rPr>
            </w:pPr>
            <w:r>
              <w:rPr>
                <w:rFonts w:ascii="Arial" w:cs="Arial" w:eastAsia="Arial" w:hAnsi="Arial"/>
                <w:sz w:val="16"/>
                <w:szCs w:val="16"/>
                <w:b w:val="1"/>
                <w:bCs w:val="1"/>
                <w:color w:val="auto"/>
              </w:rPr>
              <w:t>issued as reflected in</w:t>
            </w:r>
          </w:p>
        </w:tc>
      </w:tr>
      <w:tr>
        <w:trPr>
          <w:trHeight w:val="189"/>
        </w:trPr>
        <w:tc>
          <w:tcPr>
            <w:tcW w:w="4580" w:type="dxa"/>
            <w:vAlign w:val="bottom"/>
          </w:tcPr>
          <w:p>
            <w:pPr>
              <w:spacing w:after="0"/>
              <w:rPr>
                <w:sz w:val="16"/>
                <w:szCs w:val="16"/>
                <w:color w:val="auto"/>
              </w:rPr>
            </w:pPr>
          </w:p>
        </w:tc>
        <w:tc>
          <w:tcPr>
            <w:tcW w:w="1980" w:type="dxa"/>
            <w:vAlign w:val="bottom"/>
          </w:tcPr>
          <w:p>
            <w:pPr>
              <w:jc w:val="right"/>
              <w:ind w:right="259"/>
              <w:spacing w:after="0"/>
              <w:rPr>
                <w:sz w:val="20"/>
                <w:szCs w:val="20"/>
                <w:color w:val="auto"/>
              </w:rPr>
            </w:pPr>
            <w:r>
              <w:rPr>
                <w:rFonts w:ascii="Arial" w:cs="Arial" w:eastAsia="Arial" w:hAnsi="Arial"/>
                <w:sz w:val="16"/>
                <w:szCs w:val="16"/>
                <w:b w:val="1"/>
                <w:bCs w:val="1"/>
                <w:color w:val="auto"/>
              </w:rPr>
              <w:t>and Rights</w:t>
            </w: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and Rights</w:t>
            </w:r>
          </w:p>
        </w:tc>
        <w:tc>
          <w:tcPr>
            <w:tcW w:w="2500" w:type="dxa"/>
            <w:vAlign w:val="bottom"/>
          </w:tcPr>
          <w:p>
            <w:pPr>
              <w:jc w:val="right"/>
              <w:ind w:right="79"/>
              <w:spacing w:after="0"/>
              <w:rPr>
                <w:sz w:val="20"/>
                <w:szCs w:val="20"/>
                <w:color w:val="auto"/>
              </w:rPr>
            </w:pPr>
            <w:r>
              <w:rPr>
                <w:rFonts w:ascii="Arial" w:cs="Arial" w:eastAsia="Arial" w:hAnsi="Arial"/>
                <w:sz w:val="16"/>
                <w:szCs w:val="16"/>
                <w:b w:val="1"/>
                <w:bCs w:val="1"/>
                <w:color w:val="auto"/>
              </w:rPr>
              <w:t>column (1))</w:t>
            </w:r>
          </w:p>
        </w:tc>
      </w:tr>
      <w:tr>
        <w:trPr>
          <w:trHeight w:val="223"/>
        </w:trPr>
        <w:tc>
          <w:tcPr>
            <w:tcW w:w="4580" w:type="dxa"/>
            <w:vAlign w:val="bottom"/>
          </w:tcPr>
          <w:p>
            <w:pPr>
              <w:ind w:left="60"/>
              <w:spacing w:after="0"/>
              <w:rPr>
                <w:sz w:val="20"/>
                <w:szCs w:val="20"/>
                <w:color w:val="auto"/>
              </w:rPr>
            </w:pPr>
            <w:r>
              <w:rPr>
                <w:rFonts w:ascii="Arial" w:cs="Arial" w:eastAsia="Arial" w:hAnsi="Arial"/>
                <w:sz w:val="16"/>
                <w:szCs w:val="16"/>
                <w:b w:val="1"/>
                <w:bCs w:val="1"/>
                <w:color w:val="auto"/>
              </w:rPr>
              <w:t>Plan Category</w:t>
            </w: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auto"/>
              </w:rPr>
              <w:t>(1) (#)</w:t>
            </w:r>
          </w:p>
        </w:tc>
        <w:tc>
          <w:tcPr>
            <w:tcW w:w="1820" w:type="dxa"/>
            <w:vAlign w:val="bottom"/>
          </w:tcPr>
          <w:p>
            <w:pPr>
              <w:jc w:val="right"/>
              <w:ind w:right="119"/>
              <w:spacing w:after="0"/>
              <w:rPr>
                <w:sz w:val="20"/>
                <w:szCs w:val="20"/>
                <w:color w:val="auto"/>
              </w:rPr>
            </w:pPr>
            <w:r>
              <w:rPr>
                <w:rFonts w:ascii="Arial" w:cs="Arial" w:eastAsia="Arial" w:hAnsi="Arial"/>
                <w:sz w:val="16"/>
                <w:szCs w:val="16"/>
                <w:b w:val="1"/>
                <w:bCs w:val="1"/>
                <w:color w:val="auto"/>
              </w:rPr>
              <w:t>(2) ($)</w:t>
            </w:r>
          </w:p>
        </w:tc>
        <w:tc>
          <w:tcPr>
            <w:tcW w:w="2500" w:type="dxa"/>
            <w:vAlign w:val="bottom"/>
          </w:tcPr>
          <w:p>
            <w:pPr>
              <w:jc w:val="right"/>
              <w:ind w:right="39"/>
              <w:spacing w:after="0"/>
              <w:rPr>
                <w:sz w:val="20"/>
                <w:szCs w:val="20"/>
                <w:color w:val="auto"/>
              </w:rPr>
            </w:pPr>
            <w:r>
              <w:rPr>
                <w:rFonts w:ascii="Arial" w:cs="Arial" w:eastAsia="Arial" w:hAnsi="Arial"/>
                <w:sz w:val="16"/>
                <w:szCs w:val="16"/>
                <w:b w:val="1"/>
                <w:bCs w:val="1"/>
                <w:color w:val="auto"/>
              </w:rPr>
              <w:t>(3) (#)</w:t>
            </w: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209"/>
        </w:trPr>
        <w:tc>
          <w:tcPr>
            <w:tcW w:w="4580" w:type="dxa"/>
            <w:vAlign w:val="bottom"/>
            <w:shd w:val="clear" w:color="auto" w:fill="DCDDDE"/>
          </w:tcPr>
          <w:p>
            <w:pPr>
              <w:ind w:left="60"/>
              <w:spacing w:after="0"/>
              <w:rPr>
                <w:sz w:val="20"/>
                <w:szCs w:val="20"/>
                <w:color w:val="auto"/>
              </w:rPr>
            </w:pPr>
            <w:r>
              <w:rPr>
                <w:rFonts w:ascii="Arial" w:cs="Arial" w:eastAsia="Arial" w:hAnsi="Arial"/>
                <w:sz w:val="16"/>
                <w:szCs w:val="16"/>
                <w:color w:val="auto"/>
              </w:rPr>
              <w:t>Equity compensation plans approved by the Company’s</w:t>
            </w:r>
          </w:p>
        </w:tc>
        <w:tc>
          <w:tcPr>
            <w:tcW w:w="1980" w:type="dxa"/>
            <w:vAlign w:val="bottom"/>
            <w:shd w:val="clear" w:color="auto" w:fill="DCDDDE"/>
          </w:tcPr>
          <w:p>
            <w:pPr>
              <w:spacing w:after="0"/>
              <w:rPr>
                <w:sz w:val="18"/>
                <w:szCs w:val="18"/>
                <w:color w:val="auto"/>
              </w:rPr>
            </w:pPr>
          </w:p>
        </w:tc>
        <w:tc>
          <w:tcPr>
            <w:tcW w:w="1820" w:type="dxa"/>
            <w:vAlign w:val="bottom"/>
            <w:shd w:val="clear" w:color="auto" w:fill="DCDDDE"/>
          </w:tcPr>
          <w:p>
            <w:pPr>
              <w:spacing w:after="0"/>
              <w:rPr>
                <w:sz w:val="18"/>
                <w:szCs w:val="18"/>
                <w:color w:val="auto"/>
              </w:rPr>
            </w:pPr>
          </w:p>
        </w:tc>
        <w:tc>
          <w:tcPr>
            <w:tcW w:w="2500" w:type="dxa"/>
            <w:vAlign w:val="bottom"/>
            <w:shd w:val="clear" w:color="auto" w:fill="DCDDDE"/>
          </w:tcPr>
          <w:p>
            <w:pPr>
              <w:spacing w:after="0"/>
              <w:rPr>
                <w:sz w:val="18"/>
                <w:szCs w:val="18"/>
                <w:color w:val="auto"/>
              </w:rPr>
            </w:pPr>
          </w:p>
        </w:tc>
      </w:tr>
      <w:tr>
        <w:trPr>
          <w:trHeight w:val="244"/>
        </w:trPr>
        <w:tc>
          <w:tcPr>
            <w:tcW w:w="4580" w:type="dxa"/>
            <w:vAlign w:val="bottom"/>
            <w:shd w:val="clear" w:color="auto" w:fill="DCDDDE"/>
          </w:tcPr>
          <w:p>
            <w:pPr>
              <w:ind w:left="60"/>
              <w:spacing w:after="0"/>
              <w:rPr>
                <w:sz w:val="20"/>
                <w:szCs w:val="20"/>
                <w:color w:val="auto"/>
              </w:rPr>
            </w:pPr>
            <w:r>
              <w:rPr>
                <w:rFonts w:ascii="Arial" w:cs="Arial" w:eastAsia="Arial" w:hAnsi="Arial"/>
                <w:sz w:val="16"/>
                <w:szCs w:val="16"/>
                <w:color w:val="auto"/>
              </w:rPr>
              <w:t>shareholders</w:t>
            </w:r>
            <w:r>
              <w:rPr>
                <w:rFonts w:ascii="Arial" w:cs="Arial" w:eastAsia="Arial" w:hAnsi="Arial"/>
                <w:sz w:val="18"/>
                <w:szCs w:val="18"/>
                <w:color w:val="auto"/>
                <w:vertAlign w:val="superscript"/>
              </w:rPr>
              <w:t>(a)</w:t>
            </w:r>
          </w:p>
        </w:tc>
        <w:tc>
          <w:tcPr>
            <w:tcW w:w="1980" w:type="dxa"/>
            <w:vAlign w:val="bottom"/>
            <w:shd w:val="clear" w:color="auto" w:fill="DCDDDE"/>
          </w:tcPr>
          <w:p>
            <w:pPr>
              <w:jc w:val="right"/>
              <w:ind w:right="99"/>
              <w:spacing w:after="0"/>
              <w:rPr>
                <w:sz w:val="20"/>
                <w:szCs w:val="20"/>
                <w:color w:val="auto"/>
              </w:rPr>
            </w:pPr>
            <w:r>
              <w:rPr>
                <w:rFonts w:ascii="Arial" w:cs="Arial" w:eastAsia="Arial" w:hAnsi="Arial"/>
                <w:sz w:val="16"/>
                <w:szCs w:val="16"/>
                <w:color w:val="auto"/>
              </w:rPr>
              <w:t>13,694,556</w:t>
            </w:r>
            <w:r>
              <w:rPr>
                <w:rFonts w:ascii="Arial" w:cs="Arial" w:eastAsia="Arial" w:hAnsi="Arial"/>
                <w:sz w:val="18"/>
                <w:szCs w:val="18"/>
                <w:color w:val="auto"/>
                <w:vertAlign w:val="superscript"/>
              </w:rPr>
              <w:t>(b)</w:t>
            </w:r>
          </w:p>
        </w:tc>
        <w:tc>
          <w:tcPr>
            <w:tcW w:w="182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38</w:t>
            </w:r>
          </w:p>
        </w:tc>
        <w:tc>
          <w:tcPr>
            <w:tcW w:w="250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16,321,659</w:t>
            </w:r>
            <w:r>
              <w:rPr>
                <w:rFonts w:ascii="Arial" w:cs="Arial" w:eastAsia="Arial" w:hAnsi="Arial"/>
                <w:sz w:val="18"/>
                <w:szCs w:val="18"/>
                <w:color w:val="auto"/>
                <w:vertAlign w:val="superscript"/>
              </w:rPr>
              <w:t>(c)</w:t>
            </w:r>
          </w:p>
        </w:tc>
      </w:tr>
      <w:tr>
        <w:trPr>
          <w:trHeight w:val="215"/>
        </w:trPr>
        <w:tc>
          <w:tcPr>
            <w:tcW w:w="4580" w:type="dxa"/>
            <w:vAlign w:val="bottom"/>
          </w:tcPr>
          <w:p>
            <w:pPr>
              <w:ind w:left="60"/>
              <w:spacing w:after="0"/>
              <w:rPr>
                <w:sz w:val="20"/>
                <w:szCs w:val="20"/>
                <w:color w:val="auto"/>
              </w:rPr>
            </w:pPr>
            <w:r>
              <w:rPr>
                <w:rFonts w:ascii="Arial" w:cs="Arial" w:eastAsia="Arial" w:hAnsi="Arial"/>
                <w:sz w:val="16"/>
                <w:szCs w:val="16"/>
                <w:color w:val="auto"/>
              </w:rPr>
              <w:t>Equity compensation plans not approved by the Company’s</w:t>
            </w:r>
          </w:p>
        </w:tc>
        <w:tc>
          <w:tcPr>
            <w:tcW w:w="1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44"/>
        </w:trPr>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shareholders</w:t>
            </w:r>
            <w:r>
              <w:rPr>
                <w:rFonts w:ascii="Arial" w:cs="Arial" w:eastAsia="Arial" w:hAnsi="Arial"/>
                <w:sz w:val="18"/>
                <w:szCs w:val="18"/>
                <w:color w:val="auto"/>
                <w:vertAlign w:val="superscript"/>
              </w:rPr>
              <w:t>(d)</w:t>
            </w:r>
          </w:p>
        </w:tc>
        <w:tc>
          <w:tcPr>
            <w:tcW w:w="1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993</w:t>
            </w:r>
          </w:p>
        </w:tc>
        <w:tc>
          <w:tcPr>
            <w:tcW w:w="1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2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458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TOTAL</w:t>
            </w:r>
          </w:p>
        </w:tc>
        <w:tc>
          <w:tcPr>
            <w:tcW w:w="1980" w:type="dxa"/>
            <w:vAlign w:val="bottom"/>
            <w:tcBorders>
              <w:bottom w:val="single" w:sz="8" w:color="auto"/>
            </w:tcBorders>
            <w:shd w:val="clear" w:color="auto" w:fill="DCDDDE"/>
          </w:tcPr>
          <w:p>
            <w:pPr>
              <w:jc w:val="right"/>
              <w:ind w:right="199"/>
              <w:spacing w:after="0"/>
              <w:rPr>
                <w:sz w:val="20"/>
                <w:szCs w:val="20"/>
                <w:color w:val="auto"/>
              </w:rPr>
            </w:pPr>
            <w:r>
              <w:rPr>
                <w:rFonts w:ascii="Arial" w:cs="Arial" w:eastAsia="Arial" w:hAnsi="Arial"/>
                <w:sz w:val="16"/>
                <w:szCs w:val="16"/>
                <w:b w:val="1"/>
                <w:bCs w:val="1"/>
                <w:color w:val="auto"/>
              </w:rPr>
              <w:t>13,695,549</w:t>
            </w:r>
          </w:p>
        </w:tc>
        <w:tc>
          <w:tcPr>
            <w:tcW w:w="1820" w:type="dxa"/>
            <w:vAlign w:val="bottom"/>
            <w:tcBorders>
              <w:bottom w:val="single" w:sz="8" w:color="auto"/>
            </w:tcBorders>
            <w:shd w:val="clear" w:color="auto" w:fill="DCDDDE"/>
          </w:tcPr>
          <w:p>
            <w:pPr>
              <w:jc w:val="right"/>
              <w:ind w:right="119"/>
              <w:spacing w:after="0"/>
              <w:rPr>
                <w:sz w:val="20"/>
                <w:szCs w:val="20"/>
                <w:color w:val="auto"/>
              </w:rPr>
            </w:pPr>
            <w:r>
              <w:rPr>
                <w:rFonts w:ascii="Arial" w:cs="Arial" w:eastAsia="Arial" w:hAnsi="Arial"/>
                <w:sz w:val="16"/>
                <w:szCs w:val="16"/>
                <w:b w:val="1"/>
                <w:bCs w:val="1"/>
                <w:color w:val="auto"/>
              </w:rPr>
              <w:t>38</w:t>
            </w:r>
          </w:p>
        </w:tc>
        <w:tc>
          <w:tcPr>
            <w:tcW w:w="2500" w:type="dxa"/>
            <w:vAlign w:val="bottom"/>
            <w:tcBorders>
              <w:bottom w:val="single" w:sz="8" w:color="auto"/>
            </w:tcBorders>
            <w:shd w:val="clear" w:color="auto" w:fill="DCDDDE"/>
          </w:tcPr>
          <w:p>
            <w:pPr>
              <w:jc w:val="right"/>
              <w:ind w:right="39"/>
              <w:spacing w:after="0"/>
              <w:rPr>
                <w:sz w:val="20"/>
                <w:szCs w:val="20"/>
                <w:color w:val="auto"/>
              </w:rPr>
            </w:pPr>
            <w:r>
              <w:rPr>
                <w:rFonts w:ascii="Arial" w:cs="Arial" w:eastAsia="Arial" w:hAnsi="Arial"/>
                <w:sz w:val="16"/>
                <w:szCs w:val="16"/>
                <w:b w:val="1"/>
                <w:bCs w:val="1"/>
                <w:color w:val="auto"/>
              </w:rPr>
              <w:t>16,321,659</w:t>
            </w:r>
          </w:p>
        </w:tc>
      </w:tr>
    </w:tbl>
    <w:p>
      <w:pPr>
        <w:spacing w:after="0" w:line="96" w:lineRule="exact"/>
        <w:rPr>
          <w:sz w:val="20"/>
          <w:szCs w:val="20"/>
          <w:color w:val="auto"/>
        </w:rPr>
      </w:pPr>
    </w:p>
    <w:p>
      <w:pPr>
        <w:jc w:val="both"/>
        <w:ind w:left="180" w:hanging="179"/>
        <w:spacing w:after="0" w:line="253" w:lineRule="auto"/>
        <w:rPr>
          <w:sz w:val="20"/>
          <w:szCs w:val="20"/>
          <w:color w:val="auto"/>
        </w:rPr>
      </w:pPr>
      <w:r>
        <w:rPr>
          <w:rFonts w:ascii="Arial" w:cs="Arial" w:eastAsia="Arial" w:hAnsi="Arial"/>
          <w:sz w:val="18"/>
          <w:szCs w:val="18"/>
          <w:i w:val="1"/>
          <w:iCs w:val="1"/>
          <w:color w:val="auto"/>
          <w:vertAlign w:val="superscript"/>
        </w:rPr>
        <w:t>(a)</w:t>
      </w:r>
      <w:r>
        <w:rPr>
          <w:rFonts w:ascii="Arial" w:cs="Arial" w:eastAsia="Arial" w:hAnsi="Arial"/>
          <w:sz w:val="16"/>
          <w:szCs w:val="16"/>
          <w:i w:val="1"/>
          <w:iCs w:val="1"/>
          <w:color w:val="auto"/>
        </w:rPr>
        <w:t>​ Consist of the 2010 and 2019 EIP and the ESPP. PSUs and RSUs do not have an exercise price and therefore have been excluded from the weighted average exercise price calculation in column (2).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(b)</w:t>
      </w:r>
      <w:r>
        <w:rPr>
          <w:rFonts w:ascii="Arial" w:cs="Arial" w:eastAsia="Arial" w:hAnsi="Arial"/>
          <w:sz w:val="16"/>
          <w:szCs w:val="16"/>
          <w:i w:val="1"/>
          <w:iCs w:val="1"/>
          <w:color w:val="auto"/>
        </w:rPr>
        <w:t>​ Includes 44,438 of deferred Director awards and 54,558 related to deferred PSUs.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(c)</w:t>
      </w:r>
      <w:r>
        <w:rPr>
          <w:rFonts w:ascii="Arial" w:cs="Arial" w:eastAsia="Arial" w:hAnsi="Arial"/>
          <w:sz w:val="16"/>
          <w:szCs w:val="16"/>
          <w:i w:val="1"/>
          <w:iCs w:val="1"/>
          <w:color w:val="auto"/>
        </w:rPr>
        <w:t>​ Includes 13,918,267 shares from the 2019 EIP, and 2,403,392 shares from the ESPP.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(d)</w:t>
      </w:r>
      <w:r>
        <w:rPr>
          <w:rFonts w:ascii="Arial" w:cs="Arial" w:eastAsia="Arial" w:hAnsi="Arial"/>
          <w:sz w:val="16"/>
          <w:szCs w:val="16"/>
          <w:i w:val="1"/>
          <w:iCs w:val="1"/>
          <w:color w:val="auto"/>
        </w:rPr>
        <w:t>​ Consist of plans assumed in connection with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339090</wp:posOffset>
            </wp:positionV>
            <wp:extent cx="1020445" cy="1289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60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340"/>
        <w:spacing w:after="0" w:line="268" w:lineRule="auto"/>
        <w:rPr>
          <w:sz w:val="20"/>
          <w:szCs w:val="20"/>
          <w:color w:val="auto"/>
        </w:rPr>
      </w:pPr>
      <w:r>
        <w:rPr>
          <w:rFonts w:ascii="Arial" w:cs="Arial" w:eastAsia="Arial" w:hAnsi="Arial"/>
          <w:sz w:val="40"/>
          <w:szCs w:val="40"/>
          <w:b w:val="1"/>
          <w:bCs w:val="1"/>
          <w:color w:val="1E295B"/>
        </w:rPr>
        <w:t>SECURITY OWNERSHIP OF CERTAIN BENEFICIAL OWNERS AND MANAGEMENT</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Beneficial Ownership Table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table shows the amount of Common Stock beneficially owned (unless otherwise indicated) by holders of more than 5% of the outstanding shares of Common Stock, by our Directors, by the NEOs, and by all Directors and Executive Officers of the Company as a group. Except as otherwise noted, each of the reporting persons has sole voting and investment power with respect to the shares listed. Except as otherwise noted, all information is as of April 10,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3560" w:type="dxa"/>
            <w:vAlign w:val="bottom"/>
          </w:tcPr>
          <w:p>
            <w:pPr>
              <w:jc w:val="right"/>
              <w:ind w:right="399"/>
              <w:spacing w:after="0"/>
              <w:rPr>
                <w:sz w:val="20"/>
                <w:szCs w:val="20"/>
                <w:color w:val="auto"/>
              </w:rPr>
            </w:pPr>
            <w:r>
              <w:rPr>
                <w:rFonts w:ascii="Arial" w:cs="Arial" w:eastAsia="Arial" w:hAnsi="Arial"/>
                <w:sz w:val="16"/>
                <w:szCs w:val="16"/>
                <w:b w:val="1"/>
                <w:bCs w:val="1"/>
                <w:color w:val="auto"/>
              </w:rPr>
              <w:t>Amount and Nature of</w:t>
            </w: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Percent of</w:t>
            </w:r>
          </w:p>
        </w:tc>
      </w:tr>
      <w:tr>
        <w:trPr>
          <w:trHeight w:val="189"/>
        </w:trPr>
        <w:tc>
          <w:tcPr>
            <w:tcW w:w="3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3560" w:type="dxa"/>
            <w:vAlign w:val="bottom"/>
          </w:tcPr>
          <w:p>
            <w:pPr>
              <w:jc w:val="right"/>
              <w:ind w:right="399"/>
              <w:spacing w:after="0"/>
              <w:rPr>
                <w:sz w:val="20"/>
                <w:szCs w:val="20"/>
                <w:color w:val="auto"/>
              </w:rPr>
            </w:pPr>
            <w:r>
              <w:rPr>
                <w:rFonts w:ascii="Arial" w:cs="Arial" w:eastAsia="Arial" w:hAnsi="Arial"/>
                <w:sz w:val="16"/>
                <w:szCs w:val="16"/>
                <w:b w:val="1"/>
                <w:bCs w:val="1"/>
                <w:color w:val="auto"/>
              </w:rPr>
              <w:t>Beneficial Ownership</w:t>
            </w: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Ownership</w:t>
            </w:r>
          </w:p>
        </w:tc>
      </w:tr>
      <w:tr>
        <w:trPr>
          <w:trHeight w:val="223"/>
        </w:trPr>
        <w:tc>
          <w:tcPr>
            <w:tcW w:w="5900" w:type="dxa"/>
            <w:vAlign w:val="bottom"/>
            <w:gridSpan w:val="2"/>
          </w:tcPr>
          <w:p>
            <w:pPr>
              <w:ind w:left="60"/>
              <w:spacing w:after="0"/>
              <w:rPr>
                <w:sz w:val="20"/>
                <w:szCs w:val="20"/>
                <w:color w:val="auto"/>
              </w:rPr>
            </w:pPr>
            <w:r>
              <w:rPr>
                <w:rFonts w:ascii="Arial" w:cs="Arial" w:eastAsia="Arial" w:hAnsi="Arial"/>
                <w:sz w:val="16"/>
                <w:szCs w:val="16"/>
                <w:b w:val="1"/>
                <w:bCs w:val="1"/>
                <w:color w:val="auto"/>
              </w:rPr>
              <w:t>Name of Beneficial Owner</w:t>
            </w:r>
          </w:p>
        </w:tc>
        <w:tc>
          <w:tcPr>
            <w:tcW w:w="3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3"/>
        </w:trPr>
        <w:tc>
          <w:tcPr>
            <w:tcW w:w="3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w:t>
            </w:r>
          </w:p>
        </w:tc>
        <w:tc>
          <w:tcPr>
            <w:tcW w:w="55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Erik B. Nordstrom</w:t>
            </w:r>
          </w:p>
        </w:tc>
        <w:tc>
          <w:tcPr>
            <w:tcW w:w="3560" w:type="dxa"/>
            <w:vAlign w:val="bottom"/>
            <w:tcBorders>
              <w:bottom w:val="single" w:sz="8" w:color="DCDDDE"/>
            </w:tcBorders>
            <w:shd w:val="clear" w:color="auto" w:fill="DCDDDE"/>
          </w:tcPr>
          <w:p>
            <w:pPr>
              <w:jc w:val="right"/>
              <w:ind w:right="359"/>
              <w:spacing w:after="0"/>
              <w:rPr>
                <w:sz w:val="20"/>
                <w:szCs w:val="20"/>
                <w:color w:val="auto"/>
              </w:rPr>
            </w:pPr>
            <w:r>
              <w:rPr>
                <w:rFonts w:ascii="Arial" w:cs="Arial" w:eastAsia="Arial" w:hAnsi="Arial"/>
                <w:sz w:val="16"/>
                <w:szCs w:val="16"/>
                <w:color w:val="auto"/>
              </w:rPr>
              <w:t>3,539,574</w:t>
            </w:r>
          </w:p>
        </w:tc>
        <w:tc>
          <w:tcPr>
            <w:tcW w:w="1420" w:type="dxa"/>
            <w:vAlign w:val="bottom"/>
            <w:tcBorders>
              <w:bottom w:val="single" w:sz="8" w:color="DCDDDE"/>
            </w:tcBorders>
            <w:shd w:val="clear" w:color="auto" w:fill="DCDDDE"/>
          </w:tcPr>
          <w:p>
            <w:pPr>
              <w:jc w:val="right"/>
              <w:ind w:right="39"/>
              <w:spacing w:after="0"/>
              <w:rPr>
                <w:sz w:val="20"/>
                <w:szCs w:val="20"/>
                <w:color w:val="auto"/>
              </w:rPr>
            </w:pPr>
            <w:r>
              <w:rPr>
                <w:rFonts w:ascii="Arial" w:cs="Arial" w:eastAsia="Arial" w:hAnsi="Arial"/>
                <w:sz w:val="16"/>
                <w:szCs w:val="16"/>
                <w:color w:val="auto"/>
              </w:rPr>
              <w:t>2.18%</w:t>
            </w:r>
          </w:p>
        </w:tc>
      </w:tr>
      <w:tr>
        <w:trPr>
          <w:trHeight w:val="241"/>
        </w:trPr>
        <w:tc>
          <w:tcPr>
            <w:tcW w:w="380" w:type="dxa"/>
            <w:vAlign w:val="bottom"/>
          </w:tcPr>
          <w:p>
            <w:pPr>
              <w:ind w:left="60"/>
              <w:spacing w:after="0"/>
              <w:rPr>
                <w:sz w:val="20"/>
                <w:szCs w:val="20"/>
                <w:color w:val="auto"/>
              </w:rPr>
            </w:pPr>
            <w:r>
              <w:rPr>
                <w:rFonts w:ascii="Arial" w:cs="Arial" w:eastAsia="Arial" w:hAnsi="Arial"/>
                <w:sz w:val="16"/>
                <w:szCs w:val="16"/>
                <w:color w:val="auto"/>
              </w:rPr>
              <w:t>(b)</w:t>
            </w:r>
          </w:p>
        </w:tc>
        <w:tc>
          <w:tcPr>
            <w:tcW w:w="5520" w:type="dxa"/>
            <w:vAlign w:val="bottom"/>
          </w:tcPr>
          <w:p>
            <w:pPr>
              <w:ind w:left="60"/>
              <w:spacing w:after="0"/>
              <w:rPr>
                <w:sz w:val="20"/>
                <w:szCs w:val="20"/>
                <w:color w:val="auto"/>
              </w:rPr>
            </w:pPr>
            <w:r>
              <w:rPr>
                <w:rFonts w:ascii="Arial" w:cs="Arial" w:eastAsia="Arial" w:hAnsi="Arial"/>
                <w:sz w:val="16"/>
                <w:szCs w:val="16"/>
                <w:color w:val="auto"/>
              </w:rPr>
              <w:t>Peter E. Nordstrom</w:t>
            </w:r>
          </w:p>
        </w:tc>
        <w:tc>
          <w:tcPr>
            <w:tcW w:w="3560" w:type="dxa"/>
            <w:vAlign w:val="bottom"/>
          </w:tcPr>
          <w:p>
            <w:pPr>
              <w:jc w:val="right"/>
              <w:ind w:right="359"/>
              <w:spacing w:after="0"/>
              <w:rPr>
                <w:sz w:val="20"/>
                <w:szCs w:val="20"/>
                <w:color w:val="auto"/>
              </w:rPr>
            </w:pPr>
            <w:r>
              <w:rPr>
                <w:rFonts w:ascii="Arial" w:cs="Arial" w:eastAsia="Arial" w:hAnsi="Arial"/>
                <w:sz w:val="16"/>
                <w:szCs w:val="16"/>
                <w:color w:val="auto"/>
              </w:rPr>
              <w:t>3,483,992</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2.15%</w:t>
            </w:r>
          </w:p>
        </w:tc>
      </w:tr>
      <w:tr>
        <w:trPr>
          <w:trHeight w:val="29"/>
        </w:trPr>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(c)</w:t>
            </w:r>
          </w:p>
        </w:tc>
        <w:tc>
          <w:tcPr>
            <w:tcW w:w="55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Kenneth J. Worzel</w:t>
            </w:r>
          </w:p>
        </w:tc>
        <w:tc>
          <w:tcPr>
            <w:tcW w:w="3560" w:type="dxa"/>
            <w:vAlign w:val="bottom"/>
            <w:tcBorders>
              <w:bottom w:val="single" w:sz="8" w:color="DCDDDE"/>
            </w:tcBorders>
            <w:shd w:val="clear" w:color="auto" w:fill="DCDDDE"/>
          </w:tcPr>
          <w:p>
            <w:pPr>
              <w:jc w:val="right"/>
              <w:ind w:right="359"/>
              <w:spacing w:after="0"/>
              <w:rPr>
                <w:sz w:val="20"/>
                <w:szCs w:val="20"/>
                <w:color w:val="auto"/>
              </w:rPr>
            </w:pPr>
            <w:r>
              <w:rPr>
                <w:rFonts w:ascii="Arial" w:cs="Arial" w:eastAsia="Arial" w:hAnsi="Arial"/>
                <w:sz w:val="16"/>
                <w:szCs w:val="16"/>
                <w:color w:val="auto"/>
              </w:rPr>
              <w:t>725,520</w:t>
            </w:r>
          </w:p>
        </w:tc>
        <w:tc>
          <w:tcPr>
            <w:tcW w:w="14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r>
      <w:tr>
        <w:trPr>
          <w:trHeight w:val="241"/>
        </w:trPr>
        <w:tc>
          <w:tcPr>
            <w:tcW w:w="380" w:type="dxa"/>
            <w:vAlign w:val="bottom"/>
          </w:tcPr>
          <w:p>
            <w:pPr>
              <w:ind w:left="60"/>
              <w:spacing w:after="0"/>
              <w:rPr>
                <w:sz w:val="20"/>
                <w:szCs w:val="20"/>
                <w:color w:val="auto"/>
              </w:rPr>
            </w:pPr>
            <w:r>
              <w:rPr>
                <w:rFonts w:ascii="Arial" w:cs="Arial" w:eastAsia="Arial" w:hAnsi="Arial"/>
                <w:sz w:val="16"/>
                <w:szCs w:val="16"/>
                <w:color w:val="auto"/>
              </w:rPr>
              <w:t>(d)</w:t>
            </w:r>
          </w:p>
        </w:tc>
        <w:tc>
          <w:tcPr>
            <w:tcW w:w="5520" w:type="dxa"/>
            <w:vAlign w:val="bottom"/>
          </w:tcPr>
          <w:p>
            <w:pPr>
              <w:ind w:left="60"/>
              <w:spacing w:after="0"/>
              <w:rPr>
                <w:sz w:val="20"/>
                <w:szCs w:val="20"/>
                <w:color w:val="auto"/>
              </w:rPr>
            </w:pPr>
            <w:r>
              <w:rPr>
                <w:rFonts w:ascii="Arial" w:cs="Arial" w:eastAsia="Arial" w:hAnsi="Arial"/>
                <w:sz w:val="16"/>
                <w:szCs w:val="16"/>
                <w:color w:val="auto"/>
              </w:rPr>
              <w:t>Alexis DePree</w:t>
            </w:r>
          </w:p>
        </w:tc>
        <w:tc>
          <w:tcPr>
            <w:tcW w:w="3560" w:type="dxa"/>
            <w:vAlign w:val="bottom"/>
          </w:tcPr>
          <w:p>
            <w:pPr>
              <w:jc w:val="right"/>
              <w:ind w:right="359"/>
              <w:spacing w:after="0"/>
              <w:rPr>
                <w:sz w:val="20"/>
                <w:szCs w:val="20"/>
                <w:color w:val="auto"/>
              </w:rPr>
            </w:pPr>
            <w:r>
              <w:rPr>
                <w:rFonts w:ascii="Arial" w:cs="Arial" w:eastAsia="Arial" w:hAnsi="Arial"/>
                <w:sz w:val="16"/>
                <w:szCs w:val="16"/>
                <w:color w:val="auto"/>
              </w:rPr>
              <w:t>133,161</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w:t>
            </w:r>
          </w:p>
        </w:tc>
        <w:tc>
          <w:tcPr>
            <w:tcW w:w="55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Michael W. Maher</w:t>
            </w:r>
          </w:p>
        </w:tc>
        <w:tc>
          <w:tcPr>
            <w:tcW w:w="3560" w:type="dxa"/>
            <w:vAlign w:val="bottom"/>
            <w:tcBorders>
              <w:bottom w:val="single" w:sz="8" w:color="DCDDDE"/>
            </w:tcBorders>
            <w:shd w:val="clear" w:color="auto" w:fill="DCDDDE"/>
          </w:tcPr>
          <w:p>
            <w:pPr>
              <w:jc w:val="right"/>
              <w:ind w:right="359"/>
              <w:spacing w:after="0"/>
              <w:rPr>
                <w:sz w:val="20"/>
                <w:szCs w:val="20"/>
                <w:color w:val="auto"/>
              </w:rPr>
            </w:pPr>
            <w:r>
              <w:rPr>
                <w:rFonts w:ascii="Arial" w:cs="Arial" w:eastAsia="Arial" w:hAnsi="Arial"/>
                <w:sz w:val="16"/>
                <w:szCs w:val="16"/>
                <w:color w:val="auto"/>
              </w:rPr>
              <w:t>90,692</w:t>
            </w:r>
          </w:p>
        </w:tc>
        <w:tc>
          <w:tcPr>
            <w:tcW w:w="14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r>
      <w:tr>
        <w:trPr>
          <w:trHeight w:val="241"/>
        </w:trPr>
        <w:tc>
          <w:tcPr>
            <w:tcW w:w="380" w:type="dxa"/>
            <w:vAlign w:val="bottom"/>
          </w:tcPr>
          <w:p>
            <w:pPr>
              <w:ind w:left="60"/>
              <w:spacing w:after="0"/>
              <w:rPr>
                <w:sz w:val="20"/>
                <w:szCs w:val="20"/>
                <w:color w:val="auto"/>
              </w:rPr>
            </w:pPr>
            <w:r>
              <w:rPr>
                <w:rFonts w:ascii="Arial" w:cs="Arial" w:eastAsia="Arial" w:hAnsi="Arial"/>
                <w:sz w:val="16"/>
                <w:szCs w:val="16"/>
                <w:color w:val="auto"/>
              </w:rPr>
              <w:t>(f)</w:t>
            </w:r>
          </w:p>
        </w:tc>
        <w:tc>
          <w:tcPr>
            <w:tcW w:w="5520" w:type="dxa"/>
            <w:vAlign w:val="bottom"/>
          </w:tcPr>
          <w:p>
            <w:pPr>
              <w:ind w:left="60"/>
              <w:spacing w:after="0"/>
              <w:rPr>
                <w:sz w:val="20"/>
                <w:szCs w:val="20"/>
                <w:color w:val="auto"/>
              </w:rPr>
            </w:pPr>
            <w:r>
              <w:rPr>
                <w:rFonts w:ascii="Arial" w:cs="Arial" w:eastAsia="Arial" w:hAnsi="Arial"/>
                <w:sz w:val="16"/>
                <w:szCs w:val="16"/>
                <w:color w:val="auto"/>
              </w:rPr>
              <w:t>Edmond Mesrobian</w:t>
            </w:r>
          </w:p>
        </w:tc>
        <w:tc>
          <w:tcPr>
            <w:tcW w:w="3560" w:type="dxa"/>
            <w:vAlign w:val="bottom"/>
          </w:tcPr>
          <w:p>
            <w:pPr>
              <w:jc w:val="right"/>
              <w:ind w:right="359"/>
              <w:spacing w:after="0"/>
              <w:rPr>
                <w:sz w:val="20"/>
                <w:szCs w:val="20"/>
                <w:color w:val="auto"/>
              </w:rPr>
            </w:pPr>
            <w:r>
              <w:rPr>
                <w:rFonts w:ascii="Arial" w:cs="Arial" w:eastAsia="Arial" w:hAnsi="Arial"/>
                <w:sz w:val="16"/>
                <w:szCs w:val="16"/>
                <w:color w:val="auto"/>
              </w:rPr>
              <w:t>78,761</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(g)</w:t>
            </w:r>
          </w:p>
        </w:tc>
        <w:tc>
          <w:tcPr>
            <w:tcW w:w="55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Bradley D. Tilden</w:t>
            </w:r>
          </w:p>
        </w:tc>
        <w:tc>
          <w:tcPr>
            <w:tcW w:w="3560" w:type="dxa"/>
            <w:vAlign w:val="bottom"/>
            <w:tcBorders>
              <w:bottom w:val="single" w:sz="8" w:color="DCDDDE"/>
            </w:tcBorders>
            <w:shd w:val="clear" w:color="auto" w:fill="DCDDDE"/>
          </w:tcPr>
          <w:p>
            <w:pPr>
              <w:jc w:val="right"/>
              <w:ind w:right="359"/>
              <w:spacing w:after="0"/>
              <w:rPr>
                <w:sz w:val="20"/>
                <w:szCs w:val="20"/>
                <w:color w:val="auto"/>
              </w:rPr>
            </w:pPr>
            <w:r>
              <w:rPr>
                <w:rFonts w:ascii="Arial" w:cs="Arial" w:eastAsia="Arial" w:hAnsi="Arial"/>
                <w:sz w:val="16"/>
                <w:szCs w:val="16"/>
                <w:color w:val="auto"/>
              </w:rPr>
              <w:t>67,198</w:t>
            </w:r>
          </w:p>
        </w:tc>
        <w:tc>
          <w:tcPr>
            <w:tcW w:w="14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r>
      <w:tr>
        <w:trPr>
          <w:trHeight w:val="241"/>
        </w:trPr>
        <w:tc>
          <w:tcPr>
            <w:tcW w:w="380" w:type="dxa"/>
            <w:vAlign w:val="bottom"/>
          </w:tcPr>
          <w:p>
            <w:pPr>
              <w:ind w:left="60"/>
              <w:spacing w:after="0"/>
              <w:rPr>
                <w:sz w:val="20"/>
                <w:szCs w:val="20"/>
                <w:color w:val="auto"/>
              </w:rPr>
            </w:pPr>
            <w:r>
              <w:rPr>
                <w:rFonts w:ascii="Arial" w:cs="Arial" w:eastAsia="Arial" w:hAnsi="Arial"/>
                <w:sz w:val="16"/>
                <w:szCs w:val="16"/>
                <w:color w:val="auto"/>
              </w:rPr>
              <w:t>(h)</w:t>
            </w:r>
          </w:p>
        </w:tc>
        <w:tc>
          <w:tcPr>
            <w:tcW w:w="5520" w:type="dxa"/>
            <w:vAlign w:val="bottom"/>
          </w:tcPr>
          <w:p>
            <w:pPr>
              <w:ind w:left="60"/>
              <w:spacing w:after="0"/>
              <w:rPr>
                <w:sz w:val="20"/>
                <w:szCs w:val="20"/>
                <w:color w:val="auto"/>
              </w:rPr>
            </w:pPr>
            <w:r>
              <w:rPr>
                <w:rFonts w:ascii="Arial" w:cs="Arial" w:eastAsia="Arial" w:hAnsi="Arial"/>
                <w:sz w:val="16"/>
                <w:szCs w:val="16"/>
                <w:color w:val="auto"/>
              </w:rPr>
              <w:t>Stacy Brown-Philpot</w:t>
            </w:r>
          </w:p>
        </w:tc>
        <w:tc>
          <w:tcPr>
            <w:tcW w:w="3560" w:type="dxa"/>
            <w:vAlign w:val="bottom"/>
          </w:tcPr>
          <w:p>
            <w:pPr>
              <w:jc w:val="right"/>
              <w:ind w:right="359"/>
              <w:spacing w:after="0"/>
              <w:rPr>
                <w:sz w:val="20"/>
                <w:szCs w:val="20"/>
                <w:color w:val="auto"/>
              </w:rPr>
            </w:pPr>
            <w:r>
              <w:rPr>
                <w:rFonts w:ascii="Arial" w:cs="Arial" w:eastAsia="Arial" w:hAnsi="Arial"/>
                <w:sz w:val="16"/>
                <w:szCs w:val="16"/>
                <w:color w:val="auto"/>
              </w:rPr>
              <w:t>33,740</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(i)</w:t>
            </w:r>
          </w:p>
        </w:tc>
        <w:tc>
          <w:tcPr>
            <w:tcW w:w="55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Kirsten A. Green</w:t>
            </w:r>
          </w:p>
        </w:tc>
        <w:tc>
          <w:tcPr>
            <w:tcW w:w="3560" w:type="dxa"/>
            <w:vAlign w:val="bottom"/>
            <w:tcBorders>
              <w:bottom w:val="single" w:sz="8" w:color="DCDDDE"/>
            </w:tcBorders>
            <w:shd w:val="clear" w:color="auto" w:fill="DCDDDE"/>
          </w:tcPr>
          <w:p>
            <w:pPr>
              <w:jc w:val="right"/>
              <w:ind w:right="359"/>
              <w:spacing w:after="0"/>
              <w:rPr>
                <w:sz w:val="20"/>
                <w:szCs w:val="20"/>
                <w:color w:val="auto"/>
              </w:rPr>
            </w:pPr>
            <w:r>
              <w:rPr>
                <w:rFonts w:ascii="Arial" w:cs="Arial" w:eastAsia="Arial" w:hAnsi="Arial"/>
                <w:sz w:val="16"/>
                <w:szCs w:val="16"/>
                <w:color w:val="auto"/>
              </w:rPr>
              <w:t>24,547</w:t>
            </w:r>
          </w:p>
        </w:tc>
        <w:tc>
          <w:tcPr>
            <w:tcW w:w="14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r>
      <w:tr>
        <w:trPr>
          <w:trHeight w:val="241"/>
        </w:trPr>
        <w:tc>
          <w:tcPr>
            <w:tcW w:w="380" w:type="dxa"/>
            <w:vAlign w:val="bottom"/>
          </w:tcPr>
          <w:p>
            <w:pPr>
              <w:ind w:left="60"/>
              <w:spacing w:after="0"/>
              <w:rPr>
                <w:sz w:val="20"/>
                <w:szCs w:val="20"/>
                <w:color w:val="auto"/>
              </w:rPr>
            </w:pPr>
            <w:r>
              <w:rPr>
                <w:rFonts w:ascii="Arial" w:cs="Arial" w:eastAsia="Arial" w:hAnsi="Arial"/>
                <w:sz w:val="16"/>
                <w:szCs w:val="16"/>
                <w:color w:val="auto"/>
              </w:rPr>
              <w:t>(j)</w:t>
            </w:r>
          </w:p>
        </w:tc>
        <w:tc>
          <w:tcPr>
            <w:tcW w:w="5520" w:type="dxa"/>
            <w:vAlign w:val="bottom"/>
          </w:tcPr>
          <w:p>
            <w:pPr>
              <w:ind w:left="60"/>
              <w:spacing w:after="0"/>
              <w:rPr>
                <w:sz w:val="20"/>
                <w:szCs w:val="20"/>
                <w:color w:val="auto"/>
              </w:rPr>
            </w:pPr>
            <w:r>
              <w:rPr>
                <w:rFonts w:ascii="Arial" w:cs="Arial" w:eastAsia="Arial" w:hAnsi="Arial"/>
                <w:sz w:val="16"/>
                <w:szCs w:val="16"/>
                <w:color w:val="auto"/>
              </w:rPr>
              <w:t>Glenda G. McNeal</w:t>
            </w:r>
          </w:p>
        </w:tc>
        <w:tc>
          <w:tcPr>
            <w:tcW w:w="3560" w:type="dxa"/>
            <w:vAlign w:val="bottom"/>
          </w:tcPr>
          <w:p>
            <w:pPr>
              <w:jc w:val="right"/>
              <w:ind w:right="359"/>
              <w:spacing w:after="0"/>
              <w:rPr>
                <w:sz w:val="20"/>
                <w:szCs w:val="20"/>
                <w:color w:val="auto"/>
              </w:rPr>
            </w:pPr>
            <w:r>
              <w:rPr>
                <w:rFonts w:ascii="Arial" w:cs="Arial" w:eastAsia="Arial" w:hAnsi="Arial"/>
                <w:sz w:val="16"/>
                <w:szCs w:val="16"/>
                <w:color w:val="auto"/>
              </w:rPr>
              <w:t>24,547</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(k)</w:t>
            </w:r>
          </w:p>
        </w:tc>
        <w:tc>
          <w:tcPr>
            <w:tcW w:w="55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James L. Donald</w:t>
            </w:r>
          </w:p>
        </w:tc>
        <w:tc>
          <w:tcPr>
            <w:tcW w:w="3560" w:type="dxa"/>
            <w:vAlign w:val="bottom"/>
            <w:tcBorders>
              <w:bottom w:val="single" w:sz="8" w:color="DCDDDE"/>
            </w:tcBorders>
            <w:shd w:val="clear" w:color="auto" w:fill="DCDDDE"/>
          </w:tcPr>
          <w:p>
            <w:pPr>
              <w:jc w:val="right"/>
              <w:ind w:right="359"/>
              <w:spacing w:after="0"/>
              <w:rPr>
                <w:sz w:val="20"/>
                <w:szCs w:val="20"/>
                <w:color w:val="auto"/>
              </w:rPr>
            </w:pPr>
            <w:r>
              <w:rPr>
                <w:rFonts w:ascii="Arial" w:cs="Arial" w:eastAsia="Arial" w:hAnsi="Arial"/>
                <w:sz w:val="16"/>
                <w:szCs w:val="16"/>
                <w:color w:val="auto"/>
              </w:rPr>
              <w:t>19,457</w:t>
            </w:r>
          </w:p>
        </w:tc>
        <w:tc>
          <w:tcPr>
            <w:tcW w:w="14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r>
      <w:tr>
        <w:trPr>
          <w:trHeight w:val="241"/>
        </w:trPr>
        <w:tc>
          <w:tcPr>
            <w:tcW w:w="380" w:type="dxa"/>
            <w:vAlign w:val="bottom"/>
          </w:tcPr>
          <w:p>
            <w:pPr>
              <w:ind w:left="60"/>
              <w:spacing w:after="0"/>
              <w:rPr>
                <w:sz w:val="20"/>
                <w:szCs w:val="20"/>
                <w:color w:val="auto"/>
              </w:rPr>
            </w:pPr>
            <w:r>
              <w:rPr>
                <w:rFonts w:ascii="Arial" w:cs="Arial" w:eastAsia="Arial" w:hAnsi="Arial"/>
                <w:sz w:val="16"/>
                <w:szCs w:val="16"/>
                <w:color w:val="auto"/>
              </w:rPr>
              <w:t>(l)</w:t>
            </w:r>
          </w:p>
        </w:tc>
        <w:tc>
          <w:tcPr>
            <w:tcW w:w="5520" w:type="dxa"/>
            <w:vAlign w:val="bottom"/>
          </w:tcPr>
          <w:p>
            <w:pPr>
              <w:ind w:left="60"/>
              <w:spacing w:after="0"/>
              <w:rPr>
                <w:sz w:val="20"/>
                <w:szCs w:val="20"/>
                <w:color w:val="auto"/>
              </w:rPr>
            </w:pPr>
            <w:r>
              <w:rPr>
                <w:rFonts w:ascii="Arial" w:cs="Arial" w:eastAsia="Arial" w:hAnsi="Arial"/>
                <w:sz w:val="16"/>
                <w:szCs w:val="16"/>
                <w:color w:val="auto"/>
              </w:rPr>
              <w:t>Mark J. Tritton</w:t>
            </w:r>
          </w:p>
        </w:tc>
        <w:tc>
          <w:tcPr>
            <w:tcW w:w="3560" w:type="dxa"/>
            <w:vAlign w:val="bottom"/>
          </w:tcPr>
          <w:p>
            <w:pPr>
              <w:jc w:val="right"/>
              <w:ind w:right="359"/>
              <w:spacing w:after="0"/>
              <w:rPr>
                <w:sz w:val="20"/>
                <w:szCs w:val="20"/>
                <w:color w:val="auto"/>
              </w:rPr>
            </w:pPr>
            <w:r>
              <w:rPr>
                <w:rFonts w:ascii="Arial" w:cs="Arial" w:eastAsia="Arial" w:hAnsi="Arial"/>
                <w:sz w:val="16"/>
                <w:szCs w:val="16"/>
                <w:color w:val="auto"/>
              </w:rPr>
              <w:t>19,457</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(m)</w:t>
            </w:r>
          </w:p>
        </w:tc>
        <w:tc>
          <w:tcPr>
            <w:tcW w:w="55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Amie Thuener O’Toole</w:t>
            </w:r>
          </w:p>
        </w:tc>
        <w:tc>
          <w:tcPr>
            <w:tcW w:w="3560" w:type="dxa"/>
            <w:vAlign w:val="bottom"/>
            <w:tcBorders>
              <w:bottom w:val="single" w:sz="8" w:color="DCDDDE"/>
            </w:tcBorders>
            <w:shd w:val="clear" w:color="auto" w:fill="DCDDDE"/>
          </w:tcPr>
          <w:p>
            <w:pPr>
              <w:jc w:val="right"/>
              <w:ind w:right="359"/>
              <w:spacing w:after="0"/>
              <w:rPr>
                <w:sz w:val="20"/>
                <w:szCs w:val="20"/>
                <w:color w:val="auto"/>
              </w:rPr>
            </w:pPr>
            <w:r>
              <w:rPr>
                <w:rFonts w:ascii="Arial" w:cs="Arial" w:eastAsia="Arial" w:hAnsi="Arial"/>
                <w:sz w:val="16"/>
                <w:szCs w:val="16"/>
                <w:color w:val="auto"/>
              </w:rPr>
              <w:t>6,043</w:t>
            </w:r>
          </w:p>
        </w:tc>
        <w:tc>
          <w:tcPr>
            <w:tcW w:w="14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r>
      <w:tr>
        <w:trPr>
          <w:trHeight w:val="241"/>
        </w:trPr>
        <w:tc>
          <w:tcPr>
            <w:tcW w:w="380" w:type="dxa"/>
            <w:vAlign w:val="bottom"/>
          </w:tcPr>
          <w:p>
            <w:pPr>
              <w:ind w:left="60"/>
              <w:spacing w:after="0"/>
              <w:rPr>
                <w:sz w:val="20"/>
                <w:szCs w:val="20"/>
                <w:color w:val="auto"/>
              </w:rPr>
            </w:pPr>
            <w:r>
              <w:rPr>
                <w:rFonts w:ascii="Arial" w:cs="Arial" w:eastAsia="Arial" w:hAnsi="Arial"/>
                <w:sz w:val="16"/>
                <w:szCs w:val="16"/>
                <w:color w:val="auto"/>
              </w:rPr>
              <w:t>(n)</w:t>
            </w:r>
          </w:p>
        </w:tc>
        <w:tc>
          <w:tcPr>
            <w:tcW w:w="5520" w:type="dxa"/>
            <w:vAlign w:val="bottom"/>
          </w:tcPr>
          <w:p>
            <w:pPr>
              <w:ind w:left="60"/>
              <w:spacing w:after="0"/>
              <w:rPr>
                <w:sz w:val="20"/>
                <w:szCs w:val="20"/>
                <w:color w:val="auto"/>
              </w:rPr>
            </w:pPr>
            <w:r>
              <w:rPr>
                <w:rFonts w:ascii="Arial" w:cs="Arial" w:eastAsia="Arial" w:hAnsi="Arial"/>
                <w:sz w:val="16"/>
                <w:szCs w:val="16"/>
                <w:color w:val="auto"/>
              </w:rPr>
              <w:t>Atticus N. Tysen</w:t>
            </w:r>
          </w:p>
        </w:tc>
        <w:tc>
          <w:tcPr>
            <w:tcW w:w="3560" w:type="dxa"/>
            <w:vAlign w:val="bottom"/>
          </w:tcPr>
          <w:p>
            <w:pPr>
              <w:jc w:val="right"/>
              <w:ind w:right="359"/>
              <w:spacing w:after="0"/>
              <w:rPr>
                <w:sz w:val="20"/>
                <w:szCs w:val="20"/>
                <w:color w:val="auto"/>
              </w:rPr>
            </w:pPr>
            <w:r>
              <w:rPr>
                <w:rFonts w:ascii="Arial" w:cs="Arial" w:eastAsia="Arial" w:hAnsi="Arial"/>
                <w:sz w:val="16"/>
                <w:szCs w:val="16"/>
                <w:color w:val="auto"/>
              </w:rPr>
              <w:t>1,910</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(o)</w:t>
            </w:r>
          </w:p>
        </w:tc>
        <w:tc>
          <w:tcPr>
            <w:tcW w:w="552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Eric D. Sprunk</w:t>
            </w:r>
          </w:p>
        </w:tc>
        <w:tc>
          <w:tcPr>
            <w:tcW w:w="3560" w:type="dxa"/>
            <w:vAlign w:val="bottom"/>
            <w:tcBorders>
              <w:bottom w:val="single" w:sz="8" w:color="DCDDDE"/>
            </w:tcBorders>
            <w:shd w:val="clear" w:color="auto" w:fill="DCDDDE"/>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r>
      <w:tr>
        <w:trPr>
          <w:trHeight w:val="241"/>
        </w:trPr>
        <w:tc>
          <w:tcPr>
            <w:tcW w:w="380" w:type="dxa"/>
            <w:vAlign w:val="bottom"/>
          </w:tcPr>
          <w:p>
            <w:pPr>
              <w:ind w:left="60"/>
              <w:spacing w:after="0"/>
              <w:rPr>
                <w:sz w:val="20"/>
                <w:szCs w:val="20"/>
                <w:color w:val="auto"/>
              </w:rPr>
            </w:pPr>
            <w:r>
              <w:rPr>
                <w:rFonts w:ascii="Arial" w:cs="Arial" w:eastAsia="Arial" w:hAnsi="Arial"/>
                <w:sz w:val="16"/>
                <w:szCs w:val="16"/>
                <w:color w:val="auto"/>
              </w:rPr>
              <w:t>(p)</w:t>
            </w:r>
          </w:p>
        </w:tc>
        <w:tc>
          <w:tcPr>
            <w:tcW w:w="5520" w:type="dxa"/>
            <w:vAlign w:val="bottom"/>
          </w:tcPr>
          <w:p>
            <w:pPr>
              <w:ind w:left="60"/>
              <w:spacing w:after="0"/>
              <w:rPr>
                <w:sz w:val="20"/>
                <w:szCs w:val="20"/>
                <w:color w:val="auto"/>
              </w:rPr>
            </w:pPr>
            <w:r>
              <w:rPr>
                <w:rFonts w:ascii="Arial" w:cs="Arial" w:eastAsia="Arial" w:hAnsi="Arial"/>
                <w:sz w:val="16"/>
                <w:szCs w:val="16"/>
                <w:color w:val="auto"/>
              </w:rPr>
              <w:t>Anne L. Bramman</w:t>
            </w:r>
          </w:p>
        </w:tc>
        <w:tc>
          <w:tcPr>
            <w:tcW w:w="3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1"/>
        </w:trPr>
        <w:tc>
          <w:tcPr>
            <w:tcW w:w="380" w:type="dxa"/>
            <w:vAlign w:val="bottom"/>
            <w:shd w:val="clear" w:color="auto" w:fill="DCDDDE"/>
          </w:tcPr>
          <w:p>
            <w:pPr>
              <w:ind w:left="60"/>
              <w:spacing w:after="0"/>
              <w:rPr>
                <w:sz w:val="20"/>
                <w:szCs w:val="20"/>
                <w:color w:val="auto"/>
              </w:rPr>
            </w:pPr>
            <w:r>
              <w:rPr>
                <w:rFonts w:ascii="Arial" w:cs="Arial" w:eastAsia="Arial" w:hAnsi="Arial"/>
                <w:sz w:val="16"/>
                <w:szCs w:val="16"/>
                <w:color w:val="auto"/>
              </w:rPr>
              <w:t>(q)</w:t>
            </w:r>
          </w:p>
        </w:tc>
        <w:tc>
          <w:tcPr>
            <w:tcW w:w="5520" w:type="dxa"/>
            <w:vAlign w:val="bottom"/>
            <w:shd w:val="clear" w:color="auto" w:fill="DCDDDE"/>
          </w:tcPr>
          <w:p>
            <w:pPr>
              <w:ind w:left="60"/>
              <w:spacing w:after="0"/>
              <w:rPr>
                <w:sz w:val="20"/>
                <w:szCs w:val="20"/>
                <w:color w:val="auto"/>
              </w:rPr>
            </w:pPr>
            <w:r>
              <w:rPr>
                <w:rFonts w:ascii="Arial" w:cs="Arial" w:eastAsia="Arial" w:hAnsi="Arial"/>
                <w:sz w:val="16"/>
                <w:szCs w:val="16"/>
                <w:color w:val="auto"/>
              </w:rPr>
              <w:t>Directors and Executive Officers as a group (18 persons)</w:t>
            </w:r>
          </w:p>
        </w:tc>
        <w:tc>
          <w:tcPr>
            <w:tcW w:w="3560" w:type="dxa"/>
            <w:vAlign w:val="bottom"/>
            <w:shd w:val="clear" w:color="auto" w:fill="DCDDDE"/>
          </w:tcPr>
          <w:p>
            <w:pPr>
              <w:jc w:val="right"/>
              <w:ind w:right="359"/>
              <w:spacing w:after="0"/>
              <w:rPr>
                <w:sz w:val="20"/>
                <w:szCs w:val="20"/>
                <w:color w:val="auto"/>
              </w:rPr>
            </w:pPr>
            <w:r>
              <w:rPr>
                <w:rFonts w:ascii="Arial" w:cs="Arial" w:eastAsia="Arial" w:hAnsi="Arial"/>
                <w:sz w:val="16"/>
                <w:szCs w:val="16"/>
                <w:color w:val="auto"/>
              </w:rPr>
              <w:t>9,680,877</w:t>
            </w:r>
          </w:p>
        </w:tc>
        <w:tc>
          <w:tcPr>
            <w:tcW w:w="1420" w:type="dxa"/>
            <w:vAlign w:val="bottom"/>
            <w:shd w:val="clear" w:color="auto" w:fill="DCDDDE"/>
          </w:tcPr>
          <w:p>
            <w:pPr>
              <w:jc w:val="right"/>
              <w:ind w:right="39"/>
              <w:spacing w:after="0"/>
              <w:rPr>
                <w:sz w:val="20"/>
                <w:szCs w:val="20"/>
                <w:color w:val="auto"/>
              </w:rPr>
            </w:pPr>
            <w:r>
              <w:rPr>
                <w:rFonts w:ascii="Arial" w:cs="Arial" w:eastAsia="Arial" w:hAnsi="Arial"/>
                <w:sz w:val="16"/>
                <w:szCs w:val="16"/>
                <w:color w:val="auto"/>
              </w:rPr>
              <w:t>5.98%</w:t>
            </w:r>
          </w:p>
        </w:tc>
      </w:tr>
      <w:tr>
        <w:trPr>
          <w:trHeight w:val="29"/>
        </w:trPr>
        <w:tc>
          <w:tcPr>
            <w:tcW w:w="380" w:type="dxa"/>
            <w:vAlign w:val="bottom"/>
            <w:shd w:val="clear" w:color="auto" w:fill="DCDDDE"/>
          </w:tcPr>
          <w:p>
            <w:pPr>
              <w:spacing w:after="0"/>
              <w:rPr>
                <w:sz w:val="2"/>
                <w:szCs w:val="2"/>
                <w:color w:val="auto"/>
              </w:rPr>
            </w:pPr>
          </w:p>
        </w:tc>
        <w:tc>
          <w:tcPr>
            <w:tcW w:w="5520" w:type="dxa"/>
            <w:vAlign w:val="bottom"/>
            <w:shd w:val="clear" w:color="auto" w:fill="DCDDDE"/>
          </w:tcPr>
          <w:p>
            <w:pPr>
              <w:spacing w:after="0"/>
              <w:rPr>
                <w:sz w:val="2"/>
                <w:szCs w:val="2"/>
                <w:color w:val="auto"/>
              </w:rPr>
            </w:pPr>
          </w:p>
        </w:tc>
        <w:tc>
          <w:tcPr>
            <w:tcW w:w="3560" w:type="dxa"/>
            <w:vAlign w:val="bottom"/>
            <w:shd w:val="clear" w:color="auto" w:fill="DCDDDE"/>
          </w:tcPr>
          <w:p>
            <w:pPr>
              <w:spacing w:after="0"/>
              <w:rPr>
                <w:sz w:val="2"/>
                <w:szCs w:val="2"/>
                <w:color w:val="auto"/>
              </w:rPr>
            </w:pPr>
          </w:p>
        </w:tc>
        <w:tc>
          <w:tcPr>
            <w:tcW w:w="1420" w:type="dxa"/>
            <w:vAlign w:val="bottom"/>
            <w:shd w:val="clear" w:color="auto" w:fill="DCDDDE"/>
          </w:tcPr>
          <w:p>
            <w:pPr>
              <w:spacing w:after="0"/>
              <w:rPr>
                <w:sz w:val="2"/>
                <w:szCs w:val="2"/>
                <w:color w:val="auto"/>
              </w:rPr>
            </w:pP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Greater than 5% Security Holders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40" w:type="dxa"/>
            <w:vAlign w:val="bottom"/>
            <w:tcBorders>
              <w:top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(r)</w:t>
            </w:r>
          </w:p>
        </w:tc>
        <w:tc>
          <w:tcPr>
            <w:tcW w:w="5860" w:type="dxa"/>
            <w:vAlign w:val="bottom"/>
            <w:tcBorders>
              <w:top w:val="single" w:sz="8" w:color="auto"/>
            </w:tcBorders>
            <w:shd w:val="clear" w:color="auto" w:fill="DCDDDE"/>
          </w:tcPr>
          <w:p>
            <w:pPr>
              <w:ind w:left="100"/>
              <w:spacing w:after="0"/>
              <w:rPr>
                <w:sz w:val="20"/>
                <w:szCs w:val="20"/>
                <w:color w:val="auto"/>
              </w:rPr>
            </w:pPr>
            <w:r>
              <w:rPr>
                <w:rFonts w:ascii="Arial" w:cs="Arial" w:eastAsia="Arial" w:hAnsi="Arial"/>
                <w:sz w:val="16"/>
                <w:szCs w:val="16"/>
                <w:color w:val="auto"/>
              </w:rPr>
              <w:t>Bruce A. Nordstrom</w:t>
            </w:r>
          </w:p>
        </w:tc>
        <w:tc>
          <w:tcPr>
            <w:tcW w:w="3420" w:type="dxa"/>
            <w:vAlign w:val="bottom"/>
            <w:tcBorders>
              <w:top w:val="single" w:sz="8" w:color="auto"/>
            </w:tcBorders>
            <w:shd w:val="clear" w:color="auto" w:fill="DCDDDE"/>
          </w:tcPr>
          <w:p>
            <w:pPr>
              <w:jc w:val="right"/>
              <w:ind w:right="519"/>
              <w:spacing w:after="0"/>
              <w:rPr>
                <w:sz w:val="20"/>
                <w:szCs w:val="20"/>
                <w:color w:val="auto"/>
              </w:rPr>
            </w:pPr>
            <w:r>
              <w:rPr>
                <w:rFonts w:ascii="Arial" w:cs="Arial" w:eastAsia="Arial" w:hAnsi="Arial"/>
                <w:sz w:val="16"/>
                <w:szCs w:val="16"/>
                <w:color w:val="auto"/>
              </w:rPr>
              <w:t>25,241,423</w:t>
            </w:r>
          </w:p>
        </w:tc>
        <w:tc>
          <w:tcPr>
            <w:tcW w:w="1260" w:type="dxa"/>
            <w:vAlign w:val="bottom"/>
            <w:tcBorders>
              <w:top w:val="single" w:sz="8" w:color="auto"/>
            </w:tcBorders>
            <w:shd w:val="clear" w:color="auto" w:fill="DCDDDE"/>
          </w:tcPr>
          <w:p>
            <w:pPr>
              <w:jc w:val="right"/>
              <w:ind w:right="39"/>
              <w:spacing w:after="0"/>
              <w:rPr>
                <w:sz w:val="20"/>
                <w:szCs w:val="20"/>
                <w:color w:val="auto"/>
              </w:rPr>
            </w:pPr>
            <w:r>
              <w:rPr>
                <w:rFonts w:ascii="Arial" w:cs="Arial" w:eastAsia="Arial" w:hAnsi="Arial"/>
                <w:sz w:val="16"/>
                <w:szCs w:val="16"/>
                <w:color w:val="auto"/>
              </w:rPr>
              <w:t>15.64%</w:t>
            </w:r>
          </w:p>
        </w:tc>
      </w:tr>
      <w:tr>
        <w:trPr>
          <w:trHeight w:val="189"/>
        </w:trPr>
        <w:tc>
          <w:tcPr>
            <w:tcW w:w="340" w:type="dxa"/>
            <w:vAlign w:val="bottom"/>
            <w:shd w:val="clear" w:color="auto" w:fill="DCDDDE"/>
          </w:tcPr>
          <w:p>
            <w:pPr>
              <w:spacing w:after="0"/>
              <w:rPr>
                <w:sz w:val="16"/>
                <w:szCs w:val="16"/>
                <w:color w:val="auto"/>
              </w:rPr>
            </w:pPr>
          </w:p>
        </w:tc>
        <w:tc>
          <w:tcPr>
            <w:tcW w:w="5860" w:type="dxa"/>
            <w:vAlign w:val="bottom"/>
            <w:shd w:val="clear" w:color="auto" w:fill="DCDDDE"/>
          </w:tcPr>
          <w:p>
            <w:pPr>
              <w:ind w:left="240"/>
              <w:spacing w:after="0"/>
              <w:rPr>
                <w:sz w:val="20"/>
                <w:szCs w:val="20"/>
                <w:color w:val="auto"/>
              </w:rPr>
            </w:pPr>
            <w:r>
              <w:rPr>
                <w:rFonts w:ascii="Arial" w:cs="Arial" w:eastAsia="Arial" w:hAnsi="Arial"/>
                <w:sz w:val="16"/>
                <w:szCs w:val="16"/>
                <w:color w:val="auto"/>
              </w:rPr>
              <w:t>1617 Sixth Avenue</w:t>
            </w:r>
          </w:p>
        </w:tc>
        <w:tc>
          <w:tcPr>
            <w:tcW w:w="3420" w:type="dxa"/>
            <w:vAlign w:val="bottom"/>
            <w:shd w:val="clear" w:color="auto" w:fill="DCDDDE"/>
          </w:tcPr>
          <w:p>
            <w:pPr>
              <w:spacing w:after="0"/>
              <w:rPr>
                <w:sz w:val="16"/>
                <w:szCs w:val="16"/>
                <w:color w:val="auto"/>
              </w:rPr>
            </w:pPr>
          </w:p>
        </w:tc>
        <w:tc>
          <w:tcPr>
            <w:tcW w:w="1260" w:type="dxa"/>
            <w:vAlign w:val="bottom"/>
            <w:shd w:val="clear" w:color="auto" w:fill="DCDDDE"/>
          </w:tcPr>
          <w:p>
            <w:pPr>
              <w:spacing w:after="0"/>
              <w:rPr>
                <w:sz w:val="16"/>
                <w:szCs w:val="16"/>
                <w:color w:val="auto"/>
              </w:rPr>
            </w:pPr>
          </w:p>
        </w:tc>
      </w:tr>
      <w:tr>
        <w:trPr>
          <w:trHeight w:val="224"/>
        </w:trPr>
        <w:tc>
          <w:tcPr>
            <w:tcW w:w="340" w:type="dxa"/>
            <w:vAlign w:val="bottom"/>
            <w:tcBorders>
              <w:bottom w:val="single" w:sz="8" w:color="DCDDDE"/>
            </w:tcBorders>
            <w:shd w:val="clear" w:color="auto" w:fill="DCDDDE"/>
          </w:tcPr>
          <w:p>
            <w:pPr>
              <w:spacing w:after="0"/>
              <w:rPr>
                <w:sz w:val="19"/>
                <w:szCs w:val="19"/>
                <w:color w:val="auto"/>
              </w:rPr>
            </w:pPr>
          </w:p>
        </w:tc>
        <w:tc>
          <w:tcPr>
            <w:tcW w:w="5860" w:type="dxa"/>
            <w:vAlign w:val="bottom"/>
            <w:tcBorders>
              <w:bottom w:val="single" w:sz="8" w:color="DCDDDE"/>
            </w:tcBorders>
            <w:shd w:val="clear" w:color="auto" w:fill="DCDDDE"/>
          </w:tcPr>
          <w:p>
            <w:pPr>
              <w:ind w:left="240"/>
              <w:spacing w:after="0"/>
              <w:rPr>
                <w:sz w:val="20"/>
                <w:szCs w:val="20"/>
                <w:color w:val="auto"/>
              </w:rPr>
            </w:pPr>
            <w:r>
              <w:rPr>
                <w:rFonts w:ascii="Arial" w:cs="Arial" w:eastAsia="Arial" w:hAnsi="Arial"/>
                <w:sz w:val="16"/>
                <w:szCs w:val="16"/>
                <w:color w:val="auto"/>
              </w:rPr>
              <w:t>Seattle, Washington 98101</w:t>
            </w:r>
          </w:p>
        </w:tc>
        <w:tc>
          <w:tcPr>
            <w:tcW w:w="3420" w:type="dxa"/>
            <w:vAlign w:val="bottom"/>
            <w:tcBorders>
              <w:bottom w:val="single" w:sz="8" w:color="DCDDDE"/>
            </w:tcBorders>
            <w:shd w:val="clear" w:color="auto" w:fill="DCDDDE"/>
          </w:tcPr>
          <w:p>
            <w:pPr>
              <w:spacing w:after="0"/>
              <w:rPr>
                <w:sz w:val="19"/>
                <w:szCs w:val="19"/>
                <w:color w:val="auto"/>
              </w:rPr>
            </w:pPr>
          </w:p>
        </w:tc>
        <w:tc>
          <w:tcPr>
            <w:tcW w:w="1260" w:type="dxa"/>
            <w:vAlign w:val="bottom"/>
            <w:tcBorders>
              <w:bottom w:val="single" w:sz="8" w:color="DCDDDE"/>
            </w:tcBorders>
            <w:shd w:val="clear" w:color="auto" w:fill="DCDDDE"/>
          </w:tcPr>
          <w:p>
            <w:pPr>
              <w:spacing w:after="0"/>
              <w:rPr>
                <w:sz w:val="19"/>
                <w:szCs w:val="19"/>
                <w:color w:val="auto"/>
              </w:rPr>
            </w:pPr>
          </w:p>
        </w:tc>
      </w:tr>
      <w:tr>
        <w:trPr>
          <w:trHeight w:val="202"/>
        </w:trPr>
        <w:tc>
          <w:tcPr>
            <w:tcW w:w="6200" w:type="dxa"/>
            <w:vAlign w:val="bottom"/>
            <w:gridSpan w:val="2"/>
          </w:tcPr>
          <w:p>
            <w:pPr>
              <w:ind w:left="60"/>
              <w:spacing w:after="0"/>
              <w:rPr>
                <w:sz w:val="20"/>
                <w:szCs w:val="20"/>
                <w:color w:val="auto"/>
              </w:rPr>
            </w:pPr>
            <w:r>
              <w:rPr>
                <w:rFonts w:ascii="Arial" w:cs="Arial" w:eastAsia="Arial" w:hAnsi="Arial"/>
                <w:sz w:val="16"/>
                <w:szCs w:val="16"/>
                <w:color w:val="auto"/>
              </w:rPr>
              <w:t>(s)  El Puerto de Liverpool, S.A.B. de C.V.</w:t>
            </w:r>
          </w:p>
        </w:tc>
        <w:tc>
          <w:tcPr>
            <w:tcW w:w="3420" w:type="dxa"/>
            <w:vAlign w:val="bottom"/>
          </w:tcPr>
          <w:p>
            <w:pPr>
              <w:jc w:val="right"/>
              <w:ind w:right="519"/>
              <w:spacing w:after="0"/>
              <w:rPr>
                <w:sz w:val="20"/>
                <w:szCs w:val="20"/>
                <w:color w:val="auto"/>
              </w:rPr>
            </w:pPr>
            <w:r>
              <w:rPr>
                <w:rFonts w:ascii="Arial" w:cs="Arial" w:eastAsia="Arial" w:hAnsi="Arial"/>
                <w:sz w:val="16"/>
                <w:szCs w:val="16"/>
                <w:color w:val="auto"/>
              </w:rPr>
              <w:t>15,755,000</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9.76%</w:t>
            </w:r>
          </w:p>
        </w:tc>
      </w:tr>
      <w:tr>
        <w:trPr>
          <w:trHeight w:val="189"/>
        </w:trPr>
        <w:tc>
          <w:tcPr>
            <w:tcW w:w="340" w:type="dxa"/>
            <w:vAlign w:val="bottom"/>
          </w:tcPr>
          <w:p>
            <w:pPr>
              <w:spacing w:after="0"/>
              <w:rPr>
                <w:sz w:val="16"/>
                <w:szCs w:val="16"/>
                <w:color w:val="auto"/>
              </w:rPr>
            </w:pPr>
          </w:p>
        </w:tc>
        <w:tc>
          <w:tcPr>
            <w:tcW w:w="5860" w:type="dxa"/>
            <w:vAlign w:val="bottom"/>
          </w:tcPr>
          <w:p>
            <w:pPr>
              <w:ind w:left="240"/>
              <w:spacing w:after="0"/>
              <w:rPr>
                <w:sz w:val="20"/>
                <w:szCs w:val="20"/>
                <w:color w:val="auto"/>
              </w:rPr>
            </w:pPr>
            <w:r>
              <w:rPr>
                <w:rFonts w:ascii="Arial" w:cs="Arial" w:eastAsia="Arial" w:hAnsi="Arial"/>
                <w:sz w:val="16"/>
                <w:szCs w:val="16"/>
                <w:color w:val="auto"/>
              </w:rPr>
              <w:t>Mario Pani No. 200, Col. Santa Fé Cuajimalpa</w:t>
            </w:r>
          </w:p>
        </w:tc>
        <w:tc>
          <w:tcPr>
            <w:tcW w:w="3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6"/>
                <w:szCs w:val="16"/>
                <w:color w:val="auto"/>
              </w:rPr>
              <w:t>Cuajimalpa, Ciudad de México, CP 05348, Mexico</w:t>
            </w:r>
          </w:p>
        </w:tc>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2"/>
        </w:trPr>
        <w:tc>
          <w:tcPr>
            <w:tcW w:w="340" w:type="dxa"/>
            <w:vAlign w:val="bottom"/>
          </w:tcPr>
          <w:p>
            <w:pPr>
              <w:spacing w:after="0"/>
              <w:rPr>
                <w:sz w:val="3"/>
                <w:szCs w:val="3"/>
                <w:color w:val="auto"/>
              </w:rPr>
            </w:pPr>
          </w:p>
        </w:tc>
        <w:tc>
          <w:tcPr>
            <w:tcW w:w="58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340" w:type="dxa"/>
            <w:vAlign w:val="bottom"/>
            <w:shd w:val="clear" w:color="auto" w:fill="DCDDDE"/>
          </w:tcPr>
          <w:p>
            <w:pPr>
              <w:ind w:left="60"/>
              <w:spacing w:after="0"/>
              <w:rPr>
                <w:sz w:val="20"/>
                <w:szCs w:val="20"/>
                <w:color w:val="auto"/>
              </w:rPr>
            </w:pPr>
            <w:r>
              <w:rPr>
                <w:rFonts w:ascii="Arial" w:cs="Arial" w:eastAsia="Arial" w:hAnsi="Arial"/>
                <w:sz w:val="16"/>
                <w:szCs w:val="16"/>
                <w:color w:val="auto"/>
              </w:rPr>
              <w:t>(t)</w:t>
            </w:r>
          </w:p>
        </w:tc>
        <w:tc>
          <w:tcPr>
            <w:tcW w:w="5860" w:type="dxa"/>
            <w:vAlign w:val="bottom"/>
            <w:shd w:val="clear" w:color="auto" w:fill="DCDDDE"/>
          </w:tcPr>
          <w:p>
            <w:pPr>
              <w:ind w:left="100"/>
              <w:spacing w:after="0"/>
              <w:rPr>
                <w:sz w:val="20"/>
                <w:szCs w:val="20"/>
                <w:color w:val="auto"/>
              </w:rPr>
            </w:pPr>
            <w:r>
              <w:rPr>
                <w:rFonts w:ascii="Arial" w:cs="Arial" w:eastAsia="Arial" w:hAnsi="Arial"/>
                <w:sz w:val="16"/>
                <w:szCs w:val="16"/>
                <w:color w:val="auto"/>
              </w:rPr>
              <w:t>Anne E. Gittinger</w:t>
            </w:r>
          </w:p>
        </w:tc>
        <w:tc>
          <w:tcPr>
            <w:tcW w:w="3420" w:type="dxa"/>
            <w:vAlign w:val="bottom"/>
            <w:shd w:val="clear" w:color="auto" w:fill="DCDDDE"/>
          </w:tcPr>
          <w:p>
            <w:pPr>
              <w:jc w:val="right"/>
              <w:ind w:right="519"/>
              <w:spacing w:after="0"/>
              <w:rPr>
                <w:sz w:val="20"/>
                <w:szCs w:val="20"/>
                <w:color w:val="auto"/>
              </w:rPr>
            </w:pPr>
            <w:r>
              <w:rPr>
                <w:rFonts w:ascii="Arial" w:cs="Arial" w:eastAsia="Arial" w:hAnsi="Arial"/>
                <w:sz w:val="16"/>
                <w:szCs w:val="16"/>
                <w:color w:val="auto"/>
              </w:rPr>
              <w:t>15,404,437</w:t>
            </w:r>
          </w:p>
        </w:tc>
        <w:tc>
          <w:tcPr>
            <w:tcW w:w="1260" w:type="dxa"/>
            <w:vAlign w:val="bottom"/>
            <w:shd w:val="clear" w:color="auto" w:fill="DCDDDE"/>
          </w:tcPr>
          <w:p>
            <w:pPr>
              <w:jc w:val="right"/>
              <w:ind w:right="39"/>
              <w:spacing w:after="0"/>
              <w:rPr>
                <w:sz w:val="20"/>
                <w:szCs w:val="20"/>
                <w:color w:val="auto"/>
              </w:rPr>
            </w:pPr>
            <w:r>
              <w:rPr>
                <w:rFonts w:ascii="Arial" w:cs="Arial" w:eastAsia="Arial" w:hAnsi="Arial"/>
                <w:sz w:val="16"/>
                <w:szCs w:val="16"/>
                <w:color w:val="auto"/>
              </w:rPr>
              <w:t>9.54%</w:t>
            </w:r>
          </w:p>
        </w:tc>
      </w:tr>
      <w:tr>
        <w:trPr>
          <w:trHeight w:val="189"/>
        </w:trPr>
        <w:tc>
          <w:tcPr>
            <w:tcW w:w="340" w:type="dxa"/>
            <w:vAlign w:val="bottom"/>
            <w:shd w:val="clear" w:color="auto" w:fill="DCDDDE"/>
          </w:tcPr>
          <w:p>
            <w:pPr>
              <w:spacing w:after="0"/>
              <w:rPr>
                <w:sz w:val="16"/>
                <w:szCs w:val="16"/>
                <w:color w:val="auto"/>
              </w:rPr>
            </w:pPr>
          </w:p>
        </w:tc>
        <w:tc>
          <w:tcPr>
            <w:tcW w:w="5860" w:type="dxa"/>
            <w:vAlign w:val="bottom"/>
            <w:shd w:val="clear" w:color="auto" w:fill="DCDDDE"/>
          </w:tcPr>
          <w:p>
            <w:pPr>
              <w:ind w:left="240"/>
              <w:spacing w:after="0"/>
              <w:rPr>
                <w:sz w:val="20"/>
                <w:szCs w:val="20"/>
                <w:color w:val="auto"/>
              </w:rPr>
            </w:pPr>
            <w:r>
              <w:rPr>
                <w:rFonts w:ascii="Arial" w:cs="Arial" w:eastAsia="Arial" w:hAnsi="Arial"/>
                <w:sz w:val="16"/>
                <w:szCs w:val="16"/>
                <w:color w:val="auto"/>
              </w:rPr>
              <w:t>1617 Sixth Avenue</w:t>
            </w:r>
          </w:p>
        </w:tc>
        <w:tc>
          <w:tcPr>
            <w:tcW w:w="3420" w:type="dxa"/>
            <w:vAlign w:val="bottom"/>
            <w:shd w:val="clear" w:color="auto" w:fill="DCDDDE"/>
          </w:tcPr>
          <w:p>
            <w:pPr>
              <w:spacing w:after="0"/>
              <w:rPr>
                <w:sz w:val="16"/>
                <w:szCs w:val="16"/>
                <w:color w:val="auto"/>
              </w:rPr>
            </w:pPr>
          </w:p>
        </w:tc>
        <w:tc>
          <w:tcPr>
            <w:tcW w:w="1260" w:type="dxa"/>
            <w:vAlign w:val="bottom"/>
            <w:shd w:val="clear" w:color="auto" w:fill="DCDDDE"/>
          </w:tcPr>
          <w:p>
            <w:pPr>
              <w:spacing w:after="0"/>
              <w:rPr>
                <w:sz w:val="16"/>
                <w:szCs w:val="16"/>
                <w:color w:val="auto"/>
              </w:rPr>
            </w:pPr>
          </w:p>
        </w:tc>
      </w:tr>
      <w:tr>
        <w:trPr>
          <w:trHeight w:val="237"/>
        </w:trPr>
        <w:tc>
          <w:tcPr>
            <w:tcW w:w="340" w:type="dxa"/>
            <w:vAlign w:val="bottom"/>
            <w:tcBorders>
              <w:bottom w:val="single" w:sz="8" w:color="DCDDDE"/>
            </w:tcBorders>
            <w:shd w:val="clear" w:color="auto" w:fill="DCDDDE"/>
          </w:tcPr>
          <w:p>
            <w:pPr>
              <w:spacing w:after="0"/>
              <w:rPr>
                <w:sz w:val="20"/>
                <w:szCs w:val="20"/>
                <w:color w:val="auto"/>
              </w:rPr>
            </w:pPr>
          </w:p>
        </w:tc>
        <w:tc>
          <w:tcPr>
            <w:tcW w:w="5860" w:type="dxa"/>
            <w:vAlign w:val="bottom"/>
            <w:tcBorders>
              <w:bottom w:val="single" w:sz="8" w:color="DCDDDE"/>
            </w:tcBorders>
            <w:shd w:val="clear" w:color="auto" w:fill="DCDDDE"/>
          </w:tcPr>
          <w:p>
            <w:pPr>
              <w:ind w:left="240"/>
              <w:spacing w:after="0"/>
              <w:rPr>
                <w:sz w:val="20"/>
                <w:szCs w:val="20"/>
                <w:color w:val="auto"/>
              </w:rPr>
            </w:pPr>
            <w:r>
              <w:rPr>
                <w:rFonts w:ascii="Arial" w:cs="Arial" w:eastAsia="Arial" w:hAnsi="Arial"/>
                <w:sz w:val="16"/>
                <w:szCs w:val="16"/>
                <w:color w:val="auto"/>
              </w:rPr>
              <w:t>Seattle, Washington 98101</w:t>
            </w:r>
          </w:p>
        </w:tc>
        <w:tc>
          <w:tcPr>
            <w:tcW w:w="3420" w:type="dxa"/>
            <w:vAlign w:val="bottom"/>
            <w:tcBorders>
              <w:bottom w:val="single" w:sz="8" w:color="DCDDDE"/>
            </w:tcBorders>
            <w:shd w:val="clear" w:color="auto" w:fill="DCDDDE"/>
          </w:tcPr>
          <w:p>
            <w:pPr>
              <w:spacing w:after="0"/>
              <w:rPr>
                <w:sz w:val="20"/>
                <w:szCs w:val="20"/>
                <w:color w:val="auto"/>
              </w:rPr>
            </w:pPr>
          </w:p>
        </w:tc>
        <w:tc>
          <w:tcPr>
            <w:tcW w:w="1260" w:type="dxa"/>
            <w:vAlign w:val="bottom"/>
            <w:tcBorders>
              <w:bottom w:val="single" w:sz="8" w:color="DCDDDE"/>
            </w:tcBorders>
            <w:shd w:val="clear" w:color="auto" w:fill="DCDDDE"/>
          </w:tcPr>
          <w:p>
            <w:pPr>
              <w:spacing w:after="0"/>
              <w:rPr>
                <w:sz w:val="20"/>
                <w:szCs w:val="20"/>
                <w:color w:val="auto"/>
              </w:rPr>
            </w:pPr>
          </w:p>
        </w:tc>
      </w:tr>
      <w:tr>
        <w:trPr>
          <w:trHeight w:val="202"/>
        </w:trPr>
        <w:tc>
          <w:tcPr>
            <w:tcW w:w="340" w:type="dxa"/>
            <w:vAlign w:val="bottom"/>
          </w:tcPr>
          <w:p>
            <w:pPr>
              <w:ind w:left="60"/>
              <w:spacing w:after="0"/>
              <w:rPr>
                <w:sz w:val="20"/>
                <w:szCs w:val="20"/>
                <w:color w:val="auto"/>
              </w:rPr>
            </w:pPr>
            <w:r>
              <w:rPr>
                <w:rFonts w:ascii="Arial" w:cs="Arial" w:eastAsia="Arial" w:hAnsi="Arial"/>
                <w:sz w:val="16"/>
                <w:szCs w:val="16"/>
                <w:color w:val="auto"/>
              </w:rPr>
              <w:t>(u)</w:t>
            </w:r>
          </w:p>
        </w:tc>
        <w:tc>
          <w:tcPr>
            <w:tcW w:w="5860" w:type="dxa"/>
            <w:vAlign w:val="bottom"/>
          </w:tcPr>
          <w:p>
            <w:pPr>
              <w:ind w:left="100"/>
              <w:spacing w:after="0"/>
              <w:rPr>
                <w:sz w:val="20"/>
                <w:szCs w:val="20"/>
                <w:color w:val="auto"/>
              </w:rPr>
            </w:pPr>
            <w:r>
              <w:rPr>
                <w:rFonts w:ascii="Arial" w:cs="Arial" w:eastAsia="Arial" w:hAnsi="Arial"/>
                <w:sz w:val="16"/>
                <w:szCs w:val="16"/>
                <w:color w:val="auto"/>
              </w:rPr>
              <w:t>BlackRock, Inc.</w:t>
            </w:r>
          </w:p>
        </w:tc>
        <w:tc>
          <w:tcPr>
            <w:tcW w:w="3420" w:type="dxa"/>
            <w:vAlign w:val="bottom"/>
          </w:tcPr>
          <w:p>
            <w:pPr>
              <w:jc w:val="right"/>
              <w:ind w:right="519"/>
              <w:spacing w:after="0"/>
              <w:rPr>
                <w:sz w:val="20"/>
                <w:szCs w:val="20"/>
                <w:color w:val="auto"/>
              </w:rPr>
            </w:pPr>
            <w:r>
              <w:rPr>
                <w:rFonts w:ascii="Arial" w:cs="Arial" w:eastAsia="Arial" w:hAnsi="Arial"/>
                <w:sz w:val="16"/>
                <w:szCs w:val="16"/>
                <w:color w:val="auto"/>
              </w:rPr>
              <w:t>9,974,728</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6.18%</w:t>
            </w:r>
          </w:p>
        </w:tc>
      </w:tr>
      <w:tr>
        <w:trPr>
          <w:trHeight w:val="189"/>
        </w:trPr>
        <w:tc>
          <w:tcPr>
            <w:tcW w:w="340" w:type="dxa"/>
            <w:vAlign w:val="bottom"/>
          </w:tcPr>
          <w:p>
            <w:pPr>
              <w:spacing w:after="0"/>
              <w:rPr>
                <w:sz w:val="16"/>
                <w:szCs w:val="16"/>
                <w:color w:val="auto"/>
              </w:rPr>
            </w:pPr>
          </w:p>
        </w:tc>
        <w:tc>
          <w:tcPr>
            <w:tcW w:w="5860" w:type="dxa"/>
            <w:vAlign w:val="bottom"/>
          </w:tcPr>
          <w:p>
            <w:pPr>
              <w:ind w:left="240"/>
              <w:spacing w:after="0"/>
              <w:rPr>
                <w:sz w:val="20"/>
                <w:szCs w:val="20"/>
                <w:color w:val="auto"/>
              </w:rPr>
            </w:pPr>
            <w:r>
              <w:rPr>
                <w:rFonts w:ascii="Arial" w:cs="Arial" w:eastAsia="Arial" w:hAnsi="Arial"/>
                <w:sz w:val="16"/>
                <w:szCs w:val="16"/>
                <w:color w:val="auto"/>
              </w:rPr>
              <w:t>55 East 52nd Street</w:t>
            </w:r>
          </w:p>
        </w:tc>
        <w:tc>
          <w:tcPr>
            <w:tcW w:w="3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34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Arial" w:cs="Arial" w:eastAsia="Arial" w:hAnsi="Arial"/>
                <w:sz w:val="16"/>
                <w:szCs w:val="16"/>
                <w:color w:val="auto"/>
              </w:rPr>
              <w:t>New York, New York 10055</w:t>
            </w:r>
          </w:p>
        </w:tc>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2"/>
        </w:trPr>
        <w:tc>
          <w:tcPr>
            <w:tcW w:w="340" w:type="dxa"/>
            <w:vAlign w:val="bottom"/>
          </w:tcPr>
          <w:p>
            <w:pPr>
              <w:spacing w:after="0"/>
              <w:rPr>
                <w:sz w:val="3"/>
                <w:szCs w:val="3"/>
                <w:color w:val="auto"/>
              </w:rPr>
            </w:pPr>
          </w:p>
        </w:tc>
        <w:tc>
          <w:tcPr>
            <w:tcW w:w="58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340" w:type="dxa"/>
            <w:vAlign w:val="bottom"/>
            <w:shd w:val="clear" w:color="auto" w:fill="DCDDDE"/>
          </w:tcPr>
          <w:p>
            <w:pPr>
              <w:ind w:left="60"/>
              <w:spacing w:after="0"/>
              <w:rPr>
                <w:sz w:val="20"/>
                <w:szCs w:val="20"/>
                <w:color w:val="auto"/>
              </w:rPr>
            </w:pPr>
            <w:r>
              <w:rPr>
                <w:rFonts w:ascii="Arial" w:cs="Arial" w:eastAsia="Arial" w:hAnsi="Arial"/>
                <w:sz w:val="16"/>
                <w:szCs w:val="16"/>
                <w:color w:val="auto"/>
              </w:rPr>
              <w:t>(v)</w:t>
            </w:r>
          </w:p>
        </w:tc>
        <w:tc>
          <w:tcPr>
            <w:tcW w:w="5860" w:type="dxa"/>
            <w:vAlign w:val="bottom"/>
            <w:shd w:val="clear" w:color="auto" w:fill="DCDDDE"/>
          </w:tcPr>
          <w:p>
            <w:pPr>
              <w:ind w:left="100"/>
              <w:spacing w:after="0"/>
              <w:rPr>
                <w:sz w:val="20"/>
                <w:szCs w:val="20"/>
                <w:color w:val="auto"/>
              </w:rPr>
            </w:pPr>
            <w:r>
              <w:rPr>
                <w:rFonts w:ascii="Arial" w:cs="Arial" w:eastAsia="Arial" w:hAnsi="Arial"/>
                <w:sz w:val="16"/>
                <w:szCs w:val="16"/>
                <w:color w:val="auto"/>
              </w:rPr>
              <w:t>The Vanguard Group</w:t>
            </w:r>
          </w:p>
        </w:tc>
        <w:tc>
          <w:tcPr>
            <w:tcW w:w="3420" w:type="dxa"/>
            <w:vAlign w:val="bottom"/>
            <w:shd w:val="clear" w:color="auto" w:fill="DCDDDE"/>
          </w:tcPr>
          <w:p>
            <w:pPr>
              <w:jc w:val="right"/>
              <w:ind w:right="519"/>
              <w:spacing w:after="0"/>
              <w:rPr>
                <w:sz w:val="20"/>
                <w:szCs w:val="20"/>
                <w:color w:val="auto"/>
              </w:rPr>
            </w:pPr>
            <w:r>
              <w:rPr>
                <w:rFonts w:ascii="Arial" w:cs="Arial" w:eastAsia="Arial" w:hAnsi="Arial"/>
                <w:sz w:val="16"/>
                <w:szCs w:val="16"/>
                <w:color w:val="auto"/>
              </w:rPr>
              <w:t>9,420,303</w:t>
            </w:r>
          </w:p>
        </w:tc>
        <w:tc>
          <w:tcPr>
            <w:tcW w:w="1260" w:type="dxa"/>
            <w:vAlign w:val="bottom"/>
            <w:shd w:val="clear" w:color="auto" w:fill="DCDDDE"/>
          </w:tcPr>
          <w:p>
            <w:pPr>
              <w:jc w:val="right"/>
              <w:ind w:right="39"/>
              <w:spacing w:after="0"/>
              <w:rPr>
                <w:sz w:val="20"/>
                <w:szCs w:val="20"/>
                <w:color w:val="auto"/>
              </w:rPr>
            </w:pPr>
            <w:r>
              <w:rPr>
                <w:rFonts w:ascii="Arial" w:cs="Arial" w:eastAsia="Arial" w:hAnsi="Arial"/>
                <w:sz w:val="16"/>
                <w:szCs w:val="16"/>
                <w:color w:val="auto"/>
              </w:rPr>
              <w:t>5.84%</w:t>
            </w:r>
          </w:p>
        </w:tc>
      </w:tr>
      <w:tr>
        <w:trPr>
          <w:trHeight w:val="189"/>
        </w:trPr>
        <w:tc>
          <w:tcPr>
            <w:tcW w:w="340" w:type="dxa"/>
            <w:vAlign w:val="bottom"/>
            <w:shd w:val="clear" w:color="auto" w:fill="DCDDDE"/>
          </w:tcPr>
          <w:p>
            <w:pPr>
              <w:spacing w:after="0"/>
              <w:rPr>
                <w:sz w:val="16"/>
                <w:szCs w:val="16"/>
                <w:color w:val="auto"/>
              </w:rPr>
            </w:pPr>
          </w:p>
        </w:tc>
        <w:tc>
          <w:tcPr>
            <w:tcW w:w="5860" w:type="dxa"/>
            <w:vAlign w:val="bottom"/>
            <w:shd w:val="clear" w:color="auto" w:fill="DCDDDE"/>
          </w:tcPr>
          <w:p>
            <w:pPr>
              <w:ind w:left="240"/>
              <w:spacing w:after="0"/>
              <w:rPr>
                <w:sz w:val="20"/>
                <w:szCs w:val="20"/>
                <w:color w:val="auto"/>
              </w:rPr>
            </w:pPr>
            <w:r>
              <w:rPr>
                <w:rFonts w:ascii="Arial" w:cs="Arial" w:eastAsia="Arial" w:hAnsi="Arial"/>
                <w:sz w:val="16"/>
                <w:szCs w:val="16"/>
                <w:color w:val="auto"/>
              </w:rPr>
              <w:t>100 Vanguard Boulevard</w:t>
            </w:r>
          </w:p>
        </w:tc>
        <w:tc>
          <w:tcPr>
            <w:tcW w:w="3420" w:type="dxa"/>
            <w:vAlign w:val="bottom"/>
            <w:shd w:val="clear" w:color="auto" w:fill="DCDDDE"/>
          </w:tcPr>
          <w:p>
            <w:pPr>
              <w:spacing w:after="0"/>
              <w:rPr>
                <w:sz w:val="16"/>
                <w:szCs w:val="16"/>
                <w:color w:val="auto"/>
              </w:rPr>
            </w:pPr>
          </w:p>
        </w:tc>
        <w:tc>
          <w:tcPr>
            <w:tcW w:w="1260" w:type="dxa"/>
            <w:vAlign w:val="bottom"/>
            <w:shd w:val="clear" w:color="auto" w:fill="DCDDDE"/>
          </w:tcPr>
          <w:p>
            <w:pPr>
              <w:spacing w:after="0"/>
              <w:rPr>
                <w:sz w:val="16"/>
                <w:szCs w:val="16"/>
                <w:color w:val="auto"/>
              </w:rPr>
            </w:pPr>
          </w:p>
        </w:tc>
      </w:tr>
      <w:tr>
        <w:trPr>
          <w:trHeight w:val="215"/>
        </w:trPr>
        <w:tc>
          <w:tcPr>
            <w:tcW w:w="340" w:type="dxa"/>
            <w:vAlign w:val="bottom"/>
            <w:shd w:val="clear" w:color="auto" w:fill="DCDDDE"/>
          </w:tcPr>
          <w:p>
            <w:pPr>
              <w:spacing w:after="0"/>
              <w:rPr>
                <w:sz w:val="18"/>
                <w:szCs w:val="18"/>
                <w:color w:val="auto"/>
              </w:rPr>
            </w:pPr>
          </w:p>
        </w:tc>
        <w:tc>
          <w:tcPr>
            <w:tcW w:w="5860" w:type="dxa"/>
            <w:vAlign w:val="bottom"/>
            <w:shd w:val="clear" w:color="auto" w:fill="DCDDDE"/>
          </w:tcPr>
          <w:p>
            <w:pPr>
              <w:ind w:left="240"/>
              <w:spacing w:after="0"/>
              <w:rPr>
                <w:sz w:val="20"/>
                <w:szCs w:val="20"/>
                <w:color w:val="auto"/>
              </w:rPr>
            </w:pPr>
            <w:r>
              <w:rPr>
                <w:rFonts w:ascii="Arial" w:cs="Arial" w:eastAsia="Arial" w:hAnsi="Arial"/>
                <w:sz w:val="16"/>
                <w:szCs w:val="16"/>
                <w:color w:val="auto"/>
              </w:rPr>
              <w:t>Malvern, Pennsylvania 19355</w:t>
            </w:r>
          </w:p>
        </w:tc>
        <w:tc>
          <w:tcPr>
            <w:tcW w:w="3420" w:type="dxa"/>
            <w:vAlign w:val="bottom"/>
            <w:shd w:val="clear" w:color="auto" w:fill="DCDDDE"/>
          </w:tcPr>
          <w:p>
            <w:pPr>
              <w:spacing w:after="0"/>
              <w:rPr>
                <w:sz w:val="18"/>
                <w:szCs w:val="18"/>
                <w:color w:val="auto"/>
              </w:rPr>
            </w:pPr>
          </w:p>
        </w:tc>
        <w:tc>
          <w:tcPr>
            <w:tcW w:w="1260" w:type="dxa"/>
            <w:vAlign w:val="bottom"/>
            <w:shd w:val="clear" w:color="auto" w:fill="DCDDDE"/>
          </w:tcPr>
          <w:p>
            <w:pPr>
              <w:spacing w:after="0"/>
              <w:rPr>
                <w:sz w:val="18"/>
                <w:szCs w:val="18"/>
                <w:color w:val="auto"/>
              </w:rPr>
            </w:pPr>
          </w:p>
        </w:tc>
      </w:tr>
      <w:tr>
        <w:trPr>
          <w:trHeight w:val="42"/>
        </w:trPr>
        <w:tc>
          <w:tcPr>
            <w:tcW w:w="340" w:type="dxa"/>
            <w:vAlign w:val="bottom"/>
            <w:shd w:val="clear" w:color="auto" w:fill="DCDDDE"/>
          </w:tcPr>
          <w:p>
            <w:pPr>
              <w:spacing w:after="0"/>
              <w:rPr>
                <w:sz w:val="3"/>
                <w:szCs w:val="3"/>
                <w:color w:val="auto"/>
              </w:rPr>
            </w:pPr>
          </w:p>
        </w:tc>
        <w:tc>
          <w:tcPr>
            <w:tcW w:w="5860" w:type="dxa"/>
            <w:vAlign w:val="bottom"/>
            <w:shd w:val="clear" w:color="auto" w:fill="DCDDDE"/>
          </w:tcPr>
          <w:p>
            <w:pPr>
              <w:spacing w:after="0"/>
              <w:rPr>
                <w:sz w:val="3"/>
                <w:szCs w:val="3"/>
                <w:color w:val="auto"/>
              </w:rPr>
            </w:pPr>
          </w:p>
        </w:tc>
        <w:tc>
          <w:tcPr>
            <w:tcW w:w="3420" w:type="dxa"/>
            <w:vAlign w:val="bottom"/>
            <w:shd w:val="clear" w:color="auto" w:fill="DCDDDE"/>
          </w:tcPr>
          <w:p>
            <w:pPr>
              <w:spacing w:after="0"/>
              <w:rPr>
                <w:sz w:val="3"/>
                <w:szCs w:val="3"/>
                <w:color w:val="auto"/>
              </w:rPr>
            </w:pPr>
          </w:p>
        </w:tc>
        <w:tc>
          <w:tcPr>
            <w:tcW w:w="1260" w:type="dxa"/>
            <w:vAlign w:val="bottom"/>
            <w:shd w:val="clear" w:color="auto" w:fill="DCDDDE"/>
          </w:tcPr>
          <w:p>
            <w:pPr>
              <w:spacing w:after="0"/>
              <w:rPr>
                <w:sz w:val="3"/>
                <w:szCs w:val="3"/>
                <w:color w:val="auto"/>
              </w:rPr>
            </w:pPr>
          </w:p>
        </w:tc>
      </w:tr>
    </w:tbl>
    <w:p>
      <w:pPr>
        <w:spacing w:after="0" w:line="96"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i w:val="1"/>
          <w:iCs w:val="1"/>
          <w:color w:val="auto"/>
        </w:rPr>
        <w:t>*</w:t>
        <w:tab/>
        <w:t>Does not exceed 1%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1019810" cy="1200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SECURITY OWNERSHIP OF CERTAIN BENEFICIAL OWNERS AND MANAGEMENT</w:t>
      </w:r>
    </w:p>
    <w:p>
      <w:pPr>
        <w:sectPr>
          <w:pgSz w:w="11900" w:h="16838" w:orient="portrait"/>
          <w:cols w:equalWidth="0" w:num="1">
            <w:col w:w="10880"/>
          </w:cols>
          <w:pgMar w:left="500" w:top="270" w:right="51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(a) Erik B. Nordstrom</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86" w:lineRule="exact"/>
        <w:rPr>
          <w:sz w:val="20"/>
          <w:szCs w:val="20"/>
          <w:color w:val="auto"/>
        </w:rPr>
      </w:pPr>
    </w:p>
    <w:p>
      <w:pPr>
        <w:ind w:left="220" w:hanging="212"/>
        <w:spacing w:after="0"/>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2,600,814 shares owned by him directly;</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28,691 shares held by him in the Company’s 401(k) Plan;</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97"/>
        </w:numPr>
        <w:rPr>
          <w:rFonts w:ascii="Arial" w:cs="Arial" w:eastAsia="Arial" w:hAnsi="Arial"/>
          <w:sz w:val="16"/>
          <w:szCs w:val="16"/>
          <w:color w:val="auto"/>
        </w:rPr>
      </w:pPr>
      <w:r>
        <w:rPr>
          <w:rFonts w:ascii="Arial" w:cs="Arial" w:eastAsia="Arial" w:hAnsi="Arial"/>
          <w:sz w:val="16"/>
          <w:szCs w:val="16"/>
          <w:color w:val="auto"/>
        </w:rPr>
        <w:t>667,828 shares that may be acquired by him through stock options exercisable within 60 days after April 10, 2023;</w:t>
      </w:r>
    </w:p>
    <w:p>
      <w:pPr>
        <w:spacing w:after="0" w:line="20" w:lineRule="exact"/>
        <w:rPr>
          <w:rFonts w:ascii="Arial" w:cs="Arial" w:eastAsia="Arial" w:hAnsi="Arial"/>
          <w:sz w:val="16"/>
          <w:szCs w:val="16"/>
          <w:color w:val="auto"/>
        </w:rPr>
      </w:pPr>
    </w:p>
    <w:p>
      <w:pPr>
        <w:ind w:left="220" w:hanging="212"/>
        <w:spacing w:after="0"/>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42,646 shares owned by his wife individually; and</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199,595 shares held by a trust of which he is the trustee.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(b) Peter E. Nordstrom</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73" w:lineRule="exact"/>
        <w:rPr>
          <w:sz w:val="20"/>
          <w:szCs w:val="20"/>
          <w:color w:val="auto"/>
        </w:rPr>
      </w:pPr>
    </w:p>
    <w:p>
      <w:pPr>
        <w:jc w:val="both"/>
        <w:ind w:left="200" w:hanging="192"/>
        <w:spacing w:after="0" w:line="266" w:lineRule="auto"/>
        <w:tabs>
          <w:tab w:leader="none" w:pos="207" w:val="left"/>
        </w:tabs>
        <w:numPr>
          <w:ilvl w:val="0"/>
          <w:numId w:val="98"/>
        </w:numPr>
        <w:rPr>
          <w:rFonts w:ascii="Arial" w:cs="Arial" w:eastAsia="Arial" w:hAnsi="Arial"/>
          <w:sz w:val="16"/>
          <w:szCs w:val="16"/>
          <w:color w:val="auto"/>
        </w:rPr>
      </w:pPr>
      <w:r>
        <w:rPr>
          <w:rFonts w:ascii="Arial" w:cs="Arial" w:eastAsia="Arial" w:hAnsi="Arial"/>
          <w:sz w:val="16"/>
          <w:szCs w:val="16"/>
          <w:color w:val="auto"/>
        </w:rPr>
        <w:t>2,471,488 shares owned by him directly, of which 230,000 shares are pledged as collateral for loans and are in compliance with the Company’s policy regarding pledging;</w:t>
      </w:r>
    </w:p>
    <w:p>
      <w:pPr>
        <w:spacing w:after="0" w:line="36" w:lineRule="exact"/>
        <w:rPr>
          <w:rFonts w:ascii="Arial" w:cs="Arial" w:eastAsia="Arial" w:hAnsi="Arial"/>
          <w:sz w:val="16"/>
          <w:szCs w:val="16"/>
          <w:color w:val="auto"/>
        </w:rPr>
      </w:pPr>
    </w:p>
    <w:p>
      <w:pPr>
        <w:ind w:left="220" w:hanging="212"/>
        <w:spacing w:after="0"/>
        <w:tabs>
          <w:tab w:leader="none" w:pos="2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36,860 shares held by him in the Company’s 401(k) Plan;</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98"/>
        </w:numPr>
        <w:rPr>
          <w:rFonts w:ascii="Arial" w:cs="Arial" w:eastAsia="Arial" w:hAnsi="Arial"/>
          <w:sz w:val="16"/>
          <w:szCs w:val="16"/>
          <w:color w:val="auto"/>
        </w:rPr>
      </w:pPr>
      <w:r>
        <w:rPr>
          <w:rFonts w:ascii="Arial" w:cs="Arial" w:eastAsia="Arial" w:hAnsi="Arial"/>
          <w:sz w:val="16"/>
          <w:szCs w:val="16"/>
          <w:color w:val="auto"/>
        </w:rPr>
        <w:t>667,828 shares that may be acquired by him through stock options exercisable within 60 days after April 10, 2023;</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175,533 shares owned by his wife individually;</w:t>
      </w:r>
    </w:p>
    <w:p>
      <w:pPr>
        <w:spacing w:after="0" w:line="86" w:lineRule="exact"/>
        <w:rPr>
          <w:rFonts w:ascii="Arial" w:cs="Arial" w:eastAsia="Arial" w:hAnsi="Arial"/>
          <w:sz w:val="16"/>
          <w:szCs w:val="16"/>
          <w:color w:val="auto"/>
        </w:rPr>
      </w:pPr>
    </w:p>
    <w:p>
      <w:pPr>
        <w:ind w:left="220" w:hanging="212"/>
        <w:spacing w:after="0"/>
        <w:tabs>
          <w:tab w:leader="none" w:pos="2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494 shares held by his wife in the Company’s 401(k) Plan;</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49,060 shares held by trusts of which he is the trustee; and</w:t>
      </w:r>
    </w:p>
    <w:p>
      <w:pPr>
        <w:spacing w:after="0" w:line="72"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98"/>
        </w:numPr>
        <w:rPr>
          <w:rFonts w:ascii="Arial" w:cs="Arial" w:eastAsia="Arial" w:hAnsi="Arial"/>
          <w:sz w:val="16"/>
          <w:szCs w:val="16"/>
          <w:color w:val="auto"/>
        </w:rPr>
      </w:pPr>
      <w:r>
        <w:rPr>
          <w:rFonts w:ascii="Arial" w:cs="Arial" w:eastAsia="Arial" w:hAnsi="Arial"/>
          <w:sz w:val="16"/>
          <w:szCs w:val="16"/>
          <w:color w:val="auto"/>
        </w:rPr>
        <w:t>82,728 shares held by trusts of which he is the trustee, for which he has sole voting and dispositive power and for which he disclaims beneficial ownership.</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(c) Kenneth J. Worzel</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86"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88,239 shares owned by him directly;</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6,310 nonvoting stock units held under the NDCP;</w:t>
      </w:r>
    </w:p>
    <w:p>
      <w:pPr>
        <w:spacing w:after="0" w:line="72" w:lineRule="exact"/>
        <w:rPr>
          <w:rFonts w:ascii="Arial" w:cs="Arial" w:eastAsia="Arial" w:hAnsi="Arial"/>
          <w:sz w:val="16"/>
          <w:szCs w:val="16"/>
          <w:color w:val="auto"/>
        </w:rPr>
      </w:pPr>
    </w:p>
    <w:p>
      <w:pPr>
        <w:ind w:left="220" w:hanging="212"/>
        <w:spacing w:after="0"/>
        <w:tabs>
          <w:tab w:leader="none" w:pos="2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5,326 shares held by him in the Company’s 401(k) Plan; and</w:t>
      </w:r>
    </w:p>
    <w:p>
      <w:pPr>
        <w:spacing w:after="0" w:line="86"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99"/>
        </w:numPr>
        <w:rPr>
          <w:rFonts w:ascii="Arial" w:cs="Arial" w:eastAsia="Arial" w:hAnsi="Arial"/>
          <w:sz w:val="16"/>
          <w:szCs w:val="16"/>
          <w:color w:val="auto"/>
        </w:rPr>
      </w:pPr>
      <w:r>
        <w:rPr>
          <w:rFonts w:ascii="Arial" w:cs="Arial" w:eastAsia="Arial" w:hAnsi="Arial"/>
          <w:sz w:val="16"/>
          <w:szCs w:val="16"/>
          <w:color w:val="auto"/>
        </w:rPr>
        <w:t>625,645 shares that may be acquired by him through stock options exercisable within 60 days after April 10,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(d) Alexis DePree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73" w:lineRule="exact"/>
        <w:rPr>
          <w:sz w:val="20"/>
          <w:szCs w:val="20"/>
          <w:color w:val="auto"/>
        </w:rPr>
      </w:pPr>
    </w:p>
    <w:p>
      <w:pPr>
        <w:ind w:left="220" w:hanging="212"/>
        <w:spacing w:after="0"/>
        <w:tabs>
          <w:tab w:leader="none" w:pos="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75,081 shares owned by her directly; and</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58,080 shares that may be acquired by her through stock options exercisable within 60 days after April 10,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(e) Michael W. Maher</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86" w:lineRule="exact"/>
        <w:rPr>
          <w:sz w:val="20"/>
          <w:szCs w:val="20"/>
          <w:color w:val="auto"/>
        </w:rPr>
      </w:pPr>
    </w:p>
    <w:p>
      <w:pPr>
        <w:ind w:left="220" w:hanging="212"/>
        <w:spacing w:after="0"/>
        <w:tabs>
          <w:tab w:leader="none" w:pos="2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23,311 shares owned by him directly; and</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67,381 shares that may be acquired by him through stock options exercisable within 60 days after April 10,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(f) Edmond Mesrobian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Mr. Mesrobian served as the Company’s Chief Technology and Information Officer until October 14, 2022. The following beneficial ownership information is based on information contained in the last Form 4 filed by Mr. Mesrobian with the SEC prior to October 14, 2022, adjusted to give effect to subsequent transactions through April 10, 2023 of which the Company is aware in connection with employment-related equity awards:</w:t>
      </w:r>
    </w:p>
    <w:p>
      <w:pPr>
        <w:spacing w:after="0" w:line="33"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tab/>
        <w:t>78,761 shares owned by him directly.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(g) Bradley D. Tilden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86" w:lineRule="exact"/>
        <w:rPr>
          <w:sz w:val="20"/>
          <w:szCs w:val="20"/>
          <w:color w:val="auto"/>
        </w:rPr>
      </w:pPr>
    </w:p>
    <w:p>
      <w:pPr>
        <w:ind w:left="200" w:hanging="199"/>
        <w:spacing w:after="0" w:line="286" w:lineRule="auto"/>
        <w:tabs>
          <w:tab w:leader="none" w:pos="20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52,515 shares held by a family trust, of which he is a trustee and beneficiary; and</w:t>
      </w:r>
    </w:p>
    <w:p>
      <w:pPr>
        <w:spacing w:after="0" w:line="7" w:lineRule="exact"/>
        <w:rPr>
          <w:rFonts w:ascii="Arial" w:cs="Arial" w:eastAsia="Arial" w:hAnsi="Arial"/>
          <w:sz w:val="16"/>
          <w:szCs w:val="16"/>
          <w:color w:val="auto"/>
        </w:rPr>
      </w:pPr>
    </w:p>
    <w:p>
      <w:pPr>
        <w:jc w:val="both"/>
        <w:ind w:left="200" w:hanging="199"/>
        <w:spacing w:after="0" w:line="266" w:lineRule="auto"/>
        <w:tabs>
          <w:tab w:leader="none" w:pos="20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14,683 nonvoting deferred stock units. The stock units are convertible into Common Stock and payable upon the occurrence of certain events, including his retirement from the Board.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(h) Stacy Brown-Philpot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73" w:lineRule="exact"/>
        <w:rPr>
          <w:sz w:val="20"/>
          <w:szCs w:val="20"/>
          <w:color w:val="auto"/>
        </w:rPr>
      </w:pPr>
    </w:p>
    <w:p>
      <w:pPr>
        <w:ind w:left="200" w:hanging="199"/>
        <w:spacing w:after="0"/>
        <w:tabs>
          <w:tab w:leader="none" w:pos="2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3,444 shares owned by her directly; and</w:t>
      </w:r>
    </w:p>
    <w:p>
      <w:pPr>
        <w:spacing w:after="0" w:line="86" w:lineRule="exact"/>
        <w:rPr>
          <w:rFonts w:ascii="Arial" w:cs="Arial" w:eastAsia="Arial" w:hAnsi="Arial"/>
          <w:sz w:val="16"/>
          <w:szCs w:val="16"/>
          <w:color w:val="auto"/>
        </w:rPr>
      </w:pPr>
    </w:p>
    <w:p>
      <w:pPr>
        <w:jc w:val="both"/>
        <w:ind w:left="200" w:hanging="199"/>
        <w:spacing w:after="0" w:line="266" w:lineRule="auto"/>
        <w:tabs>
          <w:tab w:leader="none" w:pos="20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30,296 nonvoting deferred stock units. The stock units are convertible into Common Stock and payable upon the occurrence of certain events, including her retirement from the Board.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(i) Kirsten A. Green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73" w:lineRule="exact"/>
        <w:rPr>
          <w:sz w:val="20"/>
          <w:szCs w:val="20"/>
          <w:color w:val="auto"/>
        </w:rPr>
      </w:pPr>
    </w:p>
    <w:p>
      <w:pPr>
        <w:ind w:left="200" w:hanging="199"/>
        <w:spacing w:after="0"/>
        <w:tabs>
          <w:tab w:leader="none" w:pos="2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24,547 shares owned by her directly.</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1E295B"/>
        </w:rPr>
        <w:t>(j) Glenda G. McNeal</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73" w:lineRule="exact"/>
        <w:rPr>
          <w:sz w:val="20"/>
          <w:szCs w:val="20"/>
          <w:color w:val="auto"/>
        </w:rPr>
      </w:pPr>
    </w:p>
    <w:p>
      <w:pPr>
        <w:ind w:left="200" w:hanging="199"/>
        <w:spacing w:after="0"/>
        <w:tabs>
          <w:tab w:leader="none" w:pos="2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24,547 shares owned by her directly.</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1E295B"/>
        </w:rPr>
        <w:t>(k) James L. Donald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86" w:lineRule="exact"/>
        <w:rPr>
          <w:sz w:val="20"/>
          <w:szCs w:val="20"/>
          <w:color w:val="auto"/>
        </w:rPr>
      </w:pPr>
    </w:p>
    <w:p>
      <w:pPr>
        <w:ind w:left="200" w:hanging="199"/>
        <w:spacing w:after="0"/>
        <w:tabs>
          <w:tab w:leader="none" w:pos="2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19,457 shares held in a trust of which he is a trustee and beneficiary.</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1E295B"/>
        </w:rPr>
        <w:t>(l) Mark J. Tritton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73" w:lineRule="exact"/>
        <w:rPr>
          <w:sz w:val="20"/>
          <w:szCs w:val="20"/>
          <w:color w:val="auto"/>
        </w:rPr>
      </w:pPr>
    </w:p>
    <w:p>
      <w:pPr>
        <w:ind w:left="200" w:hanging="199"/>
        <w:spacing w:after="0"/>
        <w:tabs>
          <w:tab w:leader="none" w:pos="2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19,457 shares owned by him directly.</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1E295B"/>
        </w:rPr>
        <w:t>(m) Amie Thuener O’Toole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73" w:lineRule="exact"/>
        <w:rPr>
          <w:sz w:val="20"/>
          <w:szCs w:val="20"/>
          <w:color w:val="auto"/>
        </w:rPr>
      </w:pPr>
    </w:p>
    <w:p>
      <w:pPr>
        <w:ind w:left="200" w:hanging="199"/>
        <w:spacing w:after="0"/>
        <w:tabs>
          <w:tab w:leader="none" w:pos="2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6,043 shares owned by her directly.</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1E295B"/>
        </w:rPr>
        <w:t>(n) Atticus N. Tysen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Amount and nature of beneficial ownership includes:</w:t>
      </w:r>
    </w:p>
    <w:p>
      <w:pPr>
        <w:spacing w:after="0" w:line="86" w:lineRule="exact"/>
        <w:rPr>
          <w:sz w:val="20"/>
          <w:szCs w:val="20"/>
          <w:color w:val="auto"/>
        </w:rPr>
      </w:pPr>
    </w:p>
    <w:p>
      <w:pPr>
        <w:ind w:left="200" w:hanging="199"/>
        <w:spacing w:after="0"/>
        <w:tabs>
          <w:tab w:leader="none" w:pos="2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1,910 shares owned by him directly.</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1E295B"/>
        </w:rPr>
        <w:t>(o) Eric D. Sprunk</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Mr. Sprunk was appointed on April 16, 2023 and will receive a common stock award compensation as described under the caption “Director Compensation and Stock Ownership Guidelines” of this Proxy Statement.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(p) Anne L. Bramman</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Ms. Bramman served as the Company’s Chief Financial Officer until December 2, 2022. The following beneficial ownership information is based on information contained in the last Form 4 filed by Ms. Bramman with the SEC prior to December 2, 2022, adjusted to give effect to subsequent transactions through April 10, 2023 of which the Company is aware in connection with employment-related equity awards:</w:t>
      </w:r>
    </w:p>
    <w:p>
      <w:pPr>
        <w:spacing w:after="0" w:line="33"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tab/>
        <w:t>0 shares owned by her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706755</wp:posOffset>
            </wp:positionV>
            <wp:extent cx="1020445" cy="1289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753" w:lineRule="exact"/>
        <w:rPr>
          <w:sz w:val="20"/>
          <w:szCs w:val="20"/>
          <w:color w:val="auto"/>
        </w:rPr>
      </w:pPr>
    </w:p>
    <w:p>
      <w:pPr>
        <w:sectPr>
          <w:pgSz w:w="11900" w:h="16838" w:orient="portrait"/>
          <w:cols w:equalWidth="0" w:num="2">
            <w:col w:w="5220" w:space="440"/>
            <w:col w:w="5220"/>
          </w:cols>
          <w:pgMar w:left="500" w:top="270" w:right="519" w:bottom="1440" w:gutter="0" w:footer="0" w:header="0"/>
          <w:type w:val="continuous"/>
        </w:sectPr>
      </w:pPr>
    </w:p>
    <w:p>
      <w:pPr>
        <w:spacing w:after="0" w:line="37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85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110490</wp:posOffset>
            </wp:positionV>
            <wp:extent cx="128905" cy="2660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(q) Directors and Executive Officers as a group (18 persons)</w:t>
      </w:r>
    </w:p>
    <w:p>
      <w:pPr>
        <w:spacing w:after="0" w:line="10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Collectively, the combined amount and nature of beneficial ownership for the Directors and all Executive Officers include:</w:t>
      </w:r>
    </w:p>
    <w:p>
      <w:pPr>
        <w:spacing w:after="0" w:line="7" w:lineRule="exact"/>
        <w:rPr>
          <w:sz w:val="20"/>
          <w:szCs w:val="20"/>
          <w:color w:val="auto"/>
        </w:rPr>
      </w:pPr>
    </w:p>
    <w:p>
      <w:pPr>
        <w:ind w:left="200" w:hanging="192"/>
        <w:spacing w:after="0" w:line="286" w:lineRule="auto"/>
        <w:tabs>
          <w:tab w:leader="none" w:pos="2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5,918,364 shares owned directly, of which 230,000 shares are pledged as collateral for third party obligations;</w:t>
      </w:r>
    </w:p>
    <w:p>
      <w:pPr>
        <w:spacing w:after="0" w:line="20" w:lineRule="exact"/>
        <w:rPr>
          <w:rFonts w:ascii="Arial" w:cs="Arial" w:eastAsia="Arial" w:hAnsi="Arial"/>
          <w:sz w:val="16"/>
          <w:szCs w:val="16"/>
          <w:color w:val="auto"/>
        </w:rPr>
      </w:pPr>
    </w:p>
    <w:p>
      <w:pPr>
        <w:jc w:val="both"/>
        <w:ind w:left="200" w:hanging="192"/>
        <w:spacing w:after="0" w:line="286" w:lineRule="auto"/>
        <w:tabs>
          <w:tab w:leader="none" w:pos="2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218,608 shares owned by spouses and trusts of which the respective Director or Executive Officer is a trustee, or a trustee and beneficiary;</w:t>
      </w:r>
    </w:p>
    <w:p>
      <w:pPr>
        <w:spacing w:after="0" w:line="7"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44,979 nonvoting stock units held by participating Directors under the DDCP;</w:t>
      </w:r>
    </w:p>
    <w:p>
      <w:pPr>
        <w:spacing w:after="0" w:line="7"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6,310 nonvoting stock units held by participating Executive Officers under the NDCP;</w:t>
      </w:r>
    </w:p>
    <w:p>
      <w:pPr>
        <w:spacing w:after="0" w:line="20"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82,776 shares held by participating Executive Officers and their eligible spouses in the Company’s 401(k) Plan; and</w:t>
      </w:r>
    </w:p>
    <w:p>
      <w:pPr>
        <w:spacing w:after="0" w:line="7"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2,682,708 shares that may be acquired by the Executive Officers as a group through stock options exercisable within 60 days after April 10, 2023.</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(r) Bruce A. Nordstrom</w:t>
      </w:r>
    </w:p>
    <w:p>
      <w:pPr>
        <w:spacing w:after="0" w:line="66" w:lineRule="exact"/>
        <w:rPr>
          <w:sz w:val="20"/>
          <w:szCs w:val="20"/>
          <w:color w:val="auto"/>
        </w:rPr>
      </w:pPr>
    </w:p>
    <w:p>
      <w:pPr>
        <w:jc w:val="both"/>
        <w:ind w:left="200" w:hanging="192"/>
        <w:spacing w:after="0" w:line="266" w:lineRule="auto"/>
        <w:tabs>
          <w:tab w:leader="none" w:pos="20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Pursuant to a Schedule 13G filing made with the SEC, as of December 31, 2022, the aggregate amount beneficially owned by Mr. Nordstrom includes:</w:t>
      </w:r>
    </w:p>
    <w:p>
      <w:pPr>
        <w:spacing w:after="0" w:line="36"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24,236,227 shares for which he has sole power to vote or to dispose or to direct disposition; and</w:t>
      </w:r>
    </w:p>
    <w:p>
      <w:pPr>
        <w:spacing w:after="0" w:line="7"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1,005,196 shares for which he has shared power to vote or to dispose or to direct disposition.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(s) El Puerto de Liverpool, S.A.B. de C.V.</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a Schedule 13G filing made with the SEC, as of September 8, 2022, the aggregate amount beneficially owned by El Puerto de Liverpool, S.A.B. de C.V. includes:</w:t>
      </w:r>
    </w:p>
    <w:p>
      <w:pPr>
        <w:spacing w:after="0" w:line="23" w:lineRule="exact"/>
        <w:rPr>
          <w:sz w:val="20"/>
          <w:szCs w:val="20"/>
          <w:color w:val="auto"/>
        </w:rPr>
      </w:pPr>
    </w:p>
    <w:p>
      <w:pPr>
        <w:ind w:left="200" w:hanging="192"/>
        <w:spacing w:after="0" w:line="286" w:lineRule="auto"/>
        <w:tabs>
          <w:tab w:leader="none" w:pos="20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15,755,00 shares for which it has sole power to vote or to dispose or to direct disposition.</w:t>
      </w:r>
    </w:p>
    <w:p>
      <w:pPr>
        <w:spacing w:after="0" w:line="126"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Delinquent Section 16(a) Reports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(t) Anne E. Gittinger</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a Schedule 13G filing made with the SEC, as of December 31, 2022, the aggregate amount beneficially owned by Ms. Gittinger includes:</w:t>
      </w:r>
    </w:p>
    <w:p>
      <w:pPr>
        <w:spacing w:after="0" w:line="23" w:lineRule="exact"/>
        <w:rPr>
          <w:sz w:val="20"/>
          <w:szCs w:val="20"/>
          <w:color w:val="auto"/>
        </w:rPr>
      </w:pPr>
    </w:p>
    <w:p>
      <w:pPr>
        <w:ind w:left="200" w:hanging="199"/>
        <w:spacing w:after="0" w:line="286" w:lineRule="auto"/>
        <w:tabs>
          <w:tab w:leader="none" w:pos="20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15,404,437 shares for which she has sole power to vote or to dispose or to direct disposition.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(u) BlackRock, Inc.</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a Schedule 13G filing made with the SEC, as of December 31, 2022, the aggregate amount beneficially owned by BlackRock, Inc. includes:</w:t>
      </w:r>
    </w:p>
    <w:p>
      <w:pPr>
        <w:spacing w:after="0" w:line="36" w:lineRule="exact"/>
        <w:rPr>
          <w:sz w:val="20"/>
          <w:szCs w:val="20"/>
          <w:color w:val="auto"/>
        </w:rPr>
      </w:pPr>
    </w:p>
    <w:p>
      <w:pPr>
        <w:ind w:left="200" w:hanging="199"/>
        <w:spacing w:after="0" w:line="286" w:lineRule="auto"/>
        <w:tabs>
          <w:tab w:leader="none" w:pos="20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9,618,987 shares for which it has the sole power to vote or to direct the vote; and</w:t>
      </w:r>
    </w:p>
    <w:p>
      <w:pPr>
        <w:spacing w:after="0" w:line="7" w:lineRule="exact"/>
        <w:rPr>
          <w:rFonts w:ascii="Arial" w:cs="Arial" w:eastAsia="Arial" w:hAnsi="Arial"/>
          <w:sz w:val="16"/>
          <w:szCs w:val="16"/>
          <w:color w:val="auto"/>
        </w:rPr>
      </w:pPr>
    </w:p>
    <w:p>
      <w:pPr>
        <w:ind w:left="200" w:right="20" w:hanging="199"/>
        <w:spacing w:after="0" w:line="286" w:lineRule="auto"/>
        <w:tabs>
          <w:tab w:leader="none" w:pos="20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9,974,728 shares for which it has sole power to dispose or to direct disposition.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295B"/>
        </w:rPr>
        <w:t>(v) The Vanguard Group</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a Schedule 13G filing made with the SEC, as of December 30, 2022, the aggregate amount beneficially owned by The Vanguard Group includes:</w:t>
      </w:r>
    </w:p>
    <w:p>
      <w:pPr>
        <w:spacing w:after="0" w:line="23" w:lineRule="exact"/>
        <w:rPr>
          <w:sz w:val="20"/>
          <w:szCs w:val="20"/>
          <w:color w:val="auto"/>
        </w:rPr>
      </w:pPr>
    </w:p>
    <w:p>
      <w:pPr>
        <w:ind w:left="200" w:hanging="199"/>
        <w:spacing w:after="0" w:line="286" w:lineRule="auto"/>
        <w:tabs>
          <w:tab w:leader="none" w:pos="20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48,798 shares for which it has shared power to vote or to direct the vote;</w:t>
      </w:r>
    </w:p>
    <w:p>
      <w:pPr>
        <w:spacing w:after="0" w:line="20" w:lineRule="exact"/>
        <w:rPr>
          <w:rFonts w:ascii="Arial" w:cs="Arial" w:eastAsia="Arial" w:hAnsi="Arial"/>
          <w:sz w:val="16"/>
          <w:szCs w:val="16"/>
          <w:color w:val="auto"/>
        </w:rPr>
      </w:pPr>
    </w:p>
    <w:p>
      <w:pPr>
        <w:ind w:left="200" w:hanging="199"/>
        <w:spacing w:after="0" w:line="286" w:lineRule="auto"/>
        <w:tabs>
          <w:tab w:leader="none" w:pos="20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159,867 shares for which it has shared power to dispose or to direct disposition; and</w:t>
      </w:r>
    </w:p>
    <w:p>
      <w:pPr>
        <w:spacing w:after="0" w:line="7" w:lineRule="exact"/>
        <w:rPr>
          <w:rFonts w:ascii="Arial" w:cs="Arial" w:eastAsia="Arial" w:hAnsi="Arial"/>
          <w:sz w:val="16"/>
          <w:szCs w:val="16"/>
          <w:color w:val="auto"/>
        </w:rPr>
      </w:pPr>
    </w:p>
    <w:p>
      <w:pPr>
        <w:ind w:left="200" w:right="20" w:hanging="199"/>
        <w:spacing w:after="0" w:line="286" w:lineRule="auto"/>
        <w:tabs>
          <w:tab w:leader="none" w:pos="20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9,260,436 shares for which it has sole power to dispose or to direct disposition.</w:t>
      </w:r>
    </w:p>
    <w:p>
      <w:pPr>
        <w:spacing w:after="0" w:line="1937" w:lineRule="exact"/>
        <w:rPr>
          <w:sz w:val="20"/>
          <w:szCs w:val="20"/>
          <w:color w:val="auto"/>
        </w:rPr>
      </w:pPr>
    </w:p>
    <w:p>
      <w:pPr>
        <w:sectPr>
          <w:pgSz w:w="11900" w:h="16838" w:orient="portrait"/>
          <w:cols w:equalWidth="0" w:num="2">
            <w:col w:w="5220" w:space="440"/>
            <w:col w:w="5220"/>
          </w:cols>
          <w:pgMar w:left="500" w:top="270" w:right="519" w:bottom="1440" w:gutter="0" w:footer="0" w:header="0"/>
          <w:type w:val="continuous"/>
        </w:sectPr>
      </w:pPr>
    </w:p>
    <w:p>
      <w:pPr>
        <w:jc w:val="both"/>
        <w:spacing w:after="0" w:line="266" w:lineRule="auto"/>
        <w:rPr>
          <w:sz w:val="20"/>
          <w:szCs w:val="20"/>
          <w:color w:val="auto"/>
        </w:rPr>
      </w:pPr>
      <w:r>
        <w:rPr>
          <w:rFonts w:ascii="Arial" w:cs="Arial" w:eastAsia="Arial" w:hAnsi="Arial"/>
          <w:sz w:val="16"/>
          <w:szCs w:val="16"/>
          <w:color w:val="auto"/>
        </w:rPr>
        <w:t>Based upon a review of reports filed with the SEC and written representations that no other reports were required, the Company believes that during the fiscal year ended January 28, 2023 all of our Directors, Executive Officers and owners of in excess of 10% of Common Stock complied with the filing requirements of Section 16(a) of the Exchange Act, except that one Form 4 was filed late on behalf of Michael Maher relating to an RSU grant.</w:t>
      </w:r>
    </w:p>
    <w:p>
      <w:pPr>
        <w:spacing w:after="0" w:line="84" w:lineRule="exact"/>
        <w:rPr>
          <w:sz w:val="20"/>
          <w:szCs w:val="20"/>
          <w:color w:val="auto"/>
        </w:rPr>
      </w:pPr>
    </w:p>
    <w:p>
      <w:pPr>
        <w:ind w:right="2940"/>
        <w:spacing w:after="0" w:line="268" w:lineRule="auto"/>
        <w:rPr>
          <w:sz w:val="20"/>
          <w:szCs w:val="20"/>
          <w:color w:val="auto"/>
        </w:rPr>
      </w:pPr>
      <w:r>
        <w:rPr>
          <w:rFonts w:ascii="Arial" w:cs="Arial" w:eastAsia="Arial" w:hAnsi="Arial"/>
          <w:sz w:val="40"/>
          <w:szCs w:val="40"/>
          <w:b w:val="1"/>
          <w:bCs w:val="1"/>
          <w:color w:val="1E295B"/>
        </w:rPr>
        <w:t>CERTAIN RELATIONSHIPS AND RELATED TRANSACTIONS</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Review and Approval Process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maintain policies and procedures regarding the identification, review and approval of related party transactions. In compliance with SEC rules, the CGNC reviews and approves or disapproves any transaction or series of related transactions in which: (1) the amount involved exceeds $120,000,</w:t>
      </w:r>
    </w:p>
    <w:p>
      <w:pPr>
        <w:spacing w:after="0" w:line="1" w:lineRule="exact"/>
        <w:rPr>
          <w:sz w:val="20"/>
          <w:szCs w:val="20"/>
          <w:color w:val="auto"/>
        </w:rPr>
      </w:pPr>
    </w:p>
    <w:p>
      <w:pPr>
        <w:jc w:val="both"/>
        <w:ind w:firstLine="8"/>
        <w:spacing w:after="0" w:line="250" w:lineRule="auto"/>
        <w:tabs>
          <w:tab w:leader="none" w:pos="25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or any of its subsidiaries is a participant, and (3) a related party (a Director or Executive Officer of the Company, any nominee for Director, any greater than 5% shareholders and any immediate family member of such persons) has a direct or indirect material interest. When considering a transaction, the CPCC will review all relevant factors, including the Company’s rationale for entering into a related party transaction, alternatives to the transaction, whether the transaction is on terms at least as fair to the Company as would be the case if the transaction were entered with a third party, and the potential of an actual or apparent conflict of interest. After reviewing the information, the CPCC will approve or ratify the transaction or transactions only if the CPCC determines that the transaction is reasonable and fair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1019810" cy="1200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r>
        <w:trPr>
          <w:trHeight w:val="393"/>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60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Related Party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January 28, 2023, there were no related party transactions that require disclosure in this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40"/>
          <w:szCs w:val="40"/>
          <w:b w:val="1"/>
          <w:bCs w:val="1"/>
          <w:color w:val="1E295B"/>
        </w:rPr>
        <w:t>OTHER MATTERS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knows of no other matters that will be presented at the Annual Meeting. However, if any other matters are properly presented at the Annual Meeting or any convening or reconvening of the Annual Meeting upon an adjournment or postponement of the Annual Meeting, it is the intention of the persons named as proxies to vote in accordance with their discretion to the extent permitted by Rule 14a-4(c) promulgated under the Exchange Act.</w:t>
      </w:r>
    </w:p>
    <w:p>
      <w:pPr>
        <w:spacing w:after="0" w:line="84" w:lineRule="exact"/>
        <w:rPr>
          <w:sz w:val="20"/>
          <w:szCs w:val="20"/>
          <w:color w:val="auto"/>
        </w:rPr>
      </w:pPr>
    </w:p>
    <w:p>
      <w:pPr>
        <w:ind w:right="2200"/>
        <w:spacing w:after="0" w:line="268" w:lineRule="auto"/>
        <w:rPr>
          <w:sz w:val="20"/>
          <w:szCs w:val="20"/>
          <w:color w:val="auto"/>
        </w:rPr>
      </w:pPr>
      <w:r>
        <w:rPr>
          <w:rFonts w:ascii="Arial" w:cs="Arial" w:eastAsia="Arial" w:hAnsi="Arial"/>
          <w:sz w:val="40"/>
          <w:szCs w:val="40"/>
          <w:b w:val="1"/>
          <w:bCs w:val="1"/>
          <w:color w:val="1E295B"/>
        </w:rPr>
        <w:t>2024 ANNUAL MEETING OF SHAREHOLDERS INFORMATION</w:t>
      </w:r>
    </w:p>
    <w:p>
      <w:pPr>
        <w:spacing w:after="0" w:line="2" w:lineRule="exact"/>
        <w:rPr>
          <w:sz w:val="20"/>
          <w:szCs w:val="20"/>
          <w:color w:val="auto"/>
        </w:rPr>
      </w:pPr>
    </w:p>
    <w:p>
      <w:pPr>
        <w:ind w:right="2200"/>
        <w:spacing w:after="0" w:line="272" w:lineRule="auto"/>
        <w:rPr>
          <w:sz w:val="20"/>
          <w:szCs w:val="20"/>
          <w:color w:val="auto"/>
        </w:rPr>
      </w:pPr>
      <w:r>
        <w:rPr>
          <w:rFonts w:ascii="Arial" w:cs="Arial" w:eastAsia="Arial" w:hAnsi="Arial"/>
          <w:sz w:val="32"/>
          <w:szCs w:val="32"/>
          <w:b w:val="1"/>
          <w:bCs w:val="1"/>
          <w:color w:val="67686B"/>
        </w:rPr>
        <w:t>Requirements and Deadlines for Submission of Proxy Proposals, Nomination of Directors, and Other Business of Shareholders</w:t>
      </w:r>
    </w:p>
    <w:p>
      <w:pPr>
        <w:spacing w:after="0" w:line="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 shareholder wants the Company to include a shareholder proposal in our Proxy Statement for the 2024 Annual Meeting of Shareholders pursuant to SEC Rule 14a-8 promulgated under the Exchange Act, our Corporate Secretary must receive the proposal at our principal executive offices no later than [●], 2023. Any such proposal must comply with all the requirements of Rule 14a-8.</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shareholder intends to solicit proxies for a Director nominee other than the Company’s nominees in accordance with Rule 14a-19 promulgated under the Exchange Act for the 2024 Annual Meeting of Shareholders, our Corporate Secretary must receive notice of such intention at our executive offices no later than the close of business on [●], 2024. If the 2024 Annual Meeting changes by more than 30 calendar days from the date of the Annual Meeting, such notice must instead be provided by the later of 60 calendar days prior to the date of the 2024 Annual Meeting or the 10th calendar day following public announcement by the Company of the date of the 2024 Annual Meeting. Any such notice of intent to solicit proxies must comply with all the requirements of Rule 14a-19. The requirements of Rule 14a-19 are in addition to the requirements under our Bylaws with respect to advance notice of Director nominations.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our Bylaws, shareholders must follow certain procedures to nominate a person for election as a Director at an annual or special meeting, or to introduce an item of business at an annual meeting. Under these advance-notice procedures, shareholders must submit the proposed nominee or item of business by delivering a notice to the Corporate Secretary of the Company at our principal executive offices. We must receive notice as follows:</w:t>
      </w:r>
    </w:p>
    <w:p>
      <w:pPr>
        <w:spacing w:after="0" w:line="23" w:lineRule="exact"/>
        <w:rPr>
          <w:sz w:val="20"/>
          <w:szCs w:val="20"/>
          <w:color w:val="auto"/>
        </w:rPr>
      </w:pPr>
    </w:p>
    <w:p>
      <w:pPr>
        <w:jc w:val="both"/>
        <w:ind w:left="200" w:hanging="192"/>
        <w:spacing w:after="0" w:line="266" w:lineRule="auto"/>
        <w:tabs>
          <w:tab w:leader="none" w:pos="20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We must receive notice of a shareholder’s intention to introduce a nomination or proposed item of business (other than a proposal pursuant to Rule 14a-8) for an annual meeting not less than 90 days nor more than 120 days before the first anniversary of the prior year’s meeting. We must receive notice pertaining to the 2024 Annual Meeting of Shareholders no earlier than [●], 2024 and no later than [●], 2024.</w:t>
      </w:r>
    </w:p>
    <w:p>
      <w:pPr>
        <w:spacing w:after="0" w:line="36" w:lineRule="exact"/>
        <w:rPr>
          <w:rFonts w:ascii="Arial" w:cs="Arial" w:eastAsia="Arial" w:hAnsi="Arial"/>
          <w:sz w:val="16"/>
          <w:szCs w:val="16"/>
          <w:color w:val="auto"/>
        </w:rPr>
      </w:pPr>
    </w:p>
    <w:p>
      <w:pPr>
        <w:jc w:val="both"/>
        <w:ind w:left="200" w:hanging="192"/>
        <w:spacing w:after="0" w:line="266" w:lineRule="auto"/>
        <w:tabs>
          <w:tab w:leader="none" w:pos="20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However, if we hold the 2024 Annual Meeting of Shareholders on a date that is not within 30 days before or after such anniversary date, we must receive the notice no later than ten days after the earlier of the date we first provide notice of the meeting to shareholders (in the case of proposed items of business) or announce it publicly (in the case of director nominations).</w:t>
      </w:r>
    </w:p>
    <w:p>
      <w:pPr>
        <w:spacing w:after="0" w:line="2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we hold a special meeting to elect Directors, we must receive a shareholder’s notice of intention to introduce a nomination no later than ten days following the day on which notice of the annual meeting was mailed to shareholders.</w:t>
      </w:r>
    </w:p>
    <w:p>
      <w:pPr>
        <w:spacing w:after="0" w:line="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All Director nominations and items of business, other than shareholder proposals made pursuant to Rule 14a-8 under the Exchange Act, must comply with the requirements of the Company’s Bylaws. Our Bylaws provide that notice of a proposed nomination must include certain information about the nominating shareholder, related parties and each proposed nominee, as well as a written consent of the proposed nominee to serve if elected. A notice of a proposed item of business must include a description of and the reasons for bringing the proposed business to the meeting, any material interest of the shareholder in the business and certain other information about the proposing shareholder and related parties. Any notice (other than a proposal pursuant to Rule 14a -8) that is received after the times specified herein for proposed items of business will be considered untimely under Rule 14a-4(c) under the Exchange Act. You may obtain a copy of the Company’s Bylaws at no cost from the Company’s Corporate Secretary or on the Company’s Investor Relations Website. The contact information for the Company’s Corporate Secretary is on page </w:t>
      </w:r>
      <w:r>
        <w:rPr>
          <w:rFonts w:ascii="Arial" w:cs="Arial" w:eastAsia="Arial" w:hAnsi="Arial"/>
          <w:sz w:val="16"/>
          <w:szCs w:val="16"/>
          <w:u w:val="single" w:color="auto"/>
          <w:color w:val="0000EE"/>
        </w:rPr>
        <w:t>92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330835</wp:posOffset>
            </wp:positionV>
            <wp:extent cx="1020445" cy="1289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87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60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180"/>
        <w:spacing w:after="0" w:line="284" w:lineRule="auto"/>
        <w:rPr>
          <w:sz w:val="20"/>
          <w:szCs w:val="20"/>
          <w:color w:val="auto"/>
        </w:rPr>
      </w:pPr>
      <w:r>
        <w:rPr>
          <w:rFonts w:ascii="Arial" w:cs="Arial" w:eastAsia="Arial" w:hAnsi="Arial"/>
          <w:sz w:val="40"/>
          <w:szCs w:val="40"/>
          <w:b w:val="1"/>
          <w:bCs w:val="1"/>
          <w:color w:val="1E295B"/>
        </w:rPr>
        <w:t>FREQUENTLY ASKED QUESTIONS AND ANSWERS ABOUT THE ANNUAL MEETING</w:t>
      </w:r>
    </w:p>
    <w:p>
      <w:pPr>
        <w:spacing w:after="0" w:line="230" w:lineRule="exact"/>
        <w:rPr>
          <w:sz w:val="20"/>
          <w:szCs w:val="20"/>
          <w:color w:val="auto"/>
        </w:rPr>
      </w:pPr>
    </w:p>
    <w:p>
      <w:pPr>
        <w:ind w:left="560" w:hanging="498"/>
        <w:spacing w:after="0"/>
        <w:tabs>
          <w:tab w:leader="none" w:pos="560" w:val="left"/>
        </w:tabs>
        <w:numPr>
          <w:ilvl w:val="0"/>
          <w:numId w:val="118"/>
        </w:numPr>
        <w:rPr>
          <w:rFonts w:ascii="Arial" w:cs="Arial" w:eastAsia="Arial" w:hAnsi="Arial"/>
          <w:sz w:val="25"/>
          <w:szCs w:val="25"/>
          <w:b w:val="1"/>
          <w:bCs w:val="1"/>
          <w:color w:val="auto"/>
        </w:rPr>
      </w:pPr>
      <w:r>
        <w:rPr>
          <w:rFonts w:ascii="Arial" w:cs="Arial" w:eastAsia="Arial" w:hAnsi="Arial"/>
          <w:sz w:val="25"/>
          <w:szCs w:val="25"/>
          <w:b w:val="1"/>
          <w:bCs w:val="1"/>
          <w:color w:val="auto"/>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delivered printed versions of these materials to you by mail, because you were a shareholder of the Company as of the Record Date, and were entitled to receive notice of the 2023 Annual Meeting of Shareholders and to vote on matters that will be presented at the Annual Meeting.</w:t>
      </w:r>
    </w:p>
    <w:p>
      <w:pPr>
        <w:spacing w:after="0" w:line="321" w:lineRule="exact"/>
        <w:rPr>
          <w:sz w:val="20"/>
          <w:szCs w:val="20"/>
          <w:color w:val="auto"/>
        </w:rPr>
      </w:pPr>
    </w:p>
    <w:p>
      <w:pPr>
        <w:ind w:left="560" w:hanging="498"/>
        <w:spacing w:after="0"/>
        <w:tabs>
          <w:tab w:leader="none" w:pos="560" w:val="left"/>
        </w:tabs>
        <w:numPr>
          <w:ilvl w:val="0"/>
          <w:numId w:val="119"/>
        </w:numPr>
        <w:rPr>
          <w:rFonts w:ascii="Arial" w:cs="Arial" w:eastAsia="Arial" w:hAnsi="Arial"/>
          <w:sz w:val="25"/>
          <w:szCs w:val="25"/>
          <w:b w:val="1"/>
          <w:bCs w:val="1"/>
          <w:color w:val="auto"/>
        </w:rPr>
      </w:pPr>
      <w:r>
        <w:rPr>
          <w:rFonts w:ascii="Arial" w:cs="Arial" w:eastAsia="Arial" w:hAnsi="Arial"/>
          <w:sz w:val="25"/>
          <w:szCs w:val="25"/>
          <w:b w:val="1"/>
          <w:bCs w:val="1"/>
          <w:color w:val="auto"/>
        </w:rPr>
        <w:t>What items will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Board</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Page Reference</w:t>
            </w:r>
          </w:p>
        </w:tc>
      </w:tr>
      <w:tr>
        <w:trPr>
          <w:trHeight w:val="223"/>
        </w:trPr>
        <w:tc>
          <w:tcPr>
            <w:tcW w:w="744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Shareholders will vote on the following matters at the Annual Meeting:</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Recommendation:</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(for more detail):</w:t>
            </w:r>
          </w:p>
        </w:tc>
      </w:tr>
      <w:tr>
        <w:trPr>
          <w:trHeight w:val="21"/>
        </w:trPr>
        <w:tc>
          <w:tcPr>
            <w:tcW w:w="7440" w:type="dxa"/>
            <w:vAlign w:val="bottom"/>
            <w:tcBorders>
              <w:bottom w:val="single" w:sz="8" w:color="auto"/>
            </w:tcBorders>
            <w:gridSpan w:val="2"/>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22"/>
        </w:trPr>
        <w:tc>
          <w:tcPr>
            <w:tcW w:w="744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Proposal 1   To elect eleven directors to serve until the 2024 Annual Meeting of Shareholders</w:t>
            </w:r>
          </w:p>
        </w:tc>
        <w:tc>
          <w:tcPr>
            <w:tcW w:w="1980" w:type="dxa"/>
            <w:vAlign w:val="bottom"/>
            <w:shd w:val="clear" w:color="auto" w:fill="DCDDDE"/>
          </w:tcPr>
          <w:p>
            <w:pPr>
              <w:jc w:val="right"/>
              <w:ind w:right="219"/>
              <w:spacing w:after="0"/>
              <w:rPr>
                <w:sz w:val="20"/>
                <w:szCs w:val="20"/>
                <w:color w:val="auto"/>
              </w:rPr>
            </w:pPr>
            <w:r>
              <w:rPr>
                <w:rFonts w:ascii="Arial" w:cs="Arial" w:eastAsia="Arial" w:hAnsi="Arial"/>
                <w:sz w:val="16"/>
                <w:szCs w:val="16"/>
                <w:b w:val="1"/>
                <w:bCs w:val="1"/>
                <w:color w:val="auto"/>
              </w:rPr>
              <w:t>FOR each Director</w:t>
            </w:r>
          </w:p>
        </w:tc>
        <w:tc>
          <w:tcPr>
            <w:tcW w:w="1280" w:type="dxa"/>
            <w:vAlign w:val="bottom"/>
            <w:shd w:val="clear" w:color="auto" w:fill="DCDDDE"/>
          </w:tcPr>
          <w:p>
            <w:pPr>
              <w:spacing w:after="0"/>
              <w:rPr>
                <w:sz w:val="19"/>
                <w:szCs w:val="19"/>
                <w:color w:val="auto"/>
              </w:rPr>
            </w:pPr>
          </w:p>
        </w:tc>
        <w:tc>
          <w:tcPr>
            <w:tcW w:w="180" w:type="dxa"/>
            <w:vAlign w:val="bottom"/>
            <w:shd w:val="clear" w:color="auto" w:fill="DCDDDE"/>
          </w:tcPr>
          <w:p>
            <w:pPr>
              <w:spacing w:after="0"/>
              <w:rPr>
                <w:sz w:val="19"/>
                <w:szCs w:val="19"/>
                <w:color w:val="auto"/>
              </w:rPr>
            </w:pPr>
          </w:p>
        </w:tc>
      </w:tr>
      <w:tr>
        <w:trPr>
          <w:trHeight w:val="176"/>
        </w:trPr>
        <w:tc>
          <w:tcPr>
            <w:tcW w:w="780" w:type="dxa"/>
            <w:vAlign w:val="bottom"/>
            <w:shd w:val="clear" w:color="auto" w:fill="DCDDDE"/>
          </w:tcPr>
          <w:p>
            <w:pPr>
              <w:spacing w:after="0"/>
              <w:rPr>
                <w:sz w:val="15"/>
                <w:szCs w:val="15"/>
                <w:color w:val="auto"/>
              </w:rPr>
            </w:pPr>
          </w:p>
        </w:tc>
        <w:tc>
          <w:tcPr>
            <w:tcW w:w="6660" w:type="dxa"/>
            <w:vAlign w:val="bottom"/>
            <w:shd w:val="clear" w:color="auto" w:fill="DCDDDE"/>
          </w:tcPr>
          <w:p>
            <w:pPr>
              <w:spacing w:after="0"/>
              <w:rPr>
                <w:sz w:val="15"/>
                <w:szCs w:val="15"/>
                <w:color w:val="auto"/>
              </w:rPr>
            </w:pPr>
          </w:p>
        </w:tc>
        <w:tc>
          <w:tcPr>
            <w:tcW w:w="1980" w:type="dxa"/>
            <w:vAlign w:val="bottom"/>
            <w:shd w:val="clear" w:color="auto" w:fill="DCDDDE"/>
          </w:tcPr>
          <w:p>
            <w:pPr>
              <w:jc w:val="right"/>
              <w:ind w:right="179"/>
              <w:spacing w:after="0" w:line="176" w:lineRule="exact"/>
              <w:rPr>
                <w:sz w:val="20"/>
                <w:szCs w:val="20"/>
                <w:color w:val="auto"/>
              </w:rPr>
            </w:pPr>
            <w:r>
              <w:rPr>
                <w:rFonts w:ascii="Arial" w:cs="Arial" w:eastAsia="Arial" w:hAnsi="Arial"/>
                <w:sz w:val="16"/>
                <w:szCs w:val="16"/>
                <w:b w:val="1"/>
                <w:bCs w:val="1"/>
                <w:color w:val="auto"/>
              </w:rPr>
              <w:t>Nominee</w:t>
            </w:r>
          </w:p>
        </w:tc>
        <w:tc>
          <w:tcPr>
            <w:tcW w:w="1460" w:type="dxa"/>
            <w:vAlign w:val="bottom"/>
            <w:gridSpan w:val="2"/>
            <w:shd w:val="clear" w:color="auto" w:fill="DCDDDE"/>
          </w:tcPr>
          <w:p>
            <w:pPr>
              <w:jc w:val="right"/>
              <w:spacing w:after="0" w:line="176" w:lineRule="exact"/>
              <w:rPr>
                <w:sz w:val="20"/>
                <w:szCs w:val="20"/>
                <w:color w:val="auto"/>
              </w:rPr>
            </w:pPr>
            <w:r>
              <w:rPr>
                <w:rFonts w:ascii="Arial" w:cs="Arial" w:eastAsia="Arial" w:hAnsi="Arial"/>
                <w:sz w:val="16"/>
                <w:szCs w:val="16"/>
                <w:b w:val="1"/>
                <w:bCs w:val="1"/>
                <w:color w:val="0000EE"/>
              </w:rPr>
              <w:t>25</w:t>
            </w:r>
          </w:p>
        </w:tc>
      </w:tr>
      <w:tr>
        <w:trPr>
          <w:trHeight w:val="102"/>
        </w:trPr>
        <w:tc>
          <w:tcPr>
            <w:tcW w:w="780" w:type="dxa"/>
            <w:vAlign w:val="bottom"/>
            <w:tcBorders>
              <w:top w:val="single" w:sz="8" w:color="DCDDDE"/>
            </w:tcBorders>
            <w:shd w:val="clear" w:color="auto" w:fill="DCDDDE"/>
          </w:tcPr>
          <w:p>
            <w:pPr>
              <w:spacing w:after="0"/>
              <w:rPr>
                <w:sz w:val="8"/>
                <w:szCs w:val="8"/>
                <w:color w:val="auto"/>
              </w:rPr>
            </w:pPr>
          </w:p>
        </w:tc>
        <w:tc>
          <w:tcPr>
            <w:tcW w:w="6660" w:type="dxa"/>
            <w:vAlign w:val="bottom"/>
            <w:tcBorders>
              <w:top w:val="single" w:sz="8" w:color="DCDDDE"/>
            </w:tcBorders>
            <w:shd w:val="clear" w:color="auto" w:fill="DCDDDE"/>
          </w:tcPr>
          <w:p>
            <w:pPr>
              <w:spacing w:after="0"/>
              <w:rPr>
                <w:sz w:val="8"/>
                <w:szCs w:val="8"/>
                <w:color w:val="auto"/>
              </w:rPr>
            </w:pPr>
          </w:p>
        </w:tc>
        <w:tc>
          <w:tcPr>
            <w:tcW w:w="1980" w:type="dxa"/>
            <w:vAlign w:val="bottom"/>
            <w:tcBorders>
              <w:top w:val="single" w:sz="8" w:color="DCDDDE"/>
            </w:tcBorders>
            <w:shd w:val="clear" w:color="auto" w:fill="DCDDDE"/>
          </w:tcPr>
          <w:p>
            <w:pPr>
              <w:spacing w:after="0"/>
              <w:rPr>
                <w:sz w:val="8"/>
                <w:szCs w:val="8"/>
                <w:color w:val="auto"/>
              </w:rPr>
            </w:pPr>
          </w:p>
        </w:tc>
        <w:tc>
          <w:tcPr>
            <w:tcW w:w="1280" w:type="dxa"/>
            <w:vAlign w:val="bottom"/>
            <w:tcBorders>
              <w:top w:val="single" w:sz="8" w:color="DCDDDE"/>
            </w:tcBorders>
            <w:shd w:val="clear" w:color="auto" w:fill="DCDDDE"/>
          </w:tcPr>
          <w:p>
            <w:pPr>
              <w:spacing w:after="0"/>
              <w:rPr>
                <w:sz w:val="8"/>
                <w:szCs w:val="8"/>
                <w:color w:val="auto"/>
              </w:rPr>
            </w:pPr>
          </w:p>
        </w:tc>
        <w:tc>
          <w:tcPr>
            <w:tcW w:w="180" w:type="dxa"/>
            <w:vAlign w:val="bottom"/>
            <w:tcBorders>
              <w:top w:val="single" w:sz="8" w:color="0000EE"/>
            </w:tcBorders>
            <w:shd w:val="clear" w:color="auto" w:fill="DCDDDE"/>
          </w:tcPr>
          <w:p>
            <w:pPr>
              <w:spacing w:after="0"/>
              <w:rPr>
                <w:sz w:val="8"/>
                <w:szCs w:val="8"/>
                <w:color w:val="auto"/>
              </w:rPr>
            </w:pPr>
          </w:p>
        </w:tc>
      </w:tr>
      <w:tr>
        <w:trPr>
          <w:trHeight w:val="229"/>
        </w:trPr>
        <w:tc>
          <w:tcPr>
            <w:tcW w:w="7440" w:type="dxa"/>
            <w:vAlign w:val="bottom"/>
            <w:gridSpan w:val="2"/>
          </w:tcPr>
          <w:p>
            <w:pPr>
              <w:ind w:left="60"/>
              <w:spacing w:after="0"/>
              <w:rPr>
                <w:sz w:val="20"/>
                <w:szCs w:val="20"/>
                <w:color w:val="auto"/>
              </w:rPr>
            </w:pPr>
            <w:r>
              <w:rPr>
                <w:rFonts w:ascii="Arial" w:cs="Arial" w:eastAsia="Arial" w:hAnsi="Arial"/>
                <w:sz w:val="16"/>
                <w:szCs w:val="16"/>
                <w:color w:val="auto"/>
              </w:rPr>
              <w:t>Proposal 2   To  ratify  the  appointment  of  Deloitte  as  our  Independent  Registered  Public</w:t>
            </w:r>
          </w:p>
        </w:tc>
        <w:tc>
          <w:tcPr>
            <w:tcW w:w="1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76"/>
        </w:trPr>
        <w:tc>
          <w:tcPr>
            <w:tcW w:w="780" w:type="dxa"/>
            <w:vAlign w:val="bottom"/>
          </w:tcPr>
          <w:p>
            <w:pPr>
              <w:spacing w:after="0"/>
              <w:rPr>
                <w:sz w:val="15"/>
                <w:szCs w:val="15"/>
                <w:color w:val="auto"/>
              </w:rPr>
            </w:pPr>
          </w:p>
        </w:tc>
        <w:tc>
          <w:tcPr>
            <w:tcW w:w="6660" w:type="dxa"/>
            <w:vAlign w:val="bottom"/>
          </w:tcPr>
          <w:p>
            <w:pPr>
              <w:ind w:left="300"/>
              <w:spacing w:after="0" w:line="176" w:lineRule="exact"/>
              <w:rPr>
                <w:sz w:val="20"/>
                <w:szCs w:val="20"/>
                <w:color w:val="auto"/>
              </w:rPr>
            </w:pPr>
            <w:r>
              <w:rPr>
                <w:rFonts w:ascii="Arial" w:cs="Arial" w:eastAsia="Arial" w:hAnsi="Arial"/>
                <w:sz w:val="16"/>
                <w:szCs w:val="16"/>
                <w:color w:val="auto"/>
              </w:rPr>
              <w:t>Accounting Firm to serve for the fiscal year ending February 3, 2024</w:t>
            </w:r>
          </w:p>
        </w:tc>
        <w:tc>
          <w:tcPr>
            <w:tcW w:w="1980" w:type="dxa"/>
            <w:vAlign w:val="bottom"/>
          </w:tcPr>
          <w:p>
            <w:pPr>
              <w:jc w:val="right"/>
              <w:ind w:right="179"/>
              <w:spacing w:after="0" w:line="176" w:lineRule="exact"/>
              <w:rPr>
                <w:sz w:val="20"/>
                <w:szCs w:val="20"/>
                <w:color w:val="auto"/>
              </w:rPr>
            </w:pPr>
            <w:r>
              <w:rPr>
                <w:rFonts w:ascii="Arial" w:cs="Arial" w:eastAsia="Arial" w:hAnsi="Arial"/>
                <w:sz w:val="16"/>
                <w:szCs w:val="16"/>
                <w:b w:val="1"/>
                <w:bCs w:val="1"/>
                <w:color w:val="auto"/>
              </w:rPr>
              <w:t>FOR</w:t>
            </w:r>
          </w:p>
        </w:tc>
        <w:tc>
          <w:tcPr>
            <w:tcW w:w="146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0000EE"/>
              </w:rPr>
              <w:t>34</w:t>
            </w:r>
          </w:p>
        </w:tc>
      </w:tr>
      <w:tr>
        <w:trPr>
          <w:trHeight w:val="102"/>
        </w:trPr>
        <w:tc>
          <w:tcPr>
            <w:tcW w:w="78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r>
      <w:tr>
        <w:trPr>
          <w:trHeight w:val="216"/>
        </w:trPr>
        <w:tc>
          <w:tcPr>
            <w:tcW w:w="744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Proposal 3   To conduct an advisory vote regarding the compensation of our NEOs</w:t>
            </w:r>
          </w:p>
        </w:tc>
        <w:tc>
          <w:tcPr>
            <w:tcW w:w="1980" w:type="dxa"/>
            <w:vAlign w:val="bottom"/>
            <w:shd w:val="clear" w:color="auto" w:fill="DCDDDE"/>
          </w:tcPr>
          <w:p>
            <w:pPr>
              <w:jc w:val="right"/>
              <w:ind w:right="179"/>
              <w:spacing w:after="0"/>
              <w:rPr>
                <w:sz w:val="20"/>
                <w:szCs w:val="20"/>
                <w:color w:val="auto"/>
              </w:rPr>
            </w:pPr>
            <w:r>
              <w:rPr>
                <w:rFonts w:ascii="Arial" w:cs="Arial" w:eastAsia="Arial" w:hAnsi="Arial"/>
                <w:sz w:val="16"/>
                <w:szCs w:val="16"/>
                <w:b w:val="1"/>
                <w:bCs w:val="1"/>
                <w:color w:val="auto"/>
              </w:rPr>
              <w:t>FOR</w:t>
            </w:r>
          </w:p>
        </w:tc>
        <w:tc>
          <w:tcPr>
            <w:tcW w:w="1460" w:type="dxa"/>
            <w:vAlign w:val="bottom"/>
            <w:gridSpan w:val="2"/>
            <w:shd w:val="clear" w:color="auto" w:fill="DCDDDE"/>
          </w:tcPr>
          <w:p>
            <w:pPr>
              <w:jc w:val="right"/>
              <w:spacing w:after="0"/>
              <w:rPr>
                <w:sz w:val="20"/>
                <w:szCs w:val="20"/>
                <w:color w:val="auto"/>
              </w:rPr>
            </w:pPr>
            <w:r>
              <w:rPr>
                <w:rFonts w:ascii="Arial" w:cs="Arial" w:eastAsia="Arial" w:hAnsi="Arial"/>
                <w:sz w:val="16"/>
                <w:szCs w:val="16"/>
                <w:b w:val="1"/>
                <w:bCs w:val="1"/>
                <w:color w:val="0000EE"/>
              </w:rPr>
              <w:t>70</w:t>
            </w:r>
          </w:p>
        </w:tc>
      </w:tr>
      <w:tr>
        <w:trPr>
          <w:trHeight w:val="102"/>
        </w:trPr>
        <w:tc>
          <w:tcPr>
            <w:tcW w:w="780" w:type="dxa"/>
            <w:vAlign w:val="bottom"/>
            <w:tcBorders>
              <w:top w:val="single" w:sz="8" w:color="DCDDDE"/>
            </w:tcBorders>
            <w:shd w:val="clear" w:color="auto" w:fill="DCDDDE"/>
          </w:tcPr>
          <w:p>
            <w:pPr>
              <w:spacing w:after="0"/>
              <w:rPr>
                <w:sz w:val="8"/>
                <w:szCs w:val="8"/>
                <w:color w:val="auto"/>
              </w:rPr>
            </w:pPr>
          </w:p>
        </w:tc>
        <w:tc>
          <w:tcPr>
            <w:tcW w:w="6660" w:type="dxa"/>
            <w:vAlign w:val="bottom"/>
            <w:tcBorders>
              <w:top w:val="single" w:sz="8" w:color="DCDDDE"/>
            </w:tcBorders>
            <w:shd w:val="clear" w:color="auto" w:fill="DCDDDE"/>
          </w:tcPr>
          <w:p>
            <w:pPr>
              <w:spacing w:after="0"/>
              <w:rPr>
                <w:sz w:val="8"/>
                <w:szCs w:val="8"/>
                <w:color w:val="auto"/>
              </w:rPr>
            </w:pPr>
          </w:p>
        </w:tc>
        <w:tc>
          <w:tcPr>
            <w:tcW w:w="1980" w:type="dxa"/>
            <w:vAlign w:val="bottom"/>
            <w:tcBorders>
              <w:top w:val="single" w:sz="8" w:color="DCDDDE"/>
            </w:tcBorders>
            <w:shd w:val="clear" w:color="auto" w:fill="DCDDDE"/>
          </w:tcPr>
          <w:p>
            <w:pPr>
              <w:spacing w:after="0"/>
              <w:rPr>
                <w:sz w:val="8"/>
                <w:szCs w:val="8"/>
                <w:color w:val="auto"/>
              </w:rPr>
            </w:pPr>
          </w:p>
        </w:tc>
        <w:tc>
          <w:tcPr>
            <w:tcW w:w="1280" w:type="dxa"/>
            <w:vAlign w:val="bottom"/>
            <w:tcBorders>
              <w:top w:val="single" w:sz="8" w:color="DCDDDE"/>
            </w:tcBorders>
            <w:shd w:val="clear" w:color="auto" w:fill="DCDDDE"/>
          </w:tcPr>
          <w:p>
            <w:pPr>
              <w:spacing w:after="0"/>
              <w:rPr>
                <w:sz w:val="8"/>
                <w:szCs w:val="8"/>
                <w:color w:val="auto"/>
              </w:rPr>
            </w:pPr>
          </w:p>
        </w:tc>
        <w:tc>
          <w:tcPr>
            <w:tcW w:w="180" w:type="dxa"/>
            <w:vAlign w:val="bottom"/>
            <w:tcBorders>
              <w:top w:val="single" w:sz="8" w:color="0000EE"/>
            </w:tcBorders>
            <w:shd w:val="clear" w:color="auto" w:fill="DCDDDE"/>
          </w:tcPr>
          <w:p>
            <w:pPr>
              <w:spacing w:after="0"/>
              <w:rPr>
                <w:sz w:val="8"/>
                <w:szCs w:val="8"/>
                <w:color w:val="auto"/>
              </w:rPr>
            </w:pPr>
          </w:p>
        </w:tc>
      </w:tr>
      <w:tr>
        <w:trPr>
          <w:trHeight w:val="229"/>
        </w:trPr>
        <w:tc>
          <w:tcPr>
            <w:tcW w:w="7440" w:type="dxa"/>
            <w:vAlign w:val="bottom"/>
            <w:gridSpan w:val="2"/>
          </w:tcPr>
          <w:p>
            <w:pPr>
              <w:ind w:left="60"/>
              <w:spacing w:after="0"/>
              <w:rPr>
                <w:sz w:val="20"/>
                <w:szCs w:val="20"/>
                <w:color w:val="auto"/>
              </w:rPr>
            </w:pPr>
            <w:r>
              <w:rPr>
                <w:rFonts w:ascii="Arial" w:cs="Arial" w:eastAsia="Arial" w:hAnsi="Arial"/>
                <w:sz w:val="16"/>
                <w:szCs w:val="16"/>
                <w:color w:val="auto"/>
              </w:rPr>
              <w:t>Proposal 4   To conduct an advisory vote regarding the frequency of future advisory votes on the</w:t>
            </w:r>
          </w:p>
        </w:tc>
        <w:tc>
          <w:tcPr>
            <w:tcW w:w="1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76"/>
        </w:trPr>
        <w:tc>
          <w:tcPr>
            <w:tcW w:w="780" w:type="dxa"/>
            <w:vAlign w:val="bottom"/>
          </w:tcPr>
          <w:p>
            <w:pPr>
              <w:spacing w:after="0"/>
              <w:rPr>
                <w:sz w:val="15"/>
                <w:szCs w:val="15"/>
                <w:color w:val="auto"/>
              </w:rPr>
            </w:pPr>
          </w:p>
        </w:tc>
        <w:tc>
          <w:tcPr>
            <w:tcW w:w="6660" w:type="dxa"/>
            <w:vAlign w:val="bottom"/>
          </w:tcPr>
          <w:p>
            <w:pPr>
              <w:ind w:left="300"/>
              <w:spacing w:after="0" w:line="176" w:lineRule="exact"/>
              <w:rPr>
                <w:sz w:val="20"/>
                <w:szCs w:val="20"/>
                <w:color w:val="auto"/>
              </w:rPr>
            </w:pPr>
            <w:r>
              <w:rPr>
                <w:rFonts w:ascii="Arial" w:cs="Arial" w:eastAsia="Arial" w:hAnsi="Arial"/>
                <w:sz w:val="16"/>
                <w:szCs w:val="16"/>
                <w:color w:val="auto"/>
              </w:rPr>
              <w:t>compensation of our Named Executive Officers</w:t>
            </w:r>
          </w:p>
        </w:tc>
        <w:tc>
          <w:tcPr>
            <w:tcW w:w="1980" w:type="dxa"/>
            <w:vAlign w:val="bottom"/>
          </w:tcPr>
          <w:p>
            <w:pPr>
              <w:jc w:val="right"/>
              <w:ind w:right="179"/>
              <w:spacing w:after="0" w:line="176" w:lineRule="exact"/>
              <w:rPr>
                <w:sz w:val="20"/>
                <w:szCs w:val="20"/>
                <w:color w:val="auto"/>
              </w:rPr>
            </w:pPr>
            <w:r>
              <w:rPr>
                <w:rFonts w:ascii="Arial" w:cs="Arial" w:eastAsia="Arial" w:hAnsi="Arial"/>
                <w:sz w:val="16"/>
                <w:szCs w:val="16"/>
                <w:b w:val="1"/>
                <w:bCs w:val="1"/>
                <w:color w:val="auto"/>
              </w:rPr>
              <w:t>FOR “1 YEAR”</w:t>
            </w:r>
          </w:p>
        </w:tc>
        <w:tc>
          <w:tcPr>
            <w:tcW w:w="146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0000EE"/>
              </w:rPr>
              <w:t>71</w:t>
            </w:r>
          </w:p>
        </w:tc>
      </w:tr>
      <w:tr>
        <w:trPr>
          <w:trHeight w:val="101"/>
        </w:trPr>
        <w:tc>
          <w:tcPr>
            <w:tcW w:w="78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r>
      <w:tr>
        <w:trPr>
          <w:trHeight w:val="216"/>
        </w:trPr>
        <w:tc>
          <w:tcPr>
            <w:tcW w:w="744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Proposal 5   To approve the Nordstrom, Inc. Amended and Restated 2019 Equity Incentive Plan</w:t>
            </w:r>
          </w:p>
        </w:tc>
        <w:tc>
          <w:tcPr>
            <w:tcW w:w="1980" w:type="dxa"/>
            <w:vAlign w:val="bottom"/>
            <w:shd w:val="clear" w:color="auto" w:fill="DCDDDE"/>
          </w:tcPr>
          <w:p>
            <w:pPr>
              <w:jc w:val="right"/>
              <w:ind w:right="179"/>
              <w:spacing w:after="0"/>
              <w:rPr>
                <w:sz w:val="20"/>
                <w:szCs w:val="20"/>
                <w:color w:val="auto"/>
              </w:rPr>
            </w:pPr>
            <w:r>
              <w:rPr>
                <w:rFonts w:ascii="Arial" w:cs="Arial" w:eastAsia="Arial" w:hAnsi="Arial"/>
                <w:sz w:val="16"/>
                <w:szCs w:val="16"/>
                <w:b w:val="1"/>
                <w:bCs w:val="1"/>
                <w:color w:val="auto"/>
              </w:rPr>
              <w:t>FOR</w:t>
            </w:r>
          </w:p>
        </w:tc>
        <w:tc>
          <w:tcPr>
            <w:tcW w:w="1460" w:type="dxa"/>
            <w:vAlign w:val="bottom"/>
            <w:gridSpan w:val="2"/>
            <w:shd w:val="clear" w:color="auto" w:fill="DCDDDE"/>
          </w:tcPr>
          <w:p>
            <w:pPr>
              <w:jc w:val="right"/>
              <w:spacing w:after="0"/>
              <w:rPr>
                <w:sz w:val="20"/>
                <w:szCs w:val="20"/>
                <w:color w:val="auto"/>
              </w:rPr>
            </w:pPr>
            <w:r>
              <w:rPr>
                <w:rFonts w:ascii="Arial" w:cs="Arial" w:eastAsia="Arial" w:hAnsi="Arial"/>
                <w:sz w:val="16"/>
                <w:szCs w:val="16"/>
                <w:b w:val="1"/>
                <w:bCs w:val="1"/>
                <w:color w:val="0000EE"/>
              </w:rPr>
              <w:t>72</w:t>
            </w:r>
          </w:p>
        </w:tc>
      </w:tr>
      <w:tr>
        <w:trPr>
          <w:trHeight w:val="101"/>
        </w:trPr>
        <w:tc>
          <w:tcPr>
            <w:tcW w:w="780" w:type="dxa"/>
            <w:vAlign w:val="bottom"/>
            <w:tcBorders>
              <w:top w:val="single" w:sz="8" w:color="DCDDDE"/>
            </w:tcBorders>
            <w:shd w:val="clear" w:color="auto" w:fill="DCDDDE"/>
          </w:tcPr>
          <w:p>
            <w:pPr>
              <w:spacing w:after="0"/>
              <w:rPr>
                <w:sz w:val="8"/>
                <w:szCs w:val="8"/>
                <w:color w:val="auto"/>
              </w:rPr>
            </w:pPr>
          </w:p>
        </w:tc>
        <w:tc>
          <w:tcPr>
            <w:tcW w:w="6660" w:type="dxa"/>
            <w:vAlign w:val="bottom"/>
            <w:tcBorders>
              <w:top w:val="single" w:sz="8" w:color="DCDDDE"/>
            </w:tcBorders>
            <w:shd w:val="clear" w:color="auto" w:fill="DCDDDE"/>
          </w:tcPr>
          <w:p>
            <w:pPr>
              <w:spacing w:after="0"/>
              <w:rPr>
                <w:sz w:val="8"/>
                <w:szCs w:val="8"/>
                <w:color w:val="auto"/>
              </w:rPr>
            </w:pPr>
          </w:p>
        </w:tc>
        <w:tc>
          <w:tcPr>
            <w:tcW w:w="1980" w:type="dxa"/>
            <w:vAlign w:val="bottom"/>
            <w:tcBorders>
              <w:top w:val="single" w:sz="8" w:color="DCDDDE"/>
            </w:tcBorders>
            <w:shd w:val="clear" w:color="auto" w:fill="DCDDDE"/>
          </w:tcPr>
          <w:p>
            <w:pPr>
              <w:spacing w:after="0"/>
              <w:rPr>
                <w:sz w:val="8"/>
                <w:szCs w:val="8"/>
                <w:color w:val="auto"/>
              </w:rPr>
            </w:pPr>
          </w:p>
        </w:tc>
        <w:tc>
          <w:tcPr>
            <w:tcW w:w="1280" w:type="dxa"/>
            <w:vAlign w:val="bottom"/>
            <w:tcBorders>
              <w:top w:val="single" w:sz="8" w:color="DCDDDE"/>
            </w:tcBorders>
            <w:shd w:val="clear" w:color="auto" w:fill="DCDDDE"/>
          </w:tcPr>
          <w:p>
            <w:pPr>
              <w:spacing w:after="0"/>
              <w:rPr>
                <w:sz w:val="8"/>
                <w:szCs w:val="8"/>
                <w:color w:val="auto"/>
              </w:rPr>
            </w:pPr>
          </w:p>
        </w:tc>
        <w:tc>
          <w:tcPr>
            <w:tcW w:w="180" w:type="dxa"/>
            <w:vAlign w:val="bottom"/>
            <w:tcBorders>
              <w:top w:val="single" w:sz="8" w:color="0000EE"/>
            </w:tcBorders>
            <w:shd w:val="clear" w:color="auto" w:fill="DCDDDE"/>
          </w:tcPr>
          <w:p>
            <w:pPr>
              <w:spacing w:after="0"/>
              <w:rPr>
                <w:sz w:val="8"/>
                <w:szCs w:val="8"/>
                <w:color w:val="auto"/>
              </w:rPr>
            </w:pPr>
          </w:p>
        </w:tc>
      </w:tr>
      <w:tr>
        <w:trPr>
          <w:trHeight w:val="229"/>
        </w:trPr>
        <w:tc>
          <w:tcPr>
            <w:tcW w:w="7440" w:type="dxa"/>
            <w:vAlign w:val="bottom"/>
            <w:gridSpan w:val="2"/>
          </w:tcPr>
          <w:p>
            <w:pPr>
              <w:ind w:left="60"/>
              <w:spacing w:after="0"/>
              <w:rPr>
                <w:sz w:val="20"/>
                <w:szCs w:val="20"/>
                <w:color w:val="auto"/>
              </w:rPr>
            </w:pPr>
            <w:r>
              <w:rPr>
                <w:rFonts w:ascii="Arial" w:cs="Arial" w:eastAsia="Arial" w:hAnsi="Arial"/>
                <w:sz w:val="16"/>
                <w:szCs w:val="16"/>
                <w:color w:val="auto"/>
              </w:rPr>
              <w:t>Proposal 6   To approve the Nordstrom, Inc. Amended and Restated Employee Stock Purchase</w:t>
            </w:r>
          </w:p>
        </w:tc>
        <w:tc>
          <w:tcPr>
            <w:tcW w:w="1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76"/>
        </w:trPr>
        <w:tc>
          <w:tcPr>
            <w:tcW w:w="780" w:type="dxa"/>
            <w:vAlign w:val="bottom"/>
          </w:tcPr>
          <w:p>
            <w:pPr>
              <w:spacing w:after="0"/>
              <w:rPr>
                <w:sz w:val="15"/>
                <w:szCs w:val="15"/>
                <w:color w:val="auto"/>
              </w:rPr>
            </w:pPr>
          </w:p>
        </w:tc>
        <w:tc>
          <w:tcPr>
            <w:tcW w:w="6660" w:type="dxa"/>
            <w:vAlign w:val="bottom"/>
          </w:tcPr>
          <w:p>
            <w:pPr>
              <w:ind w:left="300"/>
              <w:spacing w:after="0" w:line="176" w:lineRule="exact"/>
              <w:rPr>
                <w:sz w:val="20"/>
                <w:szCs w:val="20"/>
                <w:color w:val="auto"/>
              </w:rPr>
            </w:pPr>
            <w:r>
              <w:rPr>
                <w:rFonts w:ascii="Arial" w:cs="Arial" w:eastAsia="Arial" w:hAnsi="Arial"/>
                <w:sz w:val="16"/>
                <w:szCs w:val="16"/>
                <w:color w:val="auto"/>
              </w:rPr>
              <w:t>Plan</w:t>
            </w:r>
          </w:p>
        </w:tc>
        <w:tc>
          <w:tcPr>
            <w:tcW w:w="1980" w:type="dxa"/>
            <w:vAlign w:val="bottom"/>
          </w:tcPr>
          <w:p>
            <w:pPr>
              <w:jc w:val="right"/>
              <w:ind w:right="179"/>
              <w:spacing w:after="0" w:line="176" w:lineRule="exact"/>
              <w:rPr>
                <w:sz w:val="20"/>
                <w:szCs w:val="20"/>
                <w:color w:val="auto"/>
              </w:rPr>
            </w:pPr>
            <w:r>
              <w:rPr>
                <w:rFonts w:ascii="Arial" w:cs="Arial" w:eastAsia="Arial" w:hAnsi="Arial"/>
                <w:sz w:val="16"/>
                <w:szCs w:val="16"/>
                <w:b w:val="1"/>
                <w:bCs w:val="1"/>
                <w:color w:val="auto"/>
              </w:rPr>
              <w:t>FOR</w:t>
            </w:r>
          </w:p>
        </w:tc>
        <w:tc>
          <w:tcPr>
            <w:tcW w:w="146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0000EE"/>
              </w:rPr>
              <w:t>77</w:t>
            </w:r>
          </w:p>
        </w:tc>
      </w:tr>
      <w:tr>
        <w:trPr>
          <w:trHeight w:val="102"/>
        </w:trPr>
        <w:tc>
          <w:tcPr>
            <w:tcW w:w="78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r>
      <w:tr>
        <w:trPr>
          <w:trHeight w:val="229"/>
        </w:trPr>
        <w:tc>
          <w:tcPr>
            <w:tcW w:w="7440" w:type="dxa"/>
            <w:vAlign w:val="bottom"/>
            <w:gridSpan w:val="2"/>
            <w:shd w:val="clear" w:color="auto" w:fill="DCDDDE"/>
          </w:tcPr>
          <w:p>
            <w:pPr>
              <w:ind w:left="60"/>
              <w:spacing w:after="0"/>
              <w:rPr>
                <w:sz w:val="20"/>
                <w:szCs w:val="20"/>
                <w:color w:val="auto"/>
              </w:rPr>
            </w:pPr>
            <w:r>
              <w:rPr>
                <w:rFonts w:ascii="Arial" w:cs="Arial" w:eastAsia="Arial" w:hAnsi="Arial"/>
                <w:sz w:val="16"/>
                <w:szCs w:val="16"/>
                <w:color w:val="auto"/>
              </w:rPr>
              <w:t>Proposal 7   To conduct an advisory vote on the extension of the Company’s shareholder rights</w:t>
            </w:r>
          </w:p>
        </w:tc>
        <w:tc>
          <w:tcPr>
            <w:tcW w:w="1980" w:type="dxa"/>
            <w:vAlign w:val="bottom"/>
            <w:shd w:val="clear" w:color="auto" w:fill="DCDDDE"/>
          </w:tcPr>
          <w:p>
            <w:pPr>
              <w:spacing w:after="0"/>
              <w:rPr>
                <w:sz w:val="19"/>
                <w:szCs w:val="19"/>
                <w:color w:val="auto"/>
              </w:rPr>
            </w:pPr>
          </w:p>
        </w:tc>
        <w:tc>
          <w:tcPr>
            <w:tcW w:w="1280" w:type="dxa"/>
            <w:vAlign w:val="bottom"/>
            <w:shd w:val="clear" w:color="auto" w:fill="DCDDDE"/>
          </w:tcPr>
          <w:p>
            <w:pPr>
              <w:spacing w:after="0"/>
              <w:rPr>
                <w:sz w:val="19"/>
                <w:szCs w:val="19"/>
                <w:color w:val="auto"/>
              </w:rPr>
            </w:pPr>
          </w:p>
        </w:tc>
        <w:tc>
          <w:tcPr>
            <w:tcW w:w="180" w:type="dxa"/>
            <w:vAlign w:val="bottom"/>
            <w:shd w:val="clear" w:color="auto" w:fill="DCDDDE"/>
          </w:tcPr>
          <w:p>
            <w:pPr>
              <w:spacing w:after="0"/>
              <w:rPr>
                <w:sz w:val="19"/>
                <w:szCs w:val="19"/>
                <w:color w:val="auto"/>
              </w:rPr>
            </w:pPr>
          </w:p>
        </w:tc>
      </w:tr>
      <w:tr>
        <w:trPr>
          <w:trHeight w:val="176"/>
        </w:trPr>
        <w:tc>
          <w:tcPr>
            <w:tcW w:w="780" w:type="dxa"/>
            <w:vAlign w:val="bottom"/>
            <w:shd w:val="clear" w:color="auto" w:fill="DCDDDE"/>
          </w:tcPr>
          <w:p>
            <w:pPr>
              <w:spacing w:after="0"/>
              <w:rPr>
                <w:sz w:val="15"/>
                <w:szCs w:val="15"/>
                <w:color w:val="auto"/>
              </w:rPr>
            </w:pPr>
          </w:p>
        </w:tc>
        <w:tc>
          <w:tcPr>
            <w:tcW w:w="6660" w:type="dxa"/>
            <w:vAlign w:val="bottom"/>
            <w:shd w:val="clear" w:color="auto" w:fill="DCDDDE"/>
          </w:tcPr>
          <w:p>
            <w:pPr>
              <w:ind w:left="300"/>
              <w:spacing w:after="0" w:line="176" w:lineRule="exact"/>
              <w:rPr>
                <w:sz w:val="20"/>
                <w:szCs w:val="20"/>
                <w:color w:val="auto"/>
              </w:rPr>
            </w:pPr>
            <w:r>
              <w:rPr>
                <w:rFonts w:ascii="Arial" w:cs="Arial" w:eastAsia="Arial" w:hAnsi="Arial"/>
                <w:sz w:val="16"/>
                <w:szCs w:val="16"/>
                <w:color w:val="auto"/>
              </w:rPr>
              <w:t>plan until September 19, 2025</w:t>
            </w:r>
          </w:p>
        </w:tc>
        <w:tc>
          <w:tcPr>
            <w:tcW w:w="1980" w:type="dxa"/>
            <w:vAlign w:val="bottom"/>
            <w:shd w:val="clear" w:color="auto" w:fill="DCDDDE"/>
          </w:tcPr>
          <w:p>
            <w:pPr>
              <w:jc w:val="right"/>
              <w:ind w:right="179"/>
              <w:spacing w:after="0" w:line="176" w:lineRule="exact"/>
              <w:rPr>
                <w:sz w:val="20"/>
                <w:szCs w:val="20"/>
                <w:color w:val="auto"/>
              </w:rPr>
            </w:pPr>
            <w:r>
              <w:rPr>
                <w:rFonts w:ascii="Arial" w:cs="Arial" w:eastAsia="Arial" w:hAnsi="Arial"/>
                <w:sz w:val="16"/>
                <w:szCs w:val="16"/>
                <w:b w:val="1"/>
                <w:bCs w:val="1"/>
                <w:color w:val="auto"/>
              </w:rPr>
              <w:t>FOR</w:t>
            </w:r>
          </w:p>
        </w:tc>
        <w:tc>
          <w:tcPr>
            <w:tcW w:w="1460" w:type="dxa"/>
            <w:vAlign w:val="bottom"/>
            <w:gridSpan w:val="2"/>
            <w:shd w:val="clear" w:color="auto" w:fill="DCDDDE"/>
          </w:tcPr>
          <w:p>
            <w:pPr>
              <w:jc w:val="right"/>
              <w:spacing w:after="0" w:line="176" w:lineRule="exact"/>
              <w:rPr>
                <w:sz w:val="20"/>
                <w:szCs w:val="20"/>
                <w:color w:val="auto"/>
              </w:rPr>
            </w:pPr>
            <w:r>
              <w:rPr>
                <w:rFonts w:ascii="Arial" w:cs="Arial" w:eastAsia="Arial" w:hAnsi="Arial"/>
                <w:sz w:val="16"/>
                <w:szCs w:val="16"/>
                <w:b w:val="1"/>
                <w:bCs w:val="1"/>
                <w:color w:val="0000EE"/>
              </w:rPr>
              <w:t>79</w:t>
            </w:r>
          </w:p>
        </w:tc>
      </w:tr>
      <w:tr>
        <w:trPr>
          <w:trHeight w:val="101"/>
        </w:trPr>
        <w:tc>
          <w:tcPr>
            <w:tcW w:w="780" w:type="dxa"/>
            <w:vAlign w:val="bottom"/>
            <w:tcBorders>
              <w:top w:val="single" w:sz="8" w:color="DCDDDE"/>
              <w:bottom w:val="single" w:sz="8" w:color="auto"/>
            </w:tcBorders>
            <w:shd w:val="clear" w:color="auto" w:fill="DCDDDE"/>
          </w:tcPr>
          <w:p>
            <w:pPr>
              <w:spacing w:after="0"/>
              <w:rPr>
                <w:sz w:val="8"/>
                <w:szCs w:val="8"/>
                <w:color w:val="auto"/>
              </w:rPr>
            </w:pPr>
          </w:p>
        </w:tc>
        <w:tc>
          <w:tcPr>
            <w:tcW w:w="6660" w:type="dxa"/>
            <w:vAlign w:val="bottom"/>
            <w:tcBorders>
              <w:top w:val="single" w:sz="8" w:color="DCDDDE"/>
              <w:bottom w:val="single" w:sz="8" w:color="auto"/>
            </w:tcBorders>
            <w:shd w:val="clear" w:color="auto" w:fill="DCDDDE"/>
          </w:tcPr>
          <w:p>
            <w:pPr>
              <w:spacing w:after="0"/>
              <w:rPr>
                <w:sz w:val="8"/>
                <w:szCs w:val="8"/>
                <w:color w:val="auto"/>
              </w:rPr>
            </w:pPr>
          </w:p>
        </w:tc>
        <w:tc>
          <w:tcPr>
            <w:tcW w:w="1980" w:type="dxa"/>
            <w:vAlign w:val="bottom"/>
            <w:tcBorders>
              <w:top w:val="single" w:sz="8" w:color="DCDDDE"/>
              <w:bottom w:val="single" w:sz="8" w:color="auto"/>
            </w:tcBorders>
            <w:shd w:val="clear" w:color="auto" w:fill="DCDDDE"/>
          </w:tcPr>
          <w:p>
            <w:pPr>
              <w:spacing w:after="0"/>
              <w:rPr>
                <w:sz w:val="8"/>
                <w:szCs w:val="8"/>
                <w:color w:val="auto"/>
              </w:rPr>
            </w:pPr>
          </w:p>
        </w:tc>
        <w:tc>
          <w:tcPr>
            <w:tcW w:w="1280" w:type="dxa"/>
            <w:vAlign w:val="bottom"/>
            <w:tcBorders>
              <w:top w:val="single" w:sz="8" w:color="DCDDDE"/>
              <w:bottom w:val="single" w:sz="8" w:color="auto"/>
            </w:tcBorders>
            <w:shd w:val="clear" w:color="auto" w:fill="DCDDDE"/>
          </w:tcPr>
          <w:p>
            <w:pPr>
              <w:spacing w:after="0"/>
              <w:rPr>
                <w:sz w:val="8"/>
                <w:szCs w:val="8"/>
                <w:color w:val="auto"/>
              </w:rPr>
            </w:pPr>
          </w:p>
        </w:tc>
        <w:tc>
          <w:tcPr>
            <w:tcW w:w="180" w:type="dxa"/>
            <w:vAlign w:val="bottom"/>
            <w:tcBorders>
              <w:top w:val="single" w:sz="8" w:color="0000EE"/>
              <w:bottom w:val="single" w:sz="8" w:color="auto"/>
            </w:tcBorders>
            <w:shd w:val="clear" w:color="auto" w:fill="DCDDDE"/>
          </w:tcPr>
          <w:p>
            <w:pPr>
              <w:spacing w:after="0"/>
              <w:rPr>
                <w:sz w:val="8"/>
                <w:szCs w:val="8"/>
                <w:color w:val="auto"/>
              </w:rPr>
            </w:pPr>
          </w:p>
        </w:tc>
      </w:tr>
      <w:tr>
        <w:trPr>
          <w:trHeight w:val="222"/>
        </w:trPr>
        <w:tc>
          <w:tcPr>
            <w:tcW w:w="780" w:type="dxa"/>
            <w:vAlign w:val="bottom"/>
          </w:tcPr>
          <w:p>
            <w:pPr>
              <w:ind w:left="60"/>
              <w:spacing w:after="0"/>
              <w:rPr>
                <w:sz w:val="20"/>
                <w:szCs w:val="20"/>
                <w:color w:val="auto"/>
              </w:rPr>
            </w:pPr>
            <w:r>
              <w:rPr>
                <w:rFonts w:ascii="Arial" w:cs="Arial" w:eastAsia="Arial" w:hAnsi="Arial"/>
                <w:sz w:val="16"/>
                <w:szCs w:val="16"/>
                <w:color w:val="auto"/>
              </w:rPr>
              <w:t>Other</w:t>
            </w:r>
          </w:p>
        </w:tc>
        <w:tc>
          <w:tcPr>
            <w:tcW w:w="6660" w:type="dxa"/>
            <w:vAlign w:val="bottom"/>
          </w:tcPr>
          <w:p>
            <w:pPr>
              <w:ind w:left="300"/>
              <w:spacing w:after="0"/>
              <w:rPr>
                <w:sz w:val="20"/>
                <w:szCs w:val="20"/>
                <w:color w:val="auto"/>
              </w:rPr>
            </w:pPr>
            <w:r>
              <w:rPr>
                <w:rFonts w:ascii="Arial" w:cs="Arial" w:eastAsia="Arial" w:hAnsi="Arial"/>
                <w:sz w:val="16"/>
                <w:szCs w:val="16"/>
                <w:color w:val="auto"/>
              </w:rPr>
              <w:t>Such other business as may properly come before the Annual Meeting and any</w:t>
            </w:r>
          </w:p>
        </w:tc>
        <w:tc>
          <w:tcPr>
            <w:tcW w:w="1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780" w:type="dxa"/>
            <w:vAlign w:val="bottom"/>
          </w:tcPr>
          <w:p>
            <w:pPr>
              <w:spacing w:after="0"/>
              <w:rPr>
                <w:sz w:val="18"/>
                <w:szCs w:val="18"/>
                <w:color w:val="auto"/>
              </w:rPr>
            </w:pPr>
          </w:p>
        </w:tc>
        <w:tc>
          <w:tcPr>
            <w:tcW w:w="6660" w:type="dxa"/>
            <w:vAlign w:val="bottom"/>
          </w:tcPr>
          <w:p>
            <w:pPr>
              <w:ind w:left="300"/>
              <w:spacing w:after="0"/>
              <w:rPr>
                <w:sz w:val="20"/>
                <w:szCs w:val="20"/>
                <w:color w:val="auto"/>
              </w:rPr>
            </w:pPr>
            <w:r>
              <w:rPr>
                <w:rFonts w:ascii="Arial" w:cs="Arial" w:eastAsia="Arial" w:hAnsi="Arial"/>
                <w:sz w:val="16"/>
                <w:szCs w:val="16"/>
                <w:color w:val="auto"/>
              </w:rPr>
              <w:t>adjournments or postponements thereof</w:t>
            </w:r>
          </w:p>
        </w:tc>
        <w:tc>
          <w:tcPr>
            <w:tcW w:w="1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00" w:lineRule="exact"/>
        <w:rPr>
          <w:sz w:val="20"/>
          <w:szCs w:val="20"/>
          <w:color w:val="auto"/>
        </w:rPr>
      </w:pPr>
    </w:p>
    <w:p>
      <w:pPr>
        <w:spacing w:after="0" w:line="264" w:lineRule="exact"/>
        <w:rPr>
          <w:sz w:val="20"/>
          <w:szCs w:val="20"/>
          <w:color w:val="auto"/>
        </w:rPr>
      </w:pPr>
    </w:p>
    <w:p>
      <w:pPr>
        <w:ind w:left="560" w:hanging="552"/>
        <w:spacing w:after="0"/>
        <w:tabs>
          <w:tab w:leader="none" w:pos="560" w:val="left"/>
        </w:tabs>
        <w:numPr>
          <w:ilvl w:val="0"/>
          <w:numId w:val="120"/>
        </w:numPr>
        <w:rPr>
          <w:rFonts w:ascii="Arial" w:cs="Arial" w:eastAsia="Arial" w:hAnsi="Arial"/>
          <w:sz w:val="25"/>
          <w:szCs w:val="25"/>
          <w:b w:val="1"/>
          <w:bCs w:val="1"/>
          <w:color w:val="auto"/>
        </w:rPr>
      </w:pPr>
      <w:r>
        <w:rPr>
          <w:rFonts w:ascii="Arial" w:cs="Arial" w:eastAsia="Arial" w:hAnsi="Arial"/>
          <w:sz w:val="25"/>
          <w:szCs w:val="25"/>
          <w:b w:val="1"/>
          <w:bCs w:val="1"/>
          <w:color w:val="auto"/>
        </w:rPr>
        <w:t>What is the date and time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Date &amp; Time: </w:t>
      </w:r>
      <w:r>
        <w:rPr>
          <w:rFonts w:ascii="Arial" w:cs="Arial" w:eastAsia="Arial" w:hAnsi="Arial"/>
          <w:sz w:val="16"/>
          <w:szCs w:val="16"/>
          <w:color w:val="auto"/>
        </w:rPr>
        <w:t>[●], 2023 at [●] [a/p].m. Pacific Daylight Time</w:t>
      </w:r>
      <w:r>
        <w:rPr>
          <w:rFonts w:ascii="Arial" w:cs="Arial" w:eastAsia="Arial" w:hAnsi="Arial"/>
          <w:sz w:val="16"/>
          <w:szCs w:val="16"/>
          <w:b w:val="1"/>
          <w:bCs w:val="1"/>
          <w:color w:val="auto"/>
        </w:rPr>
        <w:t xml:space="preserve"> Virtual Meeting Access: </w:t>
      </w:r>
      <w:r>
        <w:rPr>
          <w:rFonts w:ascii="Arial" w:cs="Arial" w:eastAsia="Arial" w:hAnsi="Arial"/>
          <w:sz w:val="16"/>
          <w:szCs w:val="16"/>
          <w:color w:val="auto"/>
        </w:rPr>
        <w:t>[●]</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Proxy Statement was first mailed to shareholders on or about [●], 2023. It is furnished in connection with the solicitation of proxies by the Board to be voted during the Annual Meeting for the purposes set forth in the accompanying Notice. Shareholders who execute proxies retain the right to revoke them at any time before the shares are voted by proxy during the meeting. A shareholder may revoke a proxy by delivering a signed statement to our Corporate Secretary prior to or during the Annual Meeting or by timely executing and delivering, by internet, telephone, or mail, another proxy dated as of a later date.</w:t>
      </w:r>
    </w:p>
    <w:p>
      <w:pPr>
        <w:spacing w:after="0" w:line="345" w:lineRule="exact"/>
        <w:rPr>
          <w:sz w:val="20"/>
          <w:szCs w:val="20"/>
          <w:color w:val="auto"/>
        </w:rPr>
      </w:pPr>
    </w:p>
    <w:p>
      <w:pPr>
        <w:ind w:left="560" w:hanging="498"/>
        <w:spacing w:after="0"/>
        <w:tabs>
          <w:tab w:leader="none" w:pos="560" w:val="left"/>
        </w:tabs>
        <w:numPr>
          <w:ilvl w:val="0"/>
          <w:numId w:val="121"/>
        </w:numPr>
        <w:rPr>
          <w:rFonts w:ascii="Arial" w:cs="Arial" w:eastAsia="Arial" w:hAnsi="Arial"/>
          <w:sz w:val="25"/>
          <w:szCs w:val="25"/>
          <w:b w:val="1"/>
          <w:bCs w:val="1"/>
          <w:color w:val="auto"/>
        </w:rPr>
      </w:pPr>
      <w:r>
        <w:rPr>
          <w:rFonts w:ascii="Arial" w:cs="Arial" w:eastAsia="Arial" w:hAnsi="Arial"/>
          <w:sz w:val="25"/>
          <w:szCs w:val="25"/>
          <w:b w:val="1"/>
          <w:bCs w:val="1"/>
          <w:color w:val="auto"/>
        </w:rPr>
        <w:t>How do I participate in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year’s Annual Meeting will be accessible through the internet. We have adopted a virtual format for our Annual Meeting to make participation accessible for shareholders from any geographic location with internet connectivity. We have worked to offer the same participation opportunities as were provided at the in-person portion of our past meetings while further enhancing the online experience available to all shareholders regardless of their location. These proxy materials include instructions on how to participate in the meeting and how you may vote your shares of Company stock.</w:t>
      </w:r>
    </w:p>
    <w:p>
      <w:pPr>
        <w:spacing w:after="0" w:line="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You are entitled to participate in the Annual Meeting if you were a shareholder as of the close of business on the Record Date or hold a valid proxy for the meeting. To be admitted to the Annual Meeting at [●], you must enter the 16-digit control number found next to the label “Control Number” for postal mail recipients or within the body of the email sending you the Proxy Statement.</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Whether or not you plan to attend the Annual Meeting, it is important that your shares be part of the voting process. We strongly encourage you to vote before the meeting to ensure that your voice is heard. To vote during the meeting, shareholders of record can click on the ballot posted on the virtual meeting site and follow the instructions provided on the ballot. If you are a street name shareholder, you will need to provide a legal proxy from your bank, broker or other nominee in order to vote during the meeting and must provide an electronic image (such as a pdf file or scan) of the legal proxy when voting.</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year’s shareholder question and answer session will include questions submitted in advance of, and questions submitted live during, the Annual Meeting. You may submit a question in advance of the meeting at [●] after logging in with your Control Number. Questions may be submitted during the Annual Meeting through [●]. This question and answer session will be conducted in accordance with certain Rules of Conduct, which will be made available during the Annual Meeting. We will post questions and answers if applicable to Nordstrom’s business on the Nordstrom Investor Relations website shortly after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328930</wp:posOffset>
            </wp:positionV>
            <wp:extent cx="1019810" cy="1200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8620" w:type="dxa"/>
        <w:tblCellMar>
          <w:top w:w="0" w:type="dxa"/>
          <w:left w:w="0" w:type="dxa"/>
          <w:bottom w:w="0" w:type="dxa"/>
          <w:right w:w="0" w:type="dxa"/>
        </w:tblCellMar>
      </w:tblPr>
      <w:tr>
        <w:trPr>
          <w:trHeight w:val="196"/>
        </w:trPr>
        <w:tc>
          <w:tcPr>
            <w:tcW w:w="1800" w:type="dxa"/>
            <w:vAlign w:val="bottom"/>
          </w:tcPr>
          <w:p>
            <w:pPr>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249555</wp:posOffset>
            </wp:positionV>
            <wp:extent cx="69094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65"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FREQUENTLY ASKED QUESTIONS AND ANSWERS ABOUT THE ANNUAL MEETING</w:t>
      </w:r>
    </w:p>
    <w:p>
      <w:pPr>
        <w:spacing w:after="0" w:line="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encourage you to access the Annual Meeting before it begins. Online check-in will start shortly before the meeting on [●], 2023. Should you have any difficulty accessing the meeting, please call the numbers found at the top of the log-in page found at [●] for technical assistance.</w:t>
      </w:r>
    </w:p>
    <w:p>
      <w:pPr>
        <w:spacing w:after="0" w:line="321" w:lineRule="exact"/>
        <w:rPr>
          <w:sz w:val="20"/>
          <w:szCs w:val="20"/>
          <w:color w:val="auto"/>
        </w:rPr>
      </w:pPr>
    </w:p>
    <w:p>
      <w:pPr>
        <w:ind w:left="560" w:hanging="498"/>
        <w:spacing w:after="0"/>
        <w:tabs>
          <w:tab w:leader="none" w:pos="560" w:val="left"/>
        </w:tabs>
        <w:numPr>
          <w:ilvl w:val="0"/>
          <w:numId w:val="122"/>
        </w:numPr>
        <w:rPr>
          <w:rFonts w:ascii="Arial" w:cs="Arial" w:eastAsia="Arial" w:hAnsi="Arial"/>
          <w:sz w:val="25"/>
          <w:szCs w:val="25"/>
          <w:b w:val="1"/>
          <w:bCs w:val="1"/>
          <w:color w:val="auto"/>
        </w:rPr>
      </w:pPr>
      <w:r>
        <w:rPr>
          <w:rFonts w:ascii="Arial" w:cs="Arial" w:eastAsia="Arial" w:hAnsi="Arial"/>
          <w:sz w:val="25"/>
          <w:szCs w:val="25"/>
          <w:b w:val="1"/>
          <w:bCs w:val="1"/>
          <w:color w:val="auto"/>
        </w:rPr>
        <w:t>What is a proxy statement, and 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proxy statement is a document that SEC rules require us to provide you when we ask you to vote on certain matters at a meeting of our shareholders or when we ask you to sign a proxy designating certain individuals to vote on those matters on your behalf. A proxy is your legal designation of another person to vote the shares you own at a meeting of our shareholders. By signing the proxy card we provide to you, you will designate Michael W. Maher, our Interim Chief Financial Officer and Chief Accounting Officer, and Ann Munson Steines, our Chief Legal Officer, General Counsel and Corporate Secretary, as your proxies to vote your shares as you have directed during the Annual Meeting. Our Board is soliciting your proxy to vote your shares during the Annual Meeting and any adjournment or postponement of the meeting. Nordstrom pays the cost of soliciting your proxy and reimburses brokers and others for forwarding you the Proxy Statement, proxy card or voting instruction form, 2022 Annual Report.</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has retained Innisfree M&amp;A Incorporated (“Innisfree”) to solicit proxies. Under our agreement with Innisfree, Innisfree will receive a fee of up to $[●]. The Company also agreed to indemnify Innisfree against certain liabilities relating to, or arising out of, its retention. Innisfree will solicit proxies by mail, telephone, facsimile and email.</w:t>
      </w:r>
    </w:p>
    <w:p>
      <w:pPr>
        <w:spacing w:after="0" w:line="350" w:lineRule="exact"/>
        <w:rPr>
          <w:sz w:val="20"/>
          <w:szCs w:val="20"/>
          <w:color w:val="auto"/>
        </w:rPr>
      </w:pPr>
    </w:p>
    <w:p>
      <w:pPr>
        <w:ind w:left="560" w:right="1520" w:hanging="498"/>
        <w:spacing w:after="0" w:line="298" w:lineRule="auto"/>
        <w:tabs>
          <w:tab w:leader="none" w:pos="560" w:val="left"/>
        </w:tabs>
        <w:numPr>
          <w:ilvl w:val="0"/>
          <w:numId w:val="123"/>
        </w:numPr>
        <w:rPr>
          <w:rFonts w:ascii="Arial" w:cs="Arial" w:eastAsia="Arial" w:hAnsi="Arial"/>
          <w:sz w:val="25"/>
          <w:szCs w:val="25"/>
          <w:b w:val="1"/>
          <w:bCs w:val="1"/>
          <w:color w:val="auto"/>
        </w:rPr>
      </w:pPr>
      <w:r>
        <w:rPr>
          <w:rFonts w:ascii="Arial" w:cs="Arial" w:eastAsia="Arial" w:hAnsi="Arial"/>
          <w:sz w:val="25"/>
          <w:szCs w:val="25"/>
          <w:b w:val="1"/>
          <w:bCs w:val="1"/>
          <w:color w:val="auto"/>
        </w:rPr>
        <w:t>What is the difference between a shareholder of record and a street name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0054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Many Company shareholders hold their shares through a stockbroker, bank or other nominee rather than directly in their own names. As summarized below, there are some distinctions between shares held as a shareholder of record and those held in street name.</w:t>
      </w:r>
    </w:p>
    <w:p>
      <w:pPr>
        <w:spacing w:after="0" w:line="7" w:lineRule="exact"/>
        <w:rPr>
          <w:sz w:val="20"/>
          <w:szCs w:val="20"/>
          <w:color w:val="auto"/>
        </w:rPr>
      </w:pPr>
    </w:p>
    <w:p>
      <w:pPr>
        <w:jc w:val="both"/>
        <w:ind w:left="200" w:hanging="192"/>
        <w:spacing w:after="0" w:line="266" w:lineRule="auto"/>
        <w:tabs>
          <w:tab w:leader="none" w:pos="207" w:val="left"/>
        </w:tabs>
        <w:numPr>
          <w:ilvl w:val="0"/>
          <w:numId w:val="1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Shareholders of record: </w:t>
      </w:r>
      <w:r>
        <w:rPr>
          <w:rFonts w:ascii="Arial" w:cs="Arial" w:eastAsia="Arial" w:hAnsi="Arial"/>
          <w:sz w:val="16"/>
          <w:szCs w:val="16"/>
          <w:color w:val="auto"/>
        </w:rPr>
        <w:t>If your shares are registered directly in your name with the Company’s transfer agent, Computershare, you are considered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“shareholder of record” or a “registered shareholder,” and the proxy materials are being sent directly to you by the Company. As the shareholder of record, you have the right to grant your voting proxy directly to the Company or to vote at the virtual Annual Meeting.</w:t>
      </w:r>
    </w:p>
    <w:p>
      <w:pPr>
        <w:spacing w:after="0" w:line="36" w:lineRule="exact"/>
        <w:rPr>
          <w:rFonts w:ascii="Arial" w:cs="Arial" w:eastAsia="Arial" w:hAnsi="Arial"/>
          <w:sz w:val="16"/>
          <w:szCs w:val="16"/>
          <w:color w:val="auto"/>
        </w:rPr>
      </w:pPr>
    </w:p>
    <w:p>
      <w:pPr>
        <w:jc w:val="both"/>
        <w:ind w:left="200" w:hanging="192"/>
        <w:spacing w:after="0" w:line="256" w:lineRule="auto"/>
        <w:tabs>
          <w:tab w:leader="none" w:pos="207" w:val="left"/>
        </w:tabs>
        <w:numPr>
          <w:ilvl w:val="0"/>
          <w:numId w:val="1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Street name shareholders: </w:t>
      </w:r>
      <w:r>
        <w:rPr>
          <w:rFonts w:ascii="Arial" w:cs="Arial" w:eastAsia="Arial" w:hAnsi="Arial"/>
          <w:sz w:val="16"/>
          <w:szCs w:val="16"/>
          <w:color w:val="auto"/>
        </w:rPr>
        <w:t>If your shares are held in a stock brokerage account or by a bank, trustee or nominee, you are considered the beneficial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 of shares held in “street name,” and the proxy materials are being forwarded to you by your broker, bank or other holder of record who is considered the shareholder of record. As the street name shareholder you have the right to direct your broker, bank or other holder of record on how to vote your shares and you are invited to attend the virtual Annual Meeting. Your broker, bank, trustee or nominee is obligated to provide you with a voting instruction form for you to use.</w:t>
      </w:r>
    </w:p>
    <w:p>
      <w:pPr>
        <w:spacing w:after="0" w:line="344" w:lineRule="exact"/>
        <w:rPr>
          <w:rFonts w:ascii="Arial" w:cs="Arial" w:eastAsia="Arial" w:hAnsi="Arial"/>
          <w:sz w:val="16"/>
          <w:szCs w:val="16"/>
          <w:color w:val="auto"/>
        </w:rPr>
      </w:pPr>
    </w:p>
    <w:p>
      <w:pPr>
        <w:ind w:left="560" w:hanging="498"/>
        <w:spacing w:after="0"/>
        <w:tabs>
          <w:tab w:leader="none" w:pos="560" w:val="left"/>
        </w:tabs>
        <w:numPr>
          <w:ilvl w:val="1"/>
          <w:numId w:val="124"/>
        </w:numPr>
        <w:rPr>
          <w:rFonts w:ascii="Arial" w:cs="Arial" w:eastAsia="Arial" w:hAnsi="Arial"/>
          <w:sz w:val="25"/>
          <w:szCs w:val="25"/>
          <w:b w:val="1"/>
          <w:bCs w:val="1"/>
          <w:color w:val="auto"/>
        </w:rPr>
      </w:pPr>
      <w:r>
        <w:rPr>
          <w:rFonts w:ascii="Arial" w:cs="Arial" w:eastAsia="Arial" w:hAnsi="Arial"/>
          <w:sz w:val="25"/>
          <w:szCs w:val="25"/>
          <w:b w:val="1"/>
          <w:bCs w:val="1"/>
          <w:color w:val="auto"/>
        </w:rPr>
        <w:t>How do I cast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encourage you to vote in advance of the meeting on the internet or by telephone. It is convenient, and it saves us significant postage and processing costs. In addition, when you vote on the internet or by telephone, your vote is recorded immediately and there is no risk that postal delays will cause your vote to arrive late and therefore not be counted. The method by which you vote your proxy will not limit your right to vote at the Annual Meeting if you decide to attend the Annual Meeting virtually.</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Shareholders of record: </w:t>
      </w:r>
      <w:r>
        <w:rPr>
          <w:rFonts w:ascii="Arial" w:cs="Arial" w:eastAsia="Arial" w:hAnsi="Arial"/>
          <w:sz w:val="16"/>
          <w:szCs w:val="16"/>
          <w:color w:val="auto"/>
        </w:rPr>
        <w:t>The internet and telephone voting procedures are designed to verify that you are a shareholder of record by using a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and allowing you to confirm that your voting instructions have been properly recorded. Internet and telephone voting for shareholders of record are available 24 hours a day. You can vote by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92075</wp:posOffset>
            </wp:positionV>
            <wp:extent cx="4354830" cy="3683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4354830" cy="368300"/>
                    </a:xfrm>
                    <a:prstGeom prst="rect">
                      <a:avLst/>
                    </a:prstGeom>
                    <a:noFill/>
                  </pic:spPr>
                </pic:pic>
              </a:graphicData>
            </a:graphic>
          </wp:anchor>
        </w:drawing>
      </w: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Online</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At https://www.proxyvotenow.com/jwn</w:t>
      </w:r>
    </w:p>
    <w:p>
      <w:pPr>
        <w:spacing w:after="0" w:line="178"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Toll-free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-55880</wp:posOffset>
            </wp:positionV>
            <wp:extent cx="146050" cy="2571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146050" cy="257175"/>
                    </a:xfrm>
                    <a:prstGeom prst="rect">
                      <a:avLst/>
                    </a:prstGeom>
                    <a:noFill/>
                  </pic:spPr>
                </pic:pic>
              </a:graphicData>
            </a:graphic>
          </wp:anchor>
        </w:drawing>
      </w:r>
    </w:p>
    <w:p>
      <w:pPr>
        <w:spacing w:after="0" w:line="1" w:lineRule="exact"/>
        <w:rPr>
          <w:sz w:val="20"/>
          <w:szCs w:val="20"/>
          <w:color w:val="auto"/>
        </w:rPr>
      </w:pPr>
    </w:p>
    <w:p>
      <w:pPr>
        <w:ind w:left="3200" w:right="3540"/>
        <w:spacing w:after="0" w:line="265" w:lineRule="auto"/>
        <w:rPr>
          <w:sz w:val="20"/>
          <w:szCs w:val="20"/>
          <w:color w:val="auto"/>
        </w:rPr>
      </w:pPr>
      <w:r>
        <w:rPr>
          <w:rFonts w:ascii="Arial" w:cs="Arial" w:eastAsia="Arial" w:hAnsi="Arial"/>
          <w:sz w:val="16"/>
          <w:szCs w:val="16"/>
          <w:color w:val="auto"/>
        </w:rPr>
        <w:t>Call 1-855-260-7729 (U.S. or Canada) or 1-575-215-3286 (Outside of the U.S.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6350</wp:posOffset>
            </wp:positionV>
            <wp:extent cx="3634740" cy="3600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3634740" cy="360045"/>
                    </a:xfrm>
                    <a:prstGeom prst="rect">
                      <a:avLst/>
                    </a:prstGeom>
                    <a:noFill/>
                  </pic:spPr>
                </pic:pic>
              </a:graphicData>
            </a:graphic>
          </wp:anchor>
        </w:drawing>
      </w:r>
    </w:p>
    <w:p>
      <w:pPr>
        <w:spacing w:after="0" w:line="125"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-81280</wp:posOffset>
            </wp:positionV>
            <wp:extent cx="266065" cy="1803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266065" cy="180340"/>
                    </a:xfrm>
                    <a:prstGeom prst="rect">
                      <a:avLst/>
                    </a:prstGeom>
                    <a:noFill/>
                  </pic:spPr>
                </pic:pic>
              </a:graphicData>
            </a:graphic>
          </wp:anchor>
        </w:drawing>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Sign, date and return your proxy card in the envelope provided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27940</wp:posOffset>
            </wp:positionV>
            <wp:extent cx="435483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 xml:space="preserve">Street name shareholders: </w:t>
      </w:r>
      <w:r>
        <w:rPr>
          <w:rFonts w:ascii="Arial" w:cs="Arial" w:eastAsia="Arial" w:hAnsi="Arial"/>
          <w:sz w:val="16"/>
          <w:szCs w:val="16"/>
          <w:color w:val="auto"/>
        </w:rPr>
        <w:t>You may vote by the method explained on the proxy card or the voting instruction form you receive from the bank, broker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record holder. You may vote in advance of the meeting until 11:59 p.m. Eastern Daylight Time on [ ● ], 2023. If you are a street name shareholder, you must obtain a proxy, executed in your favor, from the bank, broker or other holder of record to be able to vote in person at the Annual Meeting.</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Shareholders holding shares invested in the Company’s 401(k) Plan: </w:t>
      </w:r>
      <w:r>
        <w:rPr>
          <w:rFonts w:ascii="Arial" w:cs="Arial" w:eastAsia="Arial" w:hAnsi="Arial"/>
          <w:sz w:val="16"/>
          <w:szCs w:val="16"/>
          <w:color w:val="auto"/>
        </w:rPr>
        <w:t>If you participate in the Company’s 401(k) Plan, the number of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in your account as of the Record Date are reflected on your proxy notice and may be voted as previously described for shareholders of record. However, if your vote on those shares is not received by 11:59 p.m. Eastern Daylight Time on [●], 2023, then the Plan Trustee will vote those shares in the same proportion as all other 401(k) Plan shares that have been voted.</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Shareholders holding shares purchased through the Company’s ESPP: </w:t>
      </w:r>
      <w:r>
        <w:rPr>
          <w:rFonts w:ascii="Arial" w:cs="Arial" w:eastAsia="Arial" w:hAnsi="Arial"/>
          <w:sz w:val="16"/>
          <w:szCs w:val="16"/>
          <w:color w:val="auto"/>
        </w:rPr>
        <w:t>If you hold Common Stock that you acquired through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ESPP, you are the beneficial owner of those shares and your shares may be voted as previously described for street name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313690</wp:posOffset>
            </wp:positionV>
            <wp:extent cx="1020445" cy="1282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1020445" cy="1282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89</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FREQUENTLY ASKED QUESTIONS AND ANSWERS ABOUT THE ANNUAL MEETING</w:t>
      </w:r>
    </w:p>
    <w:p>
      <w:pPr>
        <w:spacing w:after="0" w:line="389" w:lineRule="exact"/>
        <w:rPr>
          <w:sz w:val="20"/>
          <w:szCs w:val="20"/>
          <w:color w:val="auto"/>
        </w:rPr>
      </w:pPr>
    </w:p>
    <w:p>
      <w:pPr>
        <w:ind w:left="560" w:hanging="498"/>
        <w:spacing w:after="0"/>
        <w:tabs>
          <w:tab w:leader="none" w:pos="560" w:val="left"/>
        </w:tabs>
        <w:numPr>
          <w:ilvl w:val="0"/>
          <w:numId w:val="125"/>
        </w:numPr>
        <w:rPr>
          <w:rFonts w:ascii="Arial" w:cs="Arial" w:eastAsia="Arial" w:hAnsi="Arial"/>
          <w:sz w:val="25"/>
          <w:szCs w:val="25"/>
          <w:b w:val="1"/>
          <w:bCs w:val="1"/>
          <w:color w:val="auto"/>
        </w:rPr>
      </w:pPr>
      <w:r>
        <w:rPr>
          <w:rFonts w:ascii="Arial" w:cs="Arial" w:eastAsia="Arial" w:hAnsi="Arial"/>
          <w:sz w:val="25"/>
          <w:szCs w:val="25"/>
          <w:b w:val="1"/>
          <w:bCs w:val="1"/>
          <w:color w:val="auto"/>
        </w:rPr>
        <w:t>What does it mean if I receive more than one package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means that you have multiple accounts holding Nordstrom shares. These may include: accounts with our transfer agent, Computershare; shares held in the Nordstrom 401(k) Plan or purchased through the ESPP; and accounts with a broker, bank or other holder of record. Please vote all voting instruction forms and proxy cards that you receive to ensure that all of your shares are voted.</w:t>
      </w:r>
    </w:p>
    <w:p>
      <w:pPr>
        <w:spacing w:after="0" w:line="336" w:lineRule="exact"/>
        <w:rPr>
          <w:sz w:val="20"/>
          <w:szCs w:val="20"/>
          <w:color w:val="auto"/>
        </w:rPr>
      </w:pPr>
    </w:p>
    <w:p>
      <w:pPr>
        <w:ind w:left="540" w:right="720" w:hanging="478"/>
        <w:spacing w:after="0" w:line="298" w:lineRule="auto"/>
        <w:tabs>
          <w:tab w:leader="none" w:pos="540" w:val="left"/>
        </w:tabs>
        <w:numPr>
          <w:ilvl w:val="0"/>
          <w:numId w:val="126"/>
        </w:numPr>
        <w:rPr>
          <w:rFonts w:ascii="Arial" w:cs="Arial" w:eastAsia="Arial" w:hAnsi="Arial"/>
          <w:sz w:val="25"/>
          <w:szCs w:val="25"/>
          <w:b w:val="1"/>
          <w:bCs w:val="1"/>
          <w:color w:val="auto"/>
        </w:rPr>
      </w:pPr>
      <w:r>
        <w:rPr>
          <w:rFonts w:ascii="Arial" w:cs="Arial" w:eastAsia="Arial" w:hAnsi="Arial"/>
          <w:sz w:val="25"/>
          <w:szCs w:val="25"/>
          <w:b w:val="1"/>
          <w:bCs w:val="1"/>
          <w:color w:val="auto"/>
        </w:rPr>
        <w:t>Why did multiple shareholders at my address only receive one package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0054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SEC rules allow us to use a procedure called “householding” to deliver only one copy of our Notice, and for those shareholders that received a paper copy of proxy materials in the mail, one copy of our 2022 Annual Report, to multiple shareholders who share the same address (if they appear to be members of the same family) unless we have received contrary instructions from an affected shareholder. Shareholders who participate in householding will continue to receive proxy cards if they received a paper copy of proxy materials in the mail. By using the householding process, we reduce our printing costs, mailing costs and fees, and reduce the environmental impact of our annual meeting. If you are a shareholder, share an address and last name with one or more other shareholders, and would like to revoke your householding consent, or you are a shareholder eligible for householding and would like to participate, please contact Broadridge, either by calling toll free at (866) 540-7095 or by writing to Broadridge, Householding Department, 51 Mercedes Way, Edgewood, New York 11717. You will be removed from the householding program within 30 days of receipt of the revocation of your consent. A number of brokerage firms have also instituted householding. If you hold your shares in street name, please contact your bank, broker or other holder of record to request information about householding.</w:t>
      </w:r>
    </w:p>
    <w:p>
      <w:pPr>
        <w:spacing w:after="0" w:line="355" w:lineRule="exact"/>
        <w:rPr>
          <w:sz w:val="20"/>
          <w:szCs w:val="20"/>
          <w:color w:val="auto"/>
        </w:rPr>
      </w:pPr>
    </w:p>
    <w:p>
      <w:pPr>
        <w:ind w:left="540" w:right="1220" w:hanging="478"/>
        <w:spacing w:after="0" w:line="298" w:lineRule="auto"/>
        <w:tabs>
          <w:tab w:leader="none" w:pos="540" w:val="left"/>
        </w:tabs>
        <w:numPr>
          <w:ilvl w:val="0"/>
          <w:numId w:val="127"/>
        </w:numPr>
        <w:rPr>
          <w:rFonts w:ascii="Arial" w:cs="Arial" w:eastAsia="Arial" w:hAnsi="Arial"/>
          <w:sz w:val="25"/>
          <w:szCs w:val="25"/>
          <w:b w:val="1"/>
          <w:bCs w:val="1"/>
          <w:color w:val="auto"/>
        </w:rPr>
      </w:pPr>
      <w:r>
        <w:rPr>
          <w:rFonts w:ascii="Arial" w:cs="Arial" w:eastAsia="Arial" w:hAnsi="Arial"/>
          <w:sz w:val="25"/>
          <w:szCs w:val="25"/>
          <w:b w:val="1"/>
          <w:bCs w:val="1"/>
          <w:color w:val="auto"/>
        </w:rPr>
        <w:t>What is a quorum and what is the voting requirement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0054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will have a quorum and will be able to conduct the business of the Annual Meeting if at least 80,711,896 shares, a majority of the outstanding shares of Common Stock as of the Record Date, are present at the Annual Meeting, either in person or by proxy. Your shares will be counted toward the number needed for a quorum if you: (i) vote on the internet or by telephone; (ii) submit a valid proxy card or voting instruction form; (iii) in the case of a shareholder of record, attend the Annual Meeting and vote your shares in person; or (iv) are a street name shareholder and your broker casts a discretionary vote on at least one of the proposals before the Annual Meeting, as described under Question 13.</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To elect Directors and adopt the other proposals, the following votes are required: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Discretionary Voting</w:t>
            </w:r>
          </w:p>
        </w:tc>
      </w:tr>
      <w:tr>
        <w:trPr>
          <w:trHeight w:val="223"/>
        </w:trPr>
        <w:tc>
          <w:tcPr>
            <w:tcW w:w="6960" w:type="dxa"/>
            <w:vAlign w:val="bottom"/>
          </w:tcPr>
          <w:p>
            <w:pPr>
              <w:ind w:left="60"/>
              <w:spacing w:after="0"/>
              <w:rPr>
                <w:sz w:val="20"/>
                <w:szCs w:val="20"/>
                <w:color w:val="auto"/>
              </w:rPr>
            </w:pPr>
            <w:r>
              <w:rPr>
                <w:rFonts w:ascii="Arial" w:cs="Arial" w:eastAsia="Arial" w:hAnsi="Arial"/>
                <w:sz w:val="16"/>
                <w:szCs w:val="16"/>
                <w:b w:val="1"/>
                <w:bCs w:val="1"/>
                <w:color w:val="auto"/>
              </w:rPr>
              <w:t>Proposal</w:t>
            </w: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auto"/>
              </w:rPr>
              <w:t>Vote Required</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Allowed?</w:t>
            </w:r>
          </w:p>
        </w:tc>
      </w:tr>
      <w:tr>
        <w:trPr>
          <w:trHeight w:val="21"/>
        </w:trPr>
        <w:tc>
          <w:tcPr>
            <w:tcW w:w="69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43"/>
        </w:trPr>
        <w:tc>
          <w:tcPr>
            <w:tcW w:w="69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Election of eleven directors to serve until the 2024 Annual Meeting of Shareholders</w:t>
            </w:r>
          </w:p>
        </w:tc>
        <w:tc>
          <w:tcPr>
            <w:tcW w:w="2040" w:type="dxa"/>
            <w:vAlign w:val="bottom"/>
            <w:tcBorders>
              <w:bottom w:val="single" w:sz="8" w:color="DCDDDE"/>
            </w:tcBorders>
            <w:shd w:val="clear" w:color="auto" w:fill="DCDDDE"/>
          </w:tcPr>
          <w:p>
            <w:pPr>
              <w:jc w:val="right"/>
              <w:ind w:right="139"/>
              <w:spacing w:after="0"/>
              <w:rPr>
                <w:sz w:val="20"/>
                <w:szCs w:val="20"/>
                <w:color w:val="auto"/>
              </w:rPr>
            </w:pPr>
            <w:r>
              <w:rPr>
                <w:rFonts w:ascii="Arial" w:cs="Arial" w:eastAsia="Arial" w:hAnsi="Arial"/>
                <w:sz w:val="16"/>
                <w:szCs w:val="16"/>
                <w:color w:val="auto"/>
              </w:rPr>
              <w:t>Plurality of Votes Cast</w:t>
            </w:r>
          </w:p>
        </w:tc>
        <w:tc>
          <w:tcPr>
            <w:tcW w:w="1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No</w:t>
            </w:r>
          </w:p>
        </w:tc>
      </w:tr>
      <w:tr>
        <w:trPr>
          <w:trHeight w:val="175"/>
        </w:trPr>
        <w:tc>
          <w:tcPr>
            <w:tcW w:w="6960" w:type="dxa"/>
            <w:vAlign w:val="bottom"/>
          </w:tcPr>
          <w:p>
            <w:pPr>
              <w:ind w:left="60"/>
              <w:spacing w:after="0" w:line="175" w:lineRule="exact"/>
              <w:rPr>
                <w:sz w:val="20"/>
                <w:szCs w:val="20"/>
                <w:color w:val="auto"/>
              </w:rPr>
            </w:pPr>
            <w:r>
              <w:rPr>
                <w:rFonts w:ascii="Arial" w:cs="Arial" w:eastAsia="Arial" w:hAnsi="Arial"/>
                <w:sz w:val="16"/>
                <w:szCs w:val="16"/>
                <w:color w:val="auto"/>
              </w:rPr>
              <w:t>Ratification of the appointment of Deloitte as our Independent Registered Public Accounting</w:t>
            </w:r>
          </w:p>
        </w:tc>
        <w:tc>
          <w:tcPr>
            <w:tcW w:w="20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15"/>
        </w:trPr>
        <w:tc>
          <w:tcPr>
            <w:tcW w:w="6960" w:type="dxa"/>
            <w:vAlign w:val="bottom"/>
          </w:tcPr>
          <w:p>
            <w:pPr>
              <w:ind w:left="60"/>
              <w:spacing w:after="0"/>
              <w:rPr>
                <w:sz w:val="20"/>
                <w:szCs w:val="20"/>
                <w:color w:val="auto"/>
              </w:rPr>
            </w:pPr>
            <w:r>
              <w:rPr>
                <w:rFonts w:ascii="Arial" w:cs="Arial" w:eastAsia="Arial" w:hAnsi="Arial"/>
                <w:sz w:val="16"/>
                <w:szCs w:val="16"/>
                <w:color w:val="auto"/>
              </w:rPr>
              <w:t>Firm to serve for the 2024 fiscal year</w:t>
            </w:r>
          </w:p>
        </w:tc>
        <w:tc>
          <w:tcPr>
            <w:tcW w:w="2040" w:type="dxa"/>
            <w:vAlign w:val="bottom"/>
          </w:tcPr>
          <w:p>
            <w:pPr>
              <w:jc w:val="right"/>
              <w:ind w:right="139"/>
              <w:spacing w:after="0"/>
              <w:rPr>
                <w:sz w:val="20"/>
                <w:szCs w:val="20"/>
                <w:color w:val="auto"/>
              </w:rPr>
            </w:pPr>
            <w:r>
              <w:rPr>
                <w:rFonts w:ascii="Arial" w:cs="Arial" w:eastAsia="Arial" w:hAnsi="Arial"/>
                <w:sz w:val="16"/>
                <w:szCs w:val="16"/>
                <w:color w:val="auto"/>
              </w:rPr>
              <w:t>Majority of Votes Cast</w:t>
            </w:r>
          </w:p>
        </w:tc>
        <w:tc>
          <w:tcPr>
            <w:tcW w:w="1880" w:type="dxa"/>
            <w:vAlign w:val="bottom"/>
          </w:tcPr>
          <w:p>
            <w:pPr>
              <w:jc w:val="right"/>
              <w:spacing w:after="0"/>
              <w:rPr>
                <w:sz w:val="20"/>
                <w:szCs w:val="20"/>
                <w:color w:val="auto"/>
              </w:rPr>
            </w:pPr>
            <w:r>
              <w:rPr>
                <w:rFonts w:ascii="Arial" w:cs="Arial" w:eastAsia="Arial" w:hAnsi="Arial"/>
                <w:sz w:val="16"/>
                <w:szCs w:val="16"/>
                <w:color w:val="auto"/>
              </w:rPr>
              <w:t>Yes</w:t>
            </w:r>
          </w:p>
        </w:tc>
      </w:tr>
      <w:tr>
        <w:trPr>
          <w:trHeight w:val="29"/>
        </w:trPr>
        <w:tc>
          <w:tcPr>
            <w:tcW w:w="6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6960" w:type="dxa"/>
            <w:vAlign w:val="bottom"/>
            <w:shd w:val="clear" w:color="auto" w:fill="DCDDDE"/>
          </w:tcPr>
          <w:p>
            <w:pPr>
              <w:ind w:left="60"/>
              <w:spacing w:after="0"/>
              <w:rPr>
                <w:sz w:val="20"/>
                <w:szCs w:val="20"/>
                <w:color w:val="auto"/>
              </w:rPr>
            </w:pPr>
            <w:r>
              <w:rPr>
                <w:rFonts w:ascii="Arial" w:cs="Arial" w:eastAsia="Arial" w:hAnsi="Arial"/>
                <w:sz w:val="16"/>
                <w:szCs w:val="16"/>
                <w:color w:val="auto"/>
              </w:rPr>
              <w:t>Advisory vote regarding Executive Compensation: Say on Pay</w:t>
            </w:r>
          </w:p>
        </w:tc>
        <w:tc>
          <w:tcPr>
            <w:tcW w:w="204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Majority of Votes Cast</w:t>
            </w:r>
          </w:p>
        </w:tc>
        <w:tc>
          <w:tcPr>
            <w:tcW w:w="18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No</w:t>
            </w:r>
          </w:p>
        </w:tc>
      </w:tr>
      <w:tr>
        <w:trPr>
          <w:trHeight w:val="222"/>
        </w:trPr>
        <w:tc>
          <w:tcPr>
            <w:tcW w:w="6960" w:type="dxa"/>
            <w:vAlign w:val="bottom"/>
          </w:tcPr>
          <w:p>
            <w:pPr>
              <w:ind w:left="60"/>
              <w:spacing w:after="0"/>
              <w:rPr>
                <w:sz w:val="20"/>
                <w:szCs w:val="20"/>
                <w:color w:val="auto"/>
              </w:rPr>
            </w:pPr>
            <w:r>
              <w:rPr>
                <w:rFonts w:ascii="Arial" w:cs="Arial" w:eastAsia="Arial" w:hAnsi="Arial"/>
                <w:sz w:val="16"/>
                <w:szCs w:val="16"/>
                <w:color w:val="auto"/>
              </w:rPr>
              <w:t>Advisory vote regarding the frequency of future advisory votes on Executive Compensation</w:t>
            </w:r>
          </w:p>
        </w:tc>
        <w:tc>
          <w:tcPr>
            <w:tcW w:w="2040" w:type="dxa"/>
            <w:vAlign w:val="bottom"/>
          </w:tcPr>
          <w:p>
            <w:pPr>
              <w:jc w:val="right"/>
              <w:ind w:right="139"/>
              <w:spacing w:after="0"/>
              <w:rPr>
                <w:sz w:val="20"/>
                <w:szCs w:val="20"/>
                <w:color w:val="auto"/>
              </w:rPr>
            </w:pPr>
            <w:r>
              <w:rPr>
                <w:rFonts w:ascii="Arial" w:cs="Arial" w:eastAsia="Arial" w:hAnsi="Arial"/>
                <w:sz w:val="16"/>
                <w:szCs w:val="16"/>
                <w:color w:val="auto"/>
              </w:rPr>
              <w:t>Majority of Votes Cast</w:t>
            </w:r>
          </w:p>
        </w:tc>
        <w:tc>
          <w:tcPr>
            <w:tcW w:w="1880" w:type="dxa"/>
            <w:vAlign w:val="bottom"/>
          </w:tcPr>
          <w:p>
            <w:pPr>
              <w:jc w:val="right"/>
              <w:spacing w:after="0"/>
              <w:rPr>
                <w:sz w:val="20"/>
                <w:szCs w:val="20"/>
                <w:color w:val="auto"/>
              </w:rPr>
            </w:pPr>
            <w:r>
              <w:rPr>
                <w:rFonts w:ascii="Arial" w:cs="Arial" w:eastAsia="Arial" w:hAnsi="Arial"/>
                <w:sz w:val="16"/>
                <w:szCs w:val="16"/>
                <w:color w:val="auto"/>
              </w:rPr>
              <w:t>No</w:t>
            </w:r>
          </w:p>
        </w:tc>
      </w:tr>
      <w:tr>
        <w:trPr>
          <w:trHeight w:val="237"/>
        </w:trPr>
        <w:tc>
          <w:tcPr>
            <w:tcW w:w="6960" w:type="dxa"/>
            <w:vAlign w:val="bottom"/>
            <w:shd w:val="clear" w:color="auto" w:fill="DCDDDE"/>
          </w:tcPr>
          <w:p>
            <w:pPr>
              <w:ind w:left="60"/>
              <w:spacing w:after="0"/>
              <w:rPr>
                <w:sz w:val="20"/>
                <w:szCs w:val="20"/>
                <w:color w:val="auto"/>
              </w:rPr>
            </w:pPr>
            <w:r>
              <w:rPr>
                <w:rFonts w:ascii="Arial" w:cs="Arial" w:eastAsia="Arial" w:hAnsi="Arial"/>
                <w:sz w:val="16"/>
                <w:szCs w:val="16"/>
                <w:color w:val="auto"/>
              </w:rPr>
              <w:t>Approval of the Nordstrom, Inc. Amended and Restated 2019 Equity Incentive Plan</w:t>
            </w:r>
          </w:p>
        </w:tc>
        <w:tc>
          <w:tcPr>
            <w:tcW w:w="204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Majority of Votes Cast</w:t>
            </w:r>
          </w:p>
        </w:tc>
        <w:tc>
          <w:tcPr>
            <w:tcW w:w="18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No</w:t>
            </w:r>
          </w:p>
        </w:tc>
      </w:tr>
      <w:tr>
        <w:trPr>
          <w:trHeight w:val="222"/>
        </w:trPr>
        <w:tc>
          <w:tcPr>
            <w:tcW w:w="6960" w:type="dxa"/>
            <w:vAlign w:val="bottom"/>
          </w:tcPr>
          <w:p>
            <w:pPr>
              <w:ind w:left="60"/>
              <w:spacing w:after="0"/>
              <w:rPr>
                <w:sz w:val="20"/>
                <w:szCs w:val="20"/>
                <w:color w:val="auto"/>
              </w:rPr>
            </w:pPr>
            <w:r>
              <w:rPr>
                <w:rFonts w:ascii="Arial" w:cs="Arial" w:eastAsia="Arial" w:hAnsi="Arial"/>
                <w:sz w:val="16"/>
                <w:szCs w:val="16"/>
                <w:color w:val="auto"/>
              </w:rPr>
              <w:t>Approval of the Nordstrom, Inc. Amended and Restated Employee Stock Purchase Plan</w:t>
            </w:r>
          </w:p>
        </w:tc>
        <w:tc>
          <w:tcPr>
            <w:tcW w:w="2040" w:type="dxa"/>
            <w:vAlign w:val="bottom"/>
          </w:tcPr>
          <w:p>
            <w:pPr>
              <w:jc w:val="right"/>
              <w:ind w:right="139"/>
              <w:spacing w:after="0"/>
              <w:rPr>
                <w:sz w:val="20"/>
                <w:szCs w:val="20"/>
                <w:color w:val="auto"/>
              </w:rPr>
            </w:pPr>
            <w:r>
              <w:rPr>
                <w:rFonts w:ascii="Arial" w:cs="Arial" w:eastAsia="Arial" w:hAnsi="Arial"/>
                <w:sz w:val="16"/>
                <w:szCs w:val="16"/>
                <w:color w:val="auto"/>
              </w:rPr>
              <w:t>Majority of Votes Cast</w:t>
            </w:r>
          </w:p>
        </w:tc>
        <w:tc>
          <w:tcPr>
            <w:tcW w:w="1880" w:type="dxa"/>
            <w:vAlign w:val="bottom"/>
          </w:tcPr>
          <w:p>
            <w:pPr>
              <w:jc w:val="right"/>
              <w:spacing w:after="0"/>
              <w:rPr>
                <w:sz w:val="20"/>
                <w:szCs w:val="20"/>
                <w:color w:val="auto"/>
              </w:rPr>
            </w:pPr>
            <w:r>
              <w:rPr>
                <w:rFonts w:ascii="Arial" w:cs="Arial" w:eastAsia="Arial" w:hAnsi="Arial"/>
                <w:sz w:val="16"/>
                <w:szCs w:val="16"/>
                <w:color w:val="auto"/>
              </w:rPr>
              <w:t>No</w:t>
            </w:r>
          </w:p>
        </w:tc>
      </w:tr>
      <w:tr>
        <w:trPr>
          <w:trHeight w:val="182"/>
        </w:trPr>
        <w:tc>
          <w:tcPr>
            <w:tcW w:w="6960" w:type="dxa"/>
            <w:vAlign w:val="bottom"/>
            <w:shd w:val="clear" w:color="auto" w:fill="DCDDDE"/>
          </w:tcPr>
          <w:p>
            <w:pPr>
              <w:ind w:left="60"/>
              <w:spacing w:after="0" w:line="182" w:lineRule="exact"/>
              <w:rPr>
                <w:sz w:val="20"/>
                <w:szCs w:val="20"/>
                <w:color w:val="auto"/>
              </w:rPr>
            </w:pPr>
            <w:r>
              <w:rPr>
                <w:rFonts w:ascii="Arial" w:cs="Arial" w:eastAsia="Arial" w:hAnsi="Arial"/>
                <w:sz w:val="16"/>
                <w:szCs w:val="16"/>
                <w:color w:val="auto"/>
              </w:rPr>
              <w:t>Advisory vote on the extension of the Company’s shareholder rights plan until September 19,</w:t>
            </w:r>
          </w:p>
        </w:tc>
        <w:tc>
          <w:tcPr>
            <w:tcW w:w="2040" w:type="dxa"/>
            <w:vAlign w:val="bottom"/>
            <w:shd w:val="clear" w:color="auto" w:fill="DCDDDE"/>
          </w:tcPr>
          <w:p>
            <w:pPr>
              <w:spacing w:after="0"/>
              <w:rPr>
                <w:sz w:val="15"/>
                <w:szCs w:val="15"/>
                <w:color w:val="auto"/>
              </w:rPr>
            </w:pPr>
          </w:p>
        </w:tc>
        <w:tc>
          <w:tcPr>
            <w:tcW w:w="1880" w:type="dxa"/>
            <w:vAlign w:val="bottom"/>
            <w:shd w:val="clear" w:color="auto" w:fill="DCDDDE"/>
          </w:tcPr>
          <w:p>
            <w:pPr>
              <w:spacing w:after="0"/>
              <w:rPr>
                <w:sz w:val="15"/>
                <w:szCs w:val="15"/>
                <w:color w:val="auto"/>
              </w:rPr>
            </w:pPr>
          </w:p>
        </w:tc>
      </w:tr>
      <w:tr>
        <w:trPr>
          <w:trHeight w:val="215"/>
        </w:trPr>
        <w:tc>
          <w:tcPr>
            <w:tcW w:w="6960" w:type="dxa"/>
            <w:vAlign w:val="bottom"/>
            <w:shd w:val="clear" w:color="auto" w:fill="DCDDDE"/>
          </w:tcPr>
          <w:p>
            <w:pPr>
              <w:ind w:left="60"/>
              <w:spacing w:after="0"/>
              <w:rPr>
                <w:sz w:val="20"/>
                <w:szCs w:val="20"/>
                <w:color w:val="auto"/>
              </w:rPr>
            </w:pPr>
            <w:r>
              <w:rPr>
                <w:rFonts w:ascii="Arial" w:cs="Arial" w:eastAsia="Arial" w:hAnsi="Arial"/>
                <w:sz w:val="16"/>
                <w:szCs w:val="16"/>
                <w:color w:val="auto"/>
              </w:rPr>
              <w:t>2025</w:t>
            </w:r>
          </w:p>
        </w:tc>
        <w:tc>
          <w:tcPr>
            <w:tcW w:w="204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Majority of Votes Cast</w:t>
            </w:r>
          </w:p>
        </w:tc>
        <w:tc>
          <w:tcPr>
            <w:tcW w:w="18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No</w:t>
            </w:r>
          </w:p>
        </w:tc>
      </w:tr>
      <w:tr>
        <w:trPr>
          <w:trHeight w:val="69"/>
        </w:trPr>
        <w:tc>
          <w:tcPr>
            <w:tcW w:w="6960" w:type="dxa"/>
            <w:vAlign w:val="bottom"/>
            <w:tcBorders>
              <w:bottom w:val="single" w:sz="8" w:color="auto"/>
            </w:tcBorders>
            <w:shd w:val="clear" w:color="auto" w:fill="DCDDDE"/>
          </w:tcPr>
          <w:p>
            <w:pPr>
              <w:spacing w:after="0"/>
              <w:rPr>
                <w:sz w:val="6"/>
                <w:szCs w:val="6"/>
                <w:color w:val="auto"/>
              </w:rPr>
            </w:pPr>
          </w:p>
        </w:tc>
        <w:tc>
          <w:tcPr>
            <w:tcW w:w="2040" w:type="dxa"/>
            <w:vAlign w:val="bottom"/>
            <w:tcBorders>
              <w:bottom w:val="single" w:sz="8" w:color="auto"/>
            </w:tcBorders>
            <w:shd w:val="clear" w:color="auto" w:fill="DCDDDE"/>
          </w:tcPr>
          <w:p>
            <w:pPr>
              <w:spacing w:after="0"/>
              <w:rPr>
                <w:sz w:val="6"/>
                <w:szCs w:val="6"/>
                <w:color w:val="auto"/>
              </w:rPr>
            </w:pPr>
          </w:p>
        </w:tc>
        <w:tc>
          <w:tcPr>
            <w:tcW w:w="1880" w:type="dxa"/>
            <w:vAlign w:val="bottom"/>
            <w:tcBorders>
              <w:bottom w:val="single" w:sz="8" w:color="auto"/>
            </w:tcBorders>
            <w:shd w:val="clear" w:color="auto" w:fill="DCDDDE"/>
          </w:tcPr>
          <w:p>
            <w:pPr>
              <w:spacing w:after="0"/>
              <w:rPr>
                <w:sz w:val="6"/>
                <w:szCs w:val="6"/>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Under Washington corporation law and our Articles of Incorporation and Bylaws, the approval of any corporate action taken at a shareholder meeting is based on votes cast. “Votes cast” means votes actually cast “for” or “against” a particular proposal, whether by proxy or in person. Broker nonvotes (broker nonvotes and discretionary voting are explained in the answers to Questions </w:t>
      </w:r>
      <w:r>
        <w:rPr>
          <w:rFonts w:ascii="Arial" w:cs="Arial" w:eastAsia="Arial" w:hAnsi="Arial"/>
          <w:sz w:val="16"/>
          <w:szCs w:val="16"/>
          <w:b w:val="1"/>
          <w:bCs w:val="1"/>
          <w:color w:val="auto"/>
        </w:rPr>
        <w:t>13.</w:t>
      </w:r>
      <w:r>
        <w:rPr>
          <w:rFonts w:ascii="Arial" w:cs="Arial" w:eastAsia="Arial" w:hAnsi="Arial"/>
          <w:sz w:val="16"/>
          <w:szCs w:val="16"/>
          <w:color w:val="auto"/>
        </w:rPr>
        <w:t xml:space="preserve"> and </w:t>
      </w:r>
      <w:r>
        <w:rPr>
          <w:rFonts w:ascii="Arial" w:cs="Arial" w:eastAsia="Arial" w:hAnsi="Arial"/>
          <w:sz w:val="16"/>
          <w:szCs w:val="16"/>
          <w:b w:val="1"/>
          <w:bCs w:val="1"/>
          <w:color w:val="auto"/>
        </w:rPr>
        <w:t>14.</w:t>
      </w:r>
      <w:r>
        <w:rPr>
          <w:rFonts w:ascii="Arial" w:cs="Arial" w:eastAsia="Arial" w:hAnsi="Arial"/>
          <w:sz w:val="16"/>
          <w:szCs w:val="16"/>
          <w:color w:val="auto"/>
        </w:rPr>
        <w:t>) abstentions and withhold votes are not considered “votes cast” and have no effect on the proposals.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Washington corporation law does not provide shareholders any dissenters’ or appraisal rights with respect to the matters to be voted on at the Annual Meeting, and shareholders do not have cumulative voting rights with respect to the election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each of the following proposals.</w:t>
      </w:r>
    </w:p>
    <w:p>
      <w:pPr>
        <w:spacing w:after="0" w:line="133" w:lineRule="exact"/>
        <w:rPr>
          <w:sz w:val="20"/>
          <w:szCs w:val="20"/>
          <w:color w:val="auto"/>
        </w:rPr>
      </w:pPr>
    </w:p>
    <w:p>
      <w:pPr>
        <w:jc w:val="both"/>
        <w:ind w:left="200" w:hanging="192"/>
        <w:spacing w:after="0" w:line="259" w:lineRule="auto"/>
        <w:tabs>
          <w:tab w:leader="none" w:pos="207"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Election of Eleven Directors: </w:t>
      </w:r>
      <w:r>
        <w:rPr>
          <w:rFonts w:ascii="Arial" w:cs="Arial" w:eastAsia="Arial" w:hAnsi="Arial"/>
          <w:sz w:val="16"/>
          <w:szCs w:val="16"/>
          <w:color w:val="auto"/>
        </w:rPr>
        <w:t>Because the Company received a notice from a shareholder stating its intention to nominate two candidates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to the Board at the Annual Meeting, the election of directors is contested under our Bylaws even though such shareholder subsequently withdrew its notice. As a result, directors will be elected by a plurality of votes cast. A plurality of votes cast means that the eleven nominees receiving the highest number of votes in favor of their election will be elected to our Board. You may vote “for” or “withhold” from 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1019810" cy="1289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FREQUENTLY ASKED QUESTIONS AND ANSWERS ABOUT THE ANNUAL MEETING</w:t>
      </w:r>
    </w:p>
    <w:p>
      <w:pPr>
        <w:spacing w:after="0" w:line="75" w:lineRule="exact"/>
        <w:rPr>
          <w:sz w:val="20"/>
          <w:szCs w:val="20"/>
          <w:color w:val="auto"/>
        </w:rPr>
      </w:pPr>
    </w:p>
    <w:p>
      <w:pPr>
        <w:jc w:val="both"/>
        <w:ind w:left="200" w:hanging="192"/>
        <w:spacing w:after="0" w:line="266" w:lineRule="auto"/>
        <w:tabs>
          <w:tab w:leader="none" w:pos="207"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Ratification of the Appointment of Independent Registered Public Accounting Firm: </w:t>
      </w:r>
      <w:r>
        <w:rPr>
          <w:rFonts w:ascii="Arial" w:cs="Arial" w:eastAsia="Arial" w:hAnsi="Arial"/>
          <w:sz w:val="16"/>
          <w:szCs w:val="16"/>
          <w:color w:val="auto"/>
        </w:rPr>
        <w:t>Under the Company’s Bylaws, the votes cast “for”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exceed the votes cast “against” to ratify the appointment of Deloitte as the Company’s independent registered public accounting firm for the fiscal year ending February 3, 2024. You may vote “for,” “against” or “abstain” on this proposal.</w:t>
      </w:r>
    </w:p>
    <w:p>
      <w:pPr>
        <w:spacing w:after="0" w:line="2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Advisory Vote Regarding Executive Compensation: </w:t>
      </w:r>
      <w:r>
        <w:rPr>
          <w:rFonts w:ascii="Arial" w:cs="Arial" w:eastAsia="Arial" w:hAnsi="Arial"/>
          <w:sz w:val="16"/>
          <w:szCs w:val="16"/>
          <w:color w:val="auto"/>
        </w:rPr>
        <w:t>The votes cast “for” must exceed the votes cast “against” to approve, on an advisory basis,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executive compensation program. You may vote “for,” “against” or “abstain” on this proposal.</w:t>
      </w:r>
    </w:p>
    <w:p>
      <w:pPr>
        <w:spacing w:after="0" w:line="9" w:lineRule="exact"/>
        <w:rPr>
          <w:rFonts w:ascii="Arial" w:cs="Arial" w:eastAsia="Arial" w:hAnsi="Arial"/>
          <w:sz w:val="16"/>
          <w:szCs w:val="16"/>
          <w:color w:val="auto"/>
        </w:rPr>
      </w:pPr>
    </w:p>
    <w:p>
      <w:pPr>
        <w:jc w:val="both"/>
        <w:ind w:left="200" w:hanging="192"/>
        <w:spacing w:after="0" w:line="265" w:lineRule="auto"/>
        <w:tabs>
          <w:tab w:leader="none" w:pos="207"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Approval of the Nordstrom, Inc. Amended and Restated 2019 Equity Incentive Plan and approval of the Nordstrom, Inc. Amended and Restated Employee Stock Purchase Plan: </w:t>
      </w:r>
      <w:r>
        <w:rPr>
          <w:rFonts w:ascii="Arial" w:cs="Arial" w:eastAsia="Arial" w:hAnsi="Arial"/>
          <w:sz w:val="16"/>
          <w:szCs w:val="16"/>
          <w:color w:val="auto"/>
        </w:rPr>
        <w:t>Under the Company’s Bylaws, the votes cast “for” must exceed the votes cast “against” to approve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measures. You may vote “for,” “against” or “abstain” on this proposal.</w:t>
      </w:r>
    </w:p>
    <w:p>
      <w:pPr>
        <w:spacing w:after="0" w:line="36" w:lineRule="exact"/>
        <w:rPr>
          <w:rFonts w:ascii="Arial" w:cs="Arial" w:eastAsia="Arial" w:hAnsi="Arial"/>
          <w:sz w:val="16"/>
          <w:szCs w:val="16"/>
          <w:color w:val="auto"/>
        </w:rPr>
      </w:pPr>
    </w:p>
    <w:p>
      <w:pPr>
        <w:jc w:val="both"/>
        <w:ind w:left="200" w:hanging="192"/>
        <w:spacing w:after="0" w:line="275" w:lineRule="auto"/>
        <w:tabs>
          <w:tab w:leader="none" w:pos="207"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Advisory Vote on the Extension of the Company’s Shareholder Rights Plan until September 19, 2025: </w:t>
      </w:r>
      <w:r>
        <w:rPr>
          <w:rFonts w:ascii="Arial" w:cs="Arial" w:eastAsia="Arial" w:hAnsi="Arial"/>
          <w:sz w:val="16"/>
          <w:szCs w:val="16"/>
          <w:color w:val="auto"/>
        </w:rPr>
        <w:t>Under the Company’s Bylaws,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votes cast “for” must exceed the votes cast “against” to approve this non-binding advisory vote. You may vote “for,” “against” or “abstain” on this proposal.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of “1 Year” for the following proposal.</w:t>
      </w:r>
    </w:p>
    <w:p>
      <w:pPr>
        <w:spacing w:after="0" w:line="66" w:lineRule="exact"/>
        <w:rPr>
          <w:sz w:val="20"/>
          <w:szCs w:val="20"/>
          <w:color w:val="auto"/>
        </w:rPr>
      </w:pPr>
    </w:p>
    <w:p>
      <w:pPr>
        <w:ind w:left="200" w:hanging="192"/>
        <w:spacing w:after="0" w:line="286" w:lineRule="auto"/>
        <w:tabs>
          <w:tab w:leader="none" w:pos="207" w:val="left"/>
        </w:tabs>
        <w:numPr>
          <w:ilvl w:val="0"/>
          <w:numId w:val="1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Advisory Vote Regarding the Frequency of Future Advisory Votes on Executive Compensation: </w:t>
      </w:r>
      <w:r>
        <w:rPr>
          <w:rFonts w:ascii="Arial" w:cs="Arial" w:eastAsia="Arial" w:hAnsi="Arial"/>
          <w:sz w:val="16"/>
          <w:szCs w:val="16"/>
          <w:color w:val="auto"/>
        </w:rPr>
        <w:t>A plurality of votes cast means the highest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“for” votes will be the advisory vote of the shareholders. You may vote “1 Year,” “2 Years,” “3 Years,” or abstain on this proposal.</w:t>
      </w:r>
    </w:p>
    <w:p>
      <w:pPr>
        <w:spacing w:after="0" w:line="334" w:lineRule="exact"/>
        <w:rPr>
          <w:rFonts w:ascii="Arial" w:cs="Arial" w:eastAsia="Arial" w:hAnsi="Arial"/>
          <w:sz w:val="16"/>
          <w:szCs w:val="16"/>
          <w:color w:val="auto"/>
        </w:rPr>
      </w:pPr>
    </w:p>
    <w:p>
      <w:pPr>
        <w:ind w:left="540" w:hanging="478"/>
        <w:spacing w:after="0"/>
        <w:tabs>
          <w:tab w:leader="none" w:pos="540" w:val="left"/>
        </w:tabs>
        <w:numPr>
          <w:ilvl w:val="1"/>
          <w:numId w:val="130"/>
        </w:numPr>
        <w:rPr>
          <w:rFonts w:ascii="Arial" w:cs="Arial" w:eastAsia="Arial" w:hAnsi="Arial"/>
          <w:sz w:val="25"/>
          <w:szCs w:val="25"/>
          <w:b w:val="1"/>
          <w:bCs w:val="1"/>
          <w:color w:val="auto"/>
        </w:rPr>
      </w:pPr>
      <w:r>
        <w:rPr>
          <w:rFonts w:ascii="Arial" w:cs="Arial" w:eastAsia="Arial" w:hAnsi="Arial"/>
          <w:sz w:val="25"/>
          <w:szCs w:val="25"/>
          <w:b w:val="1"/>
          <w:bCs w:val="1"/>
          <w:color w:val="auto"/>
        </w:rPr>
        <w:t>Can I change my mind after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Yes, if you are a shareholder of record and vote by proxy, you may revoke that proxy at any time before it is voted at the Annual Meeting. You may do this by:</w:t>
      </w:r>
    </w:p>
    <w:p>
      <w:pPr>
        <w:spacing w:after="0" w:line="7" w:lineRule="exact"/>
        <w:rPr>
          <w:sz w:val="20"/>
          <w:szCs w:val="20"/>
          <w:color w:val="auto"/>
        </w:rPr>
      </w:pPr>
    </w:p>
    <w:p>
      <w:pPr>
        <w:ind w:left="200" w:hanging="192"/>
        <w:spacing w:after="0" w:line="286" w:lineRule="auto"/>
        <w:tabs>
          <w:tab w:leader="none" w:pos="20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delivering written notice of revocation to the Corporate Secretary at 1617 Sixth Avenue, Seattle, Washington 98101, Attn: Corporate Secretary that is received on or before 5:00 p.m. Pacific Daylight Time on [●], 2023;</w:t>
      </w:r>
    </w:p>
    <w:p>
      <w:pPr>
        <w:spacing w:after="0" w:line="20" w:lineRule="exact"/>
        <w:rPr>
          <w:rFonts w:ascii="Arial" w:cs="Arial" w:eastAsia="Arial" w:hAnsi="Arial"/>
          <w:sz w:val="16"/>
          <w:szCs w:val="16"/>
          <w:color w:val="auto"/>
        </w:rPr>
      </w:pPr>
    </w:p>
    <w:p>
      <w:pPr>
        <w:ind w:left="220" w:hanging="212"/>
        <w:spacing w:after="0"/>
        <w:tabs>
          <w:tab w:leader="none" w:pos="2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voting again on the internet or by telephone prior to the Annual Meeting;</w:t>
      </w:r>
    </w:p>
    <w:p>
      <w:pPr>
        <w:spacing w:after="0" w:line="72" w:lineRule="exact"/>
        <w:rPr>
          <w:rFonts w:ascii="Arial" w:cs="Arial" w:eastAsia="Arial" w:hAnsi="Arial"/>
          <w:sz w:val="16"/>
          <w:szCs w:val="16"/>
          <w:color w:val="auto"/>
        </w:rPr>
      </w:pPr>
    </w:p>
    <w:p>
      <w:pPr>
        <w:ind w:left="200" w:hanging="192"/>
        <w:spacing w:after="0" w:line="286" w:lineRule="auto"/>
        <w:tabs>
          <w:tab w:leader="none" w:pos="20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signing another proxy card with a later date and mailing it to Vote Processing, c/o Broadridge, 51 Mercedes Way, Edgewood, NY 11717, prior to the Annual Meeting; or</w:t>
      </w:r>
    </w:p>
    <w:p>
      <w:pPr>
        <w:spacing w:after="0" w:line="7" w:lineRule="exact"/>
        <w:rPr>
          <w:rFonts w:ascii="Arial" w:cs="Arial" w:eastAsia="Arial" w:hAnsi="Arial"/>
          <w:sz w:val="16"/>
          <w:szCs w:val="16"/>
          <w:color w:val="auto"/>
        </w:rPr>
      </w:pPr>
    </w:p>
    <w:p>
      <w:pPr>
        <w:ind w:left="220" w:hanging="212"/>
        <w:spacing w:after="0"/>
        <w:tabs>
          <w:tab w:leader="none" w:pos="2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delivering your proxy or casting a ballot during the meeting.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street name shareholder, you should contact your bank, broker or other holder of record to revoke your proxy or change your vote.</w:t>
      </w:r>
    </w:p>
    <w:p>
      <w:pPr>
        <w:spacing w:after="0" w:line="386" w:lineRule="exact"/>
        <w:rPr>
          <w:sz w:val="20"/>
          <w:szCs w:val="20"/>
          <w:color w:val="auto"/>
        </w:rPr>
      </w:pPr>
    </w:p>
    <w:p>
      <w:pPr>
        <w:ind w:left="540" w:right="460" w:hanging="478"/>
        <w:spacing w:after="0" w:line="298" w:lineRule="auto"/>
        <w:tabs>
          <w:tab w:leader="none" w:pos="540" w:val="left"/>
        </w:tabs>
        <w:numPr>
          <w:ilvl w:val="1"/>
          <w:numId w:val="132"/>
        </w:numPr>
        <w:rPr>
          <w:rFonts w:ascii="Arial" w:cs="Arial" w:eastAsia="Arial" w:hAnsi="Arial"/>
          <w:sz w:val="25"/>
          <w:szCs w:val="25"/>
          <w:b w:val="1"/>
          <w:bCs w:val="1"/>
          <w:color w:val="auto"/>
        </w:rPr>
      </w:pPr>
      <w:r>
        <w:rPr>
          <w:rFonts w:ascii="Arial" w:cs="Arial" w:eastAsia="Arial" w:hAnsi="Arial"/>
          <w:sz w:val="25"/>
          <w:szCs w:val="25"/>
          <w:b w:val="1"/>
          <w:bCs w:val="1"/>
          <w:color w:val="auto"/>
        </w:rPr>
        <w:t>What if I do not return my proxy card or voting instruction form or return my proxy card and do not provide voting instructions?</w:t>
      </w:r>
    </w:p>
    <w:p>
      <w:pPr>
        <w:spacing w:after="0" w:line="146" w:lineRule="exact"/>
        <w:rPr>
          <w:rFonts w:ascii="Arial" w:cs="Arial" w:eastAsia="Arial" w:hAnsi="Arial"/>
          <w:sz w:val="25"/>
          <w:szCs w:val="25"/>
          <w:b w:val="1"/>
          <w:bCs w:val="1"/>
          <w:color w:val="auto"/>
        </w:rPr>
      </w:pPr>
    </w:p>
    <w:p>
      <w:pPr>
        <w:ind w:left="220" w:hanging="212"/>
        <w:spacing w:after="0"/>
        <w:tabs>
          <w:tab w:leader="none" w:pos="220" w:val="left"/>
        </w:tabs>
        <w:numPr>
          <w:ilvl w:val="0"/>
          <w:numId w:val="1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Shareholders of record: </w:t>
      </w:r>
      <w:r>
        <w:rPr>
          <w:rFonts w:ascii="Arial" w:cs="Arial" w:eastAsia="Arial" w:hAnsi="Arial"/>
          <w:sz w:val="16"/>
          <w:szCs w:val="16"/>
          <w:color w:val="auto"/>
        </w:rPr>
        <w:t>If you are a registered shareholder and do not vote by internet or phone or return your voted proxy card, your shares will</w:t>
      </w:r>
    </w:p>
    <w:p>
      <w:pPr>
        <w:spacing w:after="0" w:line="21" w:lineRule="exact"/>
        <w:rPr>
          <w:rFonts w:ascii="Arial" w:cs="Arial" w:eastAsia="Arial" w:hAnsi="Arial"/>
          <w:sz w:val="16"/>
          <w:szCs w:val="16"/>
          <w:color w:val="auto"/>
        </w:rPr>
      </w:pPr>
    </w:p>
    <w:p>
      <w:pPr>
        <w:ind w:left="200"/>
        <w:spacing w:after="0" w:line="265" w:lineRule="auto"/>
        <w:rPr>
          <w:rFonts w:ascii="Arial" w:cs="Arial" w:eastAsia="Arial" w:hAnsi="Arial"/>
          <w:sz w:val="16"/>
          <w:szCs w:val="16"/>
          <w:color w:val="auto"/>
        </w:rPr>
      </w:pPr>
      <w:r>
        <w:rPr>
          <w:rFonts w:ascii="Arial" w:cs="Arial" w:eastAsia="Arial" w:hAnsi="Arial"/>
          <w:sz w:val="16"/>
          <w:szCs w:val="16"/>
          <w:color w:val="auto"/>
        </w:rPr>
        <w:t>not be voted. If you submit a validly executed proxy card with no voting designation at all, your shares will be voted: for each of the Board’s nominees to be elected on Proposal 1, for Proposals 2, 3, 5, 6, and 7, and for “1 Year” on Proposal 4.</w:t>
      </w:r>
    </w:p>
    <w:p>
      <w:pPr>
        <w:spacing w:after="0" w:line="36" w:lineRule="exact"/>
        <w:rPr>
          <w:rFonts w:ascii="Arial" w:cs="Arial" w:eastAsia="Arial" w:hAnsi="Arial"/>
          <w:sz w:val="16"/>
          <w:szCs w:val="16"/>
          <w:color w:val="auto"/>
        </w:rPr>
      </w:pPr>
    </w:p>
    <w:p>
      <w:pPr>
        <w:jc w:val="both"/>
        <w:ind w:left="200" w:hanging="192"/>
        <w:spacing w:after="0" w:line="255" w:lineRule="auto"/>
        <w:tabs>
          <w:tab w:leader="none" w:pos="207" w:val="left"/>
        </w:tabs>
        <w:numPr>
          <w:ilvl w:val="0"/>
          <w:numId w:val="1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Street name shareholders: </w:t>
      </w:r>
      <w:r>
        <w:rPr>
          <w:rFonts w:ascii="Arial" w:cs="Arial" w:eastAsia="Arial" w:hAnsi="Arial"/>
          <w:sz w:val="16"/>
          <w:szCs w:val="16"/>
          <w:color w:val="auto"/>
        </w:rPr>
        <w:t>If you are a beneficial owner whose shares are held by a broker, your broker has discretionary voting authority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NYSE rules to vote your shares for the ratification of Deloitte if the broker does not receive voting instructions from you. However, your broker does not have discretionary authority to vote on any other proposal before the Annual Meeting. If your broker casts a discretionary vote on the ratification of Deloitte, a broker nonvote will occur as to each other proposal. Since shares that constitute broker nonvotes will not be included in vote totals and have no effect on the outcome of any of the proposals before the Annual Meeting, it is important that you instruct your broker on how to vote your shares.</w:t>
      </w:r>
    </w:p>
    <w:p>
      <w:pPr>
        <w:spacing w:after="0" w:line="224" w:lineRule="exact"/>
        <w:rPr>
          <w:rFonts w:ascii="Arial" w:cs="Arial" w:eastAsia="Arial" w:hAnsi="Arial"/>
          <w:sz w:val="16"/>
          <w:szCs w:val="16"/>
          <w:color w:val="auto"/>
        </w:rPr>
      </w:pPr>
    </w:p>
    <w:p>
      <w:pPr>
        <w:jc w:val="both"/>
        <w:ind w:left="200" w:hanging="192"/>
        <w:spacing w:after="0" w:line="256" w:lineRule="auto"/>
        <w:tabs>
          <w:tab w:leader="none" w:pos="207" w:val="left"/>
        </w:tabs>
        <w:numPr>
          <w:ilvl w:val="0"/>
          <w:numId w:val="1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Shareholders with shares invested in the Company’s 401(k) Plan: </w:t>
      </w:r>
      <w:r>
        <w:rPr>
          <w:rFonts w:ascii="Arial" w:cs="Arial" w:eastAsia="Arial" w:hAnsi="Arial"/>
          <w:sz w:val="16"/>
          <w:szCs w:val="16"/>
          <w:color w:val="auto"/>
        </w:rPr>
        <w:t>If your vote of shares held through the Company’s 401(k) Plan is not received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11:59 p.m. Eastern Daylight Time on [●], 2023, then the Plan Trustee will vote your shares in the same proportion as shares that have been voted in the 401(k) Plan. If you submit your proxy card with an unclear voting designation or no voting designation at all, your shares will be voted by the Plan Trustee “for” all proposals. If any additional proposals are properly presented at the Annual Meeting and any adjournment thereof, the Plan Trustee will vote on the additional proposals in accordance with its discretion.</w:t>
      </w:r>
    </w:p>
    <w:p>
      <w:pPr>
        <w:spacing w:after="0" w:line="344" w:lineRule="exact"/>
        <w:rPr>
          <w:rFonts w:ascii="Arial" w:cs="Arial" w:eastAsia="Arial" w:hAnsi="Arial"/>
          <w:sz w:val="16"/>
          <w:szCs w:val="16"/>
          <w:color w:val="auto"/>
        </w:rPr>
      </w:pPr>
    </w:p>
    <w:p>
      <w:pPr>
        <w:ind w:left="540" w:hanging="478"/>
        <w:spacing w:after="0"/>
        <w:tabs>
          <w:tab w:leader="none" w:pos="540" w:val="left"/>
        </w:tabs>
        <w:numPr>
          <w:ilvl w:val="1"/>
          <w:numId w:val="133"/>
        </w:numPr>
        <w:rPr>
          <w:rFonts w:ascii="Arial" w:cs="Arial" w:eastAsia="Arial" w:hAnsi="Arial"/>
          <w:sz w:val="25"/>
          <w:szCs w:val="25"/>
          <w:b w:val="1"/>
          <w:bCs w:val="1"/>
          <w:color w:val="auto"/>
        </w:rPr>
      </w:pPr>
      <w:r>
        <w:rPr>
          <w:rFonts w:ascii="Arial" w:cs="Arial" w:eastAsia="Arial" w:hAnsi="Arial"/>
          <w:sz w:val="25"/>
          <w:szCs w:val="25"/>
          <w:b w:val="1"/>
          <w:bCs w:val="1"/>
          <w:color w:val="auto"/>
        </w:rPr>
        <w:t>Will abstentions or broker nonvotes affect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-2326640</wp:posOffset>
            </wp:positionV>
            <wp:extent cx="690054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690054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you abstain from voting on a proposal, or if a broker or bank casts a discretionary vote on the ratification of Deloitte but indicates it does not have discretionary authority to vote on another proposal, the shares will be counted for the purpose of determining if a quorum is present, but will have no effect on the other proposals to be considered at the Annual Meeting since these actions do not represent votes cast by shareholders.</w:t>
      </w:r>
    </w:p>
    <w:p>
      <w:pPr>
        <w:spacing w:after="0" w:line="336" w:lineRule="exact"/>
        <w:rPr>
          <w:sz w:val="20"/>
          <w:szCs w:val="20"/>
          <w:color w:val="auto"/>
        </w:rPr>
      </w:pPr>
    </w:p>
    <w:p>
      <w:pPr>
        <w:ind w:left="540" w:hanging="478"/>
        <w:spacing w:after="0"/>
        <w:tabs>
          <w:tab w:leader="none" w:pos="540" w:val="left"/>
        </w:tabs>
        <w:numPr>
          <w:ilvl w:val="1"/>
          <w:numId w:val="134"/>
        </w:numPr>
        <w:rPr>
          <w:rFonts w:ascii="Arial" w:cs="Arial" w:eastAsia="Arial" w:hAnsi="Arial"/>
          <w:sz w:val="25"/>
          <w:szCs w:val="25"/>
          <w:b w:val="1"/>
          <w:bCs w:val="1"/>
          <w:color w:val="auto"/>
        </w:rPr>
      </w:pPr>
      <w:r>
        <w:rPr>
          <w:rFonts w:ascii="Arial" w:cs="Arial" w:eastAsia="Arial" w:hAnsi="Arial"/>
          <w:sz w:val="25"/>
          <w:szCs w:val="25"/>
          <w:b w:val="1"/>
          <w:bCs w:val="1"/>
          <w:color w:val="auto"/>
        </w:rPr>
        <w:t>Who will count the vote?</w:t>
      </w:r>
    </w:p>
    <w:p>
      <w:pPr>
        <w:spacing w:after="0" w:line="276" w:lineRule="exact"/>
        <w:rPr>
          <w:rFonts w:ascii="Arial" w:cs="Arial" w:eastAsia="Arial" w:hAnsi="Arial"/>
          <w:sz w:val="25"/>
          <w:szCs w:val="25"/>
          <w:b w:val="1"/>
          <w:bCs w:val="1"/>
          <w:color w:val="auto"/>
        </w:rPr>
      </w:pPr>
    </w:p>
    <w:p>
      <w:pPr>
        <w:ind w:left="240" w:hanging="232"/>
        <w:spacing w:after="0"/>
        <w:tabs>
          <w:tab w:leader="none" w:pos="2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was appointed by the Board to tabulate the vote and act as Inspector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690054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6900545" cy="26035"/>
                    </a:xfrm>
                    <a:prstGeom prst="rect">
                      <a:avLst/>
                    </a:prstGeom>
                    <a:noFill/>
                  </pic:spPr>
                </pic:pic>
              </a:graphicData>
            </a:graphic>
          </wp:anchor>
        </w:drawing>
        <w:drawing>
          <wp:anchor simplePos="0" relativeHeight="251657728" behindDoc="1" locked="0" layoutInCell="0" allowOverlap="1">
            <wp:simplePos x="0" y="0"/>
            <wp:positionH relativeFrom="column">
              <wp:posOffset>5882640</wp:posOffset>
            </wp:positionH>
            <wp:positionV relativeFrom="paragraph">
              <wp:posOffset>354965</wp:posOffset>
            </wp:positionV>
            <wp:extent cx="1020445" cy="1282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1020445" cy="12827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91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FREQUENTLY ASKED QUESTIONS AND ANSWERS ABOUT THE ANNUAL MEETING</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16. 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intend to announce preliminary voting results at the Annual Meeting and publish final results on a current report on Form 8-K within four business days of the Annual Meeting. The Form 8-K will be available online under the “SEC Filings” tab at the Investor Relations Website.</w:t>
      </w:r>
    </w:p>
    <w:p>
      <w:pPr>
        <w:spacing w:after="0" w:line="32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17. How can I communicate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6900545" cy="2603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other  interested  parties  may  communicate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by contacting the Corporate Secretary’s Office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3308985" cy="3860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3308985" cy="386080"/>
                    </a:xfrm>
                    <a:prstGeom prst="rect">
                      <a:avLst/>
                    </a:prstGeom>
                    <a:noFill/>
                  </pic:spPr>
                </pic:pic>
              </a:graphicData>
            </a:graphic>
          </wp:anchor>
        </w:drawing>
      </w:r>
    </w:p>
    <w:p>
      <w:pPr>
        <w:spacing w:after="0" w:line="33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 xml:space="preserve">Telephone: </w:t>
      </w:r>
      <w:r>
        <w:rPr>
          <w:rFonts w:ascii="Arial" w:cs="Arial" w:eastAsia="Arial" w:hAnsi="Arial"/>
          <w:sz w:val="16"/>
          <w:szCs w:val="16"/>
          <w:color w:val="auto"/>
        </w:rPr>
        <w:t>206-303-2541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192405</wp:posOffset>
            </wp:positionV>
            <wp:extent cx="316865" cy="3175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316865" cy="317500"/>
                    </a:xfrm>
                    <a:prstGeom prst="rect">
                      <a:avLst/>
                    </a:prstGeom>
                    <a:noFill/>
                  </pic:spPr>
                </pic:pic>
              </a:graphicData>
            </a:graphic>
          </wp:anchor>
        </w:drawing>
      </w:r>
    </w:p>
    <w:p>
      <w:pPr>
        <w:spacing w:after="0" w:line="39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 xml:space="preserve">E-mail: </w:t>
      </w:r>
      <w:r>
        <w:rPr>
          <w:rFonts w:ascii="Arial" w:cs="Arial" w:eastAsia="Arial" w:hAnsi="Arial"/>
          <w:sz w:val="16"/>
          <w:szCs w:val="16"/>
          <w:color w:val="auto"/>
        </w:rPr>
        <w:t>board@nordstrom.com</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 xml:space="preserve">Mail: </w:t>
      </w:r>
      <w:r>
        <w:rPr>
          <w:rFonts w:ascii="Arial" w:cs="Arial" w:eastAsia="Arial" w:hAnsi="Arial"/>
          <w:sz w:val="16"/>
          <w:szCs w:val="16"/>
          <w:color w:val="auto"/>
        </w:rPr>
        <w:t>Nordstrom,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-107315</wp:posOffset>
            </wp:positionV>
            <wp:extent cx="3248660" cy="5314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3248660" cy="531495"/>
                    </a:xfrm>
                    <a:prstGeom prst="rect">
                      <a:avLst/>
                    </a:prstGeom>
                    <a:noFill/>
                  </pic:spPr>
                </pic:pic>
              </a:graphicData>
            </a:graphic>
          </wp:anchor>
        </w:drawing>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1617 Sixth Avenue</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Seattle, Washington 98101</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Attn: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330898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Corporate Secretary will relay the question or message to the specific Director with whom the shareholder or interested party wishes to communicate.</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no specific Director is requested, the Corporate Secretary will relay the question or message to the Chairman. Certain items that are unrelated to the duties and responsibilities of the Board, such as business solicitations, advertisements, junk mail and other mass mailings, will not be relayed to Directors.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AFC has established procedures to respond to possible concerns about ethics and accounting-related practices. To report your concerns, you may use the Company’s confidential Whistleblower Hotline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3308985" cy="6686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3308985" cy="668655"/>
                    </a:xfrm>
                    <a:prstGeom prst="rect">
                      <a:avLst/>
                    </a:prstGeom>
                    <a:noFill/>
                  </pic:spPr>
                </pic:pic>
              </a:graphicData>
            </a:graphic>
          </wp:anchor>
        </w:drawing>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Telephone: </w:t>
      </w:r>
      <w:r>
        <w:rPr>
          <w:rFonts w:ascii="Arial" w:cs="Arial" w:eastAsia="Arial" w:hAnsi="Arial"/>
          <w:sz w:val="16"/>
          <w:szCs w:val="16"/>
          <w:color w:val="auto"/>
        </w:rPr>
        <w:t>1-888-832-8358</w:t>
      </w:r>
    </w:p>
    <w:p>
      <w:pPr>
        <w:spacing w:after="0" w:line="3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Internet: </w:t>
      </w:r>
      <w:r>
        <w:rPr>
          <w:rFonts w:ascii="Arial" w:cs="Arial" w:eastAsia="Arial" w:hAnsi="Arial"/>
          <w:sz w:val="16"/>
          <w:szCs w:val="16"/>
          <w:color w:val="auto"/>
        </w:rPr>
        <w:t>ethicspoint.com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330898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Your concerns will be investigated and communicated to the AFC, as necessary.</w:t>
      </w:r>
    </w:p>
    <w:p>
      <w:pPr>
        <w:spacing w:after="0" w:line="200" w:lineRule="exact"/>
        <w:rPr>
          <w:sz w:val="20"/>
          <w:szCs w:val="20"/>
          <w:color w:val="auto"/>
        </w:rPr>
      </w:pPr>
    </w:p>
    <w:p>
      <w:pPr>
        <w:sectPr>
          <w:pgSz w:w="11900" w:h="16838" w:orient="portrait"/>
          <w:cols w:equalWidth="0" w:num="2">
            <w:col w:w="5220" w:space="440"/>
            <w:col w:w="5220"/>
          </w:cols>
          <w:pgMar w:left="500" w:top="270" w:right="519" w:bottom="1440" w:gutter="0" w:footer="0" w:header="0"/>
          <w:type w:val="continuous"/>
        </w:sectPr>
      </w:pPr>
    </w:p>
    <w:p>
      <w:pPr>
        <w:spacing w:after="0" w:line="13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18. What if I have additional questions that are not addressed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90054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6900545" cy="254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or require any assistance regarding our Annual Meeting,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243840</wp:posOffset>
            </wp:positionV>
            <wp:extent cx="2023110" cy="50609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20231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Innisfree M&amp;A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Shareholders may call toll-free +1 (877) 750-8312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Banks and Brokers may call collect +1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1019810" cy="1282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1019810" cy="12827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2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r>
        <w:trPr>
          <w:trHeight w:val="407"/>
        </w:trPr>
        <w:tc>
          <w:tcPr>
            <w:tcW w:w="10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60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00" w:right="720" w:hanging="2789"/>
        <w:spacing w:after="0" w:line="262" w:lineRule="auto"/>
        <w:rPr>
          <w:sz w:val="20"/>
          <w:szCs w:val="20"/>
          <w:color w:val="auto"/>
        </w:rPr>
      </w:pPr>
      <w:r>
        <w:rPr>
          <w:rFonts w:ascii="Arial" w:cs="Arial" w:eastAsia="Arial" w:hAnsi="Arial"/>
          <w:sz w:val="40"/>
          <w:szCs w:val="40"/>
          <w:b w:val="1"/>
          <w:bCs w:val="1"/>
          <w:color w:val="1E295B"/>
        </w:rPr>
        <w:t>APPENDIX A: RECONCILIATION OF GAAP AND NON-GAAP FINANCIAL MEASURES</w:t>
      </w:r>
    </w:p>
    <w:p>
      <w:pPr>
        <w:spacing w:after="0" w:line="1" w:lineRule="exact"/>
        <w:rPr>
          <w:sz w:val="20"/>
          <w:szCs w:val="20"/>
          <w:color w:val="auto"/>
        </w:rPr>
      </w:pPr>
    </w:p>
    <w:p>
      <w:pPr>
        <w:spacing w:after="0"/>
        <w:rPr>
          <w:sz w:val="20"/>
          <w:szCs w:val="20"/>
          <w:color w:val="auto"/>
        </w:rPr>
      </w:pPr>
      <w:r>
        <w:rPr>
          <w:rFonts w:ascii="Arial" w:cs="Arial" w:eastAsia="Arial" w:hAnsi="Arial"/>
          <w:sz w:val="32"/>
          <w:szCs w:val="32"/>
          <w:b w:val="1"/>
          <w:bCs w:val="1"/>
          <w:color w:val="67686B"/>
        </w:rPr>
        <w:t>Incentive Adjusted ROIC and Incentive Adjusted EBIT</w:t>
      </w:r>
    </w:p>
    <w:p>
      <w:pPr>
        <w:spacing w:after="0" w:line="13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believe that Incentive Adjusted ROIC is a useful financial measure for investors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Beginning in 2019, income statement activity for adjusted net operating profit and balance sheet amounts for average invested capital are measured under the Lease Standard and the 2018 amounts disclosed are under the previous lease standard. Under the previous lease standard, we estimated the value of our operating leases as if they met the criteria for capital leases or we had purchased the properties. This provided additional supplemental information that estimated the investment in our operating leases. Estimated depreciation on capitalized operating leases and average estimated asset base of capitalized operating leases are not calculated in accordance with, nor an alternative for, GAAP and should not be considered in isolation or as a substitute for our results as reported under GAAP.</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Incentive Adjusted ROIC as our adjusted net operating profit after tax divided by our average invested capital. Incentive Adjusted EBIT represents net earnings before income tax expense, interest expense and interest income, and contemplates non-operating related adjustments. These metrics are not measures of financial performance under GAAP and should be considered in addition to, and not as a substitute for, return on assets, net earnings, total assets or other GAAP financial measures. Our method of calculating a non-GAAP financial measure may differ from other companies’ methods and therefore may not be comparable to those used by other companies. The financial measures calculated under GAAP which are most directly comparable to Incentive Adjusted EBIT and Incentive Adjusted ROIC are net earnings and return on assets. The following shows the components to reconcile the return on assets calculation to Incentive Adjusted ROIC: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8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12 Fiscal Months Ended</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February 2,</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February 1,</w:t>
            </w:r>
          </w:p>
        </w:tc>
        <w:tc>
          <w:tcPr>
            <w:tcW w:w="2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January 30,</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January 29,</w:t>
            </w:r>
          </w:p>
        </w:tc>
        <w:tc>
          <w:tcPr>
            <w:tcW w:w="2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January 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millions)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5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DCDDDE"/>
            </w:tcBorders>
            <w:shd w:val="clear" w:color="auto" w:fill="DCDDDE"/>
          </w:tcPr>
          <w:p>
            <w:pPr>
              <w:jc w:val="right"/>
              <w:ind w:right="139"/>
              <w:spacing w:after="0"/>
              <w:rPr>
                <w:sz w:val="20"/>
                <w:szCs w:val="20"/>
                <w:color w:val="auto"/>
              </w:rPr>
            </w:pPr>
            <w:r>
              <w:rPr>
                <w:rFonts w:ascii="Arial" w:cs="Arial" w:eastAsia="Arial" w:hAnsi="Arial"/>
                <w:sz w:val="16"/>
                <w:szCs w:val="16"/>
                <w:color w:val="auto"/>
              </w:rPr>
              <w:t>564</w:t>
            </w:r>
          </w:p>
        </w:tc>
        <w:tc>
          <w:tcPr>
            <w:tcW w:w="1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496</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(690)</w:t>
            </w:r>
          </w:p>
        </w:tc>
        <w:tc>
          <w:tcPr>
            <w:tcW w:w="1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178</w:t>
            </w:r>
          </w:p>
        </w:tc>
        <w:tc>
          <w:tcPr>
            <w:tcW w:w="2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b w:val="1"/>
                <w:bCs w:val="1"/>
                <w:color w:val="auto"/>
              </w:rPr>
              <w:t>245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6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169</w:t>
            </w:r>
          </w:p>
        </w:tc>
        <w:tc>
          <w:tcPr>
            <w:tcW w:w="16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rPr>
                <w:sz w:val="22"/>
                <w:szCs w:val="22"/>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(538)</w:t>
            </w:r>
          </w:p>
        </w:tc>
        <w:tc>
          <w:tcPr>
            <w:tcW w:w="16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DCDDDE"/>
            </w:tcBorders>
            <w:shd w:val="clear" w:color="auto" w:fill="DCDDDE"/>
          </w:tcPr>
          <w:p>
            <w:pPr>
              <w:spacing w:after="0"/>
              <w:rPr>
                <w:sz w:val="23"/>
                <w:szCs w:val="23"/>
                <w:color w:val="auto"/>
              </w:rPr>
            </w:pPr>
          </w:p>
        </w:tc>
        <w:tc>
          <w:tcPr>
            <w:tcW w:w="960" w:type="dxa"/>
            <w:vAlign w:val="bottom"/>
            <w:tcBorders>
              <w:bottom w:val="single" w:sz="8" w:color="DCDDDE"/>
            </w:tcBorders>
            <w:shd w:val="clear" w:color="auto" w:fill="DCDDDE"/>
          </w:tcPr>
          <w:p>
            <w:pPr>
              <w:jc w:val="right"/>
              <w:ind w:right="139"/>
              <w:spacing w:after="0"/>
              <w:rPr>
                <w:sz w:val="20"/>
                <w:szCs w:val="20"/>
                <w:color w:val="auto"/>
              </w:rPr>
            </w:pPr>
            <w:r>
              <w:rPr>
                <w:rFonts w:ascii="Arial" w:cs="Arial" w:eastAsia="Arial" w:hAnsi="Arial"/>
                <w:sz w:val="16"/>
                <w:szCs w:val="16"/>
                <w:color w:val="auto"/>
              </w:rPr>
              <w:t>104</w:t>
            </w:r>
          </w:p>
        </w:tc>
        <w:tc>
          <w:tcPr>
            <w:tcW w:w="160" w:type="dxa"/>
            <w:vAlign w:val="bottom"/>
            <w:tcBorders>
              <w:bottom w:val="single" w:sz="8" w:color="DCDDDE"/>
            </w:tcBorders>
            <w:shd w:val="clear" w:color="auto" w:fill="DCDDDE"/>
          </w:tcPr>
          <w:p>
            <w:pPr>
              <w:spacing w:after="0"/>
              <w:rPr>
                <w:sz w:val="23"/>
                <w:szCs w:val="23"/>
                <w:color w:val="auto"/>
              </w:rPr>
            </w:pP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DCDDDE"/>
            </w:tcBorders>
            <w:shd w:val="clear" w:color="auto" w:fill="DCDDDE"/>
          </w:tcPr>
          <w:p>
            <w:pPr>
              <w:spacing w:after="0"/>
              <w:rPr>
                <w:sz w:val="23"/>
                <w:szCs w:val="23"/>
                <w:color w:val="auto"/>
              </w:rPr>
            </w:pPr>
          </w:p>
        </w:tc>
        <w:tc>
          <w:tcPr>
            <w:tcW w:w="100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181</w:t>
            </w:r>
          </w:p>
        </w:tc>
        <w:tc>
          <w:tcPr>
            <w:tcW w:w="160" w:type="dxa"/>
            <w:vAlign w:val="bottom"/>
            <w:tcBorders>
              <w:bottom w:val="single" w:sz="8" w:color="DCDDDE"/>
            </w:tcBorders>
            <w:shd w:val="clear" w:color="auto" w:fill="DCDDDE"/>
          </w:tcPr>
          <w:p>
            <w:pPr>
              <w:spacing w:after="0"/>
              <w:rPr>
                <w:sz w:val="23"/>
                <w:szCs w:val="23"/>
                <w:color w:val="auto"/>
              </w:rPr>
            </w:pP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246</w:t>
            </w:r>
          </w:p>
        </w:tc>
        <w:tc>
          <w:tcPr>
            <w:tcW w:w="240" w:type="dxa"/>
            <w:vAlign w:val="bottom"/>
            <w:tcBorders>
              <w:bottom w:val="single" w:sz="8" w:color="DCDDDE"/>
            </w:tcBorders>
            <w:shd w:val="clear" w:color="auto" w:fill="DCDDDE"/>
          </w:tcPr>
          <w:p>
            <w:pPr>
              <w:spacing w:after="0"/>
              <w:rPr>
                <w:sz w:val="23"/>
                <w:szCs w:val="23"/>
                <w:color w:val="auto"/>
              </w:rPr>
            </w:pPr>
          </w:p>
        </w:tc>
        <w:tc>
          <w:tcPr>
            <w:tcW w:w="100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b w:val="1"/>
                <w:bCs w:val="1"/>
                <w:color w:val="auto"/>
              </w:rPr>
              <w:t>128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10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EBIT</w:t>
            </w: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837</w:t>
            </w: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784</w:t>
            </w: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(1,047)</w:t>
            </w: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492</w:t>
            </w: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Non-operating related adjustments</w:t>
            </w:r>
          </w:p>
        </w:tc>
        <w:tc>
          <w:tcPr>
            <w:tcW w:w="140" w:type="dxa"/>
            <w:vAlign w:val="bottom"/>
            <w:tcBorders>
              <w:bottom w:val="single" w:sz="8" w:color="DCDDDE"/>
            </w:tcBorders>
            <w:shd w:val="clear" w:color="auto" w:fill="DCDDDE"/>
          </w:tcPr>
          <w:p>
            <w:pPr>
              <w:spacing w:after="0"/>
              <w:rPr>
                <w:sz w:val="22"/>
                <w:szCs w:val="22"/>
                <w:color w:val="auto"/>
              </w:rPr>
            </w:pPr>
          </w:p>
        </w:tc>
        <w:tc>
          <w:tcPr>
            <w:tcW w:w="960" w:type="dxa"/>
            <w:vAlign w:val="bottom"/>
            <w:tcBorders>
              <w:bottom w:val="single" w:sz="8" w:color="DCDDDE"/>
            </w:tcBorders>
            <w:shd w:val="clear" w:color="auto" w:fill="DCDDDE"/>
          </w:tcPr>
          <w:p>
            <w:pPr>
              <w:jc w:val="right"/>
              <w:ind w:right="139"/>
              <w:spacing w:after="0"/>
              <w:rPr>
                <w:sz w:val="20"/>
                <w:szCs w:val="20"/>
                <w:color w:val="auto"/>
              </w:rPr>
            </w:pPr>
            <w:r>
              <w:rPr>
                <w:rFonts w:ascii="Arial" w:cs="Arial" w:eastAsia="Arial" w:hAnsi="Arial"/>
                <w:sz w:val="16"/>
                <w:szCs w:val="16"/>
                <w:color w:val="auto"/>
              </w:rPr>
              <w:t>72</w:t>
            </w:r>
          </w:p>
        </w:tc>
        <w:tc>
          <w:tcPr>
            <w:tcW w:w="160" w:type="dxa"/>
            <w:vAlign w:val="bottom"/>
            <w:tcBorders>
              <w:bottom w:val="single" w:sz="8" w:color="DCDDDE"/>
            </w:tcBorders>
            <w:shd w:val="clear" w:color="auto" w:fill="DCDDDE"/>
          </w:tcPr>
          <w:p>
            <w:pPr>
              <w:spacing w:after="0"/>
              <w:rPr>
                <w:sz w:val="22"/>
                <w:szCs w:val="22"/>
                <w:color w:val="auto"/>
              </w:rPr>
            </w:pP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DCDDDE"/>
            </w:tcBorders>
            <w:shd w:val="clear" w:color="auto" w:fill="DCDDDE"/>
          </w:tcPr>
          <w:p>
            <w:pPr>
              <w:spacing w:after="0"/>
              <w:rPr>
                <w:sz w:val="22"/>
                <w:szCs w:val="22"/>
                <w:color w:val="auto"/>
              </w:rPr>
            </w:pPr>
          </w:p>
        </w:tc>
        <w:tc>
          <w:tcPr>
            <w:tcW w:w="100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CDDDE"/>
            </w:tcBorders>
            <w:shd w:val="clear" w:color="auto" w:fill="DCDDDE"/>
          </w:tcPr>
          <w:p>
            <w:pPr>
              <w:spacing w:after="0"/>
              <w:rPr>
                <w:sz w:val="22"/>
                <w:szCs w:val="22"/>
                <w:color w:val="auto"/>
              </w:rPr>
            </w:pPr>
          </w:p>
        </w:tc>
        <w:tc>
          <w:tcPr>
            <w:tcW w:w="96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DCDDDE"/>
            </w:tcBorders>
            <w:shd w:val="clear" w:color="auto" w:fill="DCDDDE"/>
          </w:tcPr>
          <w:p>
            <w:pPr>
              <w:spacing w:after="0"/>
              <w:rPr>
                <w:sz w:val="22"/>
                <w:szCs w:val="22"/>
                <w:color w:val="auto"/>
              </w:rPr>
            </w:pPr>
          </w:p>
        </w:tc>
        <w:tc>
          <w:tcPr>
            <w:tcW w:w="100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b w:val="1"/>
                <w:bCs w:val="1"/>
                <w:color w:val="auto"/>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6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2"/>
                <w:szCs w:val="22"/>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100" w:type="dxa"/>
            <w:vAlign w:val="bottom"/>
            <w:shd w:val="clear" w:color="auto" w:fill="DCDDDE"/>
          </w:tcPr>
          <w:p>
            <w:pPr>
              <w:ind w:left="60"/>
              <w:spacing w:after="0"/>
              <w:rPr>
                <w:sz w:val="20"/>
                <w:szCs w:val="20"/>
                <w:color w:val="auto"/>
              </w:rPr>
            </w:pPr>
            <w:r>
              <w:rPr>
                <w:rFonts w:ascii="Arial" w:cs="Arial" w:eastAsia="Arial" w:hAnsi="Arial"/>
                <w:sz w:val="16"/>
                <w:szCs w:val="16"/>
                <w:color w:val="auto"/>
              </w:rPr>
              <w:t>Operating lease interest</w:t>
            </w:r>
            <w:r>
              <w:rPr>
                <w:rFonts w:ascii="Arial" w:cs="Arial" w:eastAsia="Arial" w:hAnsi="Arial"/>
                <w:sz w:val="18"/>
                <w:szCs w:val="18"/>
                <w:color w:val="auto"/>
                <w:vertAlign w:val="superscript"/>
              </w:rPr>
              <w:t>(a)</w:t>
            </w:r>
          </w:p>
        </w:tc>
        <w:tc>
          <w:tcPr>
            <w:tcW w:w="140" w:type="dxa"/>
            <w:vAlign w:val="bottom"/>
            <w:shd w:val="clear" w:color="auto" w:fill="DCDDDE"/>
          </w:tcPr>
          <w:p>
            <w:pPr>
              <w:spacing w:after="0"/>
              <w:rPr>
                <w:sz w:val="24"/>
                <w:szCs w:val="24"/>
                <w:color w:val="auto"/>
              </w:rPr>
            </w:pPr>
          </w:p>
        </w:tc>
        <w:tc>
          <w:tcPr>
            <w:tcW w:w="960" w:type="dxa"/>
            <w:vAlign w:val="bottom"/>
            <w:shd w:val="clear" w:color="auto" w:fill="DCDDDE"/>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DCDDDE"/>
          </w:tcPr>
          <w:p>
            <w:pPr>
              <w:spacing w:after="0"/>
              <w:rPr>
                <w:sz w:val="24"/>
                <w:szCs w:val="24"/>
                <w:color w:val="auto"/>
              </w:rPr>
            </w:pPr>
          </w:p>
        </w:tc>
        <w:tc>
          <w:tcPr>
            <w:tcW w:w="96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101</w:t>
            </w:r>
          </w:p>
        </w:tc>
        <w:tc>
          <w:tcPr>
            <w:tcW w:w="200" w:type="dxa"/>
            <w:vAlign w:val="bottom"/>
            <w:shd w:val="clear" w:color="auto" w:fill="DCDDDE"/>
          </w:tcPr>
          <w:p>
            <w:pPr>
              <w:spacing w:after="0"/>
              <w:rPr>
                <w:sz w:val="24"/>
                <w:szCs w:val="24"/>
                <w:color w:val="auto"/>
              </w:rPr>
            </w:pPr>
          </w:p>
        </w:tc>
        <w:tc>
          <w:tcPr>
            <w:tcW w:w="1000" w:type="dxa"/>
            <w:vAlign w:val="bottom"/>
            <w:shd w:val="clear" w:color="auto" w:fill="DCDDDE"/>
          </w:tcPr>
          <w:p>
            <w:pPr>
              <w:jc w:val="right"/>
              <w:ind w:right="179"/>
              <w:spacing w:after="0"/>
              <w:rPr>
                <w:sz w:val="20"/>
                <w:szCs w:val="20"/>
                <w:color w:val="auto"/>
              </w:rPr>
            </w:pPr>
            <w:r>
              <w:rPr>
                <w:rFonts w:ascii="Arial" w:cs="Arial" w:eastAsia="Arial" w:hAnsi="Arial"/>
                <w:sz w:val="16"/>
                <w:szCs w:val="16"/>
                <w:color w:val="auto"/>
              </w:rPr>
              <w:t>95</w:t>
            </w:r>
          </w:p>
        </w:tc>
        <w:tc>
          <w:tcPr>
            <w:tcW w:w="160" w:type="dxa"/>
            <w:vAlign w:val="bottom"/>
            <w:shd w:val="clear" w:color="auto" w:fill="DCDDDE"/>
          </w:tcPr>
          <w:p>
            <w:pPr>
              <w:spacing w:after="0"/>
              <w:rPr>
                <w:sz w:val="24"/>
                <w:szCs w:val="24"/>
                <w:color w:val="auto"/>
              </w:rPr>
            </w:pPr>
          </w:p>
        </w:tc>
        <w:tc>
          <w:tcPr>
            <w:tcW w:w="960" w:type="dxa"/>
            <w:vAlign w:val="bottom"/>
            <w:shd w:val="clear" w:color="auto" w:fill="DCDDDE"/>
          </w:tcPr>
          <w:p>
            <w:pPr>
              <w:jc w:val="right"/>
              <w:ind w:right="119"/>
              <w:spacing w:after="0"/>
              <w:rPr>
                <w:sz w:val="20"/>
                <w:szCs w:val="20"/>
                <w:color w:val="auto"/>
              </w:rPr>
            </w:pPr>
            <w:r>
              <w:rPr>
                <w:rFonts w:ascii="Arial" w:cs="Arial" w:eastAsia="Arial" w:hAnsi="Arial"/>
                <w:sz w:val="16"/>
                <w:szCs w:val="16"/>
                <w:color w:val="auto"/>
              </w:rPr>
              <w:t>87</w:t>
            </w:r>
          </w:p>
        </w:tc>
        <w:tc>
          <w:tcPr>
            <w:tcW w:w="240" w:type="dxa"/>
            <w:vAlign w:val="bottom"/>
            <w:shd w:val="clear" w:color="auto" w:fill="DCDDDE"/>
          </w:tcPr>
          <w:p>
            <w:pPr>
              <w:spacing w:after="0"/>
              <w:rPr>
                <w:sz w:val="24"/>
                <w:szCs w:val="24"/>
                <w:color w:val="auto"/>
              </w:rPr>
            </w:pPr>
          </w:p>
        </w:tc>
        <w:tc>
          <w:tcPr>
            <w:tcW w:w="1000" w:type="dxa"/>
            <w:vAlign w:val="bottom"/>
            <w:shd w:val="clear" w:color="auto" w:fill="DCDDDE"/>
          </w:tcPr>
          <w:p>
            <w:pPr>
              <w:jc w:val="right"/>
              <w:ind w:right="79"/>
              <w:spacing w:after="0"/>
              <w:rPr>
                <w:sz w:val="20"/>
                <w:szCs w:val="20"/>
                <w:color w:val="auto"/>
              </w:rPr>
            </w:pPr>
            <w:r>
              <w:rPr>
                <w:rFonts w:ascii="Arial" w:cs="Arial" w:eastAsia="Arial" w:hAnsi="Arial"/>
                <w:sz w:val="16"/>
                <w:szCs w:val="16"/>
                <w:b w:val="1"/>
                <w:bCs w:val="1"/>
                <w:color w:val="auto"/>
              </w:rPr>
              <w:t>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60"/>
              <w:spacing w:after="0"/>
              <w:rPr>
                <w:sz w:val="20"/>
                <w:szCs w:val="20"/>
                <w:color w:val="auto"/>
              </w:rPr>
            </w:pPr>
            <w:r>
              <w:rPr>
                <w:rFonts w:ascii="Arial" w:cs="Arial" w:eastAsia="Arial" w:hAnsi="Arial"/>
                <w:sz w:val="16"/>
                <w:szCs w:val="16"/>
                <w:color w:val="auto"/>
              </w:rPr>
              <w:t>Rent expense, net</w:t>
            </w:r>
          </w:p>
        </w:tc>
        <w:tc>
          <w:tcPr>
            <w:tcW w:w="14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Estimated depreciation on capitalized operating leases</w:t>
            </w:r>
            <w:r>
              <w:rPr>
                <w:rFonts w:ascii="Arial" w:cs="Arial" w:eastAsia="Arial" w:hAnsi="Arial"/>
                <w:sz w:val="18"/>
                <w:szCs w:val="18"/>
                <w:color w:val="auto"/>
                <w:vertAlign w:val="superscript"/>
              </w:rPr>
              <w:t>(b)</w:t>
            </w:r>
          </w:p>
        </w:tc>
        <w:tc>
          <w:tcPr>
            <w:tcW w:w="140" w:type="dxa"/>
            <w:vAlign w:val="bottom"/>
            <w:tcBorders>
              <w:bottom w:val="single" w:sz="8" w:color="auto"/>
            </w:tcBorders>
            <w:shd w:val="clear" w:color="auto" w:fill="DCDDDE"/>
          </w:tcPr>
          <w:p>
            <w:pPr>
              <w:spacing w:after="0"/>
              <w:rPr>
                <w:sz w:val="23"/>
                <w:szCs w:val="23"/>
                <w:color w:val="auto"/>
              </w:rPr>
            </w:pPr>
          </w:p>
        </w:tc>
        <w:tc>
          <w:tcPr>
            <w:tcW w:w="96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(134)</w:t>
            </w:r>
          </w:p>
        </w:tc>
        <w:tc>
          <w:tcPr>
            <w:tcW w:w="160" w:type="dxa"/>
            <w:vAlign w:val="bottom"/>
            <w:tcBorders>
              <w:bottom w:val="single" w:sz="8" w:color="auto"/>
            </w:tcBorders>
            <w:shd w:val="clear" w:color="auto" w:fill="DCDDDE"/>
          </w:tcPr>
          <w:p>
            <w:pPr>
              <w:spacing w:after="0"/>
              <w:rPr>
                <w:sz w:val="23"/>
                <w:szCs w:val="23"/>
                <w:color w:val="auto"/>
              </w:rPr>
            </w:pPr>
          </w:p>
        </w:tc>
        <w:tc>
          <w:tcPr>
            <w:tcW w:w="960" w:type="dxa"/>
            <w:vAlign w:val="bottom"/>
            <w:tcBorders>
              <w:bottom w:val="single" w:sz="8" w:color="auto"/>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CDDDE"/>
          </w:tcPr>
          <w:p>
            <w:pPr>
              <w:spacing w:after="0"/>
              <w:rPr>
                <w:sz w:val="23"/>
                <w:szCs w:val="23"/>
                <w:color w:val="auto"/>
              </w:rPr>
            </w:pPr>
          </w:p>
        </w:tc>
        <w:tc>
          <w:tcPr>
            <w:tcW w:w="1000" w:type="dxa"/>
            <w:vAlign w:val="bottom"/>
            <w:tcBorders>
              <w:bottom w:val="single" w:sz="8" w:color="auto"/>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DCDDDE"/>
          </w:tcPr>
          <w:p>
            <w:pPr>
              <w:spacing w:after="0"/>
              <w:rPr>
                <w:sz w:val="23"/>
                <w:szCs w:val="23"/>
                <w:color w:val="auto"/>
              </w:rPr>
            </w:pPr>
          </w:p>
        </w:tc>
        <w:tc>
          <w:tcPr>
            <w:tcW w:w="960" w:type="dxa"/>
            <w:vAlign w:val="bottom"/>
            <w:tcBorders>
              <w:bottom w:val="single" w:sz="8" w:color="auto"/>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CDDDE"/>
          </w:tcPr>
          <w:p>
            <w:pPr>
              <w:spacing w:after="0"/>
              <w:rPr>
                <w:sz w:val="23"/>
                <w:szCs w:val="23"/>
                <w:color w:val="auto"/>
              </w:rPr>
            </w:pPr>
          </w:p>
        </w:tc>
        <w:tc>
          <w:tcPr>
            <w:tcW w:w="100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100" w:type="dxa"/>
            <w:vAlign w:val="bottom"/>
          </w:tcPr>
          <w:p>
            <w:pPr>
              <w:ind w:left="60"/>
              <w:spacing w:after="0"/>
              <w:rPr>
                <w:sz w:val="20"/>
                <w:szCs w:val="20"/>
                <w:color w:val="auto"/>
              </w:rPr>
            </w:pPr>
            <w:r>
              <w:rPr>
                <w:rFonts w:ascii="Arial" w:cs="Arial" w:eastAsia="Arial" w:hAnsi="Arial"/>
                <w:sz w:val="16"/>
                <w:szCs w:val="16"/>
                <w:color w:val="auto"/>
              </w:rPr>
              <w:t>Adjusted net operating profit (loss)</w:t>
            </w:r>
          </w:p>
        </w:tc>
        <w:tc>
          <w:tcPr>
            <w:tcW w:w="14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1,041</w:t>
            </w:r>
          </w:p>
        </w:tc>
        <w:tc>
          <w:tcPr>
            <w:tcW w:w="16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919</w:t>
            </w:r>
          </w:p>
        </w:tc>
        <w:tc>
          <w:tcPr>
            <w:tcW w:w="200" w:type="dxa"/>
            <w:vAlign w:val="bottom"/>
          </w:tcPr>
          <w:p>
            <w:pPr>
              <w:spacing w:after="0"/>
              <w:rPr>
                <w:sz w:val="22"/>
                <w:szCs w:val="22"/>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(949)</w:t>
            </w:r>
          </w:p>
        </w:tc>
        <w:tc>
          <w:tcPr>
            <w:tcW w:w="16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548</w:t>
            </w:r>
          </w:p>
        </w:tc>
        <w:tc>
          <w:tcPr>
            <w:tcW w:w="24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Estimated income tax (expense) benefit</w:t>
            </w:r>
            <w:r>
              <w:rPr>
                <w:rFonts w:ascii="Arial" w:cs="Arial" w:eastAsia="Arial" w:hAnsi="Arial"/>
                <w:sz w:val="18"/>
                <w:szCs w:val="18"/>
                <w:color w:val="auto"/>
                <w:vertAlign w:val="superscript"/>
              </w:rPr>
              <w:t>(c)</w:t>
            </w:r>
          </w:p>
        </w:tc>
        <w:tc>
          <w:tcPr>
            <w:tcW w:w="140" w:type="dxa"/>
            <w:vAlign w:val="bottom"/>
            <w:tcBorders>
              <w:bottom w:val="single" w:sz="8" w:color="auto"/>
            </w:tcBorders>
            <w:shd w:val="clear" w:color="auto" w:fill="DCDDDE"/>
          </w:tcPr>
          <w:p>
            <w:pPr>
              <w:spacing w:after="0"/>
              <w:rPr>
                <w:sz w:val="23"/>
                <w:szCs w:val="23"/>
                <w:color w:val="auto"/>
              </w:rPr>
            </w:pPr>
          </w:p>
        </w:tc>
        <w:tc>
          <w:tcPr>
            <w:tcW w:w="96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(248)</w:t>
            </w:r>
          </w:p>
        </w:tc>
        <w:tc>
          <w:tcPr>
            <w:tcW w:w="160" w:type="dxa"/>
            <w:vAlign w:val="bottom"/>
            <w:tcBorders>
              <w:bottom w:val="single" w:sz="8" w:color="auto"/>
            </w:tcBorders>
            <w:shd w:val="clear" w:color="auto" w:fill="DCDDDE"/>
          </w:tcPr>
          <w:p>
            <w:pPr>
              <w:spacing w:after="0"/>
              <w:rPr>
                <w:sz w:val="23"/>
                <w:szCs w:val="23"/>
                <w:color w:val="auto"/>
              </w:rPr>
            </w:pPr>
          </w:p>
        </w:tc>
        <w:tc>
          <w:tcPr>
            <w:tcW w:w="960" w:type="dxa"/>
            <w:vAlign w:val="bottom"/>
            <w:tcBorders>
              <w:bottom w:val="single" w:sz="8" w:color="auto"/>
            </w:tcBorders>
            <w:shd w:val="clear" w:color="auto" w:fill="DCDDDE"/>
          </w:tcPr>
          <w:p>
            <w:pPr>
              <w:jc w:val="right"/>
              <w:ind w:right="59"/>
              <w:spacing w:after="0"/>
              <w:rPr>
                <w:sz w:val="20"/>
                <w:szCs w:val="20"/>
                <w:color w:val="auto"/>
              </w:rPr>
            </w:pPr>
            <w:r>
              <w:rPr>
                <w:rFonts w:ascii="Arial" w:cs="Arial" w:eastAsia="Arial" w:hAnsi="Arial"/>
                <w:sz w:val="16"/>
                <w:szCs w:val="16"/>
                <w:color w:val="auto"/>
              </w:rPr>
              <w:t>(244)</w:t>
            </w:r>
          </w:p>
        </w:tc>
        <w:tc>
          <w:tcPr>
            <w:tcW w:w="200" w:type="dxa"/>
            <w:vAlign w:val="bottom"/>
            <w:tcBorders>
              <w:bottom w:val="single" w:sz="8" w:color="auto"/>
            </w:tcBorders>
            <w:shd w:val="clear" w:color="auto" w:fill="DCDDDE"/>
          </w:tcPr>
          <w:p>
            <w:pPr>
              <w:spacing w:after="0"/>
              <w:rPr>
                <w:sz w:val="23"/>
                <w:szCs w:val="23"/>
                <w:color w:val="auto"/>
              </w:rPr>
            </w:pPr>
          </w:p>
        </w:tc>
        <w:tc>
          <w:tcPr>
            <w:tcW w:w="1000" w:type="dxa"/>
            <w:vAlign w:val="bottom"/>
            <w:tcBorders>
              <w:bottom w:val="single" w:sz="8" w:color="auto"/>
            </w:tcBorders>
            <w:shd w:val="clear" w:color="auto" w:fill="DCDDDE"/>
          </w:tcPr>
          <w:p>
            <w:pPr>
              <w:jc w:val="right"/>
              <w:ind w:right="179"/>
              <w:spacing w:after="0"/>
              <w:rPr>
                <w:sz w:val="20"/>
                <w:szCs w:val="20"/>
                <w:color w:val="auto"/>
              </w:rPr>
            </w:pPr>
            <w:r>
              <w:rPr>
                <w:rFonts w:ascii="Arial" w:cs="Arial" w:eastAsia="Arial" w:hAnsi="Arial"/>
                <w:sz w:val="16"/>
                <w:szCs w:val="16"/>
                <w:color w:val="auto"/>
              </w:rPr>
              <w:t>416</w:t>
            </w:r>
          </w:p>
        </w:tc>
        <w:tc>
          <w:tcPr>
            <w:tcW w:w="160" w:type="dxa"/>
            <w:vAlign w:val="bottom"/>
            <w:tcBorders>
              <w:bottom w:val="single" w:sz="8" w:color="auto"/>
            </w:tcBorders>
            <w:shd w:val="clear" w:color="auto" w:fill="DCDDDE"/>
          </w:tcPr>
          <w:p>
            <w:pPr>
              <w:spacing w:after="0"/>
              <w:rPr>
                <w:sz w:val="23"/>
                <w:szCs w:val="23"/>
                <w:color w:val="auto"/>
              </w:rPr>
            </w:pPr>
          </w:p>
        </w:tc>
        <w:tc>
          <w:tcPr>
            <w:tcW w:w="960" w:type="dxa"/>
            <w:vAlign w:val="bottom"/>
            <w:tcBorders>
              <w:bottom w:val="single" w:sz="8" w:color="auto"/>
            </w:tcBorders>
            <w:shd w:val="clear" w:color="auto" w:fill="DCDDDE"/>
          </w:tcPr>
          <w:p>
            <w:pPr>
              <w:jc w:val="right"/>
              <w:ind w:right="59"/>
              <w:spacing w:after="0"/>
              <w:rPr>
                <w:sz w:val="20"/>
                <w:szCs w:val="20"/>
                <w:color w:val="auto"/>
              </w:rPr>
            </w:pPr>
            <w:r>
              <w:rPr>
                <w:rFonts w:ascii="Arial" w:cs="Arial" w:eastAsia="Arial" w:hAnsi="Arial"/>
                <w:sz w:val="16"/>
                <w:szCs w:val="16"/>
                <w:color w:val="auto"/>
              </w:rPr>
              <w:t>(150)</w:t>
            </w:r>
          </w:p>
        </w:tc>
        <w:tc>
          <w:tcPr>
            <w:tcW w:w="240" w:type="dxa"/>
            <w:vAlign w:val="bottom"/>
            <w:tcBorders>
              <w:bottom w:val="single" w:sz="8" w:color="auto"/>
            </w:tcBorders>
            <w:shd w:val="clear" w:color="auto" w:fill="DCDDDE"/>
          </w:tcPr>
          <w:p>
            <w:pPr>
              <w:spacing w:after="0"/>
              <w:rPr>
                <w:sz w:val="23"/>
                <w:szCs w:val="23"/>
                <w:color w:val="auto"/>
              </w:rPr>
            </w:pPr>
          </w:p>
        </w:tc>
        <w:tc>
          <w:tcPr>
            <w:tcW w:w="100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b w:val="1"/>
                <w:bCs w:val="1"/>
                <w:color w:val="auto"/>
              </w:rPr>
              <w:t>(162)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60"/>
              <w:spacing w:after="0"/>
              <w:rPr>
                <w:sz w:val="20"/>
                <w:szCs w:val="20"/>
                <w:color w:val="auto"/>
              </w:rPr>
            </w:pPr>
            <w:r>
              <w:rPr>
                <w:rFonts w:ascii="Arial" w:cs="Arial" w:eastAsia="Arial" w:hAnsi="Arial"/>
                <w:sz w:val="16"/>
                <w:szCs w:val="16"/>
                <w:b w:val="1"/>
                <w:bCs w:val="1"/>
                <w:color w:val="auto"/>
              </w:rPr>
              <w:t>Adjusted net operating profit (loss) after tax</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(533)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398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Average total assets</w:t>
            </w: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DCDDDE"/>
            </w:tcBorders>
            <w:shd w:val="clear" w:color="auto" w:fill="DCDDDE"/>
          </w:tcPr>
          <w:p>
            <w:pPr>
              <w:jc w:val="right"/>
              <w:ind w:right="139"/>
              <w:spacing w:after="0"/>
              <w:rPr>
                <w:sz w:val="20"/>
                <w:szCs w:val="20"/>
                <w:color w:val="auto"/>
              </w:rPr>
            </w:pPr>
            <w:r>
              <w:rPr>
                <w:rFonts w:ascii="Arial" w:cs="Arial" w:eastAsia="Arial" w:hAnsi="Arial"/>
                <w:sz w:val="16"/>
                <w:szCs w:val="16"/>
                <w:color w:val="auto"/>
              </w:rPr>
              <w:t>8,282</w:t>
            </w:r>
          </w:p>
        </w:tc>
        <w:tc>
          <w:tcPr>
            <w:tcW w:w="1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9,765</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9,718</w:t>
            </w:r>
          </w:p>
        </w:tc>
        <w:tc>
          <w:tcPr>
            <w:tcW w:w="1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9,301</w:t>
            </w:r>
          </w:p>
        </w:tc>
        <w:tc>
          <w:tcPr>
            <w:tcW w:w="2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b w:val="1"/>
                <w:bCs w:val="1"/>
                <w:color w:val="auto"/>
              </w:rPr>
              <w:t>9,069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100" w:type="dxa"/>
            <w:vAlign w:val="bottom"/>
          </w:tcPr>
          <w:p>
            <w:pPr>
              <w:ind w:left="60"/>
              <w:spacing w:after="0"/>
              <w:rPr>
                <w:sz w:val="20"/>
                <w:szCs w:val="20"/>
                <w:color w:val="auto"/>
              </w:rPr>
            </w:pPr>
            <w:r>
              <w:rPr>
                <w:rFonts w:ascii="Arial" w:cs="Arial" w:eastAsia="Arial" w:hAnsi="Arial"/>
                <w:sz w:val="16"/>
                <w:szCs w:val="16"/>
                <w:color w:val="auto"/>
              </w:rPr>
              <w:t>Average estimated asset base of capitalized operating leases</w:t>
            </w:r>
            <w:r>
              <w:rPr>
                <w:rFonts w:ascii="Arial" w:cs="Arial" w:eastAsia="Arial" w:hAnsi="Arial"/>
                <w:sz w:val="18"/>
                <w:szCs w:val="18"/>
                <w:color w:val="auto"/>
                <w:vertAlign w:val="superscript"/>
              </w:rPr>
              <w:t>(b)</w:t>
            </w:r>
          </w:p>
        </w:tc>
        <w:tc>
          <w:tcPr>
            <w:tcW w:w="140" w:type="dxa"/>
            <w:vAlign w:val="bottom"/>
          </w:tcPr>
          <w:p>
            <w:pPr>
              <w:spacing w:after="0"/>
              <w:rPr>
                <w:sz w:val="24"/>
                <w:szCs w:val="24"/>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24"/>
                <w:szCs w:val="24"/>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Average deferred property incentives and deferred rent liability</w:t>
            </w:r>
          </w:p>
        </w:tc>
        <w:tc>
          <w:tcPr>
            <w:tcW w:w="140" w:type="dxa"/>
            <w:vAlign w:val="bottom"/>
            <w:tcBorders>
              <w:bottom w:val="single" w:sz="8" w:color="DCDDDE"/>
            </w:tcBorders>
            <w:shd w:val="clear" w:color="auto" w:fill="DCDDDE"/>
          </w:tcPr>
          <w:p>
            <w:pPr>
              <w:spacing w:after="0"/>
              <w:rPr>
                <w:sz w:val="22"/>
                <w:szCs w:val="22"/>
                <w:color w:val="auto"/>
              </w:rPr>
            </w:pPr>
          </w:p>
        </w:tc>
        <w:tc>
          <w:tcPr>
            <w:tcW w:w="96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(616)</w:t>
            </w:r>
          </w:p>
        </w:tc>
        <w:tc>
          <w:tcPr>
            <w:tcW w:w="160" w:type="dxa"/>
            <w:vAlign w:val="bottom"/>
            <w:tcBorders>
              <w:bottom w:val="single" w:sz="8" w:color="DCDDDE"/>
            </w:tcBorders>
            <w:shd w:val="clear" w:color="auto" w:fill="DCDDDE"/>
          </w:tcPr>
          <w:p>
            <w:pPr>
              <w:spacing w:after="0"/>
              <w:rPr>
                <w:sz w:val="22"/>
                <w:szCs w:val="22"/>
                <w:color w:val="auto"/>
              </w:rPr>
            </w:pPr>
          </w:p>
        </w:tc>
        <w:tc>
          <w:tcPr>
            <w:tcW w:w="96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(307)</w:t>
            </w:r>
          </w:p>
        </w:tc>
        <w:tc>
          <w:tcPr>
            <w:tcW w:w="200" w:type="dxa"/>
            <w:vAlign w:val="bottom"/>
            <w:tcBorders>
              <w:bottom w:val="single" w:sz="8" w:color="DCDDDE"/>
            </w:tcBorders>
            <w:shd w:val="clear" w:color="auto" w:fill="DCDDDE"/>
          </w:tcPr>
          <w:p>
            <w:pPr>
              <w:spacing w:after="0"/>
              <w:rPr>
                <w:sz w:val="22"/>
                <w:szCs w:val="22"/>
                <w:color w:val="auto"/>
              </w:rPr>
            </w:pPr>
          </w:p>
        </w:tc>
        <w:tc>
          <w:tcPr>
            <w:tcW w:w="100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CDDDE"/>
            </w:tcBorders>
            <w:shd w:val="clear" w:color="auto" w:fill="DCDDDE"/>
          </w:tcPr>
          <w:p>
            <w:pPr>
              <w:spacing w:after="0"/>
              <w:rPr>
                <w:sz w:val="22"/>
                <w:szCs w:val="22"/>
                <w:color w:val="auto"/>
              </w:rPr>
            </w:pP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DCDDDE"/>
            </w:tcBorders>
            <w:shd w:val="clear" w:color="auto" w:fill="DCDDDE"/>
          </w:tcPr>
          <w:p>
            <w:pPr>
              <w:spacing w:after="0"/>
              <w:rPr>
                <w:sz w:val="22"/>
                <w:szCs w:val="22"/>
                <w:color w:val="auto"/>
              </w:rPr>
            </w:pPr>
          </w:p>
        </w:tc>
        <w:tc>
          <w:tcPr>
            <w:tcW w:w="100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60"/>
              <w:spacing w:after="0" w:line="175" w:lineRule="exact"/>
              <w:rPr>
                <w:sz w:val="20"/>
                <w:szCs w:val="20"/>
                <w:color w:val="auto"/>
              </w:rPr>
            </w:pPr>
            <w:r>
              <w:rPr>
                <w:rFonts w:ascii="Arial" w:cs="Arial" w:eastAsia="Arial" w:hAnsi="Arial"/>
                <w:sz w:val="16"/>
                <w:szCs w:val="16"/>
                <w:color w:val="auto"/>
              </w:rPr>
              <w:t>Average deferred property incentives in excess of</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00" w:type="dxa"/>
            <w:vAlign w:val="bottom"/>
          </w:tcPr>
          <w:p>
            <w:pPr>
              <w:ind w:left="60"/>
              <w:spacing w:after="0"/>
              <w:rPr>
                <w:sz w:val="20"/>
                <w:szCs w:val="20"/>
                <w:color w:val="auto"/>
              </w:rPr>
            </w:pPr>
            <w:r>
              <w:rPr>
                <w:rFonts w:ascii="Arial" w:cs="Arial" w:eastAsia="Arial" w:hAnsi="Arial"/>
                <w:sz w:val="16"/>
                <w:szCs w:val="16"/>
                <w:color w:val="auto"/>
              </w:rPr>
              <w:t>right-of-use assets</w:t>
            </w:r>
            <w:r>
              <w:rPr>
                <w:rFonts w:ascii="Arial" w:cs="Arial" w:eastAsia="Arial" w:hAnsi="Arial"/>
                <w:sz w:val="18"/>
                <w:szCs w:val="18"/>
                <w:color w:val="auto"/>
                <w:vertAlign w:val="superscript"/>
              </w:rPr>
              <w:t>(d)</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(232)</w:t>
            </w: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Average non-interest-bearing current liabilities</w:t>
            </w:r>
          </w:p>
        </w:tc>
        <w:tc>
          <w:tcPr>
            <w:tcW w:w="140" w:type="dxa"/>
            <w:vAlign w:val="bottom"/>
            <w:tcBorders>
              <w:bottom w:val="single" w:sz="8" w:color="DCDDDE"/>
            </w:tcBorders>
            <w:shd w:val="clear" w:color="auto" w:fill="DCDDDE"/>
          </w:tcPr>
          <w:p>
            <w:pPr>
              <w:spacing w:after="0"/>
              <w:rPr>
                <w:sz w:val="22"/>
                <w:szCs w:val="22"/>
                <w:color w:val="auto"/>
              </w:rPr>
            </w:pPr>
          </w:p>
        </w:tc>
        <w:tc>
          <w:tcPr>
            <w:tcW w:w="96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(3,479)</w:t>
            </w:r>
          </w:p>
        </w:tc>
        <w:tc>
          <w:tcPr>
            <w:tcW w:w="160" w:type="dxa"/>
            <w:vAlign w:val="bottom"/>
            <w:tcBorders>
              <w:bottom w:val="single" w:sz="8" w:color="DCDDDE"/>
            </w:tcBorders>
            <w:shd w:val="clear" w:color="auto" w:fill="DCDDDE"/>
          </w:tcPr>
          <w:p>
            <w:pPr>
              <w:spacing w:after="0"/>
              <w:rPr>
                <w:sz w:val="22"/>
                <w:szCs w:val="22"/>
                <w:color w:val="auto"/>
              </w:rPr>
            </w:pPr>
          </w:p>
        </w:tc>
        <w:tc>
          <w:tcPr>
            <w:tcW w:w="96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(3,439)</w:t>
            </w:r>
          </w:p>
        </w:tc>
        <w:tc>
          <w:tcPr>
            <w:tcW w:w="200" w:type="dxa"/>
            <w:vAlign w:val="bottom"/>
            <w:tcBorders>
              <w:bottom w:val="single" w:sz="8" w:color="DCDDDE"/>
            </w:tcBorders>
            <w:shd w:val="clear" w:color="auto" w:fill="DCDDDE"/>
          </w:tcPr>
          <w:p>
            <w:pPr>
              <w:spacing w:after="0"/>
              <w:rPr>
                <w:sz w:val="22"/>
                <w:szCs w:val="22"/>
                <w:color w:val="auto"/>
              </w:rPr>
            </w:pPr>
          </w:p>
        </w:tc>
        <w:tc>
          <w:tcPr>
            <w:tcW w:w="100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(3,138)</w:t>
            </w:r>
          </w:p>
        </w:tc>
        <w:tc>
          <w:tcPr>
            <w:tcW w:w="160" w:type="dxa"/>
            <w:vAlign w:val="bottom"/>
            <w:tcBorders>
              <w:bottom w:val="single" w:sz="8" w:color="DCDDDE"/>
            </w:tcBorders>
            <w:shd w:val="clear" w:color="auto" w:fill="DCDDDE"/>
          </w:tcPr>
          <w:p>
            <w:pPr>
              <w:spacing w:after="0"/>
              <w:rPr>
                <w:sz w:val="22"/>
                <w:szCs w:val="22"/>
                <w:color w:val="auto"/>
              </w:rPr>
            </w:pPr>
          </w:p>
        </w:tc>
        <w:tc>
          <w:tcPr>
            <w:tcW w:w="96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(3,352)</w:t>
            </w:r>
          </w:p>
        </w:tc>
        <w:tc>
          <w:tcPr>
            <w:tcW w:w="240" w:type="dxa"/>
            <w:vAlign w:val="bottom"/>
            <w:tcBorders>
              <w:bottom w:val="single" w:sz="8" w:color="DCDDDE"/>
            </w:tcBorders>
            <w:shd w:val="clear" w:color="auto" w:fill="DCDDDE"/>
          </w:tcPr>
          <w:p>
            <w:pPr>
              <w:spacing w:after="0"/>
              <w:rPr>
                <w:sz w:val="22"/>
                <w:szCs w:val="22"/>
                <w:color w:val="auto"/>
              </w:rPr>
            </w:pPr>
          </w:p>
        </w:tc>
        <w:tc>
          <w:tcPr>
            <w:tcW w:w="100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b w:val="1"/>
                <w:bCs w:val="1"/>
                <w:color w:val="auto"/>
              </w:rPr>
              <w:t>(3,185)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100" w:type="dxa"/>
            <w:vAlign w:val="bottom"/>
          </w:tcPr>
          <w:p>
            <w:pPr>
              <w:ind w:left="60"/>
              <w:spacing w:after="0"/>
              <w:rPr>
                <w:sz w:val="20"/>
                <w:szCs w:val="20"/>
                <w:color w:val="auto"/>
              </w:rPr>
            </w:pPr>
            <w:r>
              <w:rPr>
                <w:rFonts w:ascii="Arial" w:cs="Arial" w:eastAsia="Arial" w:hAnsi="Arial"/>
                <w:sz w:val="16"/>
                <w:szCs w:val="16"/>
                <w:color w:val="auto"/>
              </w:rPr>
              <w:t>Non-operating related adjustments</w:t>
            </w:r>
          </w:p>
        </w:tc>
        <w:tc>
          <w:tcPr>
            <w:tcW w:w="14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5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Average invested capital</w:t>
            </w: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DCDDDE"/>
            </w:tcBorders>
            <w:shd w:val="clear" w:color="auto" w:fill="DCDDDE"/>
          </w:tcPr>
          <w:p>
            <w:pPr>
              <w:jc w:val="right"/>
              <w:ind w:right="139"/>
              <w:spacing w:after="0"/>
              <w:rPr>
                <w:sz w:val="20"/>
                <w:szCs w:val="20"/>
                <w:color w:val="auto"/>
              </w:rPr>
            </w:pPr>
            <w:r>
              <w:rPr>
                <w:rFonts w:ascii="Arial" w:cs="Arial" w:eastAsia="Arial" w:hAnsi="Arial"/>
                <w:sz w:val="16"/>
                <w:szCs w:val="16"/>
                <w:color w:val="auto"/>
              </w:rPr>
              <w:t>6,209</w:t>
            </w:r>
          </w:p>
        </w:tc>
        <w:tc>
          <w:tcPr>
            <w:tcW w:w="1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6,019</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shd w:val="clear" w:color="auto" w:fill="DCDDDE"/>
          </w:tcPr>
          <w:p>
            <w:pPr>
              <w:jc w:val="right"/>
              <w:ind w:right="179"/>
              <w:spacing w:after="0"/>
              <w:rPr>
                <w:sz w:val="20"/>
                <w:szCs w:val="20"/>
                <w:color w:val="auto"/>
              </w:rPr>
            </w:pPr>
            <w:r>
              <w:rPr>
                <w:rFonts w:ascii="Arial" w:cs="Arial" w:eastAsia="Arial" w:hAnsi="Arial"/>
                <w:sz w:val="16"/>
                <w:szCs w:val="16"/>
                <w:color w:val="auto"/>
              </w:rPr>
              <w:t>6,304</w:t>
            </w:r>
          </w:p>
        </w:tc>
        <w:tc>
          <w:tcPr>
            <w:tcW w:w="1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CDDDE"/>
            </w:tcBorders>
            <w:shd w:val="clear" w:color="auto" w:fill="DCDDDE"/>
          </w:tcPr>
          <w:p>
            <w:pPr>
              <w:jc w:val="right"/>
              <w:ind w:right="119"/>
              <w:spacing w:after="0"/>
              <w:rPr>
                <w:sz w:val="20"/>
                <w:szCs w:val="20"/>
                <w:color w:val="auto"/>
              </w:rPr>
            </w:pPr>
            <w:r>
              <w:rPr>
                <w:rFonts w:ascii="Arial" w:cs="Arial" w:eastAsia="Arial" w:hAnsi="Arial"/>
                <w:sz w:val="16"/>
                <w:szCs w:val="16"/>
                <w:color w:val="auto"/>
              </w:rPr>
              <w:t>5,717</w:t>
            </w:r>
          </w:p>
        </w:tc>
        <w:tc>
          <w:tcPr>
            <w:tcW w:w="2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b w:val="1"/>
                <w:bCs w:val="1"/>
                <w:color w:val="auto"/>
              </w:rPr>
              <w:t>5,687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Return on assets</w:t>
            </w: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Incentive Adjusted ROIC</w:t>
            </w:r>
          </w:p>
        </w:tc>
        <w:tc>
          <w:tcPr>
            <w:tcW w:w="140" w:type="dxa"/>
            <w:vAlign w:val="bottom"/>
            <w:tcBorders>
              <w:bottom w:val="single" w:sz="8" w:color="DCDDDE"/>
            </w:tcBorders>
            <w:shd w:val="clear" w:color="auto" w:fill="DCDDDE"/>
          </w:tcPr>
          <w:p>
            <w:pPr>
              <w:spacing w:after="0"/>
              <w:rPr>
                <w:sz w:val="21"/>
                <w:szCs w:val="21"/>
                <w:color w:val="auto"/>
              </w:rPr>
            </w:pPr>
          </w:p>
        </w:tc>
        <w:tc>
          <w:tcPr>
            <w:tcW w:w="9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Borders>
              <w:bottom w:val="single" w:sz="8" w:color="DCDDDE"/>
            </w:tcBorders>
            <w:shd w:val="clear" w:color="auto" w:fill="DCDDDE"/>
          </w:tcPr>
          <w:p>
            <w:pPr>
              <w:spacing w:after="0"/>
              <w:rPr>
                <w:sz w:val="21"/>
                <w:szCs w:val="21"/>
                <w:color w:val="auto"/>
              </w:rPr>
            </w:pPr>
          </w:p>
        </w:tc>
        <w:tc>
          <w:tcPr>
            <w:tcW w:w="9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Borders>
              <w:bottom w:val="single" w:sz="8" w:color="DCDDDE"/>
            </w:tcBorders>
            <w:shd w:val="clear" w:color="auto" w:fill="DCDDDE"/>
          </w:tcPr>
          <w:p>
            <w:pPr>
              <w:spacing w:after="0"/>
              <w:rPr>
                <w:sz w:val="21"/>
                <w:szCs w:val="21"/>
                <w:color w:val="auto"/>
              </w:rPr>
            </w:pP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(8.5%)</w:t>
            </w:r>
          </w:p>
        </w:tc>
        <w:tc>
          <w:tcPr>
            <w:tcW w:w="160" w:type="dxa"/>
            <w:vAlign w:val="bottom"/>
            <w:tcBorders>
              <w:bottom w:val="single" w:sz="8" w:color="DCDDDE"/>
            </w:tcBorders>
            <w:shd w:val="clear" w:color="auto" w:fill="DCDDDE"/>
          </w:tcPr>
          <w:p>
            <w:pPr>
              <w:spacing w:after="0"/>
              <w:rPr>
                <w:sz w:val="21"/>
                <w:szCs w:val="21"/>
                <w:color w:val="auto"/>
              </w:rPr>
            </w:pPr>
          </w:p>
        </w:tc>
        <w:tc>
          <w:tcPr>
            <w:tcW w:w="9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DCDDDE"/>
            </w:tcBorders>
            <w:shd w:val="clear" w:color="auto" w:fill="DCDDDE"/>
          </w:tcPr>
          <w:p>
            <w:pPr>
              <w:spacing w:after="0"/>
              <w:rPr>
                <w:sz w:val="21"/>
                <w:szCs w:val="21"/>
                <w:color w:val="auto"/>
              </w:rPr>
            </w:pP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jc w:val="both"/>
        <w:ind w:left="80" w:right="20" w:hanging="71"/>
        <w:spacing w:after="0" w:line="236" w:lineRule="auto"/>
        <w:rPr>
          <w:sz w:val="20"/>
          <w:szCs w:val="20"/>
          <w:color w:val="auto"/>
        </w:rPr>
      </w:pPr>
      <w:r>
        <w:rPr>
          <w:rFonts w:ascii="Arial" w:cs="Arial" w:eastAsia="Arial" w:hAnsi="Arial"/>
          <w:sz w:val="18"/>
          <w:szCs w:val="18"/>
          <w:i w:val="1"/>
          <w:iCs w:val="1"/>
          <w:color w:val="auto"/>
          <w:vertAlign w:val="superscript"/>
        </w:rPr>
        <w:t>(a)</w:t>
      </w:r>
      <w:r>
        <w:rPr>
          <w:rFonts w:ascii="Arial" w:cs="Arial" w:eastAsia="Arial" w:hAnsi="Arial"/>
          <w:sz w:val="16"/>
          <w:szCs w:val="16"/>
          <w:i w:val="1"/>
          <w:iCs w:val="1"/>
          <w:color w:val="auto"/>
        </w:rPr>
        <w:t>​ Operating lease interest is a component of operating lease cost recorded in occupancy costs. We add back operating lease interest for purposes of calculating adjusted net operating profit for consistency with the treatment of interest expense on our debt.</w:t>
      </w:r>
    </w:p>
    <w:p>
      <w:pPr>
        <w:spacing w:after="0" w:line="2" w:lineRule="exact"/>
        <w:rPr>
          <w:sz w:val="20"/>
          <w:szCs w:val="20"/>
          <w:color w:val="auto"/>
        </w:rPr>
      </w:pPr>
    </w:p>
    <w:p>
      <w:pPr>
        <w:jc w:val="both"/>
        <w:ind w:left="80" w:hanging="71"/>
        <w:spacing w:after="0" w:line="239" w:lineRule="auto"/>
        <w:rPr>
          <w:sz w:val="20"/>
          <w:szCs w:val="20"/>
          <w:color w:val="auto"/>
        </w:rPr>
      </w:pPr>
      <w:r>
        <w:rPr>
          <w:rFonts w:ascii="Arial" w:cs="Arial" w:eastAsia="Arial" w:hAnsi="Arial"/>
          <w:sz w:val="18"/>
          <w:szCs w:val="18"/>
          <w:i w:val="1"/>
          <w:iCs w:val="1"/>
          <w:color w:val="auto"/>
          <w:vertAlign w:val="superscript"/>
        </w:rPr>
        <w:t>(b)</w:t>
      </w:r>
      <w:r>
        <w:rPr>
          <w:rFonts w:ascii="Arial" w:cs="Arial" w:eastAsia="Arial" w:hAnsi="Arial"/>
          <w:sz w:val="16"/>
          <w:szCs w:val="16"/>
          <w:i w:val="1"/>
          <w:iCs w:val="1"/>
          <w:color w:val="auto"/>
        </w:rPr>
        <w:t>​ Capitalized operating leases is our best estimate of the asset base we would record for our leases that are classified as operating under the previous lease standard if they had met the criteria for a finance lease or we had purchased the property. The asset base for each quarter is calculated as the trailing four quarters of rent expense multiplied by eight, a commonly used method to estimate the asset base we would record for our capitalized operating leases.</w:t>
      </w:r>
    </w:p>
    <w:p>
      <w:pPr>
        <w:jc w:val="both"/>
        <w:ind w:left="80" w:hanging="71"/>
        <w:spacing w:after="0" w:line="244" w:lineRule="auto"/>
        <w:rPr>
          <w:sz w:val="20"/>
          <w:szCs w:val="20"/>
          <w:color w:val="auto"/>
        </w:rPr>
      </w:pPr>
      <w:r>
        <w:rPr>
          <w:rFonts w:ascii="Arial" w:cs="Arial" w:eastAsia="Arial" w:hAnsi="Arial"/>
          <w:sz w:val="18"/>
          <w:szCs w:val="18"/>
          <w:i w:val="1"/>
          <w:iCs w:val="1"/>
          <w:color w:val="auto"/>
          <w:vertAlign w:val="superscript"/>
        </w:rPr>
        <w:t>(c)</w:t>
      </w:r>
      <w:r>
        <w:rPr>
          <w:rFonts w:ascii="Arial" w:cs="Arial" w:eastAsia="Arial" w:hAnsi="Arial"/>
          <w:sz w:val="16"/>
          <w:szCs w:val="16"/>
          <w:i w:val="1"/>
          <w:iCs w:val="1"/>
          <w:color w:val="auto"/>
        </w:rPr>
        <w:t>​ Estimated income tax (expense) benefit is calculated by multiplying the adjusted net operating profit (loss) by the effective tax rate for the trailing twelve month period. The effective tax rate is calculated by dividing income tax expense (benefit) by earnings (loss) before income taxes for the same trailing twelve month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334010</wp:posOffset>
            </wp:positionV>
            <wp:extent cx="1020445" cy="1282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1020445" cy="1282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A-1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781"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5140"/>
        <w:spacing w:after="0"/>
        <w:rPr>
          <w:sz w:val="20"/>
          <w:szCs w:val="20"/>
          <w:color w:val="auto"/>
        </w:rPr>
      </w:pPr>
      <w:r>
        <w:rPr>
          <w:rFonts w:ascii="Arial" w:cs="Arial" w:eastAsia="Arial" w:hAnsi="Arial"/>
          <w:sz w:val="14"/>
          <w:szCs w:val="14"/>
          <w:b w:val="1"/>
          <w:bCs w:val="1"/>
          <w:i w:val="1"/>
          <w:iCs w:val="1"/>
          <w:color w:val="67686B"/>
        </w:rPr>
        <w:t>APPENDIX A: RECONCILIATION OF GAAP AND NON-GAAP FINANCIAL MEASURES</w:t>
      </w:r>
    </w:p>
    <w:p>
      <w:pPr>
        <w:spacing w:after="0" w:line="4" w:lineRule="exact"/>
        <w:rPr>
          <w:sz w:val="20"/>
          <w:szCs w:val="20"/>
          <w:color w:val="auto"/>
        </w:rPr>
      </w:pPr>
    </w:p>
    <w:p>
      <w:pPr>
        <w:jc w:val="both"/>
        <w:ind w:left="80" w:right="20" w:hanging="71"/>
        <w:spacing w:after="0" w:line="243" w:lineRule="auto"/>
        <w:rPr>
          <w:sz w:val="20"/>
          <w:szCs w:val="20"/>
          <w:color w:val="auto"/>
        </w:rPr>
      </w:pPr>
      <w:r>
        <w:rPr>
          <w:rFonts w:ascii="Arial" w:cs="Arial" w:eastAsia="Arial" w:hAnsi="Arial"/>
          <w:sz w:val="18"/>
          <w:szCs w:val="18"/>
          <w:i w:val="1"/>
          <w:iCs w:val="1"/>
          <w:color w:val="auto"/>
          <w:vertAlign w:val="superscript"/>
        </w:rPr>
        <w:t>(d)</w:t>
      </w:r>
      <w:r>
        <w:rPr>
          <w:rFonts w:ascii="Arial" w:cs="Arial" w:eastAsia="Arial" w:hAnsi="Arial"/>
          <w:sz w:val="16"/>
          <w:szCs w:val="16"/>
          <w:i w:val="1"/>
          <w:iCs w:val="1"/>
          <w:color w:val="auto"/>
        </w:rPr>
        <w:t>​ For leases with property incentives that exceed the right-of-use assets, we reclassify the amount from assets to other current liabilities and other liabilities. The current and non-current amounts are used to reduce average total assets, as this better reflects how we manage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earnings (loss) to Incentive Adjusted EBIT: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20" w:type="dxa"/>
            <w:vAlign w:val="bottom"/>
            <w:gridSpan w:val="5"/>
          </w:tcPr>
          <w:p>
            <w:pPr>
              <w:jc w:val="right"/>
              <w:ind w:right="719"/>
              <w:spacing w:after="0"/>
              <w:rPr>
                <w:sz w:val="20"/>
                <w:szCs w:val="20"/>
                <w:color w:val="auto"/>
              </w:rPr>
            </w:pPr>
            <w:r>
              <w:rPr>
                <w:rFonts w:ascii="Arial" w:cs="Arial" w:eastAsia="Arial" w:hAnsi="Arial"/>
                <w:sz w:val="16"/>
                <w:szCs w:val="16"/>
                <w:b w:val="1"/>
                <w:bCs w:val="1"/>
                <w:color w:val="auto"/>
              </w:rPr>
              <w:t>12 Fiscal Months Ended</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February 2,</w:t>
            </w:r>
          </w:p>
        </w:tc>
        <w:tc>
          <w:tcPr>
            <w:tcW w:w="18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February 1,</w:t>
            </w:r>
          </w:p>
        </w:tc>
        <w:tc>
          <w:tcPr>
            <w:tcW w:w="20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January 30,</w:t>
            </w:r>
          </w:p>
        </w:tc>
        <w:tc>
          <w:tcPr>
            <w:tcW w:w="18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January 29,</w:t>
            </w:r>
          </w:p>
        </w:tc>
        <w:tc>
          <w:tcPr>
            <w:tcW w:w="22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January 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millions)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564</w:t>
            </w:r>
          </w:p>
        </w:tc>
        <w:tc>
          <w:tcPr>
            <w:tcW w:w="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496</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(690)</w:t>
            </w:r>
          </w:p>
        </w:tc>
        <w:tc>
          <w:tcPr>
            <w:tcW w:w="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b w:val="1"/>
                <w:bCs w:val="1"/>
                <w:color w:val="auto"/>
              </w:rPr>
              <w:t>245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060" w:type="dxa"/>
            <w:vAlign w:val="bottom"/>
          </w:tcPr>
          <w:p>
            <w:pPr>
              <w:ind w:left="6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169</w:t>
            </w:r>
          </w:p>
        </w:tc>
        <w:tc>
          <w:tcPr>
            <w:tcW w:w="18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(538)</w:t>
            </w:r>
          </w:p>
        </w:tc>
        <w:tc>
          <w:tcPr>
            <w:tcW w:w="1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506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DCDDDE"/>
            </w:tcBorders>
            <w:shd w:val="clear" w:color="auto" w:fill="DCDDDE"/>
          </w:tcPr>
          <w:p>
            <w:pPr>
              <w:spacing w:after="0"/>
              <w:rPr>
                <w:sz w:val="23"/>
                <w:szCs w:val="23"/>
                <w:color w:val="auto"/>
              </w:rPr>
            </w:pPr>
          </w:p>
        </w:tc>
        <w:tc>
          <w:tcPr>
            <w:tcW w:w="98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104</w:t>
            </w:r>
          </w:p>
        </w:tc>
        <w:tc>
          <w:tcPr>
            <w:tcW w:w="180" w:type="dxa"/>
            <w:vAlign w:val="bottom"/>
            <w:tcBorders>
              <w:bottom w:val="single" w:sz="8" w:color="DCDDDE"/>
            </w:tcBorders>
            <w:shd w:val="clear" w:color="auto" w:fill="DCDDDE"/>
          </w:tcPr>
          <w:p>
            <w:pPr>
              <w:spacing w:after="0"/>
              <w:rPr>
                <w:sz w:val="23"/>
                <w:szCs w:val="23"/>
                <w:color w:val="auto"/>
              </w:rPr>
            </w:pPr>
          </w:p>
        </w:tc>
        <w:tc>
          <w:tcPr>
            <w:tcW w:w="980" w:type="dxa"/>
            <w:vAlign w:val="bottom"/>
            <w:tcBorders>
              <w:bottom w:val="single" w:sz="8" w:color="DCDDDE"/>
            </w:tcBorders>
            <w:shd w:val="clear" w:color="auto" w:fill="DCDDDE"/>
          </w:tcPr>
          <w:p>
            <w:pPr>
              <w:jc w:val="right"/>
              <w:ind w:right="59"/>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DCDDDE"/>
            </w:tcBorders>
            <w:shd w:val="clear" w:color="auto" w:fill="DCDDDE"/>
          </w:tcPr>
          <w:p>
            <w:pPr>
              <w:spacing w:after="0"/>
              <w:rPr>
                <w:sz w:val="23"/>
                <w:szCs w:val="23"/>
                <w:color w:val="auto"/>
              </w:rPr>
            </w:pPr>
          </w:p>
        </w:tc>
        <w:tc>
          <w:tcPr>
            <w:tcW w:w="980" w:type="dxa"/>
            <w:vAlign w:val="bottom"/>
            <w:tcBorders>
              <w:bottom w:val="single" w:sz="8" w:color="DCDDDE"/>
            </w:tcBorders>
            <w:shd w:val="clear" w:color="auto" w:fill="DCDDDE"/>
          </w:tcPr>
          <w:p>
            <w:pPr>
              <w:jc w:val="right"/>
              <w:ind w:right="139"/>
              <w:spacing w:after="0"/>
              <w:rPr>
                <w:sz w:val="20"/>
                <w:szCs w:val="20"/>
                <w:color w:val="auto"/>
              </w:rPr>
            </w:pPr>
            <w:r>
              <w:rPr>
                <w:rFonts w:ascii="Arial" w:cs="Arial" w:eastAsia="Arial" w:hAnsi="Arial"/>
                <w:sz w:val="16"/>
                <w:szCs w:val="16"/>
                <w:color w:val="auto"/>
              </w:rPr>
              <w:t>181</w:t>
            </w:r>
          </w:p>
        </w:tc>
        <w:tc>
          <w:tcPr>
            <w:tcW w:w="180" w:type="dxa"/>
            <w:vAlign w:val="bottom"/>
            <w:tcBorders>
              <w:bottom w:val="single" w:sz="8" w:color="DCDDDE"/>
            </w:tcBorders>
            <w:shd w:val="clear" w:color="auto" w:fill="DCDDDE"/>
          </w:tcPr>
          <w:p>
            <w:pPr>
              <w:spacing w:after="0"/>
              <w:rPr>
                <w:sz w:val="23"/>
                <w:szCs w:val="23"/>
                <w:color w:val="auto"/>
              </w:rPr>
            </w:pPr>
          </w:p>
        </w:tc>
        <w:tc>
          <w:tcPr>
            <w:tcW w:w="980" w:type="dxa"/>
            <w:vAlign w:val="bottom"/>
            <w:tcBorders>
              <w:bottom w:val="single" w:sz="8" w:color="DCDDDE"/>
            </w:tcBorders>
            <w:shd w:val="clear" w:color="auto" w:fill="DCDDDE"/>
          </w:tcPr>
          <w:p>
            <w:pPr>
              <w:jc w:val="right"/>
              <w:ind w:right="79"/>
              <w:spacing w:after="0"/>
              <w:rPr>
                <w:sz w:val="20"/>
                <w:szCs w:val="20"/>
                <w:color w:val="auto"/>
              </w:rPr>
            </w:pPr>
            <w:r>
              <w:rPr>
                <w:rFonts w:ascii="Arial" w:cs="Arial" w:eastAsia="Arial" w:hAnsi="Arial"/>
                <w:sz w:val="16"/>
                <w:szCs w:val="16"/>
                <w:color w:val="auto"/>
              </w:rPr>
              <w:t>246</w:t>
            </w:r>
          </w:p>
        </w:tc>
        <w:tc>
          <w:tcPr>
            <w:tcW w:w="220" w:type="dxa"/>
            <w:vAlign w:val="bottom"/>
            <w:tcBorders>
              <w:bottom w:val="single" w:sz="8" w:color="DCDDDE"/>
            </w:tcBorders>
            <w:shd w:val="clear" w:color="auto" w:fill="DCDDDE"/>
          </w:tcPr>
          <w:p>
            <w:pPr>
              <w:spacing w:after="0"/>
              <w:rPr>
                <w:sz w:val="23"/>
                <w:szCs w:val="23"/>
                <w:color w:val="auto"/>
              </w:rPr>
            </w:pPr>
          </w:p>
        </w:tc>
        <w:tc>
          <w:tcPr>
            <w:tcW w:w="980" w:type="dxa"/>
            <w:vAlign w:val="bottom"/>
            <w:tcBorders>
              <w:bottom w:val="single" w:sz="8" w:color="DCDDDE"/>
            </w:tcBorders>
            <w:shd w:val="clear" w:color="auto" w:fill="DCDDDE"/>
          </w:tcPr>
          <w:p>
            <w:pPr>
              <w:jc w:val="right"/>
              <w:ind w:right="19"/>
              <w:spacing w:after="0"/>
              <w:rPr>
                <w:sz w:val="20"/>
                <w:szCs w:val="20"/>
                <w:color w:val="auto"/>
              </w:rPr>
            </w:pPr>
            <w:r>
              <w:rPr>
                <w:rFonts w:ascii="Arial" w:cs="Arial" w:eastAsia="Arial" w:hAnsi="Arial"/>
                <w:sz w:val="16"/>
                <w:szCs w:val="16"/>
                <w:b w:val="1"/>
                <w:bCs w:val="1"/>
                <w:color w:val="auto"/>
              </w:rPr>
              <w:t>128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EBIT</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837</w:t>
            </w: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784</w:t>
            </w: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(1,047)</w:t>
            </w: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492</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5060" w:type="dxa"/>
            <w:vAlign w:val="bottom"/>
            <w:tcBorders>
              <w:bottom w:val="single" w:sz="8" w:color="auto"/>
            </w:tcBorders>
            <w:shd w:val="clear" w:color="auto" w:fill="DCDDDE"/>
          </w:tcPr>
          <w:p>
            <w:pPr>
              <w:ind w:left="60"/>
              <w:spacing w:after="0"/>
              <w:rPr>
                <w:sz w:val="20"/>
                <w:szCs w:val="20"/>
                <w:color w:val="auto"/>
              </w:rPr>
            </w:pPr>
            <w:r>
              <w:rPr>
                <w:rFonts w:ascii="Arial" w:cs="Arial" w:eastAsia="Arial" w:hAnsi="Arial"/>
                <w:sz w:val="16"/>
                <w:szCs w:val="16"/>
                <w:color w:val="auto"/>
              </w:rPr>
              <w:t>Non-operating related and other adjustments</w:t>
            </w:r>
            <w:r>
              <w:rPr>
                <w:rFonts w:ascii="Arial" w:cs="Arial" w:eastAsia="Arial" w:hAnsi="Arial"/>
                <w:sz w:val="18"/>
                <w:szCs w:val="18"/>
                <w:color w:val="auto"/>
                <w:vertAlign w:val="superscript"/>
              </w:rPr>
              <w:t>(a)</w:t>
            </w:r>
          </w:p>
        </w:tc>
        <w:tc>
          <w:tcPr>
            <w:tcW w:w="140" w:type="dxa"/>
            <w:vAlign w:val="bottom"/>
            <w:tcBorders>
              <w:bottom w:val="single" w:sz="8" w:color="auto"/>
            </w:tcBorders>
            <w:shd w:val="clear" w:color="auto" w:fill="DCDDDE"/>
          </w:tcPr>
          <w:p>
            <w:pPr>
              <w:spacing w:after="0"/>
              <w:rPr>
                <w:sz w:val="23"/>
                <w:szCs w:val="23"/>
                <w:color w:val="auto"/>
              </w:rPr>
            </w:pPr>
          </w:p>
        </w:tc>
        <w:tc>
          <w:tcPr>
            <w:tcW w:w="98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72</w:t>
            </w:r>
          </w:p>
        </w:tc>
        <w:tc>
          <w:tcPr>
            <w:tcW w:w="180" w:type="dxa"/>
            <w:vAlign w:val="bottom"/>
            <w:tcBorders>
              <w:bottom w:val="single" w:sz="8" w:color="auto"/>
            </w:tcBorders>
            <w:shd w:val="clear" w:color="auto" w:fill="DCDDDE"/>
          </w:tcPr>
          <w:p>
            <w:pPr>
              <w:spacing w:after="0"/>
              <w:rPr>
                <w:sz w:val="23"/>
                <w:szCs w:val="23"/>
                <w:color w:val="auto"/>
              </w:rPr>
            </w:pPr>
          </w:p>
        </w:tc>
        <w:tc>
          <w:tcPr>
            <w:tcW w:w="980" w:type="dxa"/>
            <w:vAlign w:val="bottom"/>
            <w:tcBorders>
              <w:bottom w:val="single" w:sz="8" w:color="auto"/>
            </w:tcBorders>
            <w:shd w:val="clear" w:color="auto" w:fill="DCDDDE"/>
          </w:tcPr>
          <w:p>
            <w:pPr>
              <w:jc w:val="right"/>
              <w:ind w:right="59"/>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auto"/>
            </w:tcBorders>
            <w:shd w:val="clear" w:color="auto" w:fill="DCDDDE"/>
          </w:tcPr>
          <w:p>
            <w:pPr>
              <w:spacing w:after="0"/>
              <w:rPr>
                <w:sz w:val="23"/>
                <w:szCs w:val="23"/>
                <w:color w:val="auto"/>
              </w:rPr>
            </w:pPr>
          </w:p>
        </w:tc>
        <w:tc>
          <w:tcPr>
            <w:tcW w:w="980" w:type="dxa"/>
            <w:vAlign w:val="bottom"/>
            <w:tcBorders>
              <w:bottom w:val="single" w:sz="8" w:color="auto"/>
            </w:tcBorders>
            <w:shd w:val="clear" w:color="auto" w:fill="DCDDDE"/>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DCDDDE"/>
          </w:tcPr>
          <w:p>
            <w:pPr>
              <w:spacing w:after="0"/>
              <w:rPr>
                <w:sz w:val="23"/>
                <w:szCs w:val="23"/>
                <w:color w:val="auto"/>
              </w:rPr>
            </w:pPr>
          </w:p>
        </w:tc>
        <w:tc>
          <w:tcPr>
            <w:tcW w:w="980" w:type="dxa"/>
            <w:vAlign w:val="bottom"/>
            <w:tcBorders>
              <w:bottom w:val="single" w:sz="8" w:color="auto"/>
            </w:tcBorders>
            <w:shd w:val="clear" w:color="auto" w:fill="DCDDDE"/>
          </w:tcPr>
          <w:p>
            <w:pPr>
              <w:jc w:val="right"/>
              <w:ind w:right="79"/>
              <w:spacing w:after="0"/>
              <w:rPr>
                <w:sz w:val="20"/>
                <w:szCs w:val="20"/>
                <w:color w:val="auto"/>
              </w:rPr>
            </w:pPr>
            <w:r>
              <w:rPr>
                <w:rFonts w:ascii="Arial" w:cs="Arial" w:eastAsia="Arial" w:hAnsi="Arial"/>
                <w:sz w:val="16"/>
                <w:szCs w:val="16"/>
                <w:color w:val="auto"/>
              </w:rPr>
              <w:t>174</w:t>
            </w:r>
          </w:p>
        </w:tc>
        <w:tc>
          <w:tcPr>
            <w:tcW w:w="220" w:type="dxa"/>
            <w:vAlign w:val="bottom"/>
            <w:tcBorders>
              <w:bottom w:val="single" w:sz="8" w:color="auto"/>
            </w:tcBorders>
            <w:shd w:val="clear" w:color="auto" w:fill="DCDDDE"/>
          </w:tcPr>
          <w:p>
            <w:pPr>
              <w:spacing w:after="0"/>
              <w:rPr>
                <w:sz w:val="23"/>
                <w:szCs w:val="23"/>
                <w:color w:val="auto"/>
              </w:rPr>
            </w:pPr>
          </w:p>
        </w:tc>
        <w:tc>
          <w:tcPr>
            <w:tcW w:w="98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6"/>
                <w:szCs w:val="16"/>
                <w:b w:val="1"/>
                <w:bCs w:val="1"/>
                <w:color w:val="auto"/>
              </w:rPr>
              <w:t>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060" w:type="dxa"/>
            <w:vAlign w:val="bottom"/>
          </w:tcPr>
          <w:p>
            <w:pPr>
              <w:ind w:left="60"/>
              <w:spacing w:after="0"/>
              <w:rPr>
                <w:sz w:val="20"/>
                <w:szCs w:val="20"/>
                <w:color w:val="auto"/>
              </w:rPr>
            </w:pPr>
            <w:r>
              <w:rPr>
                <w:rFonts w:ascii="Arial" w:cs="Arial" w:eastAsia="Arial" w:hAnsi="Arial"/>
                <w:sz w:val="16"/>
                <w:szCs w:val="16"/>
                <w:b w:val="1"/>
                <w:bCs w:val="1"/>
                <w:color w:val="auto"/>
              </w:rPr>
              <w:t>Incentive Adjusted EBIT</w:t>
            </w:r>
          </w:p>
        </w:tc>
        <w:tc>
          <w:tcPr>
            <w:tcW w:w="14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909</w:t>
            </w:r>
          </w:p>
        </w:tc>
        <w:tc>
          <w:tcPr>
            <w:tcW w:w="18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808</w:t>
            </w:r>
          </w:p>
        </w:tc>
        <w:tc>
          <w:tcPr>
            <w:tcW w:w="2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(1,047)</w:t>
            </w:r>
          </w:p>
        </w:tc>
        <w:tc>
          <w:tcPr>
            <w:tcW w:w="1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666</w:t>
            </w:r>
          </w:p>
        </w:tc>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524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690054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70" w:lineRule="exact"/>
        <w:rPr>
          <w:sz w:val="20"/>
          <w:szCs w:val="20"/>
          <w:color w:val="auto"/>
        </w:rPr>
      </w:pPr>
    </w:p>
    <w:p>
      <w:pPr>
        <w:jc w:val="both"/>
        <w:ind w:left="80" w:hanging="71"/>
        <w:spacing w:after="0" w:line="253" w:lineRule="auto"/>
        <w:rPr>
          <w:sz w:val="20"/>
          <w:szCs w:val="20"/>
          <w:color w:val="auto"/>
        </w:rPr>
      </w:pPr>
      <w:r>
        <w:rPr>
          <w:rFonts w:ascii="Arial" w:cs="Arial" w:eastAsia="Arial" w:hAnsi="Arial"/>
          <w:sz w:val="18"/>
          <w:szCs w:val="18"/>
          <w:i w:val="1"/>
          <w:iCs w:val="1"/>
          <w:color w:val="auto"/>
          <w:vertAlign w:val="superscript"/>
        </w:rPr>
        <w:t>(a)</w:t>
      </w:r>
      <w:r>
        <w:rPr>
          <w:rFonts w:ascii="Arial" w:cs="Arial" w:eastAsia="Arial" w:hAnsi="Arial"/>
          <w:sz w:val="16"/>
          <w:szCs w:val="16"/>
          <w:i w:val="1"/>
          <w:iCs w:val="1"/>
          <w:color w:val="auto"/>
        </w:rPr>
        <w:t>​ Beginning in the 12 fiscal months ended January 29, 2022, our Incentive Adjusted EBIT measure excluded certain performance-based compensation elements in order to be more reflective of business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328930</wp:posOffset>
            </wp:positionV>
            <wp:extent cx="1019810" cy="1289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8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500" w:type="dxa"/>
            <w:vAlign w:val="bottom"/>
          </w:tcPr>
          <w:p>
            <w:pPr>
              <w:ind w:left="260"/>
              <w:spacing w:after="0"/>
              <w:rPr>
                <w:sz w:val="20"/>
                <w:szCs w:val="20"/>
                <w:color w:val="auto"/>
              </w:rPr>
            </w:pPr>
            <w:r>
              <w:rPr>
                <w:rFonts w:ascii="Arial" w:cs="Arial" w:eastAsia="Arial" w:hAnsi="Arial"/>
                <w:sz w:val="14"/>
                <w:szCs w:val="14"/>
                <w:b w:val="1"/>
                <w:bCs w:val="1"/>
                <w:color w:val="auto"/>
                <w:w w:val="97"/>
              </w:rPr>
              <w:t>A-2</w:t>
            </w:r>
          </w:p>
        </w:tc>
      </w:tr>
      <w:tr>
        <w:trPr>
          <w:trHeight w:val="407"/>
        </w:trPr>
        <w:tc>
          <w:tcPr>
            <w:tcW w:w="10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6765925</wp:posOffset>
            </wp:positionH>
            <wp:positionV relativeFrom="paragraph">
              <wp:posOffset>102870</wp:posOffset>
            </wp:positionV>
            <wp:extent cx="128905" cy="2660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2800" w:right="20" w:hanging="2789"/>
        <w:spacing w:after="0" w:line="287" w:lineRule="auto"/>
        <w:rPr>
          <w:sz w:val="20"/>
          <w:szCs w:val="20"/>
          <w:color w:val="auto"/>
        </w:rPr>
      </w:pPr>
      <w:r>
        <w:rPr>
          <w:rFonts w:ascii="Arial" w:cs="Arial" w:eastAsia="Arial" w:hAnsi="Arial"/>
          <w:sz w:val="39"/>
          <w:szCs w:val="39"/>
          <w:b w:val="1"/>
          <w:bCs w:val="1"/>
          <w:color w:val="1E295B"/>
        </w:rPr>
        <w:t>APPENDIX B: NORDSTROM, INC. AMENDED AND RESTATED 2019 EQUITY INCENTIVE PLAN</w:t>
      </w:r>
    </w:p>
    <w:p>
      <w:pPr>
        <w:spacing w:after="0"/>
        <w:tabs>
          <w:tab w:leader="none" w:pos="1040" w:val="left"/>
        </w:tabs>
        <w:rPr>
          <w:sz w:val="20"/>
          <w:szCs w:val="20"/>
          <w:color w:val="auto"/>
        </w:rPr>
      </w:pPr>
      <w:r>
        <w:rPr>
          <w:rFonts w:ascii="Arial" w:cs="Arial" w:eastAsia="Arial" w:hAnsi="Arial"/>
          <w:sz w:val="16"/>
          <w:szCs w:val="16"/>
          <w:b w:val="1"/>
          <w:bCs w:val="1"/>
          <w:color w:val="auto"/>
        </w:rPr>
        <w:t>ARTICLE 1.</w:t>
        <w:tab/>
        <w:t>INTRODUCTION</w:t>
      </w:r>
    </w:p>
    <w:p>
      <w:pPr>
        <w:spacing w:after="0" w:line="1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purpose of the Plan is to promote the long-term success of the Company and its Subsidiaries. Specific objectives are intended to encourage the attraction and retention of Employees and Nonemployee Directors, focus such individuals’ results on the Company’s critical, long-range goals and align such individuals’ interests with those of the Company’s shareholders.</w:t>
      </w:r>
    </w:p>
    <w:p>
      <w:pPr>
        <w:spacing w:after="0" w:line="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Plan seeks to achieve this purpose by providing for Awards in the form of Options (which may constitute incentive stock options (ISOs), for Employees only, or nonqualified stock options (NSOs)), stock appreciation rights (SARs), Unrestricted Shares, Restricted Shares, Restricted Stock Units and Performance Share Units.</w:t>
      </w:r>
    </w:p>
    <w:p>
      <w:pPr>
        <w:spacing w:after="0" w:line="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Plan replaces the Nordstrom, Inc. 2010 Equity Incentive Plan (as amended and restated February 16, 2017) and the Nordstrom, Inc. 2002 Nonemployee Director Stock Incentive Plan (as amended on November 14, 2007). On February 28, 2023, the Board amended and restated the Plan, as set forth herein, subject to the approval of the Company’s shareholders.</w:t>
      </w:r>
    </w:p>
    <w:p>
      <w:pPr>
        <w:spacing w:after="0" w:line="104"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ARTICLE 2.</w:t>
      </w:r>
      <w:r>
        <w:rPr>
          <w:sz w:val="20"/>
          <w:szCs w:val="20"/>
          <w:color w:val="auto"/>
        </w:rPr>
        <w:tab/>
      </w:r>
      <w:r>
        <w:rPr>
          <w:rFonts w:ascii="Arial" w:cs="Arial" w:eastAsia="Arial" w:hAnsi="Arial"/>
          <w:sz w:val="15"/>
          <w:szCs w:val="15"/>
          <w:b w:val="1"/>
          <w:bCs w:val="1"/>
          <w:color w:val="auto"/>
        </w:rPr>
        <w:t>ADMINISTRATION</w:t>
      </w:r>
    </w:p>
    <w:p>
      <w:pPr>
        <w:spacing w:after="0" w:line="11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6"/>
          <w:szCs w:val="16"/>
          <w:b w:val="1"/>
          <w:bCs w:val="1"/>
          <w:color w:val="auto"/>
        </w:rPr>
        <w:t xml:space="preserve">Committee Composition. </w:t>
      </w:r>
      <w:r>
        <w:rPr>
          <w:rFonts w:ascii="Arial" w:cs="Arial" w:eastAsia="Arial" w:hAnsi="Arial"/>
          <w:sz w:val="16"/>
          <w:szCs w:val="16"/>
          <w:color w:val="auto"/>
        </w:rPr>
        <w:t>The Compensation, People and Culture Committee shall administer the Plan.</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2.2 Committee Responsibilities. </w:t>
      </w:r>
      <w:r>
        <w:rPr>
          <w:rFonts w:ascii="Arial" w:cs="Arial" w:eastAsia="Arial" w:hAnsi="Arial"/>
          <w:sz w:val="16"/>
          <w:szCs w:val="16"/>
          <w:color w:val="auto"/>
        </w:rPr>
        <w:t>The Committee, in its absolute and sole discretion, shall (a) select the Employees and Nonemployee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who are to receive Awards under the Plan, (b) determine the type, number, vesting requirements and other features and conditions of such Awards, (c) interpret the Plan and (d) make all other decisions relating to the operation of the Plan. The Committee may adopt such rules or guidelines as it deems appropriate to implement the Plan. The Committee may delegate its authority hereunder to one or more Subcommittees or Company officers, to the extent permitted under the Code, applicable laws and regulations and any applicable exchange rules; actions taken by any Subcommittee or officers shall be subject to review by the full Committee. The Committee’s determinations under the Plan shall be final and binding on all persons.</w:t>
      </w:r>
    </w:p>
    <w:p>
      <w:pPr>
        <w:spacing w:after="0" w:line="2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2.3 Committee for Non-Officer/Non-Director Awards. </w:t>
      </w:r>
      <w:r>
        <w:rPr>
          <w:rFonts w:ascii="Arial" w:cs="Arial" w:eastAsia="Arial" w:hAnsi="Arial"/>
          <w:sz w:val="16"/>
          <w:szCs w:val="16"/>
          <w:color w:val="auto"/>
        </w:rPr>
        <w:t>The Board may also appoint a secondary committee of the Board or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senior executive officers of the Company to administer the Plan with respect to Employees who are not considered officers or Directors of the Company under Section 16 of the Exchange Act. That committee or senior executive officer may grant Awards under the Plan to such Employees and may determine all features and conditions of such Awards. Within the limitations of this Section 2.3, any reference in the Plan to the Committee shall include such secondary committee or senior executive officer, as the case may be.</w:t>
      </w:r>
    </w:p>
    <w:p>
      <w:pPr>
        <w:spacing w:after="0" w:line="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color w:val="auto"/>
        </w:rPr>
        <w:t xml:space="preserve">2.4 Compensation Department Powers and Duties. </w:t>
      </w:r>
      <w:r>
        <w:rPr>
          <w:rFonts w:ascii="Arial" w:cs="Arial" w:eastAsia="Arial" w:hAnsi="Arial"/>
          <w:sz w:val="16"/>
          <w:szCs w:val="16"/>
          <w:color w:val="auto"/>
        </w:rPr>
        <w:t>Until such time as the Committee shall modify, revoke or rescind such authority,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Compensation department, or any successor department within the Company, regardless of name, has the powers and duties set forth below. Determinations made by the Compensation department (or other department) under this Section 2.4 shall be final and binding on all persons, but may, in the Committee’s absolute and sole discretion, be reviewed by the Committee. The powers and duties delegated by the Committee hereunder are to:</w:t>
      </w:r>
    </w:p>
    <w:p>
      <w:pPr>
        <w:spacing w:after="0" w:line="265" w:lineRule="exact"/>
        <w:rPr>
          <w:sz w:val="20"/>
          <w:szCs w:val="20"/>
          <w:color w:val="auto"/>
        </w:rPr>
      </w:pPr>
    </w:p>
    <w:p>
      <w:pPr>
        <w:ind w:left="1220" w:hanging="564"/>
        <w:spacing w:after="0"/>
        <w:tabs>
          <w:tab w:leader="none" w:pos="12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work with Plan service providers to ensure the effective administration of the Plan;</w:t>
      </w:r>
    </w:p>
    <w:p>
      <w:pPr>
        <w:spacing w:after="0" w:line="113" w:lineRule="exact"/>
        <w:rPr>
          <w:rFonts w:ascii="Arial" w:cs="Arial" w:eastAsia="Arial" w:hAnsi="Arial"/>
          <w:sz w:val="16"/>
          <w:szCs w:val="16"/>
          <w:color w:val="auto"/>
        </w:rPr>
      </w:pPr>
    </w:p>
    <w:p>
      <w:pPr>
        <w:ind w:right="20" w:firstLine="656"/>
        <w:spacing w:after="0" w:line="286" w:lineRule="auto"/>
        <w:tabs>
          <w:tab w:leader="none" w:pos="121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determine whether a Participant’s disability, as defined by a qualified medical professional acceptable to the Company’s Compensation department (or other department), qualifies as Disability as defined under the Plan; and</w:t>
      </w:r>
    </w:p>
    <w:p>
      <w:pPr>
        <w:spacing w:after="0" w:line="47" w:lineRule="exact"/>
        <w:rPr>
          <w:rFonts w:ascii="Arial" w:cs="Arial" w:eastAsia="Arial" w:hAnsi="Arial"/>
          <w:sz w:val="16"/>
          <w:szCs w:val="16"/>
          <w:color w:val="auto"/>
        </w:rPr>
      </w:pPr>
    </w:p>
    <w:p>
      <w:pPr>
        <w:ind w:left="1260" w:hanging="604"/>
        <w:spacing w:after="0"/>
        <w:tabs>
          <w:tab w:leader="none" w:pos="12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perform any and all tasks, duties, and responsibilities delegated by the Company or the Committee.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Compensation department has authority to interpret the terms of the Plan and any Award in carrying out the powers and duties as set forth above.</w:t>
      </w:r>
    </w:p>
    <w:p>
      <w:pPr>
        <w:spacing w:after="0" w:line="88"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ARTICLE 3.</w:t>
        <w:tab/>
        <w:t>SHARES AVAILABLE FOR AWARDS AND GENERAL VESTING REQUIREMENTS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3.1 Basic Limitation. </w:t>
      </w:r>
      <w:r>
        <w:rPr>
          <w:rFonts w:ascii="Arial" w:cs="Arial" w:eastAsia="Arial" w:hAnsi="Arial"/>
          <w:sz w:val="16"/>
          <w:szCs w:val="16"/>
          <w:color w:val="auto"/>
        </w:rPr>
        <w:t>Shares issued pursuant to the Plan shall be authorized but unissued shares. The aggregate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for Awards of Options, SARs, Unrestricted Shares, Restricted Shares, Restricted Stock Units or Performance Share Units granted under the Plan shall not exceed (a) 39,500,000 Shares, all of which may be granted as ISOs, plus (b) the additional shares of Common Stock described in Section 3.3. The limitations of this Section 3.1 and Sections 3.2 and 3.3 shall be subject to adjustment pursuant to Article 12. The aggregate number of Shares available for issuance as Plan Awards shall be reduced by 1.6 (one point six) Shares for each Share delivered in settlement of any Award of Unrestricted Shares, Restricted Shares, Restricted Stock Units, Performance Share Units, dividends, or dividend equivalents, and by 1 (one) Share for each Share delivered in settlement of any Option Award or SAR. Awards that are required to be settled in cash will not reduce the number of Shares available for delivery under the Plan.</w:t>
      </w:r>
    </w:p>
    <w:p>
      <w:pPr>
        <w:spacing w:after="0" w:line="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3.2 Additional Shares. </w:t>
      </w:r>
      <w:r>
        <w:rPr>
          <w:rFonts w:ascii="Arial" w:cs="Arial" w:eastAsia="Arial" w:hAnsi="Arial"/>
          <w:sz w:val="16"/>
          <w:szCs w:val="16"/>
          <w:color w:val="auto"/>
        </w:rPr>
        <w:t>If any Shares covered by an Award of Options, SARs, Restricted Shares, Restricted Stock Units or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Share Units terminate, lapse or are forfeited or cancelled, or such Award is otherwise settled without the delivery of the full number of Shares underlying the Award, then the Shares covered by such Award, or to which such Award relates, to the extent of any such forfeiture, termination, lapse, cancellation, etc., shall again be, or shall become, available for issuance under the Plan;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327660</wp:posOffset>
            </wp:positionV>
            <wp:extent cx="1020445" cy="1200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B-1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4520"/>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however, that Shares (a) delivered in payment of the exercise price of an Award, (b) not issued upon the net settlement or net exercise of SARs,</w:t>
      </w:r>
    </w:p>
    <w:p>
      <w:pPr>
        <w:spacing w:after="0" w:line="21" w:lineRule="exact"/>
        <w:rPr>
          <w:sz w:val="20"/>
          <w:szCs w:val="20"/>
          <w:color w:val="auto"/>
        </w:rPr>
      </w:pPr>
    </w:p>
    <w:p>
      <w:pPr>
        <w:jc w:val="both"/>
        <w:ind w:firstLine="8"/>
        <w:spacing w:after="0" w:line="251" w:lineRule="auto"/>
        <w:tabs>
          <w:tab w:leader="none" w:pos="24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delivered to or withheld by the Company to pay withholding taxes related to an Award, or (d) purchased in the open market using option proceeds, shall not become available again for issuance under this Plan. Shares that again become available for issuance under the Plan pursuant to this Section 3.2 shall be added to the number of Shares available under Section 3.1 in the same ratios as applied to them at the time they were originally granted (e.g., 1.6 (one point six) Shares for each Share attributable to previously granted Awards of Restricted Shares, Restricted Stock Units or Performance Share Units and 1 (one) Share for each Share attributable to previously granted Option Awards or SARs).</w:t>
      </w:r>
    </w:p>
    <w:p>
      <w:pPr>
        <w:spacing w:after="0" w:line="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3.3 Additional Shares from Prior Plan. </w:t>
      </w:r>
      <w:r>
        <w:rPr>
          <w:rFonts w:ascii="Arial" w:cs="Arial" w:eastAsia="Arial" w:hAnsi="Arial"/>
          <w:sz w:val="16"/>
          <w:szCs w:val="16"/>
          <w:color w:val="auto"/>
        </w:rPr>
        <w:t>Shares available for issuance under the Plan shall be increased by any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outstanding Awards under the Prior Plans on the effective date of the Plan, May 23, 2019, that later cease to be subject to such Awards for any reason other than the exercise, or vesting of such Awards (as the case may be), or any amounts withheld from such Awards by the Company for taxes on the Awards, which Shares shall, as of the date such Shares cease to be subject to such Awards, cease to be available for grant and issuance under the Prior Plans, but shall be available for issuance under the Plan under Section 3.1. Shares that become available for issuance under the Plan pursuant to this Section 3.3, shall become available for issuance under the Plan in such amount as they previously reduced the number of Shares available for issuance under the Prior Plans.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3.4 General Vesting Requirements. </w:t>
      </w:r>
      <w:r>
        <w:rPr>
          <w:rFonts w:ascii="Arial" w:cs="Arial" w:eastAsia="Arial" w:hAnsi="Arial"/>
          <w:sz w:val="16"/>
          <w:szCs w:val="16"/>
          <w:color w:val="auto"/>
        </w:rPr>
        <w:t>Awards granted under the Plan shall vest no earlier than the first anniversary of the date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previous sentence, the Committee may grant Awards representing up to an aggregate maximum of five percent (5%) of the available Share reserve authorized for issuance under the Plan pursuant to Section 3.1 (subject to adjustment under Section 3.3) without regard to the foregoing minimum vesting requirement.</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3.5 Nonemployee Director Award Limit. </w:t>
      </w:r>
      <w:r>
        <w:rPr>
          <w:rFonts w:ascii="Arial" w:cs="Arial" w:eastAsia="Arial" w:hAnsi="Arial"/>
          <w:sz w:val="16"/>
          <w:szCs w:val="16"/>
          <w:color w:val="auto"/>
        </w:rPr>
        <w:t>Notwithstanding any provision to the contrary in the Plan or in any policy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of cash that may become payable to an individual as compensation for Services as a Nonemployee Director during any calendar year shall not exceed $750,000. The Committee may make exceptions to this limit for Nonemployee Directors in extraordinary circumstances, as the Committee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14"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ARTICLE 4.</w:t>
      </w:r>
      <w:r>
        <w:rPr>
          <w:sz w:val="20"/>
          <w:szCs w:val="20"/>
          <w:color w:val="auto"/>
        </w:rPr>
        <w:tab/>
      </w:r>
      <w:r>
        <w:rPr>
          <w:rFonts w:ascii="Arial" w:cs="Arial" w:eastAsia="Arial" w:hAnsi="Arial"/>
          <w:sz w:val="15"/>
          <w:szCs w:val="15"/>
          <w:b w:val="1"/>
          <w:bCs w:val="1"/>
          <w:color w:val="auto"/>
        </w:rPr>
        <w:t>ELIGIBILITY</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4.1 Awards. </w:t>
      </w:r>
      <w:r>
        <w:rPr>
          <w:rFonts w:ascii="Arial" w:cs="Arial" w:eastAsia="Arial" w:hAnsi="Arial"/>
          <w:sz w:val="16"/>
          <w:szCs w:val="16"/>
          <w:color w:val="auto"/>
        </w:rPr>
        <w:t>Employees and Nonemployee Directors shall be eligible for the grant of Awards of NSOs, SARs, Unrestricted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Shares, Restricted Stock Units or Performance Share Units.</w:t>
      </w: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4.2 Incentive Stock Options. </w:t>
      </w:r>
      <w:r>
        <w:rPr>
          <w:rFonts w:ascii="Arial" w:cs="Arial" w:eastAsia="Arial" w:hAnsi="Arial"/>
          <w:sz w:val="16"/>
          <w:szCs w:val="16"/>
          <w:color w:val="auto"/>
        </w:rPr>
        <w:t>Only Employees who are common-law employees of the Company or a Subsidiary shall be eligible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of ISOs. In addition, an Employee who owns more than ten percent (10%) of the total combined voting power of all classes of outstanding stock of the Company or any of its Subsidiaries shall not be eligible for the grant of an ISO unless the requirements set forth in section 422(c)(6) of the Code are satisfied.</w:t>
      </w:r>
    </w:p>
    <w:p>
      <w:pPr>
        <w:spacing w:after="0" w:line="110"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ARTICLE 5.</w:t>
      </w:r>
      <w:r>
        <w:rPr>
          <w:sz w:val="20"/>
          <w:szCs w:val="20"/>
          <w:color w:val="auto"/>
        </w:rPr>
        <w:tab/>
      </w:r>
      <w:r>
        <w:rPr>
          <w:rFonts w:ascii="Arial" w:cs="Arial" w:eastAsia="Arial" w:hAnsi="Arial"/>
          <w:sz w:val="15"/>
          <w:szCs w:val="15"/>
          <w:b w:val="1"/>
          <w:bCs w:val="1"/>
          <w:color w:val="auto"/>
        </w:rPr>
        <w:t>OPTIONS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Options granted under the Plan are subject to the following terms and conditions: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5.1 Stock Option Agreement. </w:t>
      </w:r>
      <w:r>
        <w:rPr>
          <w:rFonts w:ascii="Arial" w:cs="Arial" w:eastAsia="Arial" w:hAnsi="Arial"/>
          <w:sz w:val="16"/>
          <w:szCs w:val="16"/>
          <w:color w:val="auto"/>
        </w:rPr>
        <w:t>Each grant of an Option under the Plan shall be evidenced by a Stock Option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and the Company. Such Option shall be subject to all applicable terms of the Plan and may be subject to any other terms that are not inconsistent with the Plan. The Stock Option Agreement shall specify whether the Option is an NSO or an ISO. The provisions of the various Stock Option Agreements entered into under the Plan need not be identical.</w:t>
      </w:r>
    </w:p>
    <w:p>
      <w:pPr>
        <w:spacing w:after="0" w:line="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5.2 Number of Shares. </w:t>
      </w:r>
      <w:r>
        <w:rPr>
          <w:rFonts w:ascii="Arial" w:cs="Arial" w:eastAsia="Arial" w:hAnsi="Arial"/>
          <w:sz w:val="16"/>
          <w:szCs w:val="16"/>
          <w:color w:val="auto"/>
        </w:rPr>
        <w:t>Each Stock Option Agreement shall specify the number of shares of Common Stock subject to the Option,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adjustment in accordance with Article 12. Holders of Options shall have no right to dividend equivalents and prior to exercise, no rights to dividends. The limitation set forth in the preceding sentence shall be subject to adjustment in accordance with Article 12.</w:t>
      </w:r>
    </w:p>
    <w:p>
      <w:pPr>
        <w:spacing w:after="0" w:line="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5.3 Exercise Price. </w:t>
      </w:r>
      <w:r>
        <w:rPr>
          <w:rFonts w:ascii="Arial" w:cs="Arial" w:eastAsia="Arial" w:hAnsi="Arial"/>
          <w:sz w:val="16"/>
          <w:szCs w:val="16"/>
          <w:color w:val="auto"/>
        </w:rPr>
        <w:t>Each Stock Option Agreement shall specify the Exercise Price; provided that the Exercise Price under an Option shall</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be less than one hundred percent (100%) of the Fair Market Value of a share of Common Stock on the date of grant.</w:t>
      </w:r>
    </w:p>
    <w:p>
      <w:pPr>
        <w:spacing w:after="0" w:line="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5.4 Exercisability and Term. </w:t>
      </w:r>
      <w:r>
        <w:rPr>
          <w:rFonts w:ascii="Arial" w:cs="Arial" w:eastAsia="Arial" w:hAnsi="Arial"/>
          <w:sz w:val="16"/>
          <w:szCs w:val="16"/>
          <w:color w:val="auto"/>
        </w:rPr>
        <w:t>Each Stock Option Agreement shall specify the date or event when all or any installment of the Option is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become exercisable, subject to Section 3.4. The Stock Option Agreement shall also specify the term of the Option; provided that the term shall in no event exceed ten (10) years from the date of grant. A Stock Option Agreement may provide for accelerated exercisability in the event of the Optionee’s Disability, death or Retirement and may provide for expiration prior to the end of its term in the event of the termination of the Optionee’s Service. Options may be granted in combination with SARs, and such an Award may provide that the Options will not be exercisable unless the related SARs are forfeited.</w:t>
      </w:r>
    </w:p>
    <w:p>
      <w:pPr>
        <w:spacing w:after="0" w:line="26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6"/>
          <w:szCs w:val="16"/>
          <w:b w:val="1"/>
          <w:bCs w:val="1"/>
          <w:color w:val="auto"/>
        </w:rPr>
        <w:t>5.5</w:t>
      </w:r>
      <w:r>
        <w:rPr>
          <w:sz w:val="20"/>
          <w:szCs w:val="20"/>
          <w:color w:val="auto"/>
        </w:rPr>
        <w:tab/>
      </w:r>
      <w:r>
        <w:rPr>
          <w:rFonts w:ascii="Arial" w:cs="Arial" w:eastAsia="Arial" w:hAnsi="Arial"/>
          <w:sz w:val="16"/>
          <w:szCs w:val="16"/>
          <w:b w:val="1"/>
          <w:bCs w:val="1"/>
          <w:color w:val="auto"/>
        </w:rPr>
        <w:t xml:space="preserve">Dividend Rights. </w:t>
      </w:r>
      <w:r>
        <w:rPr>
          <w:rFonts w:ascii="Arial" w:cs="Arial" w:eastAsia="Arial" w:hAnsi="Arial"/>
          <w:sz w:val="16"/>
          <w:szCs w:val="16"/>
          <w:color w:val="auto"/>
        </w:rPr>
        <w:t>No dividends or dividend equivalent rights shall be paid or accrued with respect to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1019810" cy="1200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8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500" w:type="dxa"/>
            <w:vAlign w:val="bottom"/>
          </w:tcPr>
          <w:p>
            <w:pPr>
              <w:ind w:left="260"/>
              <w:spacing w:after="0"/>
              <w:rPr>
                <w:sz w:val="20"/>
                <w:szCs w:val="20"/>
                <w:color w:val="auto"/>
              </w:rPr>
            </w:pPr>
            <w:r>
              <w:rPr>
                <w:rFonts w:ascii="Arial" w:cs="Arial" w:eastAsia="Arial" w:hAnsi="Arial"/>
                <w:sz w:val="14"/>
                <w:szCs w:val="14"/>
                <w:b w:val="1"/>
                <w:bCs w:val="1"/>
                <w:color w:val="auto"/>
                <w:w w:val="97"/>
              </w:rPr>
              <w:t>B-2</w:t>
            </w:r>
          </w:p>
        </w:tc>
      </w:tr>
      <w:tr>
        <w:trPr>
          <w:trHeight w:val="393"/>
        </w:trPr>
        <w:tc>
          <w:tcPr>
            <w:tcW w:w="10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43"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ARTICLE 6.</w:t>
        <w:tab/>
        <w:t>PAYMENT FOR OPTION SHARES</w:t>
      </w:r>
    </w:p>
    <w:p>
      <w:pPr>
        <w:spacing w:after="0" w:line="11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6.1 General Rule. </w:t>
      </w:r>
      <w:r>
        <w:rPr>
          <w:rFonts w:ascii="Arial" w:cs="Arial" w:eastAsia="Arial" w:hAnsi="Arial"/>
          <w:sz w:val="16"/>
          <w:szCs w:val="16"/>
          <w:color w:val="auto"/>
        </w:rPr>
        <w:t>The entire Exercise Price of shares of Common Stock issued upon exercise of Options shall be payable in cash or</w:t>
      </w:r>
      <w:r>
        <w:rPr>
          <w:rFonts w:ascii="Arial" w:cs="Arial" w:eastAsia="Arial" w:hAnsi="Arial"/>
          <w:sz w:val="16"/>
          <w:szCs w:val="16"/>
          <w:b w:val="1"/>
          <w:bCs w:val="1"/>
          <w:color w:val="auto"/>
        </w:rPr>
        <w:t xml:space="preserve"> </w:t>
      </w:r>
      <w:r>
        <w:rPr>
          <w:rFonts w:ascii="Arial" w:cs="Arial" w:eastAsia="Arial" w:hAnsi="Arial"/>
          <w:sz w:val="16"/>
          <w:szCs w:val="16"/>
          <w:color w:val="auto"/>
        </w:rPr>
        <w:t>cash equivalents at the time when such shares of Common Stock are purchased, except as follows:</w:t>
      </w:r>
    </w:p>
    <w:p>
      <w:pPr>
        <w:spacing w:after="0" w:line="48" w:lineRule="exact"/>
        <w:rPr>
          <w:sz w:val="20"/>
          <w:szCs w:val="20"/>
          <w:color w:val="auto"/>
        </w:rPr>
      </w:pPr>
    </w:p>
    <w:p>
      <w:pPr>
        <w:ind w:firstLine="656"/>
        <w:spacing w:after="0" w:line="286" w:lineRule="auto"/>
        <w:tabs>
          <w:tab w:leader="none" w:pos="121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the case of an ISO granted under the Plan, payment shall be made only pursuant to the express provisions of the applicable Stock Option Agreement. The Stock Option Agreement may specify that payment may be made in any form(s) described in this Article 6.</w:t>
      </w:r>
    </w:p>
    <w:p>
      <w:pPr>
        <w:spacing w:after="0" w:line="47" w:lineRule="exact"/>
        <w:rPr>
          <w:rFonts w:ascii="Arial" w:cs="Arial" w:eastAsia="Arial" w:hAnsi="Arial"/>
          <w:sz w:val="16"/>
          <w:szCs w:val="16"/>
          <w:color w:val="auto"/>
        </w:rPr>
      </w:pPr>
    </w:p>
    <w:p>
      <w:pPr>
        <w:ind w:left="1220" w:hanging="564"/>
        <w:spacing w:after="0"/>
        <w:tabs>
          <w:tab w:leader="none" w:pos="12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the case of an NSO, the Committee may at any time accept payment in any form(s) described in this Article 6.</w:t>
      </w:r>
    </w:p>
    <w:p>
      <w:pPr>
        <w:spacing w:after="0" w:line="1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6.2 Stock Swap. </w:t>
      </w:r>
      <w:r>
        <w:rPr>
          <w:rFonts w:ascii="Arial" w:cs="Arial" w:eastAsia="Arial" w:hAnsi="Arial"/>
          <w:sz w:val="16"/>
          <w:szCs w:val="16"/>
          <w:color w:val="auto"/>
        </w:rPr>
        <w:t>To the extent specifically provided in an Option Agreement, all or any part of the Exercise Price may be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surrendering, or attesting to the ownership of, shares of Common Stock that are already owned by the Optionee. Such shares of Common Stock shall be valued at their Fair Market Value on the date when the new shares of Common Stock are purchased under the Plan.</w:t>
      </w:r>
    </w:p>
    <w:p>
      <w:pPr>
        <w:spacing w:after="0" w:line="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6.3 Exercise/Sale. </w:t>
      </w:r>
      <w:r>
        <w:rPr>
          <w:rFonts w:ascii="Arial" w:cs="Arial" w:eastAsia="Arial" w:hAnsi="Arial"/>
          <w:sz w:val="16"/>
          <w:szCs w:val="16"/>
          <w:color w:val="auto"/>
        </w:rPr>
        <w:t>To the extent that this Section 6.3 is applicable and to the extent so provided in the Stock Option Agreement, all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the Exercise Price and any withholding taxes may be paid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“Stock for Stock Exchange”); (ii) a “cashless” exercise program established with a broker; (iii) Net Exercise; (iv) by any combination of the foregoing methods; or (v) in any other form of legal consideration that may be acceptable to the Committee.</w:t>
      </w:r>
    </w:p>
    <w:p>
      <w:pPr>
        <w:spacing w:after="0" w:line="115"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ARTICLE 7.</w:t>
        <w:tab/>
        <w:t>STOCK APPRECIATION RIGHTS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SARs granted under the Plan are subject to the following terms and conditions:</w:t>
      </w:r>
    </w:p>
    <w:p>
      <w:pPr>
        <w:spacing w:after="0" w:line="1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7.1 SAR Agreement. </w:t>
      </w:r>
      <w:r>
        <w:rPr>
          <w:rFonts w:ascii="Arial" w:cs="Arial" w:eastAsia="Arial" w:hAnsi="Arial"/>
          <w:sz w:val="16"/>
          <w:szCs w:val="16"/>
          <w:color w:val="auto"/>
        </w:rPr>
        <w:t>Each SAR granted under the Plan shall be evidenced by an SAR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Such SAR shall be subject to all applicable terms of the Plan and may be subject to any other terms that are not inconsistent with the Plan. The provisions of the various SAR Agreements entered into under the Plan need not be identical.</w:t>
      </w:r>
    </w:p>
    <w:p>
      <w:pPr>
        <w:spacing w:after="0" w:line="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7.2 Number of Shares. </w:t>
      </w:r>
      <w:r>
        <w:rPr>
          <w:rFonts w:ascii="Arial" w:cs="Arial" w:eastAsia="Arial" w:hAnsi="Arial"/>
          <w:sz w:val="16"/>
          <w:szCs w:val="16"/>
          <w:color w:val="auto"/>
        </w:rPr>
        <w:t>Each SAR Agreement shall specify the number of shares of Common Stock to which the SAR pertains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the adjustment of such number in accordance with Article 12.</w:t>
      </w:r>
    </w:p>
    <w:p>
      <w:pPr>
        <w:spacing w:after="0" w:line="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7.3 Exercise Price. </w:t>
      </w:r>
      <w:r>
        <w:rPr>
          <w:rFonts w:ascii="Arial" w:cs="Arial" w:eastAsia="Arial" w:hAnsi="Arial"/>
          <w:sz w:val="16"/>
          <w:szCs w:val="16"/>
          <w:color w:val="auto"/>
        </w:rPr>
        <w:t>Each SAR Agreement shall specify the Exercise Price; provided that the Exercise Price under an SAR shall in no</w:t>
      </w:r>
      <w:r>
        <w:rPr>
          <w:rFonts w:ascii="Arial" w:cs="Arial" w:eastAsia="Arial" w:hAnsi="Arial"/>
          <w:sz w:val="16"/>
          <w:szCs w:val="16"/>
          <w:b w:val="1"/>
          <w:bCs w:val="1"/>
          <w:color w:val="auto"/>
        </w:rPr>
        <w:t xml:space="preserve"> </w:t>
      </w:r>
      <w:r>
        <w:rPr>
          <w:rFonts w:ascii="Arial" w:cs="Arial" w:eastAsia="Arial" w:hAnsi="Arial"/>
          <w:sz w:val="16"/>
          <w:szCs w:val="16"/>
          <w:color w:val="auto"/>
        </w:rPr>
        <w:t>event be less than one hundred percent (100%) of the Fair Market Value of a share of Common Stock on the date of grant.</w:t>
      </w:r>
    </w:p>
    <w:p>
      <w:pPr>
        <w:spacing w:after="0" w:line="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7.4 Exercisability and Term. </w:t>
      </w:r>
      <w:r>
        <w:rPr>
          <w:rFonts w:ascii="Arial" w:cs="Arial" w:eastAsia="Arial" w:hAnsi="Arial"/>
          <w:sz w:val="16"/>
          <w:szCs w:val="16"/>
          <w:color w:val="auto"/>
        </w:rPr>
        <w:t>Each SAR Agreement shall specify the date when all or any installment of the SAR is to become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subject to Section 3.4. The SAR Agreement shall also specify the term of the SAR; provided, however, that the term shall in no event exceed ten (10) years from the date of grant. A SAR Agreement may provide for accelerated exercisability in the event of the Participant’s Disability, death or Retirement and may provide for expiration prior to the end of its term in the event of the termination of the Participant’s Service. SARs may be granted in combination with Options, and such an SAR Agreement may provide that the SARs will not be exercisable unless the related Options are forfeited.</w:t>
      </w:r>
    </w:p>
    <w:p>
      <w:pPr>
        <w:spacing w:after="0" w:line="2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7.5 Exercise of SARs. </w:t>
      </w:r>
      <w:r>
        <w:rPr>
          <w:rFonts w:ascii="Arial" w:cs="Arial" w:eastAsia="Arial" w:hAnsi="Arial"/>
          <w:sz w:val="16"/>
          <w:szCs w:val="16"/>
          <w:color w:val="auto"/>
        </w:rPr>
        <w:t>Upon exercise of an SAR, the Participant (or any person having the right to exercise the SAR after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death) shall receive from the Company (a) shares of Common Stock, (b) cash or (c) a combination of shares of Common Stock and cash, as the Committee shall determine. The amount of cash and/or the Fair Market Value of shares of Common Stock received upon exercise of SARs shall, in the aggregate, be equal to the amount by which the Fair Market Value (on the date of surrender) of the shares of Common Stock subject to the SARs exceeds the Exercise Price.</w:t>
      </w:r>
    </w:p>
    <w:p>
      <w:pPr>
        <w:spacing w:after="0" w:line="7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6"/>
          <w:szCs w:val="16"/>
          <w:b w:val="1"/>
          <w:bCs w:val="1"/>
          <w:color w:val="auto"/>
        </w:rPr>
        <w:t>7.6</w:t>
      </w:r>
      <w:r>
        <w:rPr>
          <w:sz w:val="20"/>
          <w:szCs w:val="20"/>
          <w:color w:val="auto"/>
        </w:rPr>
        <w:tab/>
      </w:r>
      <w:r>
        <w:rPr>
          <w:rFonts w:ascii="Arial" w:cs="Arial" w:eastAsia="Arial" w:hAnsi="Arial"/>
          <w:sz w:val="16"/>
          <w:szCs w:val="16"/>
          <w:b w:val="1"/>
          <w:bCs w:val="1"/>
          <w:color w:val="auto"/>
        </w:rPr>
        <w:t xml:space="preserve">Dividend Rights. </w:t>
      </w:r>
      <w:r>
        <w:rPr>
          <w:rFonts w:ascii="Arial" w:cs="Arial" w:eastAsia="Arial" w:hAnsi="Arial"/>
          <w:sz w:val="16"/>
          <w:szCs w:val="16"/>
          <w:color w:val="auto"/>
        </w:rPr>
        <w:t>No dividends or dividend equivalent rights shall be paid or accrued with respect to SARS.</w:t>
      </w:r>
    </w:p>
    <w:p>
      <w:pPr>
        <w:spacing w:after="0" w:line="140"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ARTICLE 8.</w:t>
        <w:tab/>
        <w:t>UNRESTRICTED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Unrestricted Shares granted under the Plan are subject to the following terms and conditions: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color w:val="auto"/>
        </w:rPr>
        <w:t xml:space="preserve">8.1 Unrestricted Shares. </w:t>
      </w:r>
      <w:r>
        <w:rPr>
          <w:rFonts w:ascii="Arial" w:cs="Arial" w:eastAsia="Arial" w:hAnsi="Arial"/>
          <w:sz w:val="16"/>
          <w:szCs w:val="16"/>
          <w:color w:val="auto"/>
        </w:rPr>
        <w:t>Unrestricted Shares shall be subject to all applicable terms of the Plan and may be subject to any other terms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not inconsistent with the Plan, subject to adjustment in accordance with Article 12 or together with all other Awards the limits set forth in Section 3.4.</w:t>
      </w:r>
    </w:p>
    <w:p>
      <w:pPr>
        <w:spacing w:after="0" w:line="25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color w:val="auto"/>
        </w:rPr>
        <w:t xml:space="preserve">8.2 Payment for Awards. </w:t>
      </w:r>
      <w:r>
        <w:rPr>
          <w:rFonts w:ascii="Arial" w:cs="Arial" w:eastAsia="Arial" w:hAnsi="Arial"/>
          <w:sz w:val="16"/>
          <w:szCs w:val="16"/>
          <w:color w:val="auto"/>
        </w:rPr>
        <w:t>Unrestricted Shares may be granted under the Plan for such consideration consisting of any tangible or</w:t>
      </w:r>
      <w:r>
        <w:rPr>
          <w:rFonts w:ascii="Arial" w:cs="Arial" w:eastAsia="Arial" w:hAnsi="Arial"/>
          <w:sz w:val="16"/>
          <w:szCs w:val="16"/>
          <w:b w:val="1"/>
          <w:bCs w:val="1"/>
          <w:color w:val="auto"/>
        </w:rPr>
        <w:t xml:space="preserve"> </w:t>
      </w:r>
      <w:r>
        <w:rPr>
          <w:rFonts w:ascii="Arial" w:cs="Arial" w:eastAsia="Arial" w:hAnsi="Arial"/>
          <w:sz w:val="16"/>
          <w:szCs w:val="16"/>
          <w:color w:val="auto"/>
        </w:rPr>
        <w:t>intangible property or benefit to the Company as the Committee may determine, including cash, services performed and contracts for services to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443865</wp:posOffset>
            </wp:positionV>
            <wp:extent cx="1020445" cy="1282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102044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B-3</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43"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b w:val="1"/>
          <w:bCs w:val="1"/>
          <w:color w:val="auto"/>
        </w:rPr>
        <w:t>ARTICLE 9.</w:t>
        <w:tab/>
        <w:t>RESTRICTED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Restricted Shares granted under the Plan are subject to the following terms and conditions: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9.1 Restricted Share Agreement. </w:t>
      </w:r>
      <w:r>
        <w:rPr>
          <w:rFonts w:ascii="Arial" w:cs="Arial" w:eastAsia="Arial" w:hAnsi="Arial"/>
          <w:sz w:val="16"/>
          <w:szCs w:val="16"/>
          <w:color w:val="auto"/>
        </w:rPr>
        <w:t>Each grant of Restricted Shares under the Plan shall be evidenced by a Restricted Share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recipient and the Company. Such Restricted Shares shall be subject to all applicable terms of the Plan and may be subject to any other terms that are not inconsistent with the Plan. The provisions of the various Restricted Share Agreements entered into under the Plan need not be identical, subject to adjustment in accordance with Article 12.</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9.2 Payment for Awards. </w:t>
      </w:r>
      <w:r>
        <w:rPr>
          <w:rFonts w:ascii="Arial" w:cs="Arial" w:eastAsia="Arial" w:hAnsi="Arial"/>
          <w:sz w:val="16"/>
          <w:szCs w:val="16"/>
          <w:color w:val="auto"/>
        </w:rPr>
        <w:t>Restricted Shares may be granted under the Plan for such consideration consisting of any tangible or intangible</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or benefit to the Company as the Committee may determine, including cash, services performed and contracts for services to be performed.</w:t>
      </w: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9.3 Vesting Conditions. </w:t>
      </w:r>
      <w:r>
        <w:rPr>
          <w:rFonts w:ascii="Arial" w:cs="Arial" w:eastAsia="Arial" w:hAnsi="Arial"/>
          <w:sz w:val="16"/>
          <w:szCs w:val="16"/>
          <w:color w:val="auto"/>
        </w:rPr>
        <w:t>Each Award of Restricted Shares shall be subject to vesting. Vesting shall occur, in full or in installments, upon</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the conditions specified in the Restricted Share Agreement, subject to Section 3.4. The Committee may include among such conditions the requirement that the performance of the Company or a business unit of the Company for a Performance Cycle equal or exceed a target determined in advance by the Committee. Such target shall be based on any one or combination of the Performance Criteria.</w:t>
      </w:r>
    </w:p>
    <w:p>
      <w:pPr>
        <w:spacing w:after="0" w:line="70"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6"/>
          <w:szCs w:val="16"/>
          <w:color w:val="auto"/>
        </w:rPr>
        <w:t>If the Participant’s employment with the Company or Subsidiary is terminated before the end of a Performance Cycle for any reason other than Disability, death or Retirement, the Participant shall forfeit all rights with respect to any Restricted Shares that were being earned during the Performance Cycle. The Committee, in its absolute and sole discretion, may establish guidelines providing that if a Participant’s employment is terminated before the end of a Performance Cycle by reason of Disability, death or Retirement, the Participant shall be entitled to a prorated payment with respect to any Restricted Shares that were being earned during the Performance Cycle, as determined at the end of such Performance Cycle. A Restricted Share Agreement may provide for accelerated service-based vesting in the event of the Participant’s Disability, death or Retirement (provided that, with respect to accelerated vesting in the event of Retirement, such Restricted Share Agreement shall comply with the requirements of Code Section 409A and include specific provisions regarding any tax withholding requirements, as required).</w:t>
      </w:r>
    </w:p>
    <w:p>
      <w:pPr>
        <w:spacing w:after="0" w:line="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color w:val="auto"/>
        </w:rPr>
        <w:t xml:space="preserve">9.4 Voting and Dividend Rights. </w:t>
      </w:r>
      <w:r>
        <w:rPr>
          <w:rFonts w:ascii="Arial" w:cs="Arial" w:eastAsia="Arial" w:hAnsi="Arial"/>
          <w:sz w:val="16"/>
          <w:szCs w:val="16"/>
          <w:color w:val="auto"/>
        </w:rPr>
        <w:t>The holders of Restricted Shares granted under the Plan shall have the voting, dividend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as set forth in their Restricted Share Agreement, and may have the same voting, dividend and other rights as the Company’s other shareholders. Any dividends paid on Restricted Shares shall not be paid at the dividend payment date and shall only be paid if and when Restricted Shares vest, in cash or in shares of unrestricted Common Stock having a Fair Market Value equal to the amount of such dividends. Common Stock distributed in connection with a stock split or stock dividend, and distributed as a dividend, shall be subject to restrictions and a risk of forfeiture to the same extent as the Restricted Shares with respect to which such Common Stock has been distributed.</w:t>
      </w:r>
    </w:p>
    <w:p>
      <w:pPr>
        <w:spacing w:after="0" w:line="114"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ARTICLE 10.</w:t>
        <w:tab/>
        <w:t>RESTRICTED STOCK UNITS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granted under the Plan are subject to the following terms and conditions:</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Restricted Stock Units are designated in shares of Common Stock.</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10.2 Restricted Stock Unit Agreement. </w:t>
      </w:r>
      <w:r>
        <w:rPr>
          <w:rFonts w:ascii="Arial" w:cs="Arial" w:eastAsia="Arial" w:hAnsi="Arial"/>
          <w:sz w:val="16"/>
          <w:szCs w:val="16"/>
          <w:color w:val="auto"/>
        </w:rPr>
        <w:t>Each grant of Restricted Stock Units under the Plan shall be evidenced by a Restricted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between the recipient and the Company. Such Restricted Stock Units shall be subject to all applicable terms of the Plan and may be subject to any other terms of the applicable Restricted Stock Unit Agreement that are not inconsistent with the Plan. The provisions of the various Restricted Stock Unit Agreements entered into under the Plan need not be identical, subject to adjustment in accordance with Article 12.</w:t>
      </w:r>
    </w:p>
    <w:p>
      <w:pPr>
        <w:spacing w:after="0" w:line="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color w:val="auto"/>
        </w:rPr>
        <w:t xml:space="preserve">10.3 Payment for Awards. </w:t>
      </w:r>
      <w:r>
        <w:rPr>
          <w:rFonts w:ascii="Arial" w:cs="Arial" w:eastAsia="Arial" w:hAnsi="Arial"/>
          <w:sz w:val="16"/>
          <w:szCs w:val="16"/>
          <w:color w:val="auto"/>
        </w:rPr>
        <w:t>To the extent that an Award is granted in the form of Restricted Stock Units, no cash consideration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of the Award recipients.</w:t>
      </w: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10.4 Vesting Conditions. </w:t>
      </w:r>
      <w:r>
        <w:rPr>
          <w:rFonts w:ascii="Arial" w:cs="Arial" w:eastAsia="Arial" w:hAnsi="Arial"/>
          <w:sz w:val="16"/>
          <w:szCs w:val="16"/>
          <w:color w:val="auto"/>
        </w:rPr>
        <w:t>Each Award of Restricted Stock Units shall be subject to vesting. Vesting shall occur, in full or in installments,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satisfaction of the conditions specified in the Restricted Stock Unit Agreement, subject to Section 3.4. The Committee may include among such conditions the requirement that the performance of the Company or a business unit of the Company for a Performance Cycle equal or exceed a target determined in advance by the Committee. Such target shall be based on any one or combination of the Performance Criteria.</w:t>
      </w:r>
    </w:p>
    <w:p>
      <w:pPr>
        <w:spacing w:after="0" w:line="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If the Participant’s employment with the Company or Subsidiary is terminated before the end of a Performance Cycle for any reason other than Disability, death or Retirement, the Participant shall forfeit all rights with respect to any Restricted Stock Units that were being earned during that Performance Cycle. The Committee, in its absolute and sole discretion, may establish guidelines providing that if a Participant’s employment is terminated before the end of a Performance Cycle by reason of Disability, death or Retirement, the Participant shall be entitled to a prorated payment with respect to any shares of Restricted Stock Units that were being earned during the Performance Cycle, as determined at the end of such Performance Cycle. A Restricted Stock Unit Agreement may provide for accelerated service-based vesting in the event of the Participant’s Disability, death or Retirement (provided that, with respect to accelerated vesting in the event of Retirement, such Restricted Stock Unit Agreement’s accelerated vesting provisions shall comply with the requirements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1019810" cy="1200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8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500" w:type="dxa"/>
            <w:vAlign w:val="bottom"/>
          </w:tcPr>
          <w:p>
            <w:pPr>
              <w:ind w:left="260"/>
              <w:spacing w:after="0"/>
              <w:rPr>
                <w:sz w:val="20"/>
                <w:szCs w:val="20"/>
                <w:color w:val="auto"/>
              </w:rPr>
            </w:pPr>
            <w:r>
              <w:rPr>
                <w:rFonts w:ascii="Arial" w:cs="Arial" w:eastAsia="Arial" w:hAnsi="Arial"/>
                <w:sz w:val="14"/>
                <w:szCs w:val="14"/>
                <w:b w:val="1"/>
                <w:bCs w:val="1"/>
                <w:color w:val="auto"/>
                <w:w w:val="97"/>
              </w:rPr>
              <w:t>B-4</w:t>
            </w:r>
          </w:p>
        </w:tc>
      </w:tr>
      <w:tr>
        <w:trPr>
          <w:trHeight w:val="393"/>
        </w:trPr>
        <w:tc>
          <w:tcPr>
            <w:tcW w:w="10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10.5 Dividend Rights. </w:t>
      </w:r>
      <w:r>
        <w:rPr>
          <w:rFonts w:ascii="Arial" w:cs="Arial" w:eastAsia="Arial" w:hAnsi="Arial"/>
          <w:sz w:val="16"/>
          <w:szCs w:val="16"/>
          <w:color w:val="auto"/>
        </w:rPr>
        <w:t>Shares underlying an Award of Restricted Stock Units shall not be entitled to dividends and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equivalents with respect to such Restricted Stock Units only as set forth under a Restricted Stock Unit Agreement and in compliance with this Section 10.5. If a Restricted Stock Unit Agreement includes rights to dividend equivalents, an amount equal to the dividends that would have been paid if the Restricted Stock Units had been issued and outstanding shares of Common Stock on or before the record date for any declared dividend shall be paid to the holder of such Restricted Stock Units, in cash or stock, subject to applicable withholding taxes, only if and when the Restricted Stock Units vest. Any dividend equivalents payable pursuant to this Section 10.5 shall be paid no later than March 1 of the calendar year after the calendar year in which the underlying Restricted Stock Units vest as provided in the applicable Restricted Stock Unit Agreement.</w:t>
      </w:r>
    </w:p>
    <w:p>
      <w:pPr>
        <w:spacing w:after="0" w:line="7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b w:val="1"/>
          <w:bCs w:val="1"/>
          <w:color w:val="auto"/>
        </w:rPr>
        <w:t xml:space="preserve">10.6 Form and Time of Settlement of Restricted Stock Unit Awards. </w:t>
      </w:r>
      <w:r>
        <w:rPr>
          <w:rFonts w:ascii="Arial" w:cs="Arial" w:eastAsia="Arial" w:hAnsi="Arial"/>
          <w:sz w:val="16"/>
          <w:szCs w:val="16"/>
          <w:color w:val="auto"/>
        </w:rPr>
        <w:t>Settlement of vested Restricted Stock Units may be made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of (a) cash, (b) shares of Common Stock or (c) any combination of both, as determined by the Committee. For the avoidance of doubt, settlement of vested Restricted Stock Units in shares of Common Stock shall not be considered an Award of Unrestricted Shares under Article 8. Methods of converting Restricted Stock Units into cash may include (without limitation) a method based on the average Fair Market Value of shares of Common Stock over a series of trading days. Vested Restricted Stock Units shall be settled in a lump sum before the later of (i) two and one half (2</w:t>
      </w:r>
      <w:r>
        <w:rPr>
          <w:rFonts w:ascii="Arial" w:cs="Arial" w:eastAsia="Arial" w:hAnsi="Arial"/>
          <w:sz w:val="18"/>
          <w:szCs w:val="18"/>
          <w:color w:val="auto"/>
          <w:vertAlign w:val="superscript"/>
        </w:rPr>
        <w:t>1/2</w:t>
      </w:r>
      <w:r>
        <w:rPr>
          <w:rFonts w:ascii="Arial" w:cs="Arial" w:eastAsia="Arial" w:hAnsi="Arial"/>
          <w:sz w:val="16"/>
          <w:szCs w:val="16"/>
          <w:color w:val="auto"/>
        </w:rPr>
        <w:t>) months after the end of the Company’s fiscal year during which all vesting conditions applicable to the Restricted Stock Units have been satisfied or have lapsed or (ii) March 15 following the calendar year in which all vesting conditions applicable to the Restricted Stock Units have been satisfied or have lapsed. Until an Award of Restricted Stock Units is settled, the number of such Restricted Stock Units shall be subject to adjustment pursuant to Article 12.</w:t>
      </w:r>
    </w:p>
    <w:p>
      <w:pPr>
        <w:spacing w:after="0" w:line="2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10.7 Creditors’ Rights. </w:t>
      </w:r>
      <w:r>
        <w:rPr>
          <w:rFonts w:ascii="Arial" w:cs="Arial" w:eastAsia="Arial" w:hAnsi="Arial"/>
          <w:sz w:val="16"/>
          <w:szCs w:val="16"/>
          <w:color w:val="auto"/>
        </w:rPr>
        <w:t>A holder of Restricted Stock Units shall have no rights other than those of a general creditor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Units represent an unfunded and unsecured obligation of the Company, subject to the terms and conditions of the applicable Restricted Stock Unit Agreement.</w:t>
      </w:r>
    </w:p>
    <w:p>
      <w:pPr>
        <w:spacing w:after="0" w:line="6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ARTICLE 11.</w:t>
        <w:tab/>
        <w:t>PERFORMANCE SHARE UNITS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Units granted under the Plan are subject to the following terms and conditions:</w:t>
      </w:r>
    </w:p>
    <w:p>
      <w:pPr>
        <w:spacing w:after="0" w:line="11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6"/>
          <w:szCs w:val="16"/>
          <w:b w:val="1"/>
          <w:bCs w:val="1"/>
          <w:color w:val="auto"/>
        </w:rPr>
        <w:t>11.1</w:t>
      </w:r>
      <w:r>
        <w:rPr>
          <w:sz w:val="20"/>
          <w:szCs w:val="20"/>
          <w:color w:val="auto"/>
        </w:rPr>
        <w:tab/>
      </w:r>
      <w:r>
        <w:rPr>
          <w:rFonts w:ascii="Arial" w:cs="Arial" w:eastAsia="Arial" w:hAnsi="Arial"/>
          <w:sz w:val="16"/>
          <w:szCs w:val="16"/>
          <w:b w:val="1"/>
          <w:bCs w:val="1"/>
          <w:color w:val="auto"/>
        </w:rPr>
        <w:t xml:space="preserve">Performance Share Units. </w:t>
      </w:r>
      <w:r>
        <w:rPr>
          <w:rFonts w:ascii="Arial" w:cs="Arial" w:eastAsia="Arial" w:hAnsi="Arial"/>
          <w:sz w:val="16"/>
          <w:szCs w:val="16"/>
          <w:color w:val="auto"/>
        </w:rPr>
        <w:t>Performance Share Units are designated in shares of Common Stock.</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11.2 Agreement. </w:t>
      </w:r>
      <w:r>
        <w:rPr>
          <w:rFonts w:ascii="Arial" w:cs="Arial" w:eastAsia="Arial" w:hAnsi="Arial"/>
          <w:sz w:val="16"/>
          <w:szCs w:val="16"/>
          <w:color w:val="auto"/>
        </w:rPr>
        <w:t>Each grant of Performance Share Units under the Plan shall be evidenced by an Agreement between the recipient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be subject to all applicable terms of the Plan, and may be subject to any other terms that are not inconsistent with the Plan. The provisions of the various Performance Share Unit Agreements entered into under the Plan need not be identical. Performance Share Units may be granted in consideration of a reduction in the recipient’s other compensation.</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11.3 Payment for Awards. </w:t>
      </w:r>
      <w:r>
        <w:rPr>
          <w:rFonts w:ascii="Arial" w:cs="Arial" w:eastAsia="Arial" w:hAnsi="Arial"/>
          <w:sz w:val="16"/>
          <w:szCs w:val="16"/>
          <w:color w:val="auto"/>
        </w:rPr>
        <w:t>To the extent that an Award is granted in the form of Performance Share Units, no cash consideration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of the Award recipients.</w:t>
      </w: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11.4 Vesting Conditions. </w:t>
      </w:r>
      <w:r>
        <w:rPr>
          <w:rFonts w:ascii="Arial" w:cs="Arial" w:eastAsia="Arial" w:hAnsi="Arial"/>
          <w:sz w:val="16"/>
          <w:szCs w:val="16"/>
          <w:color w:val="auto"/>
        </w:rPr>
        <w:t>Each Award of Performance Share Units shall be subject to vesting. Vesting shall occur, in full or in installments,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satisfaction of the conditions specified in the Performance Share Unit Agreement, subject to Section 3.4. The Committee may include among such conditions the requirement that the performance of the Company or a business unit of the Company for a Performance Cycle equal or exceed a target determined in advance by the Committee. Such target shall be based on any one or combination of the Performance Criteria.</w:t>
      </w:r>
    </w:p>
    <w:p>
      <w:pPr>
        <w:spacing w:after="0" w:line="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If the Participant’s employment with the Company or Subsidiary is terminated before the date that Performance Share Units vest, the Participant shall forfeit all rights with respect to any unvested Performance Share Units. However, with respect to Performance Share Units subject to performance-based vesting conditions, the Committee, in its absolute and sole discretion at the time an Award of Performance Share Units is made, may establish guidelines providing that if a Participant’s employment is terminated before the end of a Performance Cycle by reason of Disability, death or Retirement, the Participant shall be entitled to a prorated payment with respect to any Performance Share Units that were being earned during the Performance Cycle, as determined at the end of such Performance Cycle. A Performance Share Unit Agreement may provide for accelerated service-based vesting in the event of a Participant’s Disability, death or Retirement (provided, in the case of Retirement, that such Performance Share Unit Agreement’s accelerated vesting provisions shall comply with the requirements of Code Section 409A).</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11.5 Dividend Rights. </w:t>
      </w:r>
      <w:r>
        <w:rPr>
          <w:rFonts w:ascii="Arial" w:cs="Arial" w:eastAsia="Arial" w:hAnsi="Arial"/>
          <w:sz w:val="16"/>
          <w:szCs w:val="16"/>
          <w:color w:val="auto"/>
        </w:rPr>
        <w:t>Shares underlying an Award of Performance Share Units shall not be entitled to dividends and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equivalents with respect to such Performance Share Units only as set forth under a Performance Share Unit Agreement and in compliance with this Section 11.5. If a Performance Share Unit Agreement includes rights to dividend equivalents, an amount equal to the dividends that would have been paid if the Performance Share Units had been settled shares of Common Stock on or before the record date for any declared dividend shall be paid to the holder of such Performance Share Units, in cash or stock, subject to applicable withholding taxes, only if and when such Performance Share Units actually vest and are settled in shares of Common Stock. Any dividend equivalents payable pursuant to this Section 11.5 shall be paid no later than March 1 of the calendar year after the calendar year in which the underlying Performance Share Units vest as provided in the applicable Performance Share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330835</wp:posOffset>
            </wp:positionV>
            <wp:extent cx="1020445" cy="1289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B-5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0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6"/>
          <w:szCs w:val="16"/>
          <w:b w:val="1"/>
          <w:bCs w:val="1"/>
          <w:color w:val="auto"/>
        </w:rPr>
        <w:t>11.6</w:t>
      </w:r>
      <w:r>
        <w:rPr>
          <w:sz w:val="20"/>
          <w:szCs w:val="20"/>
          <w:color w:val="auto"/>
        </w:rPr>
        <w:tab/>
      </w:r>
      <w:r>
        <w:rPr>
          <w:rFonts w:ascii="Arial" w:cs="Arial" w:eastAsia="Arial" w:hAnsi="Arial"/>
          <w:sz w:val="16"/>
          <w:szCs w:val="16"/>
          <w:b w:val="1"/>
          <w:bCs w:val="1"/>
          <w:color w:val="auto"/>
        </w:rPr>
        <w:t xml:space="preserve">Form and Time of Settlement of Units. </w:t>
      </w:r>
      <w:r>
        <w:rPr>
          <w:rFonts w:ascii="Arial" w:cs="Arial" w:eastAsia="Arial" w:hAnsi="Arial"/>
          <w:sz w:val="16"/>
          <w:szCs w:val="16"/>
          <w:color w:val="auto"/>
        </w:rPr>
        <w:t>Settlement of vested Performance Share Units may be made in the form of (a) cash,</w:t>
      </w:r>
    </w:p>
    <w:p>
      <w:pPr>
        <w:spacing w:after="0" w:line="21" w:lineRule="exact"/>
        <w:rPr>
          <w:sz w:val="20"/>
          <w:szCs w:val="20"/>
          <w:color w:val="auto"/>
        </w:rPr>
      </w:pPr>
    </w:p>
    <w:p>
      <w:pPr>
        <w:jc w:val="both"/>
        <w:ind w:firstLine="8"/>
        <w:spacing w:after="0" w:line="250" w:lineRule="auto"/>
        <w:tabs>
          <w:tab w:leader="none" w:pos="27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shares of Common Stock or (c) any combination of both, as determined by the Committee. For the avoidance of doubt, settlement of vested Performance Share Units in shares of Common Stock shall not be considered an Award of Unrestricted Shares under Article 8. Methods of converting Performance Share Units into cash may include (without limitation) a method based on the average Fair Market Value of shares of Common Stock over a series of trading days. Vested Performance Share Units shall be settled in a lump sum by the last day of the calendar year in which all vesting conditions applicable to the Performance Share Units have been satisfied or have lapsed. Until an Award of Performance Share Units is settled, the number of such Share Units shall be subject to adjustment pursuant to Article 12.</w:t>
      </w:r>
    </w:p>
    <w:p>
      <w:pPr>
        <w:spacing w:after="0" w:line="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11.7 Creditors’ Rights. </w:t>
      </w:r>
      <w:r>
        <w:rPr>
          <w:rFonts w:ascii="Arial" w:cs="Arial" w:eastAsia="Arial" w:hAnsi="Arial"/>
          <w:sz w:val="16"/>
          <w:szCs w:val="16"/>
          <w:color w:val="auto"/>
        </w:rPr>
        <w:t>A holder of Performance Share Units shall have no rights other than those of a general creditor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 Units represent an unfunded and unsecured obligation of the Company, subject to the terms and conditions of the applicable Performance Share Unit Agreement.</w:t>
      </w:r>
    </w:p>
    <w:p>
      <w:pPr>
        <w:spacing w:after="0" w:line="104"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ARTICLE 12.</w:t>
        <w:tab/>
        <w:t>PROTECTION AGAINST DILUTION</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12.1 Equity Restructuring. </w:t>
      </w:r>
      <w:r>
        <w:rPr>
          <w:rFonts w:ascii="Arial" w:cs="Arial" w:eastAsia="Arial" w:hAnsi="Arial"/>
          <w:sz w:val="16"/>
          <w:szCs w:val="16"/>
          <w:color w:val="auto"/>
        </w:rPr>
        <w:t>In the event of any equity restructuring (within the meaning of Financial Accounting Standards Board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Standards Codification Topic 718, or any successor thereto), such as a stock dividend, stock split, reverse stock split, spinoff, rights offering, or recapitalization through a large, nonrecurring cash dividend, the Committee shall, in such manner, to such extent (if any) and at such time as it deems appropriate and equitable in the circumstances, proportionately adjust any or all of (i) the number and type of shares of Common Stock (or other securities) that thereafter may be made the subject of Awards (including the specific share limits, maximums and numbers of shares set forth elsewhere in this Plan), (ii) the number, amount and type of shares of Common Stock (or other securities or property) subject to any or all outstanding Awards,</w:t>
      </w:r>
    </w:p>
    <w:p>
      <w:pPr>
        <w:jc w:val="both"/>
        <w:ind w:firstLine="8"/>
        <w:spacing w:after="0" w:line="251" w:lineRule="auto"/>
        <w:tabs>
          <w:tab w:leader="none" w:pos="26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grant, purchase, or exercise price of any or all outstanding Awards, (iv) the securities, cash or other property deliverable upon exercise of any or all outstanding Awards, or (v) the performance standards appropriate to any or all outstanding Awards. With respect to any ISO, in the absolute and sole discretion of the Committee, the adjustments set forth in this Article 12 may be made in a manner that would cause the Option to cease to qualify as an ISO. For the avoidance of doubt, this Article 12 does not apply to normal cash dividends with respect to Company Stock other than extraordinary dividends or to stock issued in lieu of such dividends.</w:t>
      </w:r>
    </w:p>
    <w:p>
      <w:pPr>
        <w:spacing w:after="0" w:line="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12.2 Corporate Transaction. </w:t>
      </w:r>
      <w:r>
        <w:rPr>
          <w:rFonts w:ascii="Arial" w:cs="Arial" w:eastAsia="Arial" w:hAnsi="Arial"/>
          <w:sz w:val="16"/>
          <w:szCs w:val="16"/>
          <w:color w:val="auto"/>
        </w:rPr>
        <w:t>In the event of any reorganization, merger, consolidation, split-up, spin off, combination, amalgamation,</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(including the sale, merger or other corporate transaction involving a Subsidiary), the Committee may make any of the adjustments set forth in Section 12.1 above and may also make provision for a cash payment or for the assumption, substitution or exchange of any or all outstanding share-based Awards or the cash, securities or property deliverable to the holder of any or all outstanding share-based Awards, based upon the distribution or consideration payable to holders of the outstanding shares of Common Stock upon or in respect of such event, and may, in its discretion, accelerate the vesting of outstanding Awards. The Committee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grant price of the Award, unless otherwise provided in, or by authorized amendment to, the Award or provided in another applicable agreement with the Participant.</w:t>
      </w:r>
    </w:p>
    <w:p>
      <w:pPr>
        <w:spacing w:after="0" w:line="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12.3</w:t>
      </w:r>
      <w:r>
        <w:rPr>
          <w:sz w:val="20"/>
          <w:szCs w:val="20"/>
          <w:color w:val="auto"/>
        </w:rPr>
        <w:tab/>
      </w:r>
      <w:r>
        <w:rPr>
          <w:rFonts w:ascii="Arial" w:cs="Arial" w:eastAsia="Arial" w:hAnsi="Arial"/>
          <w:sz w:val="16"/>
          <w:szCs w:val="16"/>
          <w:b w:val="1"/>
          <w:bCs w:val="1"/>
          <w:color w:val="auto"/>
        </w:rPr>
        <w:t>Change in Control.</w:t>
      </w:r>
    </w:p>
    <w:p>
      <w:pPr>
        <w:spacing w:after="0" w:line="113" w:lineRule="exact"/>
        <w:rPr>
          <w:sz w:val="20"/>
          <w:szCs w:val="20"/>
          <w:color w:val="auto"/>
        </w:rPr>
      </w:pPr>
    </w:p>
    <w:p>
      <w:pPr>
        <w:jc w:val="both"/>
        <w:ind w:firstLine="656"/>
        <w:spacing w:after="0" w:line="252" w:lineRule="auto"/>
        <w:tabs>
          <w:tab w:leader="none" w:pos="121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the event of a Change in Control, a Participant’s unvested Awards shall not automatically vest, except as otherwise provided by the Committee in an Award Agreement. Instead, except as provided in Section 12.3(b) below, outstanding Awards shall continue in effect or be assumed, or an equivalent Award substituted, by the successor corporation or a parent or subsidiary of the successor corporation (with appropriate adjustments to the Awards as set forth in Section 12.1 and 12.2 above). Notwithstanding anything to the contrary contained in the foregoing, in the event that the Participant experiences a Qualifying Termination within twelve (12) months following a Change in Control, then the unvested Awards held by that Participant automatically shall vest in full upon the date of such Qualifying Termination, with any performance-based awards deemed earned based on Committee’s assessment of performance through the date of the Qualifying Termination, or if such performance is indeterminable at that time, at the 100% “target” level of performance.</w:t>
      </w:r>
    </w:p>
    <w:p>
      <w:pPr>
        <w:spacing w:after="0" w:line="74" w:lineRule="exact"/>
        <w:rPr>
          <w:rFonts w:ascii="Arial" w:cs="Arial" w:eastAsia="Arial" w:hAnsi="Arial"/>
          <w:sz w:val="16"/>
          <w:szCs w:val="16"/>
          <w:color w:val="auto"/>
        </w:rPr>
      </w:pPr>
    </w:p>
    <w:p>
      <w:pPr>
        <w:jc w:val="both"/>
        <w:ind w:firstLine="656"/>
        <w:spacing w:after="0" w:line="252" w:lineRule="auto"/>
        <w:tabs>
          <w:tab w:leader="none" w:pos="121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the successor corporation and its parent in a Change in Control refuse to assume or substitute for an Award as provided in Section 12.3(a) above, then the Committee shall, without the consent of the affected Participants: (i) provide for the cancellation of the vested portion of any such Award as of the date of the Change in Control in exchange for either an amount of cash (or stock, other securities or other property) as provided in Section 12.2 above (and with performance-based awards deemed earned based on Committee’s assessment of performance through the date of the Qualifying Termination, or if such performance is indeterminable at that time, at the 100% “target” level of performance); provided that, if the amount that could have been obtained upon the exercise or settlement of the vested portion of such Award is equal to or less than zero, then the Award shall be cancelled without payment of consideration, and (ii) provide for the cancellation of the unvested portion of the Award, if any, without payment of consideration as of the date of the Change in Control.</w:t>
      </w:r>
    </w:p>
    <w:p>
      <w:pPr>
        <w:spacing w:after="0" w:line="7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ARTICLE 13.</w:t>
        <w:tab/>
        <w:t>AWARDS UNDER OTHER PLANS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may grant Awards under other equity plans or programs. Such Awards may be settled in the form of shares of Common Stock issued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89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8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500" w:type="dxa"/>
            <w:vAlign w:val="bottom"/>
          </w:tcPr>
          <w:p>
            <w:pPr>
              <w:ind w:left="260"/>
              <w:spacing w:after="0"/>
              <w:rPr>
                <w:sz w:val="20"/>
                <w:szCs w:val="20"/>
                <w:color w:val="auto"/>
              </w:rPr>
            </w:pPr>
            <w:r>
              <w:rPr>
                <w:rFonts w:ascii="Arial" w:cs="Arial" w:eastAsia="Arial" w:hAnsi="Arial"/>
                <w:sz w:val="14"/>
                <w:szCs w:val="14"/>
                <w:b w:val="1"/>
                <w:bCs w:val="1"/>
                <w:color w:val="auto"/>
                <w:w w:val="97"/>
              </w:rPr>
              <w:t>B-6</w:t>
            </w:r>
          </w:p>
        </w:tc>
      </w:tr>
      <w:tr>
        <w:trPr>
          <w:trHeight w:val="407"/>
        </w:trPr>
        <w:tc>
          <w:tcPr>
            <w:tcW w:w="10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0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ARTICLE 14.</w:t>
      </w:r>
      <w:r>
        <w:rPr>
          <w:sz w:val="20"/>
          <w:szCs w:val="20"/>
          <w:color w:val="auto"/>
        </w:rPr>
        <w:tab/>
      </w:r>
      <w:r>
        <w:rPr>
          <w:rFonts w:ascii="Arial" w:cs="Arial" w:eastAsia="Arial" w:hAnsi="Arial"/>
          <w:sz w:val="15"/>
          <w:szCs w:val="15"/>
          <w:b w:val="1"/>
          <w:bCs w:val="1"/>
          <w:color w:val="auto"/>
        </w:rPr>
        <w:t>LIMITATION ON RIGHTS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14.1 Retention Rights. </w:t>
      </w:r>
      <w:r>
        <w:rPr>
          <w:rFonts w:ascii="Arial" w:cs="Arial" w:eastAsia="Arial" w:hAnsi="Arial"/>
          <w:sz w:val="16"/>
          <w:szCs w:val="16"/>
          <w:color w:val="auto"/>
        </w:rPr>
        <w:t>Neither the Plan nor any Award granted under the Plan shall be deemed to give any individual a right to remain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or Nonemployee Director. The Company and its Subsidiaries reserve the right to terminate the Service of any Employee or Nonemployee Director at any time, with or without cause, subject to applicable laws, the Company’s Restated Articles of Incorporation and Bylaws and a written employment agreement (if any).</w:t>
      </w:r>
    </w:p>
    <w:p>
      <w:pPr>
        <w:spacing w:after="0" w:line="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14.2 Shareholders’ Rights. </w:t>
      </w:r>
      <w:r>
        <w:rPr>
          <w:rFonts w:ascii="Arial" w:cs="Arial" w:eastAsia="Arial" w:hAnsi="Arial"/>
          <w:sz w:val="16"/>
          <w:szCs w:val="16"/>
          <w:color w:val="auto"/>
        </w:rPr>
        <w:t>Unless otherwise provided in this Plan or in any Award, a Participant shall have no dividend rights, voting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or other rights as a shareholder with respect to any shares of Common Stock covered by his or her Award prior to the time when a stock certificate for such shares of Common Stock is issued or, if applicable, the time when he or she becomes entitled to receive such shares of Common Stock by filing any required notice of exercise and paying any required Exercise Price. No adjustment shall be made for normal cash dividends or other rights for which the record date is prior to such time, except as expressly provided in the Plan.</w:t>
      </w:r>
    </w:p>
    <w:p>
      <w:pPr>
        <w:spacing w:after="0" w:line="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14.3 Regulatory Requirements. </w:t>
      </w:r>
      <w:r>
        <w:rPr>
          <w:rFonts w:ascii="Arial" w:cs="Arial" w:eastAsia="Arial" w:hAnsi="Arial"/>
          <w:sz w:val="16"/>
          <w:szCs w:val="16"/>
          <w:color w:val="auto"/>
        </w:rPr>
        <w:t>Any other provision of the Plan notwithstanding, the obligation of the Company to issue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under the Plan shall be subject to all applicable laws, rules and regulations and such approval by any regulatory body as may be required. The Company reserves the right to restrict, in whole or in part, the delivery of shares of Common Stock pursuant to any Award prior to the satisfaction of all legal requirements relating to the issuance of such shares of Common Stock related to their registration, qualification or listing or to an exemption from registration, qualification or listing.</w:t>
      </w:r>
    </w:p>
    <w:p>
      <w:pPr>
        <w:spacing w:after="0" w:line="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14.4 Compliance with Code Section 409A. </w:t>
      </w:r>
      <w:r>
        <w:rPr>
          <w:rFonts w:ascii="Arial" w:cs="Arial" w:eastAsia="Arial" w:hAnsi="Arial"/>
          <w:sz w:val="16"/>
          <w:szCs w:val="16"/>
          <w:color w:val="auto"/>
        </w:rPr>
        <w:t>Awards under the Plan are intended to comply with Code Section 409A and all Awards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interpreted in a manner that results in compliance with Section 409A, Department of Treasury regulations, and other interpretive guidance under Section 409A. Notwithstanding any provision of the Plan or an Award to the contrary, if the Committee determines that any Award does not comply with Code Section 409A, the Company may adopt such amendments to the Plan and the affected Award (without consent of the Participant) or adopt other policies or procedures (including amendments, policies and procedures with retroactive effect), or take any other actions, that the Committee determines are necessary and appropriate to (a) exempt the Plan and the Award from application of Code Section 409A and/or preserve the intended tax treatment of amounts payable with respect to the Award, or (b) comply with the requirements of Code Section 409A.</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14.5 Clawback Policy. </w:t>
      </w:r>
      <w:r>
        <w:rPr>
          <w:rFonts w:ascii="Arial" w:cs="Arial" w:eastAsia="Arial" w:hAnsi="Arial"/>
          <w:sz w:val="16"/>
          <w:szCs w:val="16"/>
          <w:color w:val="auto"/>
        </w:rPr>
        <w:t>Each Award issued under the Plan is subject to the Company’s clawback policy, which is amended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whether or not such policy was in place at the time of grant of an Award.</w:t>
      </w:r>
    </w:p>
    <w:p>
      <w:pPr>
        <w:spacing w:after="0" w:line="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14.6 Transferability. </w:t>
      </w:r>
      <w:r>
        <w:rPr>
          <w:rFonts w:ascii="Arial" w:cs="Arial" w:eastAsia="Arial" w:hAnsi="Arial"/>
          <w:sz w:val="16"/>
          <w:szCs w:val="16"/>
          <w:color w:val="auto"/>
        </w:rPr>
        <w:t>Except in the context of death of a Participant, or as otherwise required by law, or as approved by the Committee for</w:t>
      </w:r>
      <w:r>
        <w:rPr>
          <w:rFonts w:ascii="Arial" w:cs="Arial" w:eastAsia="Arial" w:hAnsi="Arial"/>
          <w:sz w:val="16"/>
          <w:szCs w:val="16"/>
          <w:b w:val="1"/>
          <w:bCs w:val="1"/>
          <w:color w:val="auto"/>
        </w:rPr>
        <w:t xml:space="preserve"> </w:t>
      </w:r>
      <w:r>
        <w:rPr>
          <w:rFonts w:ascii="Arial" w:cs="Arial" w:eastAsia="Arial" w:hAnsi="Arial"/>
          <w:sz w:val="16"/>
          <w:szCs w:val="16"/>
          <w:color w:val="auto"/>
        </w:rPr>
        <w:t>no consideration, Awards issued under the Plan may not be transferred to any third party.</w:t>
      </w:r>
    </w:p>
    <w:p>
      <w:pPr>
        <w:spacing w:after="0" w:line="4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color w:val="auto"/>
        </w:rPr>
        <w:t xml:space="preserve">14.7 Governing Law. </w:t>
      </w:r>
      <w:r>
        <w:rPr>
          <w:rFonts w:ascii="Arial" w:cs="Arial" w:eastAsia="Arial" w:hAnsi="Arial"/>
          <w:sz w:val="16"/>
          <w:szCs w:val="16"/>
          <w:color w:val="auto"/>
        </w:rPr>
        <w:t>The Plan shall be governed by, and construed in accordance with, the laws of the State of Washington,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any conflicts of laws principles.</w:t>
      </w:r>
    </w:p>
    <w:p>
      <w:pPr>
        <w:spacing w:after="0" w:line="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14.8 No Re-Pricing. </w:t>
      </w:r>
      <w:r>
        <w:rPr>
          <w:rFonts w:ascii="Arial" w:cs="Arial" w:eastAsia="Arial" w:hAnsi="Arial"/>
          <w:sz w:val="16"/>
          <w:szCs w:val="16"/>
          <w:color w:val="auto"/>
        </w:rPr>
        <w:t>Except as otherwise provided in Article 12 above, the terms of outstanding Awards may not be amended to reduce</w:t>
      </w:r>
      <w:r>
        <w:rPr>
          <w:rFonts w:ascii="Arial" w:cs="Arial" w:eastAsia="Arial" w:hAnsi="Arial"/>
          <w:sz w:val="16"/>
          <w:szCs w:val="16"/>
          <w:b w:val="1"/>
          <w:bCs w:val="1"/>
          <w:color w:val="auto"/>
        </w:rPr>
        <w:t xml:space="preserve"> </w:t>
      </w:r>
      <w:r>
        <w:rPr>
          <w:rFonts w:ascii="Arial" w:cs="Arial" w:eastAsia="Arial" w:hAnsi="Arial"/>
          <w:sz w:val="16"/>
          <w:szCs w:val="16"/>
          <w:color w:val="auto"/>
        </w:rPr>
        <w:t>any exercise price associated with such Awards or to cancel any outstanding Awards in exchange for cash, other Awards or other securities with an exercise price that is less than the exercise price of the original Awards without shareholder approval.</w:t>
      </w:r>
    </w:p>
    <w:p>
      <w:pPr>
        <w:spacing w:after="0" w:line="6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ARTICLE 15.</w:t>
        <w:tab/>
        <w:t>WITHHOLDING TAXES</w:t>
      </w:r>
    </w:p>
    <w:p>
      <w:pPr>
        <w:spacing w:after="0" w:line="1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15.1 General. </w:t>
      </w:r>
      <w:r>
        <w:rPr>
          <w:rFonts w:ascii="Arial" w:cs="Arial" w:eastAsia="Arial" w:hAnsi="Arial"/>
          <w:sz w:val="16"/>
          <w:szCs w:val="16"/>
          <w:color w:val="auto"/>
        </w:rPr>
        <w:t>To the extent required by applicable federal, state, local or foreign law, a Participant or his or her successor shall make</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satisfactory to the Company for the satisfaction of any withholding tax obligations that arise in connection with the Plan. The Company shall not be required to issue any shares of Common Stock or make any cash payment under the Plan until such obligations are satisfied.</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15.2 Share Withholding. </w:t>
      </w:r>
      <w:r>
        <w:rPr>
          <w:rFonts w:ascii="Arial" w:cs="Arial" w:eastAsia="Arial" w:hAnsi="Arial"/>
          <w:sz w:val="16"/>
          <w:szCs w:val="16"/>
          <w:color w:val="auto"/>
        </w:rPr>
        <w:t>To the extent that applicable law subjects a Participant to tax withholding obligations, the Committee may permit</w:t>
      </w:r>
      <w:r>
        <w:rPr>
          <w:rFonts w:ascii="Arial" w:cs="Arial" w:eastAsia="Arial" w:hAnsi="Arial"/>
          <w:sz w:val="16"/>
          <w:szCs w:val="16"/>
          <w:b w:val="1"/>
          <w:bCs w:val="1"/>
          <w:color w:val="auto"/>
        </w:rPr>
        <w:t xml:space="preserve"> </w:t>
      </w:r>
      <w:r>
        <w:rPr>
          <w:rFonts w:ascii="Arial" w:cs="Arial" w:eastAsia="Arial" w:hAnsi="Arial"/>
          <w:sz w:val="16"/>
          <w:szCs w:val="16"/>
          <w:color w:val="auto"/>
        </w:rPr>
        <w:t>such Participant to satisfy all or part of such obligations by having the Company withhold all or a portion of any shares of Common Stock that otherwise would be issued to him or her or by surrendering all or a portion of any shares of Common Stock that he or she previously acquired, in each case having a Fair Market Value equal to the minimum amount required by applicable law to be withheld or paid (or such other amount that will not result in adverse accounting consequences for the Company or a Subsidiary). Such shares of Common Stock shall be valued at their Fair Market Value on the date when they are withheld or surrendered, and shall be deemed to have been issued for purposes of identifying any shares which may become available for grant pursuant to Section 3.3 above.</w:t>
      </w:r>
    </w:p>
    <w:p>
      <w:pPr>
        <w:spacing w:after="0" w:line="7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ARTICLE 16.</w:t>
        <w:tab/>
        <w:t>FUTURE OF THE PLAN</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16.1 Term of the Plan. </w:t>
      </w:r>
      <w:r>
        <w:rPr>
          <w:rFonts w:ascii="Arial" w:cs="Arial" w:eastAsia="Arial" w:hAnsi="Arial"/>
          <w:sz w:val="16"/>
          <w:szCs w:val="16"/>
          <w:color w:val="auto"/>
        </w:rPr>
        <w:t>The Plan, as set forth herein, became effective on the date of shareholder approval, May 23, 2019,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effect for a period of ten (10) years unless earlier terminated under Section 16.2.</w:t>
      </w:r>
    </w:p>
    <w:p>
      <w:pPr>
        <w:spacing w:after="0" w:line="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16.2 Amendment or Termination. </w:t>
      </w:r>
      <w:r>
        <w:rPr>
          <w:rFonts w:ascii="Arial" w:cs="Arial" w:eastAsia="Arial" w:hAnsi="Arial"/>
          <w:sz w:val="16"/>
          <w:szCs w:val="16"/>
          <w:color w:val="auto"/>
        </w:rPr>
        <w:t>The Board may, at any time and for any reason, amend, alter or terminate the Plan or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Notwithstanding the foregoing and except as provided in Section 14.4, no amendment, alteration or termination of the Plan or an Award Agreement shall be made that would impair the rights of a Participant under any Award theretofore granted without such Participant’s express written consent. An amendment of the Plan shall be subject to the approval of the Company’s shareholders for any amendment that would (a) require shareholder approval in order to satisfy the applicable requirements of Code section 422, or other applicable laws, regulations or rules, including but not limited to any stock exchange rules; (b) increase amounts payable under the Plan to Participants (provided that shareholder approval shall not be required for increases that are not material and do not require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329565</wp:posOffset>
            </wp:positionV>
            <wp:extent cx="1020445" cy="1289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B-7</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4520"/>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approval under applicable law or stock exchange rules); (c) increase the number of shares of Common Stock authorized to be issued under the Plan;</w:t>
      </w:r>
    </w:p>
    <w:p>
      <w:pPr>
        <w:spacing w:after="0" w:line="21" w:lineRule="exact"/>
        <w:rPr>
          <w:sz w:val="20"/>
          <w:szCs w:val="20"/>
          <w:color w:val="auto"/>
        </w:rPr>
      </w:pPr>
    </w:p>
    <w:p>
      <w:pPr>
        <w:ind w:firstLine="8"/>
        <w:spacing w:after="0" w:line="265" w:lineRule="auto"/>
        <w:tabs>
          <w:tab w:leader="none" w:pos="27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permit the repurchase by the Company of any outstanding Awards with an Exercise Price greater than the then-current Fair Market Value of Common Stock; or (e) modify the Plan’s eligibility provisions. No Awards shall be granted under the Plan after the termination thereof.</w:t>
      </w:r>
    </w:p>
    <w:p>
      <w:pPr>
        <w:spacing w:after="0" w:line="64"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ARTICLE 17.</w:t>
        <w:tab/>
        <w:t>DEFINITIONS</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17.1 </w:t>
      </w:r>
      <w:r>
        <w:rPr>
          <w:rFonts w:ascii="Arial" w:cs="Arial" w:eastAsia="Arial" w:hAnsi="Arial"/>
          <w:sz w:val="16"/>
          <w:szCs w:val="16"/>
          <w:color w:val="auto"/>
        </w:rPr>
        <w:t>“Award” means any grant of an Option, an SAR, an Unrestricted Share, a Restricted Share, a Restricted Stock Unit or a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Share Unit under the Plan.</w:t>
      </w:r>
    </w:p>
    <w:p>
      <w:pPr>
        <w:spacing w:after="0" w:line="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17.2 </w:t>
      </w:r>
      <w:r>
        <w:rPr>
          <w:rFonts w:ascii="Arial" w:cs="Arial" w:eastAsia="Arial" w:hAnsi="Arial"/>
          <w:sz w:val="16"/>
          <w:szCs w:val="16"/>
          <w:color w:val="auto"/>
        </w:rPr>
        <w:t>“Award Agreement” means the written agreement between the Company and the recipient that contains the terms, conditions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pertaining to a particular Award.</w:t>
      </w:r>
    </w:p>
    <w:p>
      <w:pPr>
        <w:spacing w:after="0" w:line="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17.3</w:t>
      </w:r>
      <w:r>
        <w:rPr>
          <w:sz w:val="20"/>
          <w:szCs w:val="20"/>
          <w:color w:val="auto"/>
        </w:rPr>
        <w:tab/>
      </w:r>
      <w:r>
        <w:rPr>
          <w:rFonts w:ascii="Arial" w:cs="Arial" w:eastAsia="Arial" w:hAnsi="Arial"/>
          <w:sz w:val="16"/>
          <w:szCs w:val="16"/>
          <w:color w:val="auto"/>
        </w:rPr>
        <w:t>“Board” means the Company’s Board of Directors, as constituted from time to time.</w:t>
      </w:r>
    </w:p>
    <w:p>
      <w:pPr>
        <w:spacing w:after="0" w:line="1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color w:val="auto"/>
        </w:rPr>
        <w:t xml:space="preserve">17.4 </w:t>
      </w:r>
      <w:r>
        <w:rPr>
          <w:rFonts w:ascii="Arial" w:cs="Arial" w:eastAsia="Arial" w:hAnsi="Arial"/>
          <w:sz w:val="16"/>
          <w:szCs w:val="16"/>
          <w:color w:val="auto"/>
        </w:rPr>
        <w:t>“Cause” means as a reason for a Participant’s termination of employment or service shall have the meaning provided in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between the Company or a Subsidiary and the Participant, or severance plan covering the Participant, if any, or if there is no such agreement or plan, as applicable, that defines the term, then “Cause” shall mean (a) the Participant’s conviction of, or plea of guilty or no contest to, (i) any felony (or its international equivalent) or (ii) any other crime that results, or could reasonably be expected to result, in material harm to the business or reputation of the Company or any Subsidiary, (b) an act of personal dishonesty or disloyalty in the course of fulfilling the Participant’s duties to the Company or a Subsidiary, or an act of fraud or misappropriation, embezzlement, or misuse of funds or property belonging to the Company or any Subsidiary, (c) the Participant’s deliberate and continued failure to perform substantially such Participant’s material duties to the Company or a Subsidiary, (d) a material violation of the written policies of the Company and its Subsidiaries, including but not limited to those relating to sexual harassment or the disclosure or misuse of confidential information, or those set forth in the manuals or statements of policy of the Company and its Subsidiaries, (e) the Participant’s engagement in willful misconduct in connection with the Participant’s employment or services with the Company and its Subsidiaries, which results, or could reasonably be expected to result, in material harm to the business or reputation of the Company or any Subsidiary, and (f) breach of any restrictive covenants applicable to the Participant as a result of any agreement with the Company or any Subsidiary or any policy or plan maintained by the Company or any Subsidiary. The foregoing, however, shall not be deemed an exclusive list of all acts or omissions that the Company (or the Parent or Subsidiary employing the Participant) may consider as grounds for the discharge of the Participant without Cause.</w:t>
      </w:r>
    </w:p>
    <w:p>
      <w:pPr>
        <w:spacing w:after="0" w:line="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17.5</w:t>
      </w:r>
      <w:r>
        <w:rPr>
          <w:sz w:val="20"/>
          <w:szCs w:val="20"/>
          <w:color w:val="auto"/>
        </w:rPr>
        <w:tab/>
      </w:r>
      <w:r>
        <w:rPr>
          <w:rFonts w:ascii="Arial" w:cs="Arial" w:eastAsia="Arial" w:hAnsi="Arial"/>
          <w:sz w:val="16"/>
          <w:szCs w:val="16"/>
          <w:color w:val="auto"/>
        </w:rPr>
        <w:t>“Change in Control” means the happening of any of the following:</w:t>
      </w:r>
    </w:p>
    <w:p>
      <w:pPr>
        <w:spacing w:after="0" w:line="113" w:lineRule="exact"/>
        <w:rPr>
          <w:sz w:val="20"/>
          <w:szCs w:val="20"/>
          <w:color w:val="auto"/>
        </w:rPr>
      </w:pPr>
    </w:p>
    <w:p>
      <w:pPr>
        <w:jc w:val="both"/>
        <w:ind w:firstLine="656"/>
        <w:spacing w:after="0" w:line="259" w:lineRule="auto"/>
        <w:tabs>
          <w:tab w:leader="none" w:pos="121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 if persons who were not shareholders of the Company immediately prior to such merger, consolidation or other reorganization own immediately after such merger, consolidation or other reorganization in excess of fifty percent (50%) of the voting power of the outstanding securities of each of (i) the continuing or surviving entity and (ii) any direct or indirect parent corporation of such continuing or surviving entity;</w:t>
      </w:r>
    </w:p>
    <w:p>
      <w:pPr>
        <w:spacing w:after="0" w:line="69" w:lineRule="exact"/>
        <w:rPr>
          <w:rFonts w:ascii="Arial" w:cs="Arial" w:eastAsia="Arial" w:hAnsi="Arial"/>
          <w:sz w:val="16"/>
          <w:szCs w:val="16"/>
          <w:color w:val="auto"/>
        </w:rPr>
      </w:pPr>
    </w:p>
    <w:p>
      <w:pPr>
        <w:ind w:left="1220" w:hanging="564"/>
        <w:spacing w:after="0"/>
        <w:tabs>
          <w:tab w:leader="none" w:pos="12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w:t>
      </w:r>
    </w:p>
    <w:p>
      <w:pPr>
        <w:spacing w:after="0" w:line="113" w:lineRule="exact"/>
        <w:rPr>
          <w:rFonts w:ascii="Arial" w:cs="Arial" w:eastAsia="Arial" w:hAnsi="Arial"/>
          <w:sz w:val="16"/>
          <w:szCs w:val="16"/>
          <w:color w:val="auto"/>
        </w:rPr>
      </w:pPr>
    </w:p>
    <w:p>
      <w:pPr>
        <w:jc w:val="both"/>
        <w:ind w:firstLine="656"/>
        <w:spacing w:after="0" w:line="253" w:lineRule="auto"/>
        <w:tabs>
          <w:tab w:leader="none" w:pos="124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fewer than fifty percent (50%) of the incumbent Directors are Directors who either (i) had been Directors of the Company on the date twenty-four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but excluding, for this purpose, any such Director whose initial assumption of office occurs as a result of either an actual or threatened election contest or other actual or threatened solicitation of proxies or consents by or on behalf of a Person other than the Board of Directors, including by reason of agreement intended to avoid or settle any such actual or threatened contest or solicitation; or</w:t>
      </w:r>
    </w:p>
    <w:p>
      <w:pPr>
        <w:spacing w:after="0" w:line="73" w:lineRule="exact"/>
        <w:rPr>
          <w:rFonts w:ascii="Arial" w:cs="Arial" w:eastAsia="Arial" w:hAnsi="Arial"/>
          <w:sz w:val="16"/>
          <w:szCs w:val="16"/>
          <w:color w:val="auto"/>
        </w:rPr>
      </w:pPr>
    </w:p>
    <w:p>
      <w:pPr>
        <w:jc w:val="both"/>
        <w:ind w:firstLine="656"/>
        <w:spacing w:after="0" w:line="254" w:lineRule="auto"/>
        <w:tabs>
          <w:tab w:leader="none" w:pos="121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transaction as a result of which any person is the “beneficial owner” (as defined in Rule 13d-3 under the Exchange Act), directly or indirectly, of securities of the Company representing at least thirty percent (30%) of the total voting power represented by the Company’s then outstanding voting securities. For purposes of this Paragraph (d), the term “person” shall have the same meaning as when used in sections 13(d) and 14(d) of the Exchange Act but shall exclude (i) a trustee or other fiduciary holding securities under an employee benefit plan of the Company or of a Subsidiary and (ii) a corporation owned directly or indirectly by the shareholders of the Company in substantially the same proportions as their ownership of the common stock of the Company.</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25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17.6</w:t>
      </w:r>
      <w:r>
        <w:rPr>
          <w:sz w:val="20"/>
          <w:szCs w:val="20"/>
          <w:color w:val="auto"/>
        </w:rPr>
        <w:tab/>
      </w:r>
      <w:r>
        <w:rPr>
          <w:rFonts w:ascii="Arial" w:cs="Arial" w:eastAsia="Arial" w:hAnsi="Arial"/>
          <w:sz w:val="16"/>
          <w:szCs w:val="16"/>
          <w:color w:val="auto"/>
        </w:rPr>
        <w:t>“Code” means the Internal Revenue Code of 1986, as amended.</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17.7</w:t>
      </w:r>
      <w:r>
        <w:rPr>
          <w:sz w:val="20"/>
          <w:szCs w:val="20"/>
          <w:color w:val="auto"/>
        </w:rPr>
        <w:tab/>
      </w:r>
      <w:r>
        <w:rPr>
          <w:rFonts w:ascii="Arial" w:cs="Arial" w:eastAsia="Arial" w:hAnsi="Arial"/>
          <w:sz w:val="16"/>
          <w:szCs w:val="16"/>
          <w:color w:val="auto"/>
        </w:rPr>
        <w:t>“Committee” means the Compensation, People and Culture Committee of the Company’s Board.</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17.8</w:t>
      </w:r>
      <w:r>
        <w:rPr>
          <w:sz w:val="20"/>
          <w:szCs w:val="20"/>
          <w:color w:val="auto"/>
        </w:rPr>
        <w:tab/>
      </w:r>
      <w:r>
        <w:rPr>
          <w:rFonts w:ascii="Arial" w:cs="Arial" w:eastAsia="Arial" w:hAnsi="Arial"/>
          <w:sz w:val="16"/>
          <w:szCs w:val="16"/>
          <w:color w:val="auto"/>
        </w:rPr>
        <w:t>“Common Stock” means shares of the common stock of the Company.</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17.9</w:t>
      </w:r>
      <w:r>
        <w:rPr>
          <w:sz w:val="20"/>
          <w:szCs w:val="20"/>
          <w:color w:val="auto"/>
        </w:rPr>
        <w:tab/>
      </w:r>
      <w:r>
        <w:rPr>
          <w:rFonts w:ascii="Arial" w:cs="Arial" w:eastAsia="Arial" w:hAnsi="Arial"/>
          <w:sz w:val="16"/>
          <w:szCs w:val="16"/>
          <w:color w:val="auto"/>
        </w:rPr>
        <w:t>“Company” means Nordstrom, Inc., a Washington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1019810" cy="1289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8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500" w:type="dxa"/>
            <w:vAlign w:val="bottom"/>
          </w:tcPr>
          <w:p>
            <w:pPr>
              <w:ind w:left="260"/>
              <w:spacing w:after="0"/>
              <w:rPr>
                <w:sz w:val="20"/>
                <w:szCs w:val="20"/>
                <w:color w:val="auto"/>
              </w:rPr>
            </w:pPr>
            <w:r>
              <w:rPr>
                <w:rFonts w:ascii="Arial" w:cs="Arial" w:eastAsia="Arial" w:hAnsi="Arial"/>
                <w:sz w:val="14"/>
                <w:szCs w:val="14"/>
                <w:b w:val="1"/>
                <w:bCs w:val="1"/>
                <w:color w:val="auto"/>
                <w:w w:val="97"/>
              </w:rPr>
              <w:t>B-8</w:t>
            </w:r>
          </w:p>
        </w:tc>
      </w:tr>
      <w:tr>
        <w:trPr>
          <w:trHeight w:val="407"/>
        </w:trPr>
        <w:tc>
          <w:tcPr>
            <w:tcW w:w="10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0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17.10 </w:t>
      </w:r>
      <w:r>
        <w:rPr>
          <w:rFonts w:ascii="Arial" w:cs="Arial" w:eastAsia="Arial" w:hAnsi="Arial"/>
          <w:sz w:val="16"/>
          <w:szCs w:val="16"/>
          <w:color w:val="auto"/>
        </w:rPr>
        <w:t>“Disability” means the inability to engage in any substantial gainful activity by reason of any medically determinable physical or mental</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which can be expected to result in death or which has lasted or can be expected to last for a continuous period of not less than twelve (12) months.</w:t>
      </w:r>
    </w:p>
    <w:p>
      <w:pPr>
        <w:spacing w:after="0" w:line="6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17.11</w:t>
      </w:r>
      <w:r>
        <w:rPr>
          <w:sz w:val="20"/>
          <w:szCs w:val="20"/>
          <w:color w:val="auto"/>
        </w:rPr>
        <w:tab/>
      </w:r>
      <w:r>
        <w:rPr>
          <w:rFonts w:ascii="Arial" w:cs="Arial" w:eastAsia="Arial" w:hAnsi="Arial"/>
          <w:sz w:val="16"/>
          <w:szCs w:val="16"/>
          <w:color w:val="auto"/>
        </w:rPr>
        <w:t>“Employee” means a common-law employee of the Company, a Parent or a Subsidiary.</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17.12</w:t>
      </w:r>
      <w:r>
        <w:rPr>
          <w:sz w:val="20"/>
          <w:szCs w:val="20"/>
          <w:color w:val="auto"/>
        </w:rPr>
        <w:tab/>
      </w:r>
      <w:r>
        <w:rPr>
          <w:rFonts w:ascii="Arial" w:cs="Arial" w:eastAsia="Arial" w:hAnsi="Arial"/>
          <w:sz w:val="16"/>
          <w:szCs w:val="16"/>
          <w:color w:val="auto"/>
        </w:rPr>
        <w:t>“Exchange Act” means the Securities Exchange Act of 1934, as amended.</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17.13 </w:t>
      </w:r>
      <w:r>
        <w:rPr>
          <w:rFonts w:ascii="Arial" w:cs="Arial" w:eastAsia="Arial" w:hAnsi="Arial"/>
          <w:sz w:val="16"/>
          <w:szCs w:val="16"/>
          <w:color w:val="auto"/>
        </w:rPr>
        <w:t>“Exercise Price,” in the case of an Option, means the amount for which one share of Common Stock may be purchased upon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Option, as specified in the applicable Stock Option Agreement. “Exercise Price,” in the case of an SAR, means an amount, as specified in the applicable SAR Agreement, which is subtracted from the Fair Market Value of one share of Common Stock in determining the amount payable upon exercise of such SAR.</w:t>
      </w:r>
    </w:p>
    <w:p>
      <w:pPr>
        <w:spacing w:after="0" w:line="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17.14 </w:t>
      </w:r>
      <w:r>
        <w:rPr>
          <w:rFonts w:ascii="Arial" w:cs="Arial" w:eastAsia="Arial" w:hAnsi="Arial"/>
          <w:sz w:val="16"/>
          <w:szCs w:val="16"/>
          <w:color w:val="auto"/>
        </w:rPr>
        <w:t>“Fair Market Value” means, as of any date, the value of the Common Stock determined as follows: (a) If the Common Stock is (i) listed</w:t>
      </w:r>
      <w:r>
        <w:rPr>
          <w:rFonts w:ascii="Arial" w:cs="Arial" w:eastAsia="Arial" w:hAnsi="Arial"/>
          <w:sz w:val="16"/>
          <w:szCs w:val="16"/>
          <w:b w:val="1"/>
          <w:bCs w:val="1"/>
          <w:color w:val="auto"/>
        </w:rPr>
        <w:t xml:space="preserve"> </w:t>
      </w:r>
      <w:r>
        <w:rPr>
          <w:rFonts w:ascii="Arial" w:cs="Arial" w:eastAsia="Arial" w:hAnsi="Arial"/>
          <w:sz w:val="16"/>
          <w:szCs w:val="16"/>
          <w:color w:val="auto"/>
        </w:rPr>
        <w:t>on any established securities exchange (such as the New York Stock Exchange or Nasdaq Stock Market), (ii) listed on any national market system or</w:t>
      </w:r>
    </w:p>
    <w:p>
      <w:pPr>
        <w:spacing w:after="0" w:line="1" w:lineRule="exact"/>
        <w:rPr>
          <w:sz w:val="20"/>
          <w:szCs w:val="20"/>
          <w:color w:val="auto"/>
        </w:rPr>
      </w:pPr>
    </w:p>
    <w:p>
      <w:pPr>
        <w:jc w:val="both"/>
        <w:ind w:firstLine="8"/>
        <w:spacing w:after="0" w:line="248" w:lineRule="auto"/>
        <w:tabs>
          <w:tab w:leader="none" w:pos="26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listed, quoted or traded on any automated quotation system, the Fair Market Value of a share of Common Stock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(b) If the Common Stock is not listed on an established securities exchange, national market system or automated quotation system, but the Common Stock is regularly quoted by a recognized securities dealer, the Fair Market Value of a share of Common Stock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or (c) If the Common Stock is neither listed on an established securities exchange, national market system or automated quotation system nor regularly quoted by a recognized securities dealer, the Fair Market Value of a share of Common Stock shall be established by the Committee in good faith. Such determination shall be conclusive and binding on all persons.</w:t>
      </w:r>
    </w:p>
    <w:p>
      <w:pPr>
        <w:spacing w:after="0" w:line="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 xml:space="preserve">17.15 </w:t>
      </w:r>
      <w:r>
        <w:rPr>
          <w:rFonts w:ascii="Arial" w:cs="Arial" w:eastAsia="Arial" w:hAnsi="Arial"/>
          <w:sz w:val="16"/>
          <w:szCs w:val="16"/>
          <w:color w:val="auto"/>
        </w:rPr>
        <w:t>“Good Reason” means the occurrence of one or more of the following without the Participant’s express written consent and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twelve (12) months following a Change in Control:</w:t>
      </w:r>
    </w:p>
    <w:p>
      <w:pPr>
        <w:spacing w:after="0" w:line="48" w:lineRule="exact"/>
        <w:rPr>
          <w:sz w:val="20"/>
          <w:szCs w:val="20"/>
          <w:color w:val="auto"/>
        </w:rPr>
      </w:pPr>
    </w:p>
    <w:p>
      <w:pPr>
        <w:ind w:left="1220" w:hanging="564"/>
        <w:spacing w:after="0"/>
        <w:tabs>
          <w:tab w:leader="none" w:pos="12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 material diminution in the Participant’s base salary;</w:t>
      </w:r>
    </w:p>
    <w:p>
      <w:pPr>
        <w:spacing w:after="0" w:line="113" w:lineRule="exact"/>
        <w:rPr>
          <w:rFonts w:ascii="Arial" w:cs="Arial" w:eastAsia="Arial" w:hAnsi="Arial"/>
          <w:sz w:val="16"/>
          <w:szCs w:val="16"/>
          <w:color w:val="auto"/>
        </w:rPr>
      </w:pPr>
    </w:p>
    <w:p>
      <w:pPr>
        <w:ind w:left="1220" w:hanging="564"/>
        <w:spacing w:after="0"/>
        <w:tabs>
          <w:tab w:leader="none" w:pos="12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 material diminution in the Participant’s authority, duties, or responsibilities;</w:t>
      </w:r>
    </w:p>
    <w:p>
      <w:pPr>
        <w:spacing w:after="0" w:line="113" w:lineRule="exact"/>
        <w:rPr>
          <w:rFonts w:ascii="Arial" w:cs="Arial" w:eastAsia="Arial" w:hAnsi="Arial"/>
          <w:sz w:val="16"/>
          <w:szCs w:val="16"/>
          <w:color w:val="auto"/>
        </w:rPr>
      </w:pPr>
    </w:p>
    <w:p>
      <w:pPr>
        <w:ind w:left="1260" w:hanging="604"/>
        <w:spacing w:after="0"/>
        <w:tabs>
          <w:tab w:leader="none" w:pos="12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 material change in the geographic location at which the Participant must perform his or her services to a place that is more than fifty</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miles from where the Participant was based immediately prior to the Change in Control; and</w:t>
      </w:r>
    </w:p>
    <w:p>
      <w:pPr>
        <w:spacing w:after="0" w:line="97" w:lineRule="exact"/>
        <w:rPr>
          <w:rFonts w:ascii="Arial" w:cs="Arial" w:eastAsia="Arial" w:hAnsi="Arial"/>
          <w:sz w:val="16"/>
          <w:szCs w:val="16"/>
          <w:color w:val="auto"/>
        </w:rPr>
      </w:pPr>
    </w:p>
    <w:p>
      <w:pPr>
        <w:ind w:left="1220" w:hanging="564"/>
        <w:spacing w:after="0"/>
        <w:tabs>
          <w:tab w:leader="none" w:pos="12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any other action or inaction that constitutes a material breach by the Company of this Plan with respect to a Participant’s Award.</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event or events described above shall constitute Good Reason only if the Company (or the Parent or Subsidiary employing the Participant) fails to cure such event or events within ninety (90) days after receipt from the Participant of written notice of the event or events which constitutes Good Reason. Such notice must be provided to the Company (or the Parent or Subsidiary employing the Participant) and must provide a reasonably detailed description of the facts that the Participant believes constitute a Good Reason event. Good Reason shall cease to exist for an event on the ninetieth (90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later of its occurrence or the Participant’s knowledge thereof, unless the Participant has given written notice to the Company thereof prior to such date.</w:t>
      </w:r>
    </w:p>
    <w:p>
      <w:pPr>
        <w:spacing w:after="0" w:line="7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17.16</w:t>
      </w:r>
      <w:r>
        <w:rPr>
          <w:sz w:val="20"/>
          <w:szCs w:val="20"/>
          <w:color w:val="auto"/>
        </w:rPr>
        <w:tab/>
      </w:r>
      <w:r>
        <w:rPr>
          <w:rFonts w:ascii="Arial" w:cs="Arial" w:eastAsia="Arial" w:hAnsi="Arial"/>
          <w:sz w:val="16"/>
          <w:szCs w:val="16"/>
          <w:color w:val="auto"/>
        </w:rPr>
        <w:t>“ISO” means an incentive stock option described in Section 422(b) of the Code.</w:t>
      </w:r>
    </w:p>
    <w:p>
      <w:pPr>
        <w:spacing w:after="0" w:line="1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17.17 </w:t>
      </w:r>
      <w:r>
        <w:rPr>
          <w:rFonts w:ascii="Arial" w:cs="Arial" w:eastAsia="Arial" w:hAnsi="Arial"/>
          <w:sz w:val="16"/>
          <w:szCs w:val="16"/>
          <w:color w:val="auto"/>
        </w:rPr>
        <w:t>“Net Exercise” means in lieu of exercising an Option for cash, the Optionee may elect to receive shares equal to the value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(or the portion thereof being exercised) by surrender of the Option. The Company shall issue to such Optionee a number of shares of Common Stock computed using the following formula:</w:t>
      </w:r>
    </w:p>
    <w:p>
      <w:pPr>
        <w:spacing w:after="0" w:line="25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X =  Y (A - B)</w:t>
      </w:r>
    </w:p>
    <w:p>
      <w:pPr>
        <w:spacing w:after="0" w:line="5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-115570</wp:posOffset>
            </wp:positionV>
            <wp:extent cx="4368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w:t>
      </w:r>
    </w:p>
    <w:p>
      <w:pPr>
        <w:spacing w:after="0" w:line="113" w:lineRule="exact"/>
        <w:rPr>
          <w:sz w:val="20"/>
          <w:szCs w:val="20"/>
          <w:color w:val="auto"/>
        </w:rPr>
      </w:pPr>
    </w:p>
    <w:p>
      <w:pPr>
        <w:ind w:left="920" w:hanging="264"/>
        <w:spacing w:after="0"/>
        <w:tabs>
          <w:tab w:leader="none" w:pos="9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The number of shares to be issued to the Optionee pursuant to the Net Exercise.</w:t>
      </w:r>
    </w:p>
    <w:p>
      <w:pPr>
        <w:sectPr>
          <w:pgSz w:w="11900" w:h="16838" w:orient="portrait"/>
          <w:cols w:equalWidth="0" w:num="1">
            <w:col w:w="10880"/>
          </w:cols>
          <w:pgMar w:left="500" w:top="270" w:right="519" w:bottom="1440" w:gutter="0" w:footer="0" w:header="0"/>
        </w:sectPr>
      </w:pPr>
    </w:p>
    <w:p>
      <w:pPr>
        <w:spacing w:after="0" w:line="11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Y = The number of shares purchasable under this Option or, if only a portion of the Option being cancelled (at the date of such calculation).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Option is being exercised, the portion of the</w:t>
      </w:r>
    </w:p>
    <w:p>
      <w:pPr>
        <w:spacing w:after="0" w:line="302" w:lineRule="exact"/>
        <w:rPr>
          <w:sz w:val="20"/>
          <w:szCs w:val="20"/>
          <w:color w:val="auto"/>
        </w:rPr>
      </w:pPr>
    </w:p>
    <w:p>
      <w:pPr>
        <w:sectPr>
          <w:pgSz w:w="11900" w:h="16838" w:orient="portrait"/>
          <w:cols w:equalWidth="0" w:num="2">
            <w:col w:w="7060" w:space="580"/>
            <w:col w:w="3240"/>
          </w:cols>
          <w:pgMar w:left="500" w:top="270" w:right="519" w:bottom="1440" w:gutter="0" w:footer="0" w:header="0"/>
          <w:type w:val="continuous"/>
        </w:sectPr>
      </w:pPr>
    </w:p>
    <w:p>
      <w:pPr>
        <w:ind w:left="920" w:hanging="264"/>
        <w:spacing w:after="0"/>
        <w:tabs>
          <w:tab w:leader="none" w:pos="9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The fair market value of one (1) share (at the date of such calculation).</w:t>
      </w:r>
    </w:p>
    <w:p>
      <w:pPr>
        <w:spacing w:after="0" w:line="113" w:lineRule="exact"/>
        <w:rPr>
          <w:sz w:val="20"/>
          <w:szCs w:val="20"/>
          <w:color w:val="auto"/>
        </w:rPr>
      </w:pPr>
    </w:p>
    <w:p>
      <w:pPr>
        <w:ind w:left="920" w:hanging="264"/>
        <w:spacing w:after="0"/>
        <w:tabs>
          <w:tab w:leader="none" w:pos="9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The Exercise Price (as adjusted to the date of such calculations).</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17.18</w:t>
      </w:r>
      <w:r>
        <w:rPr>
          <w:sz w:val="20"/>
          <w:szCs w:val="20"/>
          <w:color w:val="auto"/>
        </w:rPr>
        <w:tab/>
      </w:r>
      <w:r>
        <w:rPr>
          <w:rFonts w:ascii="Arial" w:cs="Arial" w:eastAsia="Arial" w:hAnsi="Arial"/>
          <w:sz w:val="16"/>
          <w:szCs w:val="16"/>
          <w:color w:val="auto"/>
        </w:rPr>
        <w:t>“NSO” means a stock option not described in Sections 422 or 423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354965</wp:posOffset>
            </wp:positionV>
            <wp:extent cx="1020445" cy="1289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B-9</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0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17.19</w:t>
      </w:r>
      <w:r>
        <w:rPr>
          <w:sz w:val="20"/>
          <w:szCs w:val="20"/>
          <w:color w:val="auto"/>
        </w:rPr>
        <w:tab/>
      </w:r>
      <w:r>
        <w:rPr>
          <w:rFonts w:ascii="Arial" w:cs="Arial" w:eastAsia="Arial" w:hAnsi="Arial"/>
          <w:sz w:val="16"/>
          <w:szCs w:val="16"/>
          <w:color w:val="auto"/>
        </w:rPr>
        <w:t>“Nonemployee Director” means a member of the Company’s Board or the Board of Directors of a Subsidiary who is not an Employee.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Service as a Nonemployee Director shall be considered employment for all purposes of the Plan, except as provided in Section 4.2.</w:t>
      </w:r>
    </w:p>
    <w:p>
      <w:pPr>
        <w:spacing w:after="0" w:line="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17.20 </w:t>
      </w:r>
      <w:r>
        <w:rPr>
          <w:rFonts w:ascii="Arial" w:cs="Arial" w:eastAsia="Arial" w:hAnsi="Arial"/>
          <w:sz w:val="16"/>
          <w:szCs w:val="16"/>
          <w:color w:val="auto"/>
        </w:rPr>
        <w:t>“Option” means an NSO or an ISO granted under Article 5 of the Plan and entitling the holder to purchase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 Award.</w:t>
      </w:r>
    </w:p>
    <w:p>
      <w:pPr>
        <w:spacing w:after="0" w:line="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17.21</w:t>
      </w:r>
      <w:r>
        <w:rPr>
          <w:sz w:val="20"/>
          <w:szCs w:val="20"/>
          <w:color w:val="auto"/>
        </w:rPr>
        <w:tab/>
      </w:r>
      <w:r>
        <w:rPr>
          <w:rFonts w:ascii="Arial" w:cs="Arial" w:eastAsia="Arial" w:hAnsi="Arial"/>
          <w:sz w:val="16"/>
          <w:szCs w:val="16"/>
          <w:color w:val="auto"/>
        </w:rPr>
        <w:t>“Optionee” means an individual or estate who holds an Option.</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17.22</w:t>
      </w:r>
      <w:r>
        <w:rPr>
          <w:sz w:val="20"/>
          <w:szCs w:val="20"/>
          <w:color w:val="auto"/>
        </w:rPr>
        <w:tab/>
      </w:r>
      <w:r>
        <w:rPr>
          <w:rFonts w:ascii="Arial" w:cs="Arial" w:eastAsia="Arial" w:hAnsi="Arial"/>
          <w:sz w:val="16"/>
          <w:szCs w:val="16"/>
          <w:color w:val="auto"/>
        </w:rPr>
        <w:t>“Participant” means an individual or estate who holds an Award.</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17.23 </w:t>
      </w:r>
      <w:r>
        <w:rPr>
          <w:rFonts w:ascii="Arial" w:cs="Arial" w:eastAsia="Arial" w:hAnsi="Arial"/>
          <w:sz w:val="16"/>
          <w:szCs w:val="16"/>
          <w:color w:val="auto"/>
        </w:rPr>
        <w:t>“Performance Criteria” shall mean a specified percentage or quantitative level in one or more criteria, which may include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following performance measures:</w:t>
      </w:r>
    </w:p>
    <w:p>
      <w:pPr>
        <w:spacing w:after="0" w:line="48" w:lineRule="exact"/>
        <w:rPr>
          <w:sz w:val="20"/>
          <w:szCs w:val="20"/>
          <w:color w:val="auto"/>
        </w:rPr>
      </w:pPr>
    </w:p>
    <w:p>
      <w:pPr>
        <w:ind w:left="1220" w:hanging="564"/>
        <w:spacing w:after="0"/>
        <w:tabs>
          <w:tab w:leader="none" w:pos="12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Company’s shareholder return as compared to any designated industry or other comparator group;</w:t>
      </w:r>
    </w:p>
    <w:p>
      <w:pPr>
        <w:spacing w:after="0" w:line="113" w:lineRule="exact"/>
        <w:rPr>
          <w:rFonts w:ascii="Arial" w:cs="Arial" w:eastAsia="Arial" w:hAnsi="Arial"/>
          <w:sz w:val="16"/>
          <w:szCs w:val="16"/>
          <w:color w:val="auto"/>
        </w:rPr>
      </w:pPr>
    </w:p>
    <w:p>
      <w:pPr>
        <w:ind w:left="1220" w:hanging="564"/>
        <w:spacing w:after="0"/>
        <w:tabs>
          <w:tab w:leader="none" w:pos="12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trading price of the Company’s common stock;</w:t>
      </w:r>
    </w:p>
    <w:p>
      <w:pPr>
        <w:spacing w:after="0" w:line="113" w:lineRule="exact"/>
        <w:rPr>
          <w:rFonts w:ascii="Arial" w:cs="Arial" w:eastAsia="Arial" w:hAnsi="Arial"/>
          <w:sz w:val="16"/>
          <w:szCs w:val="16"/>
          <w:color w:val="auto"/>
        </w:rPr>
      </w:pPr>
    </w:p>
    <w:p>
      <w:pPr>
        <w:ind w:firstLine="656"/>
        <w:spacing w:after="0" w:line="286" w:lineRule="auto"/>
        <w:tabs>
          <w:tab w:leader="none" w:pos="124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results of operations, such as sales, earnings, net income (before or after taxes), cash flow, return on assets, same-store sales, economic profit, or return on investment (including return on equity, return on capital employed, or return on assets);</w:t>
      </w:r>
    </w:p>
    <w:p>
      <w:pPr>
        <w:spacing w:after="0" w:line="47" w:lineRule="exact"/>
        <w:rPr>
          <w:rFonts w:ascii="Arial" w:cs="Arial" w:eastAsia="Arial" w:hAnsi="Arial"/>
          <w:sz w:val="16"/>
          <w:szCs w:val="16"/>
          <w:color w:val="auto"/>
        </w:rPr>
      </w:pPr>
    </w:p>
    <w:p>
      <w:pPr>
        <w:ind w:left="1220" w:hanging="564"/>
        <w:spacing w:after="0"/>
        <w:tabs>
          <w:tab w:leader="none" w:pos="12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earnings before or after taxes, interest, depreciation and/or amortization, and including/excluding capital gains and losses;</w:t>
      </w:r>
    </w:p>
    <w:p>
      <w:pPr>
        <w:spacing w:after="0" w:line="113" w:lineRule="exact"/>
        <w:rPr>
          <w:rFonts w:ascii="Arial" w:cs="Arial" w:eastAsia="Arial" w:hAnsi="Arial"/>
          <w:sz w:val="16"/>
          <w:szCs w:val="16"/>
          <w:color w:val="auto"/>
        </w:rPr>
      </w:pPr>
    </w:p>
    <w:p>
      <w:pPr>
        <w:ind w:left="1220" w:hanging="564"/>
        <w:spacing w:after="0"/>
        <w:tabs>
          <w:tab w:leader="none" w:pos="12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other financial results, such as profit margins, operational efficiency, expense reduction, or asset management goals; and</w:t>
      </w:r>
    </w:p>
    <w:p>
      <w:pPr>
        <w:spacing w:after="0" w:line="113" w:lineRule="exact"/>
        <w:rPr>
          <w:rFonts w:ascii="Arial" w:cs="Arial" w:eastAsia="Arial" w:hAnsi="Arial"/>
          <w:sz w:val="16"/>
          <w:szCs w:val="16"/>
          <w:color w:val="auto"/>
        </w:rPr>
      </w:pPr>
    </w:p>
    <w:p>
      <w:pPr>
        <w:ind w:left="1220" w:hanging="564"/>
        <w:spacing w:after="0"/>
        <w:tabs>
          <w:tab w:leader="none" w:pos="12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internal or external market share of a product or line of products.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Each of the foregoing performance measures may be based on the performance of the Company generally, in the absolute or in relation to its peers, or the performance of a particular Participant, department, business unit, subsidiary, or other segment to which a particular Participant is assigned. The Committee may establish different performance measures and milestones for individual Participants or groups of Participants. For each Participant, each performance measure will be weighted to reflect its relative significance to the Company for the Performance Cycle.</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Except as otherwise specified in an individual Award, applicable performance measures may be adjusted to exclude the following items that occur during a given Performance Cycle:</w:t>
      </w:r>
    </w:p>
    <w:p>
      <w:pPr>
        <w:spacing w:after="0" w:line="48" w:lineRule="exact"/>
        <w:rPr>
          <w:sz w:val="20"/>
          <w:szCs w:val="20"/>
          <w:color w:val="auto"/>
        </w:rPr>
      </w:pPr>
    </w:p>
    <w:p>
      <w:pPr>
        <w:ind w:left="1260" w:hanging="604"/>
        <w:spacing w:after="0"/>
        <w:tabs>
          <w:tab w:leader="none" w:pos="12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Extraordinary, unusual or non-recurring items of gain or loss;</w:t>
      </w:r>
    </w:p>
    <w:p>
      <w:pPr>
        <w:spacing w:after="0" w:line="113" w:lineRule="exact"/>
        <w:rPr>
          <w:rFonts w:ascii="Arial" w:cs="Arial" w:eastAsia="Arial" w:hAnsi="Arial"/>
          <w:sz w:val="16"/>
          <w:szCs w:val="16"/>
          <w:color w:val="auto"/>
        </w:rPr>
      </w:pPr>
    </w:p>
    <w:p>
      <w:pPr>
        <w:ind w:left="1280" w:hanging="624"/>
        <w:spacing w:after="0"/>
        <w:tabs>
          <w:tab w:leader="none" w:pos="12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Gains or losses on the disposition of a business, a segment of a business, or significant assets outside the ordinary course of</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business;</w:t>
      </w:r>
    </w:p>
    <w:p>
      <w:pPr>
        <w:spacing w:after="0" w:line="97" w:lineRule="exact"/>
        <w:rPr>
          <w:rFonts w:ascii="Arial" w:cs="Arial" w:eastAsia="Arial" w:hAnsi="Arial"/>
          <w:sz w:val="16"/>
          <w:szCs w:val="16"/>
          <w:color w:val="auto"/>
        </w:rPr>
      </w:pPr>
    </w:p>
    <w:p>
      <w:pPr>
        <w:ind w:left="1240" w:hanging="584"/>
        <w:spacing w:after="0"/>
        <w:tabs>
          <w:tab w:leader="none" w:pos="12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Changes in tax or accounting standards, principles, regulations or laws;</w:t>
      </w:r>
    </w:p>
    <w:p>
      <w:pPr>
        <w:spacing w:after="0" w:line="113" w:lineRule="exact"/>
        <w:rPr>
          <w:rFonts w:ascii="Arial" w:cs="Arial" w:eastAsia="Arial" w:hAnsi="Arial"/>
          <w:sz w:val="16"/>
          <w:szCs w:val="16"/>
          <w:color w:val="auto"/>
        </w:rPr>
      </w:pPr>
    </w:p>
    <w:p>
      <w:pPr>
        <w:ind w:right="20" w:firstLine="656"/>
        <w:spacing w:after="0" w:line="286" w:lineRule="auto"/>
        <w:tabs>
          <w:tab w:leader="none" w:pos="123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effect of a merger or acquisition, including all financial results derived therefrom during the period from the merger or acquisition date through the end of the Performance Cycle in which the merger or acquisition occurred;</w:t>
      </w:r>
    </w:p>
    <w:p>
      <w:pPr>
        <w:spacing w:after="0" w:line="47" w:lineRule="exact"/>
        <w:rPr>
          <w:rFonts w:ascii="Arial" w:cs="Arial" w:eastAsia="Arial" w:hAnsi="Arial"/>
          <w:sz w:val="16"/>
          <w:szCs w:val="16"/>
          <w:color w:val="auto"/>
        </w:rPr>
      </w:pPr>
    </w:p>
    <w:p>
      <w:pPr>
        <w:jc w:val="both"/>
        <w:ind w:firstLine="656"/>
        <w:spacing w:after="0" w:line="266" w:lineRule="auto"/>
        <w:tabs>
          <w:tab w:leader="none" w:pos="124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Gains or losses due to non-cash adjustments which relate to the valuation of long-term assets rather than current-year performance (including but not necessarily limited to gain or loss recognized for store closures, lease terminations, pension adjustments and mark to market adjustments); and</w:t>
      </w:r>
    </w:p>
    <w:p>
      <w:pPr>
        <w:spacing w:after="0" w:line="63" w:lineRule="exact"/>
        <w:rPr>
          <w:rFonts w:ascii="Arial" w:cs="Arial" w:eastAsia="Arial" w:hAnsi="Arial"/>
          <w:sz w:val="16"/>
          <w:szCs w:val="16"/>
          <w:color w:val="auto"/>
        </w:rPr>
      </w:pPr>
    </w:p>
    <w:p>
      <w:pPr>
        <w:ind w:right="20" w:firstLine="656"/>
        <w:spacing w:after="0" w:line="286" w:lineRule="auto"/>
        <w:tabs>
          <w:tab w:leader="none" w:pos="123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impact of other similar occurrences outside of the Company’s core, on-going business activities (including but not necessarily limited to litigation or tax reserves, financing activities, foreign exchange rate fluctuations and restructuring charges).</w:t>
      </w:r>
    </w:p>
    <w:p>
      <w:pPr>
        <w:spacing w:after="0" w:line="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Except as otherwise determined by the Committee, performance measures comprising Performance Criteria for an Award shall be calculated in accordance with the Company’s financial statements, under generally accepted accounting principles (GAAP), or under a non-GAAP methodology established by the Committee prior to the issuance of an Award. The method of calculating performance measurements shall be consistently applied and identified in the audited financial statements, including footnotes, or the Compensation Discussion and Analysis section of the Company’s annual report.</w:t>
      </w:r>
    </w:p>
    <w:p>
      <w:pPr>
        <w:spacing w:after="0" w:line="2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17.24 </w:t>
      </w:r>
      <w:r>
        <w:rPr>
          <w:rFonts w:ascii="Arial" w:cs="Arial" w:eastAsia="Arial" w:hAnsi="Arial"/>
          <w:sz w:val="16"/>
          <w:szCs w:val="16"/>
          <w:color w:val="auto"/>
        </w:rPr>
        <w:t>“Performance Cycle” means a predetermined period of time, not less than one year, over which Performance Criteria will be measured</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 Award.</w:t>
      </w:r>
    </w:p>
    <w:p>
      <w:pPr>
        <w:spacing w:after="0" w:line="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17.25 </w:t>
      </w:r>
      <w:r>
        <w:rPr>
          <w:rFonts w:ascii="Arial" w:cs="Arial" w:eastAsia="Arial" w:hAnsi="Arial"/>
          <w:sz w:val="16"/>
          <w:szCs w:val="16"/>
          <w:color w:val="auto"/>
        </w:rPr>
        <w:t>“Performance Share Unit” means a bookkeeping entry representing the equivalent of one (1) share of Common Stock, as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pursuant to an Award.</w:t>
      </w:r>
    </w:p>
    <w:p>
      <w:pPr>
        <w:spacing w:after="0" w:line="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17.26 </w:t>
      </w:r>
      <w:r>
        <w:rPr>
          <w:rFonts w:ascii="Arial" w:cs="Arial" w:eastAsia="Arial" w:hAnsi="Arial"/>
          <w:sz w:val="16"/>
          <w:szCs w:val="16"/>
          <w:color w:val="auto"/>
        </w:rPr>
        <w:t>“Performance Share Unit Agreement” means the written agreement between the Company and the recipient of a Performance Share</w:t>
      </w:r>
      <w:r>
        <w:rPr>
          <w:rFonts w:ascii="Arial" w:cs="Arial" w:eastAsia="Arial" w:hAnsi="Arial"/>
          <w:sz w:val="16"/>
          <w:szCs w:val="16"/>
          <w:b w:val="1"/>
          <w:bCs w:val="1"/>
          <w:color w:val="auto"/>
        </w:rPr>
        <w:t xml:space="preserve"> </w:t>
      </w:r>
      <w:r>
        <w:rPr>
          <w:rFonts w:ascii="Arial" w:cs="Arial" w:eastAsia="Arial" w:hAnsi="Arial"/>
          <w:sz w:val="16"/>
          <w:szCs w:val="16"/>
          <w:color w:val="auto"/>
        </w:rPr>
        <w:t>Unit that contains the terms, conditions and restrictions pertaining to such Performance Share Unit.</w:t>
      </w:r>
    </w:p>
    <w:p>
      <w:pPr>
        <w:spacing w:after="0" w:line="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17.27</w:t>
      </w:r>
      <w:r>
        <w:rPr>
          <w:sz w:val="20"/>
          <w:szCs w:val="20"/>
          <w:color w:val="auto"/>
        </w:rPr>
        <w:tab/>
      </w:r>
      <w:r>
        <w:rPr>
          <w:rFonts w:ascii="Arial" w:cs="Arial" w:eastAsia="Arial" w:hAnsi="Arial"/>
          <w:sz w:val="16"/>
          <w:szCs w:val="16"/>
          <w:color w:val="auto"/>
        </w:rPr>
        <w:t>“Plan” means this Nordstrom, Inc. 2019 Equity Incentive Plan, as amended from time to time.</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17.28</w:t>
      </w:r>
      <w:r>
        <w:rPr>
          <w:sz w:val="20"/>
          <w:szCs w:val="20"/>
          <w:color w:val="auto"/>
        </w:rPr>
        <w:tab/>
      </w:r>
      <w:r>
        <w:rPr>
          <w:rFonts w:ascii="Arial" w:cs="Arial" w:eastAsia="Arial" w:hAnsi="Arial"/>
          <w:sz w:val="16"/>
          <w:szCs w:val="16"/>
          <w:color w:val="auto"/>
        </w:rPr>
        <w:t>“Prior Plans” mean the Nordstrom 2010 Equity Incentive Plan and 2004 Equity Incentive Plan, as subsequently amended in 2007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1019810" cy="1289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4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540" w:type="dxa"/>
            <w:vAlign w:val="bottom"/>
          </w:tcPr>
          <w:p>
            <w:pPr>
              <w:ind w:left="220"/>
              <w:spacing w:after="0"/>
              <w:rPr>
                <w:sz w:val="20"/>
                <w:szCs w:val="20"/>
                <w:color w:val="auto"/>
              </w:rPr>
            </w:pPr>
            <w:r>
              <w:rPr>
                <w:rFonts w:ascii="Arial" w:cs="Arial" w:eastAsia="Arial" w:hAnsi="Arial"/>
                <w:sz w:val="14"/>
                <w:szCs w:val="14"/>
                <w:b w:val="1"/>
                <w:bCs w:val="1"/>
                <w:color w:val="auto"/>
                <w:w w:val="98"/>
              </w:rPr>
              <w:t>B-10</w:t>
            </w:r>
          </w:p>
        </w:tc>
      </w:tr>
      <w:tr>
        <w:trPr>
          <w:trHeight w:val="407"/>
        </w:trPr>
        <w:tc>
          <w:tcPr>
            <w:tcW w:w="10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APPENDIX B: NORDSTROM, INC. AMENDED AND RESTATED 2019 EQUITY INCENTIVE PLAN</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17.29 </w:t>
      </w:r>
      <w:r>
        <w:rPr>
          <w:rFonts w:ascii="Arial" w:cs="Arial" w:eastAsia="Arial" w:hAnsi="Arial"/>
          <w:sz w:val="16"/>
          <w:szCs w:val="16"/>
          <w:color w:val="auto"/>
        </w:rPr>
        <w:t>“Qualifying Termination” means (a) the Participant’s employment is involuntarily terminated by the Company (or the Parent or</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employing the Participant) without Cause, or (b) the Participant terminates employment from the Company (or the Parent or Subsidiary employing the Participant) for Good Reason. The twelve-month period will be extended by one (1) additional month if the thirty-day cure period in Section 17.15 is triggered in the eleventh or twelfth month following a Change in Control. It is intended that any Qualifying Termination shall be an “involuntary Separation from Service,” as that term is defined in Treasury Regulation Section 1.409A-1(n).</w:t>
      </w:r>
    </w:p>
    <w:p>
      <w:pPr>
        <w:spacing w:after="0" w:line="7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color w:val="auto"/>
        </w:rPr>
        <w:t xml:space="preserve">17.30 </w:t>
      </w:r>
      <w:r>
        <w:rPr>
          <w:rFonts w:ascii="Arial" w:cs="Arial" w:eastAsia="Arial" w:hAnsi="Arial"/>
          <w:sz w:val="16"/>
          <w:szCs w:val="16"/>
          <w:color w:val="auto"/>
        </w:rPr>
        <w:t>“Restricted Share” means a share of Common Stock granted under Article 9 pursuant to an Award, with such restrictions as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applicable Restricted Share Agreement.</w:t>
      </w:r>
    </w:p>
    <w:p>
      <w:pPr>
        <w:spacing w:after="0" w:line="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color w:val="auto"/>
        </w:rPr>
        <w:t xml:space="preserve">17.31 </w:t>
      </w:r>
      <w:r>
        <w:rPr>
          <w:rFonts w:ascii="Arial" w:cs="Arial" w:eastAsia="Arial" w:hAnsi="Arial"/>
          <w:sz w:val="16"/>
          <w:szCs w:val="16"/>
          <w:color w:val="auto"/>
        </w:rPr>
        <w:t>“Restricted Stock Unit” means a right granted under Article 10 to receive Common Stock or cash at the end of a specified deferral</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pursuant to an Award, which right may be conditioned on the satisfaction of certain requirements (including the satisfaction of certain performance goals).</w:t>
      </w:r>
    </w:p>
    <w:p>
      <w:pPr>
        <w:spacing w:after="0" w:line="2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17.32 </w:t>
      </w:r>
      <w:r>
        <w:rPr>
          <w:rFonts w:ascii="Arial" w:cs="Arial" w:eastAsia="Arial" w:hAnsi="Arial"/>
          <w:sz w:val="16"/>
          <w:szCs w:val="16"/>
          <w:color w:val="auto"/>
        </w:rPr>
        <w:t>“Restricted Share Agreement” means the written agreement between the Company and the recipient of a Restricted Share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the terms, conditions and restrictions pertaining to such Restricted Share.</w:t>
      </w:r>
    </w:p>
    <w:p>
      <w:pPr>
        <w:spacing w:after="0" w:line="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17.33 </w:t>
      </w:r>
      <w:r>
        <w:rPr>
          <w:rFonts w:ascii="Arial" w:cs="Arial" w:eastAsia="Arial" w:hAnsi="Arial"/>
          <w:sz w:val="16"/>
          <w:szCs w:val="16"/>
          <w:color w:val="auto"/>
        </w:rPr>
        <w:t>“Restricted Stock Unit Agreement” means the written agreement between the Company and the recipient of a Restricted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that contains the terms, conditions and restrictions pertaining to such Restricted Stock Unit.</w:t>
      </w:r>
    </w:p>
    <w:p>
      <w:pPr>
        <w:spacing w:after="0" w:line="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17.34</w:t>
      </w:r>
      <w:r>
        <w:rPr>
          <w:sz w:val="20"/>
          <w:szCs w:val="20"/>
          <w:color w:val="auto"/>
        </w:rPr>
        <w:tab/>
      </w:r>
      <w:r>
        <w:rPr>
          <w:rFonts w:ascii="Arial" w:cs="Arial" w:eastAsia="Arial" w:hAnsi="Arial"/>
          <w:sz w:val="16"/>
          <w:szCs w:val="16"/>
          <w:color w:val="auto"/>
        </w:rPr>
        <w:t>“Retirement” means Participant’s termination from Service on or after his or her Retirement Date.</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17.35</w:t>
      </w:r>
      <w:r>
        <w:rPr>
          <w:sz w:val="20"/>
          <w:szCs w:val="20"/>
          <w:color w:val="auto"/>
        </w:rPr>
        <w:tab/>
      </w:r>
      <w:r>
        <w:rPr>
          <w:rFonts w:ascii="Arial" w:cs="Arial" w:eastAsia="Arial" w:hAnsi="Arial"/>
          <w:sz w:val="16"/>
          <w:szCs w:val="16"/>
          <w:color w:val="auto"/>
        </w:rPr>
        <w:t>“Retirement Date” shall have the meaning as set forth in a particular Award Agreement.</w:t>
      </w:r>
    </w:p>
    <w:p>
      <w:pPr>
        <w:spacing w:after="0" w:line="1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17.36</w:t>
      </w:r>
      <w:r>
        <w:rPr>
          <w:sz w:val="20"/>
          <w:szCs w:val="20"/>
          <w:color w:val="auto"/>
        </w:rPr>
        <w:tab/>
      </w:r>
      <w:r>
        <w:rPr>
          <w:rFonts w:ascii="Arial" w:cs="Arial" w:eastAsia="Arial" w:hAnsi="Arial"/>
          <w:sz w:val="16"/>
          <w:szCs w:val="16"/>
          <w:color w:val="auto"/>
        </w:rPr>
        <w:t>“SAR” means a stock appreciation right granted under Article 7 of the Plan pursuant to an Award.</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17.37 </w:t>
      </w:r>
      <w:r>
        <w:rPr>
          <w:rFonts w:ascii="Arial" w:cs="Arial" w:eastAsia="Arial" w:hAnsi="Arial"/>
          <w:sz w:val="16"/>
          <w:szCs w:val="16"/>
          <w:color w:val="auto"/>
        </w:rPr>
        <w:t>“SAR Agreement” means the written agreement between the Company and a Participant that contains the terms, conditions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pertaining to his or her SAR.</w:t>
      </w:r>
    </w:p>
    <w:p>
      <w:pPr>
        <w:spacing w:after="0" w:line="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17.38</w:t>
      </w:r>
      <w:r>
        <w:rPr>
          <w:sz w:val="20"/>
          <w:szCs w:val="20"/>
          <w:color w:val="auto"/>
        </w:rPr>
        <w:tab/>
      </w:r>
      <w:r>
        <w:rPr>
          <w:rFonts w:ascii="Arial" w:cs="Arial" w:eastAsia="Arial" w:hAnsi="Arial"/>
          <w:sz w:val="16"/>
          <w:szCs w:val="16"/>
          <w:color w:val="auto"/>
        </w:rPr>
        <w:t>“Service” means service as an Employee or Nonemployee Director.</w:t>
      </w:r>
    </w:p>
    <w:p>
      <w:pPr>
        <w:spacing w:after="0" w:line="11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color w:val="auto"/>
        </w:rPr>
        <w:t xml:space="preserve">17.39 </w:t>
      </w:r>
      <w:r>
        <w:rPr>
          <w:rFonts w:ascii="Arial" w:cs="Arial" w:eastAsia="Arial" w:hAnsi="Arial"/>
          <w:sz w:val="16"/>
          <w:szCs w:val="16"/>
          <w:color w:val="auto"/>
        </w:rPr>
        <w:t>“Stock Option Agreement” means the written agreement between the Company and an Optionee that contains the terms,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restrictions pertaining to his or her Option.</w:t>
      </w:r>
    </w:p>
    <w:p>
      <w:pPr>
        <w:spacing w:after="0" w:line="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17.40</w:t>
      </w:r>
      <w:r>
        <w:rPr>
          <w:sz w:val="20"/>
          <w:szCs w:val="20"/>
          <w:color w:val="auto"/>
        </w:rPr>
        <w:tab/>
      </w:r>
      <w:r>
        <w:rPr>
          <w:rFonts w:ascii="Arial" w:cs="Arial" w:eastAsia="Arial" w:hAnsi="Arial"/>
          <w:sz w:val="16"/>
          <w:szCs w:val="16"/>
          <w:color w:val="auto"/>
        </w:rPr>
        <w:t>“Subcommittee” means a separate committee established by and consisting of members of the Committee.</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17.41 </w:t>
      </w:r>
      <w:r>
        <w:rPr>
          <w:rFonts w:ascii="Arial" w:cs="Arial" w:eastAsia="Arial" w:hAnsi="Arial"/>
          <w:sz w:val="16"/>
          <w:szCs w:val="16"/>
          <w:color w:val="auto"/>
        </w:rPr>
        <w:t>“Subsidiary” means any corporation (other than the Company) in an unbroken chain of corporations beginning with the Company, if</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7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6"/>
          <w:szCs w:val="16"/>
          <w:b w:val="1"/>
          <w:bCs w:val="1"/>
          <w:color w:val="auto"/>
        </w:rPr>
        <w:t>17.42</w:t>
      </w:r>
      <w:r>
        <w:rPr>
          <w:sz w:val="20"/>
          <w:szCs w:val="20"/>
          <w:color w:val="auto"/>
        </w:rPr>
        <w:tab/>
      </w:r>
      <w:r>
        <w:rPr>
          <w:rFonts w:ascii="Arial" w:cs="Arial" w:eastAsia="Arial" w:hAnsi="Arial"/>
          <w:sz w:val="16"/>
          <w:szCs w:val="16"/>
          <w:color w:val="auto"/>
        </w:rPr>
        <w:t>“Unrestricted Share” means a share of Common Stock granted under Article 8 of the Plan pursuant to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354965</wp:posOffset>
            </wp:positionV>
            <wp:extent cx="1020445" cy="1289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B-11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102870</wp:posOffset>
            </wp:positionV>
            <wp:extent cx="128905" cy="2660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12890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00" w:right="1420" w:hanging="2789"/>
        <w:spacing w:after="0" w:line="262" w:lineRule="auto"/>
        <w:rPr>
          <w:sz w:val="20"/>
          <w:szCs w:val="20"/>
          <w:color w:val="auto"/>
        </w:rPr>
      </w:pPr>
      <w:r>
        <w:rPr>
          <w:rFonts w:ascii="Arial" w:cs="Arial" w:eastAsia="Arial" w:hAnsi="Arial"/>
          <w:sz w:val="40"/>
          <w:szCs w:val="40"/>
          <w:b w:val="1"/>
          <w:bCs w:val="1"/>
          <w:color w:val="1E295B"/>
        </w:rPr>
        <w:t>APPENDIX C: NORDSTROM, INC. AMENDED AND RESTATED EMPLOYEE STOCK PURCHASE PLAN</w:t>
      </w:r>
    </w:p>
    <w:p>
      <w:pPr>
        <w:spacing w:after="0" w:line="25"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6"/>
          <w:szCs w:val="16"/>
          <w:b w:val="1"/>
          <w:bCs w:val="1"/>
          <w:color w:val="auto"/>
        </w:rPr>
        <w:t>PURPOSE OF THE PLAN.</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6"/>
          <w:szCs w:val="16"/>
          <w:color w:val="auto"/>
        </w:rPr>
        <w:t>The purpose of the Plan is to provide Eligible Employees with an opportunity to increase their proprietary interest in the success of the Company by purchasing Stock from the Company on favorable terms and to pay for such purchases through payroll deductions. The Plan is intended to qualify under Section 423 of the Code. The Plan was originally adopted by the Company’s Board of Directors in November of 1999, and was approved by the Company’s shareholders in May of 2000. The Plan was subsequently amended in several respects and was completely restated in 2005, 2006, 2008, 2011 and 2020. This 2023 Restatement increases the authorized number of shares of Stock under the Plan. The 2023 Restatement is effective for Offering Periods beginning on and after April 1, 2023.</w:t>
      </w:r>
    </w:p>
    <w:p>
      <w:pPr>
        <w:spacing w:after="0" w:line="114"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2.</w:t>
      </w:r>
      <w:r>
        <w:rPr>
          <w:sz w:val="20"/>
          <w:szCs w:val="20"/>
          <w:color w:val="auto"/>
        </w:rPr>
        <w:tab/>
      </w:r>
      <w:r>
        <w:rPr>
          <w:rFonts w:ascii="Arial" w:cs="Arial" w:eastAsia="Arial" w:hAnsi="Arial"/>
          <w:sz w:val="16"/>
          <w:szCs w:val="16"/>
          <w:b w:val="1"/>
          <w:bCs w:val="1"/>
          <w:color w:val="auto"/>
        </w:rPr>
        <w:t>ADMINISTRATION OF THE PLAN.</w:t>
      </w:r>
    </w:p>
    <w:p>
      <w:pPr>
        <w:spacing w:after="0" w:line="113" w:lineRule="exact"/>
        <w:rPr>
          <w:sz w:val="20"/>
          <w:szCs w:val="20"/>
          <w:color w:val="auto"/>
        </w:rPr>
      </w:pPr>
    </w:p>
    <w:p>
      <w:pPr>
        <w:ind w:left="840" w:hanging="400"/>
        <w:spacing w:after="0"/>
        <w:tabs>
          <w:tab w:leader="none" w:pos="840"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Committee Composition. </w:t>
      </w:r>
      <w:r>
        <w:rPr>
          <w:rFonts w:ascii="Arial" w:cs="Arial" w:eastAsia="Arial" w:hAnsi="Arial"/>
          <w:sz w:val="16"/>
          <w:szCs w:val="16"/>
          <w:color w:val="auto"/>
        </w:rPr>
        <w:t>The Plan shall be administered by the Committee.</w:t>
      </w:r>
    </w:p>
    <w:p>
      <w:pPr>
        <w:spacing w:after="0" w:line="113" w:lineRule="exact"/>
        <w:rPr>
          <w:rFonts w:ascii="Arial" w:cs="Arial" w:eastAsia="Arial" w:hAnsi="Arial"/>
          <w:sz w:val="16"/>
          <w:szCs w:val="16"/>
          <w:color w:val="auto"/>
        </w:rPr>
      </w:pPr>
    </w:p>
    <w:p>
      <w:pPr>
        <w:jc w:val="both"/>
        <w:ind w:firstLine="440"/>
        <w:spacing w:after="0" w:line="266" w:lineRule="auto"/>
        <w:tabs>
          <w:tab w:leader="none" w:pos="832"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Committee Responsibilities. </w:t>
      </w:r>
      <w:r>
        <w:rPr>
          <w:rFonts w:ascii="Arial" w:cs="Arial" w:eastAsia="Arial" w:hAnsi="Arial"/>
          <w:sz w:val="16"/>
          <w:szCs w:val="16"/>
          <w:color w:val="auto"/>
        </w:rPr>
        <w:t>The Committee shall interpret the Plan and make all other policy decisions relating to the operation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The Committee may adopt such rules, guidelines and forms as it deems appropriate to implement the Plan. The Committee’s determinations under the Plan shall be final and binding on all persons.</w:t>
      </w:r>
    </w:p>
    <w:p>
      <w:pPr>
        <w:spacing w:after="0" w:line="104"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3.</w:t>
      </w:r>
      <w:r>
        <w:rPr>
          <w:sz w:val="20"/>
          <w:szCs w:val="20"/>
          <w:color w:val="auto"/>
        </w:rPr>
        <w:tab/>
      </w:r>
      <w:r>
        <w:rPr>
          <w:rFonts w:ascii="Arial" w:cs="Arial" w:eastAsia="Arial" w:hAnsi="Arial"/>
          <w:sz w:val="15"/>
          <w:szCs w:val="15"/>
          <w:b w:val="1"/>
          <w:bCs w:val="1"/>
          <w:color w:val="auto"/>
        </w:rPr>
        <w:t>ENROLLMENT AND PARTICIPATION.</w:t>
      </w:r>
    </w:p>
    <w:p>
      <w:pPr>
        <w:spacing w:after="0" w:line="113" w:lineRule="exact"/>
        <w:rPr>
          <w:sz w:val="20"/>
          <w:szCs w:val="20"/>
          <w:color w:val="auto"/>
        </w:rPr>
      </w:pPr>
    </w:p>
    <w:p>
      <w:pPr>
        <w:ind w:firstLine="440"/>
        <w:spacing w:after="0" w:line="286" w:lineRule="auto"/>
        <w:tabs>
          <w:tab w:leader="none" w:pos="832"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Offering Periods. </w:t>
      </w:r>
      <w:r>
        <w:rPr>
          <w:rFonts w:ascii="Arial" w:cs="Arial" w:eastAsia="Arial" w:hAnsi="Arial"/>
          <w:sz w:val="16"/>
          <w:szCs w:val="16"/>
          <w:color w:val="auto"/>
        </w:rPr>
        <w:t>While the Plan is in effect, two Offering Periods shall commence in each calendar year. Offering Periods shall consist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six-month periods commencing on each April 1 and October 1.</w:t>
      </w:r>
    </w:p>
    <w:p>
      <w:pPr>
        <w:spacing w:after="0" w:line="47" w:lineRule="exact"/>
        <w:rPr>
          <w:rFonts w:ascii="Arial" w:cs="Arial" w:eastAsia="Arial" w:hAnsi="Arial"/>
          <w:sz w:val="16"/>
          <w:szCs w:val="16"/>
          <w:color w:val="auto"/>
        </w:rPr>
      </w:pPr>
    </w:p>
    <w:p>
      <w:pPr>
        <w:ind w:right="20" w:firstLine="440"/>
        <w:spacing w:after="0" w:line="286" w:lineRule="auto"/>
        <w:tabs>
          <w:tab w:leader="none" w:pos="832"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Enrollment. </w:t>
      </w:r>
      <w:r>
        <w:rPr>
          <w:rFonts w:ascii="Arial" w:cs="Arial" w:eastAsia="Arial" w:hAnsi="Arial"/>
          <w:sz w:val="16"/>
          <w:szCs w:val="16"/>
          <w:color w:val="auto"/>
        </w:rPr>
        <w:t>Any individual who, on the day preceding the first day of an Offering Period, qualifies as an Eligible Employee may elect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become a Participant in the Plan for such Offering Period by completing the enrollment process prescribed for this purpose by the Committee.</w:t>
      </w:r>
    </w:p>
    <w:p>
      <w:pPr>
        <w:spacing w:after="0" w:line="47" w:lineRule="exact"/>
        <w:rPr>
          <w:rFonts w:ascii="Arial" w:cs="Arial" w:eastAsia="Arial" w:hAnsi="Arial"/>
          <w:sz w:val="16"/>
          <w:szCs w:val="16"/>
          <w:color w:val="auto"/>
        </w:rPr>
      </w:pPr>
    </w:p>
    <w:p>
      <w:pPr>
        <w:jc w:val="both"/>
        <w:ind w:firstLine="440"/>
        <w:spacing w:after="0" w:line="254" w:lineRule="auto"/>
        <w:tabs>
          <w:tab w:leader="none" w:pos="823"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Duration of Participation. </w:t>
      </w:r>
      <w:r>
        <w:rPr>
          <w:rFonts w:ascii="Arial" w:cs="Arial" w:eastAsia="Arial" w:hAnsi="Arial"/>
          <w:sz w:val="16"/>
          <w:szCs w:val="16"/>
          <w:color w:val="auto"/>
        </w:rPr>
        <w:t>Once enrolled in the Plan, a Participant shall continue to participate in the Plan until he or she (1) ceases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an Eligible Employee, (2) withdraws from the Plan under Section 5(a), or (3) reaches the end of the Offering Period in which his or her employee contributions were discontinued under Section 8(b). A Participant who withdrew from the Plan under Section 5(a) may again become a Participant, if he or she then is an Eligible Employee, by following the procedure described in Subsection (b) above. A Participant whose employee contributions were discontinued automatically under Section 8(b) shall automatically resume participation at the beginning of the earliest Offering Period ending in the next calendar year, if he or she then is an Eligible Employee.</w:t>
      </w:r>
    </w:p>
    <w:p>
      <w:pPr>
        <w:spacing w:after="0" w:line="101"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4.</w:t>
      </w:r>
      <w:r>
        <w:rPr>
          <w:sz w:val="20"/>
          <w:szCs w:val="20"/>
          <w:color w:val="auto"/>
        </w:rPr>
        <w:tab/>
      </w:r>
      <w:r>
        <w:rPr>
          <w:rFonts w:ascii="Arial" w:cs="Arial" w:eastAsia="Arial" w:hAnsi="Arial"/>
          <w:sz w:val="16"/>
          <w:szCs w:val="16"/>
          <w:b w:val="1"/>
          <w:bCs w:val="1"/>
          <w:color w:val="auto"/>
        </w:rPr>
        <w:t>EMPLOYEE CONTRIBUTIONS.</w:t>
      </w:r>
    </w:p>
    <w:p>
      <w:pPr>
        <w:spacing w:after="0" w:line="113" w:lineRule="exact"/>
        <w:rPr>
          <w:sz w:val="20"/>
          <w:szCs w:val="20"/>
          <w:color w:val="auto"/>
        </w:rPr>
      </w:pPr>
    </w:p>
    <w:p>
      <w:pPr>
        <w:jc w:val="both"/>
        <w:ind w:firstLine="440"/>
        <w:spacing w:after="0" w:line="266" w:lineRule="auto"/>
        <w:tabs>
          <w:tab w:leader="none" w:pos="832"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 xml:space="preserve">Frequency of Payroll Deductions. </w:t>
      </w:r>
      <w:r>
        <w:rPr>
          <w:rFonts w:ascii="Arial" w:cs="Arial" w:eastAsia="Arial" w:hAnsi="Arial"/>
          <w:sz w:val="16"/>
          <w:szCs w:val="16"/>
          <w:color w:val="auto"/>
        </w:rPr>
        <w:t>A Participant may purchase shares of Stock under the Plan solely by means of payroll deductions.</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deductions, as designated by the Participant pursuant to Subsection (b) below, shall occur during the Offering Period on the Compensation payment date while a Participant is in the Plan.</w:t>
      </w:r>
    </w:p>
    <w:p>
      <w:pPr>
        <w:spacing w:after="0" w:line="63" w:lineRule="exact"/>
        <w:rPr>
          <w:rFonts w:ascii="Arial" w:cs="Arial" w:eastAsia="Arial" w:hAnsi="Arial"/>
          <w:sz w:val="16"/>
          <w:szCs w:val="16"/>
          <w:color w:val="auto"/>
        </w:rPr>
      </w:pPr>
    </w:p>
    <w:p>
      <w:pPr>
        <w:jc w:val="both"/>
        <w:ind w:firstLine="440"/>
        <w:spacing w:after="0" w:line="266" w:lineRule="auto"/>
        <w:tabs>
          <w:tab w:leader="none" w:pos="832"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 xml:space="preserve">Amount of Payroll Deductions. </w:t>
      </w:r>
      <w:r>
        <w:rPr>
          <w:rFonts w:ascii="Arial" w:cs="Arial" w:eastAsia="Arial" w:hAnsi="Arial"/>
          <w:sz w:val="16"/>
          <w:szCs w:val="16"/>
          <w:color w:val="auto"/>
        </w:rPr>
        <w:t>An Eligible Employee shall designate in the enrollment process the portion of his or her Compensation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he or she elects to have withheld for the purchase of Stock. Such portion shall be a whole percentage of the Eligible Employee’s Compensation, but not less than one percent (1%) or more than fifteen percent (15%).</w:t>
      </w:r>
    </w:p>
    <w:p>
      <w:pPr>
        <w:spacing w:after="0" w:line="63" w:lineRule="exact"/>
        <w:rPr>
          <w:rFonts w:ascii="Arial" w:cs="Arial" w:eastAsia="Arial" w:hAnsi="Arial"/>
          <w:sz w:val="16"/>
          <w:szCs w:val="16"/>
          <w:color w:val="auto"/>
        </w:rPr>
      </w:pPr>
    </w:p>
    <w:p>
      <w:pPr>
        <w:jc w:val="both"/>
        <w:ind w:right="20" w:firstLine="440"/>
        <w:spacing w:after="0" w:line="266" w:lineRule="auto"/>
        <w:tabs>
          <w:tab w:leader="none" w:pos="823"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 xml:space="preserve">Changing Withholding Rate. </w:t>
      </w:r>
      <w:r>
        <w:rPr>
          <w:rFonts w:ascii="Arial" w:cs="Arial" w:eastAsia="Arial" w:hAnsi="Arial"/>
          <w:sz w:val="16"/>
          <w:szCs w:val="16"/>
          <w:color w:val="auto"/>
        </w:rPr>
        <w:t>If a Participant wishes to change the rate of payroll withholding, he or she may do so by notifying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using the process prescribed for this purpose by the Committee. The new withholding rate shall be effective as soon as reasonably practicable after such notification by the Company.</w:t>
      </w:r>
    </w:p>
    <w:p>
      <w:pPr>
        <w:spacing w:after="0" w:line="63" w:lineRule="exact"/>
        <w:rPr>
          <w:rFonts w:ascii="Arial" w:cs="Arial" w:eastAsia="Arial" w:hAnsi="Arial"/>
          <w:sz w:val="16"/>
          <w:szCs w:val="16"/>
          <w:color w:val="auto"/>
        </w:rPr>
      </w:pPr>
    </w:p>
    <w:p>
      <w:pPr>
        <w:jc w:val="both"/>
        <w:ind w:firstLine="440"/>
        <w:spacing w:after="0" w:line="256" w:lineRule="auto"/>
        <w:tabs>
          <w:tab w:leader="none" w:pos="832"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 xml:space="preserve">Discontinuing Payroll Deductions. </w:t>
      </w:r>
      <w:r>
        <w:rPr>
          <w:rFonts w:ascii="Arial" w:cs="Arial" w:eastAsia="Arial" w:hAnsi="Arial"/>
          <w:sz w:val="16"/>
          <w:szCs w:val="16"/>
          <w:color w:val="auto"/>
        </w:rPr>
        <w:t>If a Participant wishes to discontinue employee contributions entirely, he or she may do so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by using the process prescribed for this purpose by the Committee. Payroll withholding shall cease as soon as reasonably practicable after such notification. (In addition, employee contributions may be discontinued automatically pursuant to Section 8(b).) A Participant who has discontinued employee contributions may resume such contributions by using the process prescribed for this purpose by the Committee. Payroll withholding shall resume as soon as reasonably practicable after such notification.</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6"/>
          <w:szCs w:val="16"/>
          <w:b w:val="1"/>
          <w:bCs w:val="1"/>
          <w:color w:val="auto"/>
        </w:rPr>
        <w:t>WITHDRAWAL FROM THE PLAN.</w:t>
      </w:r>
    </w:p>
    <w:p>
      <w:pPr>
        <w:spacing w:after="0" w:line="113" w:lineRule="exact"/>
        <w:rPr>
          <w:sz w:val="20"/>
          <w:szCs w:val="20"/>
          <w:color w:val="auto"/>
        </w:rPr>
      </w:pPr>
    </w:p>
    <w:p>
      <w:pPr>
        <w:jc w:val="both"/>
        <w:ind w:firstLine="440"/>
        <w:spacing w:after="0" w:line="266" w:lineRule="auto"/>
        <w:tabs>
          <w:tab w:leader="none" w:pos="832"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 xml:space="preserve">Withdrawal. </w:t>
      </w:r>
      <w:r>
        <w:rPr>
          <w:rFonts w:ascii="Arial" w:cs="Arial" w:eastAsia="Arial" w:hAnsi="Arial"/>
          <w:sz w:val="16"/>
          <w:szCs w:val="16"/>
          <w:color w:val="auto"/>
        </w:rPr>
        <w:t>A Participant may elect to withdraw from the Plan by using the process and timing prescribed for this purpose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As soon as reasonably practicable after the effective date of a Participant’s withdrawal, payroll deductions shall cease and the entire amount credited to the Participant’s Plan Account shall be refunded to him or her in cash, without interest. No partial withdrawals shall be permitted.</w:t>
      </w:r>
    </w:p>
    <w:p>
      <w:pPr>
        <w:spacing w:after="0" w:line="63" w:lineRule="exact"/>
        <w:rPr>
          <w:rFonts w:ascii="Arial" w:cs="Arial" w:eastAsia="Arial" w:hAnsi="Arial"/>
          <w:sz w:val="16"/>
          <w:szCs w:val="16"/>
          <w:color w:val="auto"/>
        </w:rPr>
      </w:pPr>
    </w:p>
    <w:p>
      <w:pPr>
        <w:ind w:right="20" w:firstLine="440"/>
        <w:spacing w:after="0" w:line="286" w:lineRule="auto"/>
        <w:tabs>
          <w:tab w:leader="none" w:pos="832"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 xml:space="preserve">Re-enrollment After Withdrawal. </w:t>
      </w:r>
      <w:r>
        <w:rPr>
          <w:rFonts w:ascii="Arial" w:cs="Arial" w:eastAsia="Arial" w:hAnsi="Arial"/>
          <w:sz w:val="16"/>
          <w:szCs w:val="16"/>
          <w:color w:val="auto"/>
        </w:rPr>
        <w:t>A former Participant who has withdrawn from the Plan shall not be a Participant until he or she re-enrolls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Plan under Section 3(b). Re-enrollment may be effective only at the commencement of an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313690</wp:posOffset>
            </wp:positionV>
            <wp:extent cx="1020445" cy="1289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C-1</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4040"/>
        <w:spacing w:after="0"/>
        <w:rPr>
          <w:sz w:val="20"/>
          <w:szCs w:val="20"/>
          <w:color w:val="auto"/>
        </w:rPr>
      </w:pPr>
      <w:r>
        <w:rPr>
          <w:rFonts w:ascii="Arial" w:cs="Arial" w:eastAsia="Arial" w:hAnsi="Arial"/>
          <w:sz w:val="14"/>
          <w:szCs w:val="14"/>
          <w:b w:val="1"/>
          <w:bCs w:val="1"/>
          <w:i w:val="1"/>
          <w:iCs w:val="1"/>
          <w:color w:val="67686B"/>
        </w:rPr>
        <w:t>APPENDIX C: NORDSTROM, INC. AMENDED AND RESTATED EMPLOYEE STOCK PURCHASE PLAN</w:t>
      </w:r>
    </w:p>
    <w:p>
      <w:pPr>
        <w:spacing w:after="0" w:line="143"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6.</w:t>
      </w:r>
      <w:r>
        <w:rPr>
          <w:sz w:val="20"/>
          <w:szCs w:val="20"/>
          <w:color w:val="auto"/>
        </w:rPr>
        <w:tab/>
      </w:r>
      <w:r>
        <w:rPr>
          <w:rFonts w:ascii="Arial" w:cs="Arial" w:eastAsia="Arial" w:hAnsi="Arial"/>
          <w:sz w:val="15"/>
          <w:szCs w:val="15"/>
          <w:b w:val="1"/>
          <w:bCs w:val="1"/>
          <w:color w:val="auto"/>
        </w:rPr>
        <w:t>CHANGE IN EMPLOYMENT STATUS.</w:t>
      </w:r>
    </w:p>
    <w:p>
      <w:pPr>
        <w:spacing w:after="0" w:line="113" w:lineRule="exact"/>
        <w:rPr>
          <w:sz w:val="20"/>
          <w:szCs w:val="20"/>
          <w:color w:val="auto"/>
        </w:rPr>
      </w:pPr>
    </w:p>
    <w:p>
      <w:pPr>
        <w:jc w:val="both"/>
        <w:ind w:firstLine="440"/>
        <w:spacing w:after="0" w:line="266" w:lineRule="auto"/>
        <w:tabs>
          <w:tab w:leader="none" w:pos="832"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Termination of employment as an Eligible Employee for any reason, including death, shall be treated as an</w:t>
      </w:r>
      <w:r>
        <w:rPr>
          <w:rFonts w:ascii="Arial" w:cs="Arial" w:eastAsia="Arial" w:hAnsi="Arial"/>
          <w:sz w:val="16"/>
          <w:szCs w:val="16"/>
          <w:b w:val="1"/>
          <w:bCs w:val="1"/>
          <w:color w:val="auto"/>
        </w:rPr>
        <w:t xml:space="preserve"> </w:t>
      </w:r>
      <w:r>
        <w:rPr>
          <w:rFonts w:ascii="Arial" w:cs="Arial" w:eastAsia="Arial" w:hAnsi="Arial"/>
          <w:sz w:val="16"/>
          <w:szCs w:val="16"/>
          <w:color w:val="auto"/>
        </w:rPr>
        <w:t>automatic withdrawal from the Plan under Section 5(a). A transfer from one Participating Company to another shall not be treated as a termination of employment.</w:t>
      </w:r>
    </w:p>
    <w:p>
      <w:pPr>
        <w:spacing w:after="0" w:line="63" w:lineRule="exact"/>
        <w:rPr>
          <w:rFonts w:ascii="Arial" w:cs="Arial" w:eastAsia="Arial" w:hAnsi="Arial"/>
          <w:sz w:val="16"/>
          <w:szCs w:val="16"/>
          <w:color w:val="auto"/>
        </w:rPr>
      </w:pPr>
    </w:p>
    <w:p>
      <w:pPr>
        <w:jc w:val="both"/>
        <w:ind w:firstLine="440"/>
        <w:spacing w:after="0" w:line="275" w:lineRule="auto"/>
        <w:tabs>
          <w:tab w:leader="none" w:pos="832"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 xml:space="preserve">Leave of Absence. </w:t>
      </w:r>
      <w:r>
        <w:rPr>
          <w:rFonts w:ascii="Arial" w:cs="Arial" w:eastAsia="Arial" w:hAnsi="Arial"/>
          <w:sz w:val="16"/>
          <w:szCs w:val="16"/>
          <w:color w:val="auto"/>
        </w:rPr>
        <w:t>For purposes of the Plan, employment shall not be deemed to terminate when the Participant goes on an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leave of absence. Employment shall be deemed to terminate in any event when the approved leave ends, unless the Participant immediately returns to work.</w:t>
      </w:r>
    </w:p>
    <w:p>
      <w:pPr>
        <w:spacing w:after="0" w:line="253" w:lineRule="exact"/>
        <w:rPr>
          <w:rFonts w:ascii="Arial" w:cs="Arial" w:eastAsia="Arial" w:hAnsi="Arial"/>
          <w:sz w:val="16"/>
          <w:szCs w:val="16"/>
          <w:color w:val="auto"/>
        </w:rPr>
      </w:pPr>
    </w:p>
    <w:p>
      <w:pPr>
        <w:jc w:val="both"/>
        <w:ind w:firstLine="440"/>
        <w:spacing w:after="0" w:line="259" w:lineRule="auto"/>
        <w:tabs>
          <w:tab w:leader="none" w:pos="823"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In the event of the Participant’s death, the amount credited to his or her Plan Account shall be paid in the same manner as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final paycheck from the Company. Any shares of Stock held by the broker designated by the Committee pursuant to Section 7(e) shall be paid or delivered to a beneficiary or beneficiaries designated by the Participant pursuant to the relevant rules established by the broker with respect to the brokerage account.</w:t>
      </w:r>
    </w:p>
    <w:p>
      <w:pPr>
        <w:spacing w:after="0" w:line="110"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7.</w:t>
      </w:r>
      <w:r>
        <w:rPr>
          <w:sz w:val="20"/>
          <w:szCs w:val="20"/>
          <w:color w:val="auto"/>
        </w:rPr>
        <w:tab/>
      </w:r>
      <w:r>
        <w:rPr>
          <w:rFonts w:ascii="Arial" w:cs="Arial" w:eastAsia="Arial" w:hAnsi="Arial"/>
          <w:sz w:val="16"/>
          <w:szCs w:val="16"/>
          <w:b w:val="1"/>
          <w:bCs w:val="1"/>
          <w:color w:val="auto"/>
        </w:rPr>
        <w:t>PLAN ACCOUNTS AND PURCHASE OF SHARES.</w:t>
      </w:r>
    </w:p>
    <w:p>
      <w:pPr>
        <w:spacing w:after="0" w:line="113" w:lineRule="exact"/>
        <w:rPr>
          <w:sz w:val="20"/>
          <w:szCs w:val="20"/>
          <w:color w:val="auto"/>
        </w:rPr>
      </w:pPr>
    </w:p>
    <w:p>
      <w:pPr>
        <w:jc w:val="both"/>
        <w:ind w:firstLine="440"/>
        <w:spacing w:after="0" w:line="259" w:lineRule="auto"/>
        <w:tabs>
          <w:tab w:leader="none" w:pos="832"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Plan Accounts. </w:t>
      </w:r>
      <w:r>
        <w:rPr>
          <w:rFonts w:ascii="Arial" w:cs="Arial" w:eastAsia="Arial" w:hAnsi="Arial"/>
          <w:sz w:val="16"/>
          <w:szCs w:val="16"/>
          <w:color w:val="auto"/>
        </w:rPr>
        <w:t>A Plan Account shall be maintained in the name of each Participant. Whenever an amount is deducted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69" w:lineRule="exact"/>
        <w:rPr>
          <w:rFonts w:ascii="Arial" w:cs="Arial" w:eastAsia="Arial" w:hAnsi="Arial"/>
          <w:sz w:val="16"/>
          <w:szCs w:val="16"/>
          <w:color w:val="auto"/>
        </w:rPr>
      </w:pPr>
    </w:p>
    <w:p>
      <w:pPr>
        <w:ind w:firstLine="440"/>
        <w:spacing w:after="0" w:line="286" w:lineRule="auto"/>
        <w:tabs>
          <w:tab w:leader="none" w:pos="832"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The Purchase Price for each share of Stock purchased at the close of an Offering Period shall be ninety percent (90%)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Market Value of such share on the last trading day in such Offering Period.</w:t>
      </w:r>
    </w:p>
    <w:p>
      <w:pPr>
        <w:spacing w:after="0" w:line="47" w:lineRule="exact"/>
        <w:rPr>
          <w:rFonts w:ascii="Arial" w:cs="Arial" w:eastAsia="Arial" w:hAnsi="Arial"/>
          <w:sz w:val="16"/>
          <w:szCs w:val="16"/>
          <w:color w:val="auto"/>
        </w:rPr>
      </w:pPr>
    </w:p>
    <w:p>
      <w:pPr>
        <w:jc w:val="both"/>
        <w:ind w:firstLine="440"/>
        <w:spacing w:after="0" w:line="254" w:lineRule="auto"/>
        <w:tabs>
          <w:tab w:leader="none" w:pos="823"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Number of Shares Purchased. </w:t>
      </w:r>
      <w:r>
        <w:rPr>
          <w:rFonts w:ascii="Arial" w:cs="Arial" w:eastAsia="Arial" w:hAnsi="Arial"/>
          <w:sz w:val="16"/>
          <w:szCs w:val="16"/>
          <w:color w:val="auto"/>
        </w:rPr>
        <w:t>As of the last day of each Offering Period, each Participant shall be deemed to have elected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shares of Stock calculated in accordance with this Subsection (c), unless the Participant has previously elected to withdraw from the Plan in accordance with Section 5(a). The amount then in the Participant’s Plan Account shall be divided by the Purchase Price, and the number of shares that results shall be purchased from the Company with the funds in the Participant’s Plan Account. The foregoing notwithstanding, no Participant shall purchase more than one thousand (1,000) shares of Stock with respect to any Offering Period nor more than the amounts of Stock set forth in Sections 8(b) and 13(a). Any fractional share, as calculated under this Subsection (c), shall be rounded down to the next lower whole share.</w:t>
      </w:r>
    </w:p>
    <w:p>
      <w:pPr>
        <w:spacing w:after="0" w:line="73" w:lineRule="exact"/>
        <w:rPr>
          <w:rFonts w:ascii="Arial" w:cs="Arial" w:eastAsia="Arial" w:hAnsi="Arial"/>
          <w:sz w:val="16"/>
          <w:szCs w:val="16"/>
          <w:color w:val="auto"/>
        </w:rPr>
      </w:pPr>
    </w:p>
    <w:p>
      <w:pPr>
        <w:jc w:val="both"/>
        <w:ind w:firstLine="440"/>
        <w:spacing w:after="0" w:line="256" w:lineRule="auto"/>
        <w:tabs>
          <w:tab w:leader="none" w:pos="832"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Available Shares Insufficient. </w:t>
      </w:r>
      <w:r>
        <w:rPr>
          <w:rFonts w:ascii="Arial" w:cs="Arial" w:eastAsia="Arial" w:hAnsi="Arial"/>
          <w:sz w:val="16"/>
          <w:szCs w:val="16"/>
          <w:color w:val="auto"/>
        </w:rPr>
        <w:t>In the event that the aggregate number of shares that all Participants elect to purchase during an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exceeds the maximum number of shares remaining available for issuance under Section 13(a),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71" w:lineRule="exact"/>
        <w:rPr>
          <w:rFonts w:ascii="Arial" w:cs="Arial" w:eastAsia="Arial" w:hAnsi="Arial"/>
          <w:sz w:val="16"/>
          <w:szCs w:val="16"/>
          <w:color w:val="auto"/>
        </w:rPr>
      </w:pPr>
    </w:p>
    <w:p>
      <w:pPr>
        <w:jc w:val="both"/>
        <w:ind w:firstLine="440"/>
        <w:spacing w:after="0" w:line="259" w:lineRule="auto"/>
        <w:tabs>
          <w:tab w:leader="none" w:pos="832"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Issuance of Stock. </w:t>
      </w:r>
      <w:r>
        <w:rPr>
          <w:rFonts w:ascii="Arial" w:cs="Arial" w:eastAsia="Arial" w:hAnsi="Arial"/>
          <w:sz w:val="16"/>
          <w:szCs w:val="16"/>
          <w:color w:val="auto"/>
        </w:rPr>
        <w:t>Certificates representing shares of Stock purchased by a Participant under the Plan shall be held for each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by a broker designated by the Committee for the Plan. Shares may be registered in the name of the Participant or jointly in the name of the Participant and his or her spouse as joint tenants with right of survivorship or as community property. A Participant may elect the following with respect to such shares, in accordance with and subject to the process prescribed for this purpose by the Committee:</w:t>
      </w:r>
    </w:p>
    <w:p>
      <w:pPr>
        <w:spacing w:after="0" w:line="29" w:lineRule="exact"/>
        <w:rPr>
          <w:rFonts w:ascii="Arial" w:cs="Arial" w:eastAsia="Arial" w:hAnsi="Arial"/>
          <w:sz w:val="16"/>
          <w:szCs w:val="16"/>
          <w:color w:val="auto"/>
        </w:rPr>
      </w:pPr>
    </w:p>
    <w:p>
      <w:pPr>
        <w:ind w:left="1260" w:hanging="388"/>
        <w:spacing w:after="0"/>
        <w:tabs>
          <w:tab w:leader="none" w:pos="12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that the Stock certificates be issued to him or her in exchange for the whole shares held within the Participant’s Account, or</w:t>
      </w:r>
    </w:p>
    <w:p>
      <w:pPr>
        <w:spacing w:after="0" w:line="72" w:lineRule="exact"/>
        <w:rPr>
          <w:rFonts w:ascii="Arial" w:cs="Arial" w:eastAsia="Arial" w:hAnsi="Arial"/>
          <w:sz w:val="16"/>
          <w:szCs w:val="16"/>
          <w:color w:val="auto"/>
        </w:rPr>
      </w:pPr>
    </w:p>
    <w:p>
      <w:pPr>
        <w:ind w:left="1260" w:hanging="388"/>
        <w:spacing w:after="0"/>
        <w:tabs>
          <w:tab w:leader="none" w:pos="12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that shares held within the Participant’s Account be transferred to an appropriate broker designated by the Participant.</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Each Participant shall be required to notify the Company in the event of the sale or disposition of any of such shares. For purposes of the previous sentence, the term “disposition” shall have the meaning prescribed under Section 424(c)(1) of the Code.</w:t>
      </w:r>
    </w:p>
    <w:p>
      <w:pPr>
        <w:spacing w:after="0" w:line="48" w:lineRule="exact"/>
        <w:rPr>
          <w:sz w:val="20"/>
          <w:szCs w:val="20"/>
          <w:color w:val="auto"/>
        </w:rPr>
      </w:pPr>
    </w:p>
    <w:p>
      <w:pPr>
        <w:jc w:val="both"/>
        <w:ind w:firstLine="440"/>
        <w:spacing w:after="0" w:line="259" w:lineRule="auto"/>
        <w:tabs>
          <w:tab w:leader="none" w:pos="828"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Unused Cash Balances. </w:t>
      </w:r>
      <w:r>
        <w:rPr>
          <w:rFonts w:ascii="Arial" w:cs="Arial" w:eastAsia="Arial" w:hAnsi="Arial"/>
          <w:sz w:val="16"/>
          <w:szCs w:val="16"/>
          <w:color w:val="auto"/>
        </w:rPr>
        <w:t>Any amount remaining in the Participant’s Plan Account that represents the Purchase Price for a fractional share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carried over in the Participant’s Plan Account to the next Offering Period. Any amount remaining in the Participant’s Plan Account that represents the Purchase Price for whole shares that could not be purchased by reason of Subsection (c) above, Section 8(b) or Section 13(a) shall be refunded to the Participant in cash, without interest.</w:t>
      </w:r>
    </w:p>
    <w:p>
      <w:pPr>
        <w:spacing w:after="0" w:line="69" w:lineRule="exact"/>
        <w:rPr>
          <w:rFonts w:ascii="Arial" w:cs="Arial" w:eastAsia="Arial" w:hAnsi="Arial"/>
          <w:sz w:val="16"/>
          <w:szCs w:val="16"/>
          <w:color w:val="auto"/>
        </w:rPr>
      </w:pPr>
    </w:p>
    <w:p>
      <w:pPr>
        <w:ind w:firstLine="440"/>
        <w:spacing w:after="0" w:line="286" w:lineRule="auto"/>
        <w:tabs>
          <w:tab w:leader="none" w:pos="83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Shareholder Approval. </w:t>
      </w:r>
      <w:r>
        <w:rPr>
          <w:rFonts w:ascii="Arial" w:cs="Arial" w:eastAsia="Arial" w:hAnsi="Arial"/>
          <w:sz w:val="16"/>
          <w:szCs w:val="16"/>
          <w:color w:val="auto"/>
        </w:rPr>
        <w:t>Any other provision of the Plan notwithstanding, no shares of Stock shall be purchased under the Plan unless and</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Company’s shareholders have approved the adoption of the Plan.</w:t>
      </w:r>
    </w:p>
    <w:p>
      <w:pPr>
        <w:spacing w:after="0" w:line="88"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8.</w:t>
      </w:r>
      <w:r>
        <w:rPr>
          <w:sz w:val="20"/>
          <w:szCs w:val="20"/>
          <w:color w:val="auto"/>
        </w:rPr>
        <w:tab/>
      </w:r>
      <w:r>
        <w:rPr>
          <w:rFonts w:ascii="Arial" w:cs="Arial" w:eastAsia="Arial" w:hAnsi="Arial"/>
          <w:sz w:val="15"/>
          <w:szCs w:val="15"/>
          <w:b w:val="1"/>
          <w:bCs w:val="1"/>
          <w:color w:val="auto"/>
        </w:rPr>
        <w:t>LIMITATIONS ON STOCK OWNERSHIP.</w:t>
      </w:r>
    </w:p>
    <w:p>
      <w:pPr>
        <w:spacing w:after="0" w:line="113" w:lineRule="exact"/>
        <w:rPr>
          <w:sz w:val="20"/>
          <w:szCs w:val="20"/>
          <w:color w:val="auto"/>
        </w:rPr>
      </w:pPr>
    </w:p>
    <w:p>
      <w:pPr>
        <w:jc w:val="both"/>
        <w:ind w:firstLine="440"/>
        <w:spacing w:after="0" w:line="259" w:lineRule="auto"/>
        <w:tabs>
          <w:tab w:leader="none" w:pos="832"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Five Percent Limit. </w:t>
      </w:r>
      <w:r>
        <w:rPr>
          <w:rFonts w:ascii="Arial" w:cs="Arial" w:eastAsia="Arial" w:hAnsi="Arial"/>
          <w:sz w:val="16"/>
          <w:szCs w:val="16"/>
          <w:color w:val="auto"/>
        </w:rPr>
        <w:t>Any other provision of the Plan notwithstanding, no Participant shall be granted a right to purchase Stock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if such Participant, immediately after his or her election to purchase such Stock, would own stock possessing 5% or more of the total combined voting power or value (determined under Code Section 423) of all classes of stock of the Company or any parent or Subsidiary of the Company. For purposes of this Subsection (a), the following rules shall apply:</w:t>
      </w:r>
    </w:p>
    <w:p>
      <w:pPr>
        <w:spacing w:after="0" w:line="29" w:lineRule="exact"/>
        <w:rPr>
          <w:rFonts w:ascii="Arial" w:cs="Arial" w:eastAsia="Arial" w:hAnsi="Arial"/>
          <w:sz w:val="16"/>
          <w:szCs w:val="16"/>
          <w:color w:val="auto"/>
        </w:rPr>
      </w:pPr>
    </w:p>
    <w:p>
      <w:pPr>
        <w:ind w:left="1260" w:hanging="388"/>
        <w:spacing w:after="0"/>
        <w:tabs>
          <w:tab w:leader="none" w:pos="12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Ownership of stock shall be determined after applying the attribution rules of Section 424(d) of the Code;</w:t>
      </w:r>
    </w:p>
    <w:p>
      <w:pPr>
        <w:spacing w:after="0" w:line="86" w:lineRule="exact"/>
        <w:rPr>
          <w:rFonts w:ascii="Arial" w:cs="Arial" w:eastAsia="Arial" w:hAnsi="Arial"/>
          <w:sz w:val="16"/>
          <w:szCs w:val="16"/>
          <w:color w:val="auto"/>
        </w:rPr>
      </w:pPr>
    </w:p>
    <w:p>
      <w:pPr>
        <w:ind w:left="1260" w:hanging="388"/>
        <w:spacing w:after="0"/>
        <w:tabs>
          <w:tab w:leader="none" w:pos="12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Each Participant shall be deemed to own any stock that he or she has a right or option to purchase under this or any other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1019810" cy="1200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1019810" cy="1200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8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500" w:type="dxa"/>
            <w:vAlign w:val="bottom"/>
          </w:tcPr>
          <w:p>
            <w:pPr>
              <w:ind w:left="260"/>
              <w:spacing w:after="0"/>
              <w:rPr>
                <w:sz w:val="20"/>
                <w:szCs w:val="20"/>
                <w:color w:val="auto"/>
              </w:rPr>
            </w:pPr>
            <w:r>
              <w:rPr>
                <w:rFonts w:ascii="Arial" w:cs="Arial" w:eastAsia="Arial" w:hAnsi="Arial"/>
                <w:sz w:val="14"/>
                <w:szCs w:val="14"/>
                <w:b w:val="1"/>
                <w:bCs w:val="1"/>
                <w:color w:val="auto"/>
                <w:w w:val="97"/>
              </w:rPr>
              <w:t>C-2</w:t>
            </w:r>
          </w:p>
        </w:tc>
      </w:tr>
      <w:tr>
        <w:trPr>
          <w:trHeight w:val="393"/>
        </w:trPr>
        <w:tc>
          <w:tcPr>
            <w:tcW w:w="10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APPENDIX C: NORDSTROM, INC. AMENDED AND RESTATED EMPLOYEE STOCK PURCHASE PLAN</w:t>
      </w:r>
    </w:p>
    <w:p>
      <w:pPr>
        <w:spacing w:after="0" w:line="75" w:lineRule="exact"/>
        <w:rPr>
          <w:sz w:val="20"/>
          <w:szCs w:val="20"/>
          <w:color w:val="auto"/>
        </w:rPr>
      </w:pPr>
    </w:p>
    <w:p>
      <w:pPr>
        <w:ind w:left="440" w:firstLine="432"/>
        <w:spacing w:after="0" w:line="286" w:lineRule="auto"/>
        <w:tabs>
          <w:tab w:leader="none" w:pos="125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purposes of applying subsection (ii), each Participant shall be deemed to have the right or option to purchase one thousand (1,000) shares of Stock under this Plan with respect to each Offering Period.</w:t>
      </w:r>
    </w:p>
    <w:p>
      <w:pPr>
        <w:spacing w:after="0" w:line="47" w:lineRule="exact"/>
        <w:rPr>
          <w:rFonts w:ascii="Arial" w:cs="Arial" w:eastAsia="Arial" w:hAnsi="Arial"/>
          <w:sz w:val="16"/>
          <w:szCs w:val="16"/>
          <w:color w:val="auto"/>
        </w:rPr>
      </w:pPr>
    </w:p>
    <w:p>
      <w:pPr>
        <w:ind w:firstLine="440"/>
        <w:spacing w:after="0" w:line="286" w:lineRule="auto"/>
        <w:tabs>
          <w:tab w:leader="none" w:pos="832" w:val="left"/>
        </w:tabs>
        <w:numPr>
          <w:ilvl w:val="0"/>
          <w:numId w:val="160"/>
        </w:numPr>
        <w:rPr>
          <w:rFonts w:ascii="Arial" w:cs="Arial" w:eastAsia="Arial" w:hAnsi="Arial"/>
          <w:sz w:val="16"/>
          <w:szCs w:val="16"/>
          <w:color w:val="auto"/>
        </w:rPr>
      </w:pPr>
      <w:r>
        <w:rPr>
          <w:rFonts w:ascii="Arial" w:cs="Arial" w:eastAsia="Arial" w:hAnsi="Arial"/>
          <w:sz w:val="16"/>
          <w:szCs w:val="16"/>
          <w:b w:val="1"/>
          <w:bCs w:val="1"/>
          <w:color w:val="auto"/>
        </w:rPr>
        <w:t xml:space="preserve">Dollar Limit. </w:t>
      </w:r>
      <w:r>
        <w:rPr>
          <w:rFonts w:ascii="Arial" w:cs="Arial" w:eastAsia="Arial" w:hAnsi="Arial"/>
          <w:sz w:val="16"/>
          <w:szCs w:val="16"/>
          <w:color w:val="auto"/>
        </w:rPr>
        <w:t>Any other provision of the Plan notwithstanding, no Participant shall purchase Stock with a Fair Market Value in excess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limit:</w:t>
      </w:r>
    </w:p>
    <w:p>
      <w:pPr>
        <w:spacing w:after="0" w:line="7" w:lineRule="exact"/>
        <w:rPr>
          <w:rFonts w:ascii="Arial" w:cs="Arial" w:eastAsia="Arial" w:hAnsi="Arial"/>
          <w:sz w:val="16"/>
          <w:szCs w:val="16"/>
          <w:color w:val="auto"/>
        </w:rPr>
      </w:pPr>
    </w:p>
    <w:p>
      <w:pPr>
        <w:ind w:left="1260" w:hanging="388"/>
        <w:spacing w:after="0"/>
        <w:tabs>
          <w:tab w:leader="none" w:pos="126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the case of Stock purchased during an Offering Period that commenced in the current calendar year, the limit shall be equal to</w:t>
      </w:r>
    </w:p>
    <w:p>
      <w:pPr>
        <w:spacing w:after="0" w:line="2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(A) $25,000 minus (B) the Fair Market Value of the Stock that the Participant previously purchased in the current calendar year under this Plan.</w:t>
      </w:r>
    </w:p>
    <w:p>
      <w:pPr>
        <w:spacing w:after="0" w:line="57" w:lineRule="exact"/>
        <w:rPr>
          <w:sz w:val="20"/>
          <w:szCs w:val="20"/>
          <w:color w:val="auto"/>
        </w:rPr>
      </w:pPr>
    </w:p>
    <w:p>
      <w:pPr>
        <w:jc w:val="both"/>
        <w:ind w:left="440" w:firstLine="432"/>
        <w:spacing w:after="0" w:line="266" w:lineRule="auto"/>
        <w:tabs>
          <w:tab w:leader="none" w:pos="125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the case of Stock purchased during an Offering Period that commenced in the immediately preceding calendar year, the limit shall be equal to (A) $50,000 minus (B) the Fair Market Value of the Stock that the Participant previously purchased under this Plan in the current calendar year and in the immediately preceding calendar year.</w:t>
      </w:r>
    </w:p>
    <w:p>
      <w:pPr>
        <w:spacing w:after="0" w:line="6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For purposes of this Subsection (b), the Fair Market Value of Stock shall be determined in each case as of the beginning of the Offering Period in which such Stock is purchased. 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110"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9.</w:t>
      </w:r>
      <w:r>
        <w:rPr>
          <w:sz w:val="20"/>
          <w:szCs w:val="20"/>
          <w:color w:val="auto"/>
        </w:rPr>
        <w:tab/>
      </w:r>
      <w:r>
        <w:rPr>
          <w:rFonts w:ascii="Arial" w:cs="Arial" w:eastAsia="Arial" w:hAnsi="Arial"/>
          <w:sz w:val="16"/>
          <w:szCs w:val="16"/>
          <w:b w:val="1"/>
          <w:bCs w:val="1"/>
          <w:color w:val="auto"/>
        </w:rPr>
        <w:t>RIGHTS NOT TRANSFERABLE.</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5(a).</w:t>
      </w:r>
    </w:p>
    <w:p>
      <w:pPr>
        <w:spacing w:after="0" w:line="110"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10.</w:t>
      </w:r>
      <w:r>
        <w:rPr>
          <w:sz w:val="20"/>
          <w:szCs w:val="20"/>
          <w:color w:val="auto"/>
        </w:rPr>
        <w:tab/>
      </w:r>
      <w:r>
        <w:rPr>
          <w:rFonts w:ascii="Arial" w:cs="Arial" w:eastAsia="Arial" w:hAnsi="Arial"/>
          <w:sz w:val="16"/>
          <w:szCs w:val="16"/>
          <w:b w:val="1"/>
          <w:bCs w:val="1"/>
          <w:color w:val="auto"/>
        </w:rPr>
        <w:t>NO RIGHTS AS AN EMPLOYEE.</w:t>
      </w:r>
    </w:p>
    <w:p>
      <w:pPr>
        <w:spacing w:after="0" w:line="11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6"/>
          <w:szCs w:val="16"/>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288"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11.</w:t>
      </w:r>
      <w:r>
        <w:rPr>
          <w:sz w:val="20"/>
          <w:szCs w:val="20"/>
          <w:color w:val="auto"/>
        </w:rPr>
        <w:tab/>
      </w:r>
      <w:r>
        <w:rPr>
          <w:rFonts w:ascii="Arial" w:cs="Arial" w:eastAsia="Arial" w:hAnsi="Arial"/>
          <w:sz w:val="16"/>
          <w:szCs w:val="16"/>
          <w:b w:val="1"/>
          <w:bCs w:val="1"/>
          <w:color w:val="auto"/>
        </w:rPr>
        <w:t>NO RIGHTS AS A SHAREHOLDER.</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A Participant shall have no rights as a shareholder with respect to any shares of Stock that he or she may have a right to purchase under the Plan until such shares have been purchased on the last day of the applicable Offering Period.</w:t>
      </w:r>
    </w:p>
    <w:p>
      <w:pPr>
        <w:spacing w:after="0" w:line="88"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12.</w:t>
      </w:r>
      <w:r>
        <w:rPr>
          <w:sz w:val="20"/>
          <w:szCs w:val="20"/>
          <w:color w:val="auto"/>
        </w:rPr>
        <w:tab/>
      </w:r>
      <w:r>
        <w:rPr>
          <w:rFonts w:ascii="Arial" w:cs="Arial" w:eastAsia="Arial" w:hAnsi="Arial"/>
          <w:sz w:val="16"/>
          <w:szCs w:val="16"/>
          <w:b w:val="1"/>
          <w:bCs w:val="1"/>
          <w:color w:val="auto"/>
        </w:rPr>
        <w:t>SECURITIES LAW REQUIREMENTS.</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110"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13.</w:t>
      </w:r>
      <w:r>
        <w:rPr>
          <w:sz w:val="20"/>
          <w:szCs w:val="20"/>
          <w:color w:val="auto"/>
        </w:rPr>
        <w:tab/>
      </w:r>
      <w:r>
        <w:rPr>
          <w:rFonts w:ascii="Arial" w:cs="Arial" w:eastAsia="Arial" w:hAnsi="Arial"/>
          <w:sz w:val="16"/>
          <w:szCs w:val="16"/>
          <w:b w:val="1"/>
          <w:bCs w:val="1"/>
          <w:color w:val="auto"/>
        </w:rPr>
        <w:t>STOCK OFFERED UNDER THE PLAN.</w:t>
      </w:r>
    </w:p>
    <w:p>
      <w:pPr>
        <w:spacing w:after="0" w:line="113" w:lineRule="exact"/>
        <w:rPr>
          <w:sz w:val="20"/>
          <w:szCs w:val="20"/>
          <w:color w:val="auto"/>
        </w:rPr>
      </w:pPr>
    </w:p>
    <w:p>
      <w:pPr>
        <w:jc w:val="both"/>
        <w:ind w:firstLine="440"/>
        <w:spacing w:after="0" w:line="253" w:lineRule="auto"/>
        <w:tabs>
          <w:tab w:leader="none" w:pos="832"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Authorized Shares. </w:t>
      </w:r>
      <w:r>
        <w:rPr>
          <w:rFonts w:ascii="Arial" w:cs="Arial" w:eastAsia="Arial" w:hAnsi="Arial"/>
          <w:sz w:val="16"/>
          <w:szCs w:val="16"/>
          <w:color w:val="auto"/>
        </w:rPr>
        <w:t>Effective for Offering Periods commencing on and after April 1, 2023, the aggregate authorized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 available for purchase under the Plan is increased by three million five hundred thousand (3,500,000) shares, conditioned on approval of the increase by the Company’s shareholders within 12 months after the Board approves the increase. If the shareholders approve the increase, the aggregate authorized number of shares of Stock available for purchase under the Plan shall equal nineteen million six hundred thousand (19,600,000) shares, subject to adjustment pursuant to this Section 13. Previously, the aggregate authorized number of shares of Stock available for purchase under the Plan was sixteen million one hundred thousand (16,100,000) shares. In the event the increase is not timely approved by the Company’s shareholders, the aggregate authorized number of shares of Stock available for purchase under the Plan shall remain at 16,100,000 shares.</w:t>
      </w:r>
    </w:p>
    <w:p>
      <w:pPr>
        <w:spacing w:after="0" w:line="73" w:lineRule="exact"/>
        <w:rPr>
          <w:rFonts w:ascii="Arial" w:cs="Arial" w:eastAsia="Arial" w:hAnsi="Arial"/>
          <w:sz w:val="16"/>
          <w:szCs w:val="16"/>
          <w:color w:val="auto"/>
        </w:rPr>
      </w:pPr>
    </w:p>
    <w:p>
      <w:pPr>
        <w:jc w:val="both"/>
        <w:ind w:firstLine="440"/>
        <w:spacing w:after="0" w:line="256" w:lineRule="auto"/>
        <w:tabs>
          <w:tab w:leader="none" w:pos="832"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Antidilution Adjustments. </w:t>
      </w:r>
      <w:r>
        <w:rPr>
          <w:rFonts w:ascii="Arial" w:cs="Arial" w:eastAsia="Arial" w:hAnsi="Arial"/>
          <w:sz w:val="16"/>
          <w:szCs w:val="16"/>
          <w:color w:val="auto"/>
        </w:rPr>
        <w:t>The aggregate number of shares of Stock offered under the Plan, the one thousand (1,000) share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Section 7(c) and the price of shares that any Participant has elected to purchase shall be adjusted proportionately by the Committee for any increase or decrease in the number of outstanding shares of Stock resulting from a subdivision or consolidation of shares or the payment of a stock dividend, any other increase or decrease in such shares effected without receipt or payment of consideration by the Company, the distribution of the shares of a Subsidiary to the Company’s shareholders or a similar event.</w:t>
      </w:r>
    </w:p>
    <w:p>
      <w:pPr>
        <w:spacing w:after="0" w:line="71" w:lineRule="exact"/>
        <w:rPr>
          <w:rFonts w:ascii="Arial" w:cs="Arial" w:eastAsia="Arial" w:hAnsi="Arial"/>
          <w:sz w:val="16"/>
          <w:szCs w:val="16"/>
          <w:color w:val="auto"/>
        </w:rPr>
      </w:pPr>
    </w:p>
    <w:p>
      <w:pPr>
        <w:jc w:val="both"/>
        <w:ind w:firstLine="440"/>
        <w:spacing w:after="0" w:line="259" w:lineRule="auto"/>
        <w:tabs>
          <w:tab w:leader="none" w:pos="823"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Reorganizations. </w:t>
      </w:r>
      <w:r>
        <w:rPr>
          <w:rFonts w:ascii="Arial" w:cs="Arial" w:eastAsia="Arial" w:hAnsi="Arial"/>
          <w:sz w:val="16"/>
          <w:szCs w:val="16"/>
          <w:color w:val="auto"/>
        </w:rPr>
        <w:t>Any other provision of the Plan notwithstanding, immediately prior to the effective time of a Corporate Reorganization,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Period then in progress shall terminate and shares shall be purchased pursuant to Section 7, unless the Plan is assumed by the surviving corporation or its parent corporation pursuant to the plan of merger or consolidation. The Plan shall in no event be construed to restrict in any way the Company’s right to undertake a dissolution, liquidation, merger, consolidation or other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327660</wp:posOffset>
            </wp:positionV>
            <wp:extent cx="1020445" cy="1200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1020445" cy="12001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C-3</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69094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ind w:left="4040"/>
        <w:spacing w:after="0"/>
        <w:rPr>
          <w:sz w:val="20"/>
          <w:szCs w:val="20"/>
          <w:color w:val="auto"/>
        </w:rPr>
      </w:pPr>
      <w:r>
        <w:rPr>
          <w:rFonts w:ascii="Arial" w:cs="Arial" w:eastAsia="Arial" w:hAnsi="Arial"/>
          <w:sz w:val="14"/>
          <w:szCs w:val="14"/>
          <w:b w:val="1"/>
          <w:bCs w:val="1"/>
          <w:i w:val="1"/>
          <w:iCs w:val="1"/>
          <w:color w:val="67686B"/>
        </w:rPr>
        <w:t>APPENDIX C: NORDSTROM, INC. AMENDED AND RESTATED EMPLOYEE STOCK PURCHASE PLAN</w:t>
      </w:r>
    </w:p>
    <w:p>
      <w:pPr>
        <w:spacing w:after="0" w:line="143"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14.</w:t>
      </w:r>
      <w:r>
        <w:rPr>
          <w:sz w:val="20"/>
          <w:szCs w:val="20"/>
          <w:color w:val="auto"/>
        </w:rPr>
        <w:tab/>
      </w:r>
      <w:r>
        <w:rPr>
          <w:rFonts w:ascii="Arial" w:cs="Arial" w:eastAsia="Arial" w:hAnsi="Arial"/>
          <w:sz w:val="16"/>
          <w:szCs w:val="16"/>
          <w:b w:val="1"/>
          <w:bCs w:val="1"/>
          <w:color w:val="auto"/>
        </w:rPr>
        <w:t>AMENDMENT OR DISCONTINUANCE.</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6"/>
          <w:szCs w:val="16"/>
          <w:color w:val="auto"/>
        </w:rPr>
        <w:t>The Board shall have the right to amend, suspend or terminate the Plan at any time and without notice. Any amendment that increases the aggregate number of shares of Stock to be issued under the Plan shall be subject to approval by a vote of the shareholders of the Company within 12 months before, or 12 months after, the Board’s adoption of the amendment. In addition, any other amendment of the Plan shall be subject to approval by a vote of the shareholders of the Company to the extent required by an applicable law or regulation. To the extent an amendment does not require shareholder or Board approval (as described above), the Committee shall have the authority to make technical and administrative amendments to the Plan for the sole purpose of carrying out its administrative responsibilities under the Plan.</w:t>
      </w:r>
    </w:p>
    <w:p>
      <w:pPr>
        <w:spacing w:after="0" w:line="114"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15.</w:t>
      </w:r>
      <w:r>
        <w:rPr>
          <w:sz w:val="20"/>
          <w:szCs w:val="20"/>
          <w:color w:val="auto"/>
        </w:rPr>
        <w:tab/>
      </w:r>
      <w:r>
        <w:rPr>
          <w:rFonts w:ascii="Arial" w:cs="Arial" w:eastAsia="Arial" w:hAnsi="Arial"/>
          <w:sz w:val="16"/>
          <w:szCs w:val="16"/>
          <w:b w:val="1"/>
          <w:bCs w:val="1"/>
          <w:color w:val="auto"/>
        </w:rPr>
        <w:t>DEFINITIONS.</w:t>
      </w:r>
    </w:p>
    <w:p>
      <w:pPr>
        <w:spacing w:after="0" w:line="113" w:lineRule="exact"/>
        <w:rPr>
          <w:sz w:val="20"/>
          <w:szCs w:val="20"/>
          <w:color w:val="auto"/>
        </w:rPr>
      </w:pPr>
    </w:p>
    <w:p>
      <w:pPr>
        <w:ind w:left="840" w:hanging="400"/>
        <w:spacing w:after="0"/>
        <w:tabs>
          <w:tab w:leader="none" w:pos="8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 as constituted from time to time.</w:t>
      </w:r>
    </w:p>
    <w:p>
      <w:pPr>
        <w:spacing w:after="0" w:line="113" w:lineRule="exact"/>
        <w:rPr>
          <w:rFonts w:ascii="Arial" w:cs="Arial" w:eastAsia="Arial" w:hAnsi="Arial"/>
          <w:sz w:val="16"/>
          <w:szCs w:val="16"/>
          <w:color w:val="auto"/>
        </w:rPr>
      </w:pPr>
    </w:p>
    <w:p>
      <w:pPr>
        <w:ind w:left="840" w:hanging="400"/>
        <w:spacing w:after="0"/>
        <w:tabs>
          <w:tab w:leader="none" w:pos="8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w:t>
      </w:r>
    </w:p>
    <w:p>
      <w:pPr>
        <w:spacing w:after="0" w:line="113" w:lineRule="exact"/>
        <w:rPr>
          <w:rFonts w:ascii="Arial" w:cs="Arial" w:eastAsia="Arial" w:hAnsi="Arial"/>
          <w:sz w:val="16"/>
          <w:szCs w:val="16"/>
          <w:color w:val="auto"/>
        </w:rPr>
      </w:pPr>
    </w:p>
    <w:p>
      <w:pPr>
        <w:ind w:left="840" w:hanging="400"/>
        <w:spacing w:after="0"/>
        <w:tabs>
          <w:tab w:leader="none" w:pos="8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Compensation, People and Culture Committee of the Board.</w:t>
      </w:r>
    </w:p>
    <w:p>
      <w:pPr>
        <w:spacing w:after="0" w:line="113" w:lineRule="exact"/>
        <w:rPr>
          <w:rFonts w:ascii="Arial" w:cs="Arial" w:eastAsia="Arial" w:hAnsi="Arial"/>
          <w:sz w:val="16"/>
          <w:szCs w:val="16"/>
          <w:color w:val="auto"/>
        </w:rPr>
      </w:pPr>
    </w:p>
    <w:p>
      <w:pPr>
        <w:ind w:left="840" w:hanging="400"/>
        <w:spacing w:after="0"/>
        <w:tabs>
          <w:tab w:leader="none" w:pos="8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Nordstrom, Inc., a Washington corporation.</w:t>
      </w:r>
    </w:p>
    <w:p>
      <w:pPr>
        <w:spacing w:after="0" w:line="113" w:lineRule="exact"/>
        <w:rPr>
          <w:rFonts w:ascii="Arial" w:cs="Arial" w:eastAsia="Arial" w:hAnsi="Arial"/>
          <w:sz w:val="16"/>
          <w:szCs w:val="16"/>
          <w:color w:val="auto"/>
        </w:rPr>
      </w:pPr>
    </w:p>
    <w:p>
      <w:pPr>
        <w:jc w:val="both"/>
        <w:ind w:firstLine="440"/>
        <w:spacing w:after="0" w:line="253" w:lineRule="auto"/>
        <w:tabs>
          <w:tab w:leader="none" w:pos="83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w:t>
      </w:r>
      <w:r>
        <w:rPr>
          <w:rFonts w:ascii="Arial" w:cs="Arial" w:eastAsia="Arial" w:hAnsi="Arial"/>
          <w:sz w:val="16"/>
          <w:szCs w:val="16"/>
          <w:color w:val="auto"/>
        </w:rPr>
        <w:t>” means (i) the total compensation paid in cash to a Participant by a Participating Company, including salaries, wages, incentive compensation, commissions, overtime pay and shift premiums, plus (ii) any pre-tax contributions made by the Participant under Section 401(k) or 125 of the Code. “Compensation” shall exclude all non-cash items, bonuses, moving or relocation allowances, cost-of-living equalization payments, reimbursement and expense allowances, imputed income, severance pay, fringe benefits, contributions or benefits received under employee benefit plans, income attributable to the exercise of stock options, restricted stock unit or performance share unit vests and similar items (such as amounts resulting from grants or awards under any stock-based compensation program). The Committee shall determine whether a particular item is included in Compensation.</w:t>
      </w:r>
    </w:p>
    <w:p>
      <w:pPr>
        <w:spacing w:after="0" w:line="73" w:lineRule="exact"/>
        <w:rPr>
          <w:rFonts w:ascii="Arial" w:cs="Arial" w:eastAsia="Arial" w:hAnsi="Arial"/>
          <w:sz w:val="16"/>
          <w:szCs w:val="16"/>
          <w:color w:val="auto"/>
        </w:rPr>
      </w:pPr>
    </w:p>
    <w:p>
      <w:pPr>
        <w:ind w:left="840" w:hanging="400"/>
        <w:spacing w:after="0"/>
        <w:tabs>
          <w:tab w:leader="none" w:pos="8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Reorganization</w:t>
      </w:r>
      <w:r>
        <w:rPr>
          <w:rFonts w:ascii="Arial" w:cs="Arial" w:eastAsia="Arial" w:hAnsi="Arial"/>
          <w:sz w:val="16"/>
          <w:szCs w:val="16"/>
          <w:color w:val="auto"/>
        </w:rPr>
        <w:t>” means:</w:t>
      </w:r>
    </w:p>
    <w:p>
      <w:pPr>
        <w:spacing w:after="0" w:line="72" w:lineRule="exact"/>
        <w:rPr>
          <w:rFonts w:ascii="Arial" w:cs="Arial" w:eastAsia="Arial" w:hAnsi="Arial"/>
          <w:sz w:val="16"/>
          <w:szCs w:val="16"/>
          <w:color w:val="auto"/>
        </w:rPr>
      </w:pPr>
    </w:p>
    <w:p>
      <w:pPr>
        <w:ind w:left="1260" w:hanging="388"/>
        <w:spacing w:after="0"/>
        <w:tabs>
          <w:tab w:leader="none" w:pos="12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 or</w:t>
      </w:r>
    </w:p>
    <w:p>
      <w:pPr>
        <w:spacing w:after="0" w:line="72" w:lineRule="exact"/>
        <w:rPr>
          <w:rFonts w:ascii="Arial" w:cs="Arial" w:eastAsia="Arial" w:hAnsi="Arial"/>
          <w:sz w:val="16"/>
          <w:szCs w:val="16"/>
          <w:color w:val="auto"/>
        </w:rPr>
      </w:pPr>
    </w:p>
    <w:p>
      <w:pPr>
        <w:ind w:left="1260" w:hanging="388"/>
        <w:spacing w:after="0"/>
        <w:tabs>
          <w:tab w:leader="none" w:pos="12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 or the complete liquidation or dissolution of the</w:t>
      </w:r>
    </w:p>
    <w:p>
      <w:pPr>
        <w:spacing w:after="0" w:line="2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Company.</w:t>
      </w:r>
    </w:p>
    <w:p>
      <w:pPr>
        <w:spacing w:after="0" w:line="97" w:lineRule="exact"/>
        <w:rPr>
          <w:rFonts w:ascii="Arial" w:cs="Arial" w:eastAsia="Arial" w:hAnsi="Arial"/>
          <w:sz w:val="16"/>
          <w:szCs w:val="16"/>
          <w:color w:val="auto"/>
        </w:rPr>
      </w:pPr>
    </w:p>
    <w:p>
      <w:pPr>
        <w:ind w:firstLine="440"/>
        <w:spacing w:after="0" w:line="286" w:lineRule="auto"/>
        <w:tabs>
          <w:tab w:leader="none" w:pos="83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Employee</w:t>
      </w:r>
      <w:r>
        <w:rPr>
          <w:rFonts w:ascii="Arial" w:cs="Arial" w:eastAsia="Arial" w:hAnsi="Arial"/>
          <w:sz w:val="16"/>
          <w:szCs w:val="16"/>
          <w:color w:val="auto"/>
        </w:rPr>
        <w:t>” means any common-law employee who is employed by a Participating Company on February 1 or August 1. The following are excluded from the definition of an Eligible Employee:</w:t>
      </w:r>
    </w:p>
    <w:p>
      <w:pPr>
        <w:spacing w:after="0" w:line="20" w:lineRule="exact"/>
        <w:rPr>
          <w:rFonts w:ascii="Arial" w:cs="Arial" w:eastAsia="Arial" w:hAnsi="Arial"/>
          <w:sz w:val="16"/>
          <w:szCs w:val="16"/>
          <w:color w:val="auto"/>
        </w:rPr>
      </w:pPr>
    </w:p>
    <w:p>
      <w:pPr>
        <w:ind w:left="1260" w:hanging="388"/>
        <w:spacing w:after="0"/>
        <w:tabs>
          <w:tab w:leader="none" w:pos="12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any individual whose participation in the Plan is prohibited by the law of any country which has jurisdiction over him or her,</w:t>
      </w:r>
    </w:p>
    <w:p>
      <w:pPr>
        <w:spacing w:after="0" w:line="72" w:lineRule="exact"/>
        <w:rPr>
          <w:rFonts w:ascii="Arial" w:cs="Arial" w:eastAsia="Arial" w:hAnsi="Arial"/>
          <w:sz w:val="16"/>
          <w:szCs w:val="16"/>
          <w:color w:val="auto"/>
        </w:rPr>
      </w:pPr>
    </w:p>
    <w:p>
      <w:pPr>
        <w:ind w:left="440" w:firstLine="432"/>
        <w:spacing w:after="0" w:line="286" w:lineRule="auto"/>
        <w:tabs>
          <w:tab w:leader="none" w:pos="125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any employee who is covered by a collective bargaining agreement, if the collective bargaining agreement excludes the employee (or the bargaining unit of which the employee is a member) from participation in the Plan, and</w:t>
      </w:r>
    </w:p>
    <w:p>
      <w:pPr>
        <w:spacing w:after="0" w:line="7" w:lineRule="exact"/>
        <w:rPr>
          <w:rFonts w:ascii="Arial" w:cs="Arial" w:eastAsia="Arial" w:hAnsi="Arial"/>
          <w:sz w:val="16"/>
          <w:szCs w:val="16"/>
          <w:color w:val="auto"/>
        </w:rPr>
      </w:pPr>
    </w:p>
    <w:p>
      <w:pPr>
        <w:ind w:left="440" w:firstLine="432"/>
        <w:spacing w:after="0" w:line="286" w:lineRule="auto"/>
        <w:tabs>
          <w:tab w:leader="none" w:pos="125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to the extent permitted by Code Section 423, any individual designated by a Participating Company as an independent contractor, even if the individual later is determined by a court of competent jurisdiction to be a common law employee of a Participating Company.</w:t>
      </w:r>
    </w:p>
    <w:p>
      <w:pPr>
        <w:spacing w:after="0" w:line="47" w:lineRule="exact"/>
        <w:rPr>
          <w:rFonts w:ascii="Arial" w:cs="Arial" w:eastAsia="Arial" w:hAnsi="Arial"/>
          <w:sz w:val="16"/>
          <w:szCs w:val="16"/>
          <w:color w:val="auto"/>
        </w:rPr>
      </w:pPr>
    </w:p>
    <w:p>
      <w:pPr>
        <w:ind w:left="840" w:hanging="400"/>
        <w:spacing w:after="0"/>
        <w:tabs>
          <w:tab w:leader="none" w:pos="8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w:t>
      </w:r>
    </w:p>
    <w:p>
      <w:pPr>
        <w:spacing w:after="0" w:line="113" w:lineRule="exact"/>
        <w:rPr>
          <w:rFonts w:ascii="Arial" w:cs="Arial" w:eastAsia="Arial" w:hAnsi="Arial"/>
          <w:sz w:val="16"/>
          <w:szCs w:val="16"/>
          <w:color w:val="auto"/>
        </w:rPr>
      </w:pPr>
    </w:p>
    <w:p>
      <w:pPr>
        <w:jc w:val="both"/>
        <w:ind w:firstLine="440"/>
        <w:spacing w:after="0" w:line="250" w:lineRule="auto"/>
        <w:tabs>
          <w:tab w:leader="none" w:pos="81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means, as of any date, the value of the Stock determined as follows: (a) If the Stock is (x) listed on any established securities exchange (such as the New York Stock Exchange or Nasdaq Stock Market), (y) listed on any national market system or (z) listed, quoted or traded on any automated quotation system, the Fair Market Value of a share of Stock shall be the closing sales price for a share of Stock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(b) If the Stock is not listed on an established securities exchange, national market system or automated quotation system, but the Stock is regularly quoted by a recognized securities dealer, the Fair Market Value of a share of Stock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or (c) If the Stock is neither listed on an established securities exchange, national market system or automated quotation system nor regularly quoted by a recognized securities dealer, the Fair Market Value of a share of Stock shall be established by the Committee in good faith. Such determination shall be conclusive and binding on all persons.</w:t>
      </w:r>
    </w:p>
    <w:p>
      <w:pPr>
        <w:spacing w:after="0" w:line="267" w:lineRule="exact"/>
        <w:rPr>
          <w:rFonts w:ascii="Arial" w:cs="Arial" w:eastAsia="Arial" w:hAnsi="Arial"/>
          <w:sz w:val="16"/>
          <w:szCs w:val="16"/>
          <w:color w:val="auto"/>
        </w:rPr>
      </w:pPr>
    </w:p>
    <w:p>
      <w:pPr>
        <w:ind w:firstLine="440"/>
        <w:spacing w:after="0" w:line="286" w:lineRule="auto"/>
        <w:tabs>
          <w:tab w:leader="none" w:pos="81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Offering Period</w:t>
      </w:r>
      <w:r>
        <w:rPr>
          <w:rFonts w:ascii="Arial" w:cs="Arial" w:eastAsia="Arial" w:hAnsi="Arial"/>
          <w:sz w:val="16"/>
          <w:szCs w:val="16"/>
          <w:color w:val="auto"/>
        </w:rPr>
        <w:t>” means a six-month period with respect to which the right to purchase Stock may be granted under the Plan, as determined pursuant to Section 3(a).</w:t>
      </w:r>
    </w:p>
    <w:p>
      <w:pPr>
        <w:spacing w:after="0" w:line="47" w:lineRule="exact"/>
        <w:rPr>
          <w:rFonts w:ascii="Arial" w:cs="Arial" w:eastAsia="Arial" w:hAnsi="Arial"/>
          <w:sz w:val="16"/>
          <w:szCs w:val="16"/>
          <w:color w:val="auto"/>
        </w:rPr>
      </w:pPr>
    </w:p>
    <w:p>
      <w:pPr>
        <w:ind w:firstLine="440"/>
        <w:spacing w:after="0" w:line="286" w:lineRule="auto"/>
        <w:tabs>
          <w:tab w:leader="none" w:pos="82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Eligible Employee who elects to participate in the Plan, as provided in Section 3(b). Only Eligible Employees may become Participants in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1019810" cy="1289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1019810" cy="1289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80" w:type="dxa"/>
            <w:vAlign w:val="bottom"/>
          </w:tcPr>
          <w:p>
            <w:pPr>
              <w:ind w:left="8620"/>
              <w:spacing w:after="0"/>
              <w:rPr>
                <w:sz w:val="20"/>
                <w:szCs w:val="20"/>
                <w:color w:val="auto"/>
              </w:rPr>
            </w:pPr>
            <w:r>
              <w:rPr>
                <w:rFonts w:ascii="Arial" w:cs="Arial" w:eastAsia="Arial" w:hAnsi="Arial"/>
                <w:sz w:val="14"/>
                <w:szCs w:val="14"/>
                <w:b w:val="1"/>
                <w:bCs w:val="1"/>
                <w:color w:val="auto"/>
              </w:rPr>
              <w:t>2023 Proxy Statement</w:t>
            </w:r>
          </w:p>
        </w:tc>
        <w:tc>
          <w:tcPr>
            <w:tcW w:w="500" w:type="dxa"/>
            <w:vAlign w:val="bottom"/>
          </w:tcPr>
          <w:p>
            <w:pPr>
              <w:ind w:left="260"/>
              <w:spacing w:after="0"/>
              <w:rPr>
                <w:sz w:val="20"/>
                <w:szCs w:val="20"/>
                <w:color w:val="auto"/>
              </w:rPr>
            </w:pPr>
            <w:r>
              <w:rPr>
                <w:rFonts w:ascii="Arial" w:cs="Arial" w:eastAsia="Arial" w:hAnsi="Arial"/>
                <w:sz w:val="14"/>
                <w:szCs w:val="14"/>
                <w:b w:val="1"/>
                <w:bCs w:val="1"/>
                <w:color w:val="auto"/>
                <w:w w:val="97"/>
              </w:rPr>
              <w:t>C-4</w:t>
            </w:r>
          </w:p>
        </w:tc>
      </w:tr>
      <w:tr>
        <w:trPr>
          <w:trHeight w:val="407"/>
        </w:trPr>
        <w:tc>
          <w:tcPr>
            <w:tcW w:w="10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70"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67686B"/>
        </w:rPr>
        <w:t>APPENDIX C: NORDSTROM, INC. AMENDED AND RESTATED EMPLOYEE STOCK PURCHASE PLAN</w:t>
      </w:r>
    </w:p>
    <w:p>
      <w:pPr>
        <w:spacing w:after="0" w:line="102" w:lineRule="exact"/>
        <w:rPr>
          <w:sz w:val="20"/>
          <w:szCs w:val="20"/>
          <w:color w:val="auto"/>
        </w:rPr>
      </w:pPr>
    </w:p>
    <w:p>
      <w:pPr>
        <w:jc w:val="both"/>
        <w:ind w:firstLine="440"/>
        <w:spacing w:after="0" w:line="256" w:lineRule="auto"/>
        <w:tabs>
          <w:tab w:leader="none" w:pos="81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Participating Company</w:t>
      </w:r>
      <w:r>
        <w:rPr>
          <w:rFonts w:ascii="Arial" w:cs="Arial" w:eastAsia="Arial" w:hAnsi="Arial"/>
          <w:sz w:val="16"/>
          <w:szCs w:val="16"/>
          <w:color w:val="auto"/>
        </w:rPr>
        <w:t>” means (i) the Company, (ii) each Subsidiary that is a Participating Company as of February 1, 2020, and (iii) each present or future Subsidiary that is affirmatively designated by the Committee as a Participating Company after February 1, 2020. Except as provided in the preceding sentence, no other Subsidiary shall be a Participating Company. The Committee is authorized to change a present or future Subsidiary’s designation as a Participating Company at any time without additional shareholder approval. The Company will maintain a record of all Participating Companies.</w:t>
      </w:r>
    </w:p>
    <w:p>
      <w:pPr>
        <w:spacing w:after="0" w:line="71" w:lineRule="exact"/>
        <w:rPr>
          <w:rFonts w:ascii="Arial" w:cs="Arial" w:eastAsia="Arial" w:hAnsi="Arial"/>
          <w:sz w:val="16"/>
          <w:szCs w:val="16"/>
          <w:color w:val="auto"/>
        </w:rPr>
      </w:pPr>
    </w:p>
    <w:p>
      <w:pPr>
        <w:ind w:left="840" w:hanging="400"/>
        <w:spacing w:after="0"/>
        <w:tabs>
          <w:tab w:leader="none" w:pos="8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Nordstrom, Inc. Employee Stock Purchase Plan, as it may be amended from time to time.</w:t>
      </w:r>
    </w:p>
    <w:p>
      <w:pPr>
        <w:spacing w:after="0" w:line="113" w:lineRule="exact"/>
        <w:rPr>
          <w:rFonts w:ascii="Arial" w:cs="Arial" w:eastAsia="Arial" w:hAnsi="Arial"/>
          <w:sz w:val="16"/>
          <w:szCs w:val="16"/>
          <w:color w:val="auto"/>
        </w:rPr>
      </w:pPr>
    </w:p>
    <w:p>
      <w:pPr>
        <w:ind w:left="840" w:hanging="400"/>
        <w:spacing w:after="0"/>
        <w:tabs>
          <w:tab w:leader="none" w:pos="8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Plan Account</w:t>
      </w:r>
      <w:r>
        <w:rPr>
          <w:rFonts w:ascii="Arial" w:cs="Arial" w:eastAsia="Arial" w:hAnsi="Arial"/>
          <w:sz w:val="16"/>
          <w:szCs w:val="16"/>
          <w:color w:val="auto"/>
        </w:rPr>
        <w:t>” means the account established for each Participant pursuant to Section 7(a).</w:t>
      </w:r>
    </w:p>
    <w:p>
      <w:pPr>
        <w:spacing w:after="0" w:line="113" w:lineRule="exact"/>
        <w:rPr>
          <w:rFonts w:ascii="Arial" w:cs="Arial" w:eastAsia="Arial" w:hAnsi="Arial"/>
          <w:sz w:val="16"/>
          <w:szCs w:val="16"/>
          <w:color w:val="auto"/>
        </w:rPr>
      </w:pPr>
    </w:p>
    <w:p>
      <w:pPr>
        <w:ind w:left="840" w:hanging="400"/>
        <w:spacing w:after="0"/>
        <w:tabs>
          <w:tab w:leader="none" w:pos="8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means the price at which Participants may purchase Stock under the Plan, as determined pursuant to Section 7(b).</w:t>
      </w:r>
    </w:p>
    <w:p>
      <w:pPr>
        <w:spacing w:after="0" w:line="113" w:lineRule="exact"/>
        <w:rPr>
          <w:rFonts w:ascii="Arial" w:cs="Arial" w:eastAsia="Arial" w:hAnsi="Arial"/>
          <w:sz w:val="16"/>
          <w:szCs w:val="16"/>
          <w:color w:val="auto"/>
        </w:rPr>
      </w:pPr>
    </w:p>
    <w:p>
      <w:pPr>
        <w:ind w:left="840" w:hanging="400"/>
        <w:spacing w:after="0"/>
        <w:tabs>
          <w:tab w:leader="none" w:pos="8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w:t>
      </w:r>
      <w:r>
        <w:rPr>
          <w:rFonts w:ascii="Arial" w:cs="Arial" w:eastAsia="Arial" w:hAnsi="Arial"/>
          <w:sz w:val="16"/>
          <w:szCs w:val="16"/>
          <w:color w:val="auto"/>
        </w:rPr>
        <w:t>” means the Common Stock of the Company, no par value per share.</w:t>
      </w:r>
    </w:p>
    <w:p>
      <w:pPr>
        <w:spacing w:after="0" w:line="113" w:lineRule="exact"/>
        <w:rPr>
          <w:rFonts w:ascii="Arial" w:cs="Arial" w:eastAsia="Arial" w:hAnsi="Arial"/>
          <w:sz w:val="16"/>
          <w:szCs w:val="16"/>
          <w:color w:val="auto"/>
        </w:rPr>
      </w:pPr>
    </w:p>
    <w:p>
      <w:pPr>
        <w:jc w:val="both"/>
        <w:ind w:firstLine="440"/>
        <w:spacing w:after="0" w:line="266" w:lineRule="auto"/>
        <w:tabs>
          <w:tab w:leader="none" w:pos="83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323215</wp:posOffset>
            </wp:positionV>
            <wp:extent cx="1020445" cy="1289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1020445" cy="12890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C-5</w:t>
      </w:r>
      <w:r>
        <w:rPr>
          <w:sz w:val="20"/>
          <w:szCs w:val="20"/>
          <w:color w:val="auto"/>
        </w:rPr>
        <w:tab/>
      </w:r>
      <w:r>
        <w:rPr>
          <w:rFonts w:ascii="Arial" w:cs="Arial" w:eastAsia="Arial" w:hAnsi="Arial"/>
          <w:sz w:val="14"/>
          <w:szCs w:val="14"/>
          <w:b w:val="1"/>
          <w:bCs w:val="1"/>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690943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70" w:right="5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09435" cy="80410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6909435" cy="8041005"/>
                    </a:xfrm>
                    <a:prstGeom prst="rect">
                      <a:avLst/>
                    </a:prstGeom>
                    <a:noFill/>
                  </pic:spPr>
                </pic:pic>
              </a:graphicData>
            </a:graphic>
          </wp:anchor>
        </w:drawing>
      </w:r>
    </w:p>
    <w:p>
      <w:pPr>
        <w:sectPr>
          <w:pgSz w:w="11900" w:h="16838" w:orient="portrait"/>
          <w:cols w:equalWidth="0" w:num="1">
            <w:col w:w="9959"/>
          </w:cols>
          <w:pgMar w:left="500" w:top="270"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93345</wp:posOffset>
            </wp:positionV>
            <wp:extent cx="6849110" cy="99866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6849110" cy="9986645"/>
                    </a:xfrm>
                    <a:prstGeom prst="rect">
                      <a:avLst/>
                    </a:prstGeom>
                    <a:noFill/>
                  </pic:spPr>
                </pic:pic>
              </a:graphicData>
            </a:graphic>
          </wp:anchor>
        </w:drawing>
      </w:r>
    </w:p>
    <w:p>
      <w:pPr>
        <w:sectPr>
          <w:pgSz w:w="11900" w:h="16838" w:orient="portrait"/>
          <w:cols w:equalWidth="0" w:num="1">
            <w:col w:w="9959"/>
          </w:cols>
          <w:pgMar w:left="500" w:top="270" w:right="1440" w:bottom="1440"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226060</wp:posOffset>
            </wp:positionV>
            <wp:extent cx="69094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93345</wp:posOffset>
            </wp:positionV>
            <wp:extent cx="6849110" cy="99866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6849110" cy="9986645"/>
                    </a:xfrm>
                    <a:prstGeom prst="rect">
                      <a:avLst/>
                    </a:prstGeom>
                    <a:noFill/>
                  </pic:spPr>
                </pic:pic>
              </a:graphicData>
            </a:graphic>
          </wp:anchor>
        </w:drawing>
      </w:r>
    </w:p>
    <w:p>
      <w:pPr>
        <w:sectPr>
          <w:pgSz w:w="11900" w:h="16838" w:orient="portrait"/>
          <w:cols w:equalWidth="0" w:num="1">
            <w:col w:w="9959"/>
          </w:cols>
          <w:pgMar w:left="500" w:top="270" w:right="1440" w:bottom="1440"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226060</wp:posOffset>
            </wp:positionV>
            <wp:extent cx="69094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1"/>
      <w:numFmt w:val="bullet"/>
      <w:start w:val="1"/>
    </w:lvl>
  </w:abstractNum>
  <w:abstractNum w:abstractNumId="5">
    <w:nsid w:val="6EB5BD4"/>
    <w:multiLevelType w:val="hybridMultilevel"/>
    <w:lvl w:ilvl="0">
      <w:lvlJc w:val="left"/>
      <w:lvlText w:val="2"/>
      <w:numFmt w:val="bullet"/>
      <w:start w:val="1"/>
    </w:lvl>
  </w:abstractNum>
  <w:abstractNum w:abstractNumId="6">
    <w:nsid w:val="6F6DD9AC"/>
    <w:multiLevelType w:val="hybridMultilevel"/>
    <w:lvl w:ilvl="0">
      <w:lvlJc w:val="left"/>
      <w:lvlText w:val="3"/>
      <w:numFmt w:val="bullet"/>
      <w:start w:val="1"/>
    </w:lvl>
  </w:abstractNum>
  <w:abstractNum w:abstractNumId="7">
    <w:nsid w:val="94211F2"/>
    <w:multiLevelType w:val="hybridMultilevel"/>
    <w:lvl w:ilvl="0">
      <w:lvlJc w:val="left"/>
      <w:lvlText w:val="4"/>
      <w:numFmt w:val="bullet"/>
      <w:start w:val="1"/>
    </w:lvl>
  </w:abstractNum>
  <w:abstractNum w:abstractNumId="8">
    <w:nsid w:val="885E1B"/>
    <w:multiLevelType w:val="hybridMultilevel"/>
    <w:lvl w:ilvl="0">
      <w:lvlJc w:val="left"/>
      <w:lvlText w:val="5"/>
      <w:numFmt w:val="bullet"/>
      <w:start w:val="1"/>
    </w:lvl>
  </w:abstractNum>
  <w:abstractNum w:abstractNumId="9">
    <w:nsid w:val="76272110"/>
    <w:multiLevelType w:val="hybridMultilevel"/>
    <w:lvl w:ilvl="0">
      <w:lvlJc w:val="left"/>
      <w:lvlText w:val="6"/>
      <w:numFmt w:val="bullet"/>
      <w:start w:val="1"/>
    </w:lvl>
  </w:abstractNum>
  <w:abstractNum w:abstractNumId="10">
    <w:nsid w:val="4C04A8AF"/>
    <w:multiLevelType w:val="hybridMultilevel"/>
    <w:lvl w:ilvl="0">
      <w:lvlJc w:val="left"/>
      <w:lvlText w:val="7"/>
      <w:numFmt w:val="bullet"/>
      <w:start w:val="1"/>
    </w:lvl>
  </w:abstractNum>
  <w:abstractNum w:abstractNumId="11">
    <w:nsid w:val="1716703B"/>
    <w:multiLevelType w:val="hybridMultilevel"/>
    <w:lvl w:ilvl="0">
      <w:lvlJc w:val="left"/>
      <w:lvlText w:val="8"/>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5"/>
      <w:numFmt w:val="bullet"/>
      <w:start w:val="1"/>
    </w:lvl>
  </w:abstractNum>
  <w:abstractNum w:abstractNumId="18">
    <w:nsid w:val="4A2AC315"/>
    <w:multiLevelType w:val="hybridMultilevel"/>
    <w:lvl w:ilvl="0">
      <w:lvlJc w:val="left"/>
      <w:lvlText w:val="%1"/>
      <w:numFmt w:val="decimal"/>
      <w:start w:val="14"/>
    </w:lvl>
  </w:abstractNum>
  <w:abstractNum w:abstractNumId="19">
    <w:nsid w:val="39EE015C"/>
    <w:multiLevelType w:val="hybridMultilevel"/>
    <w:lvl w:ilvl="0">
      <w:lvlJc w:val="left"/>
      <w:lvlText w:val="%1"/>
      <w:numFmt w:val="decimal"/>
      <w:start w:val="18"/>
    </w:lvl>
  </w:abstractNum>
  <w:abstractNum w:abstractNumId="20">
    <w:nsid w:val="57FC4FBB"/>
    <w:multiLevelType w:val="hybridMultilevel"/>
    <w:lvl w:ilvl="0">
      <w:lvlJc w:val="left"/>
      <w:lvlText w:val="%1"/>
      <w:numFmt w:val="decimal"/>
      <w:start w:val="20"/>
    </w:lvl>
  </w:abstractNum>
  <w:abstractNum w:abstractNumId="21">
    <w:nsid w:val="CC1016F"/>
    <w:multiLevelType w:val="hybridMultilevel"/>
    <w:lvl w:ilvl="0">
      <w:lvlJc w:val="left"/>
      <w:lvlText w:val="%1"/>
      <w:numFmt w:val="decimal"/>
      <w:start w:val="20"/>
    </w:lvl>
  </w:abstractNum>
  <w:abstractNum w:abstractNumId="22">
    <w:nsid w:val="43F18422"/>
    <w:multiLevelType w:val="hybridMultilevel"/>
    <w:lvl w:ilvl="0">
      <w:lvlJc w:val="left"/>
      <w:lvlText w:val="%1"/>
      <w:numFmt w:val="decimal"/>
      <w:start w:val="37"/>
    </w:lvl>
  </w:abstractNum>
  <w:abstractNum w:abstractNumId="23">
    <w:nsid w:val="60EF0119"/>
    <w:multiLevelType w:val="hybridMultilevel"/>
    <w:lvl w:ilvl="0">
      <w:lvlJc w:val="left"/>
      <w:lvlText w:val="%1"/>
      <w:numFmt w:val="decimal"/>
      <w:start w:val="53"/>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
      <w:numFmt w:val="bullet"/>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1"/>
      <w:numFmt w:val="decimal"/>
      <w:start w:val="37"/>
    </w:lvl>
  </w:abstractNum>
  <w:abstractNum w:abstractNumId="55">
    <w:nsid w:val="51088277"/>
    <w:multiLevelType w:val="hybridMultilevel"/>
    <w:lvl w:ilvl="0">
      <w:lvlJc w:val="left"/>
      <w:lvlText w:val="%1"/>
      <w:numFmt w:val="decimal"/>
      <w:start w:val="40"/>
    </w:lvl>
  </w:abstractNum>
  <w:abstractNum w:abstractNumId="56">
    <w:nsid w:val="1CA0C5FA"/>
    <w:multiLevelType w:val="hybridMultilevel"/>
    <w:lvl w:ilvl="0">
      <w:lvlJc w:val="left"/>
      <w:lvlText w:val="%1"/>
      <w:numFmt w:val="decimal"/>
      <w:start w:val="45"/>
    </w:lvl>
  </w:abstractNum>
  <w:abstractNum w:abstractNumId="57">
    <w:nsid w:val="53584BCB"/>
    <w:multiLevelType w:val="hybridMultilevel"/>
    <w:lvl w:ilvl="0">
      <w:lvlJc w:val="left"/>
      <w:lvlText w:val="✓"/>
      <w:numFmt w:val="bullet"/>
      <w:start w:val="1"/>
    </w:lvl>
  </w:abstractNum>
  <w:abstractNum w:abstractNumId="58">
    <w:nsid w:val="415E286C"/>
    <w:multiLevelType w:val="hybridMultilevel"/>
    <w:lvl w:ilvl="0">
      <w:lvlJc w:val="left"/>
      <w:lvlText w:val="✓"/>
      <w:numFmt w:val="bullet"/>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
      <w:numFmt w:val="bullet"/>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
      <w:numFmt w:val="bullet"/>
      <w:start w:val="1"/>
    </w:lvl>
  </w:abstractNum>
  <w:abstractNum w:abstractNumId="65">
    <w:nsid w:val="4BD8591A"/>
    <w:multiLevelType w:val="hybridMultilevel"/>
    <w:lvl w:ilvl="0">
      <w:lvlJc w:val="left"/>
      <w:lvlText w:val="•"/>
      <w:numFmt w:val="bullet"/>
      <w:start w:val="1"/>
    </w:lvl>
    <w:lvl w:ilvl="1">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
      <w:numFmt w:val="bullet"/>
      <w:start w:val="1"/>
    </w:lvl>
  </w:abstractNum>
  <w:abstractNum w:abstractNumId="70">
    <w:nsid w:val="379E21B5"/>
    <w:multiLevelType w:val="hybridMultilevel"/>
    <w:lvl w:ilvl="0">
      <w:lvlJc w:val="left"/>
      <w:lvlText w:val="%1."/>
      <w:numFmt w:val="decimal"/>
      <w:start w:val="58"/>
    </w:lvl>
  </w:abstractNum>
  <w:abstractNum w:abstractNumId="71">
    <w:nsid w:val="69E373"/>
    <w:multiLevelType w:val="hybridMultilevel"/>
    <w:lvl w:ilvl="0">
      <w:lvlJc w:val="left"/>
      <w:lvlText w:val="%1"/>
      <w:numFmt w:val="decimal"/>
      <w:start w:val="10"/>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1)"/>
      <w:numFmt w:val="lowerRoman"/>
      <w:start w:val="2"/>
    </w:lvl>
  </w:abstractNum>
  <w:abstractNum w:abstractNumId="77">
    <w:nsid w:val="3DD15094"/>
    <w:multiLevelType w:val="hybridMultilevel"/>
    <w:lvl w:ilvl="0">
      <w:lvlJc w:val="left"/>
      <w:lvlText w:val="•"/>
      <w:numFmt w:val="bullet"/>
      <w:start w:val="1"/>
    </w:lvl>
  </w:abstractNum>
  <w:abstractNum w:abstractNumId="78">
    <w:nsid w:val="3DB012B3"/>
    <w:multiLevelType w:val="hybridMultilevel"/>
    <w:lvl w:ilvl="0">
      <w:lvlJc w:val="left"/>
      <w:lvlText w:val="•"/>
      <w:numFmt w:val="bullet"/>
      <w:start w:val="1"/>
    </w:lvl>
  </w:abstractNum>
  <w:abstractNum w:abstractNumId="79">
    <w:nsid w:val="2708C9AF"/>
    <w:multiLevelType w:val="hybridMultilevel"/>
    <w:lvl w:ilvl="0">
      <w:lvlJc w:val="left"/>
      <w:lvlText w:val="*"/>
      <w:numFmt w:val="bullet"/>
      <w:start w:val="1"/>
    </w:lvl>
  </w:abstractNum>
  <w:abstractNum w:abstractNumId="80">
    <w:nsid w:val="5B25ACE2"/>
    <w:multiLevelType w:val="hybridMultilevel"/>
    <w:lvl w:ilvl="0">
      <w:lvlJc w:val="left"/>
      <w:lvlText w:val="•"/>
      <w:numFmt w:val="bullet"/>
      <w:start w:val="1"/>
    </w:lvl>
  </w:abstractNum>
  <w:abstractNum w:abstractNumId="81">
    <w:nsid w:val="175DFCF0"/>
    <w:multiLevelType w:val="hybridMultilevel"/>
    <w:lvl w:ilvl="0">
      <w:lvlJc w:val="left"/>
      <w:lvlText w:val="•"/>
      <w:numFmt w:val="bullet"/>
      <w:start w:val="1"/>
    </w:lvl>
  </w:abstractNum>
  <w:abstractNum w:abstractNumId="82">
    <w:nsid w:val="4F97E3E4"/>
    <w:multiLevelType w:val="hybridMultilevel"/>
    <w:lvl w:ilvl="0">
      <w:lvlJc w:val="left"/>
      <w:lvlText w:val="•"/>
      <w:numFmt w:val="bullet"/>
      <w:start w:val="1"/>
    </w:lvl>
  </w:abstractNum>
  <w:abstractNum w:abstractNumId="83">
    <w:nsid w:val="53B0A9E"/>
    <w:multiLevelType w:val="hybridMultilevel"/>
    <w:lvl w:ilvl="0">
      <w:lvlJc w:val="left"/>
      <w:lvlText w:val="•"/>
      <w:numFmt w:val="bullet"/>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
      <w:numFmt w:val="bullet"/>
      <w:start w:val="1"/>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
      <w:numFmt w:val="bullet"/>
      <w:start w:val="1"/>
    </w:lvl>
  </w:abstractNum>
  <w:abstractNum w:abstractNumId="89">
    <w:nsid w:val="17A1B582"/>
    <w:multiLevelType w:val="hybridMultilevel"/>
    <w:lvl w:ilvl="0">
      <w:lvlJc w:val="left"/>
      <w:lvlText w:val="•"/>
      <w:numFmt w:val="bullet"/>
      <w:start w:val="1"/>
    </w:lvl>
  </w:abstractNum>
  <w:abstractNum w:abstractNumId="90">
    <w:nsid w:val="4DF72E4E"/>
    <w:multiLevelType w:val="hybridMultilevel"/>
    <w:lvl w:ilvl="0">
      <w:lvlJc w:val="left"/>
      <w:lvlText w:val="•"/>
      <w:numFmt w:val="bullet"/>
      <w:start w:val="1"/>
    </w:lvl>
  </w:abstractNum>
  <w:abstractNum w:abstractNumId="91">
    <w:nsid w:val="5046B5A9"/>
    <w:multiLevelType w:val="hybridMultilevel"/>
    <w:lvl w:ilvl="0">
      <w:lvlJc w:val="left"/>
      <w:lvlText w:val="•"/>
      <w:numFmt w:val="bullet"/>
      <w:start w:val="1"/>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1)"/>
      <w:numFmt w:val="lowerLetter"/>
      <w:start w:val="2"/>
    </w:lvl>
  </w:abstractNum>
  <w:abstractNum w:abstractNumId="94">
    <w:nsid w:val="5EC6AFD4"/>
    <w:multiLevelType w:val="hybridMultilevel"/>
    <w:lvl w:ilvl="0">
      <w:lvlJc w:val="left"/>
      <w:lvlText w:val="•"/>
      <w:numFmt w:val="bullet"/>
      <w:start w:val="1"/>
    </w:lvl>
  </w:abstractNum>
  <w:abstractNum w:abstractNumId="95">
    <w:nsid w:val="19E21BB2"/>
    <w:multiLevelType w:val="hybridMultilevel"/>
    <w:lvl w:ilvl="0">
      <w:lvlJc w:val="left"/>
      <w:lvlText w:val="•"/>
      <w:numFmt w:val="bullet"/>
      <w:start w:val="1"/>
    </w:lvl>
  </w:abstractNum>
  <w:abstractNum w:abstractNumId="96">
    <w:nsid w:val="75E0858A"/>
    <w:multiLevelType w:val="hybridMultilevel"/>
    <w:lvl w:ilvl="0">
      <w:lvlJc w:val="left"/>
      <w:lvlText w:val="•"/>
      <w:numFmt w:val="bullet"/>
      <w:start w:val="1"/>
    </w:lvl>
  </w:abstractNum>
  <w:abstractNum w:abstractNumId="97">
    <w:nsid w:val="57A61A29"/>
    <w:multiLevelType w:val="hybridMultilevel"/>
    <w:lvl w:ilvl="0">
      <w:lvlJc w:val="left"/>
      <w:lvlText w:val="•"/>
      <w:numFmt w:val="bullet"/>
      <w:start w:val="1"/>
    </w:lvl>
  </w:abstractNum>
  <w:abstractNum w:abstractNumId="98">
    <w:nsid w:val="5399C654"/>
    <w:multiLevelType w:val="hybridMultilevel"/>
    <w:lvl w:ilvl="0">
      <w:lvlJc w:val="left"/>
      <w:lvlText w:val="•"/>
      <w:numFmt w:val="bullet"/>
      <w:start w:val="1"/>
    </w:lvl>
  </w:abstractNum>
  <w:abstractNum w:abstractNumId="99">
    <w:nsid w:val="20EE1348"/>
    <w:multiLevelType w:val="hybridMultilevel"/>
    <w:lvl w:ilvl="0">
      <w:lvlJc w:val="left"/>
      <w:lvlText w:val="•"/>
      <w:numFmt w:val="bullet"/>
      <w:start w:val="1"/>
    </w:lvl>
  </w:abstractNum>
  <w:abstractNum w:abstractNumId="100">
    <w:nsid w:val="4427069A"/>
    <w:multiLevelType w:val="hybridMultilevel"/>
    <w:lvl w:ilvl="0">
      <w:lvlJc w:val="left"/>
      <w:lvlText w:val="•"/>
      <w:numFmt w:val="bullet"/>
      <w:start w:val="1"/>
    </w:lvl>
  </w:abstractNum>
  <w:abstractNum w:abstractNumId="101">
    <w:nsid w:val="B37E80A"/>
    <w:multiLevelType w:val="hybridMultilevel"/>
    <w:lvl w:ilvl="0">
      <w:lvlJc w:val="left"/>
      <w:lvlText w:val="•"/>
      <w:numFmt w:val="bullet"/>
      <w:start w:val="1"/>
    </w:lvl>
  </w:abstractNum>
  <w:abstractNum w:abstractNumId="102">
    <w:nsid w:val="2157F6BC"/>
    <w:multiLevelType w:val="hybridMultilevel"/>
    <w:lvl w:ilvl="0">
      <w:lvlJc w:val="left"/>
      <w:lvlText w:val="•"/>
      <w:numFmt w:val="bullet"/>
      <w:start w:val="1"/>
    </w:lvl>
  </w:abstractNum>
  <w:abstractNum w:abstractNumId="103">
    <w:nsid w:val="704E1DD5"/>
    <w:multiLevelType w:val="hybridMultilevel"/>
    <w:lvl w:ilvl="0">
      <w:lvlJc w:val="left"/>
      <w:lvlText w:val="•"/>
      <w:numFmt w:val="bullet"/>
      <w:start w:val="1"/>
    </w:lvl>
  </w:abstractNum>
  <w:abstractNum w:abstractNumId="104">
    <w:nsid w:val="57D2F10E"/>
    <w:multiLevelType w:val="hybridMultilevel"/>
    <w:lvl w:ilvl="0">
      <w:lvlJc w:val="left"/>
      <w:lvlText w:val="•"/>
      <w:numFmt w:val="bullet"/>
      <w:start w:val="1"/>
    </w:lvl>
  </w:abstractNum>
  <w:abstractNum w:abstractNumId="105">
    <w:nsid w:val="BFFAE18"/>
    <w:multiLevelType w:val="hybridMultilevel"/>
    <w:lvl w:ilvl="0">
      <w:lvlJc w:val="left"/>
      <w:lvlText w:val="•"/>
      <w:numFmt w:val="bullet"/>
      <w:start w:val="1"/>
    </w:lvl>
  </w:abstractNum>
  <w:abstractNum w:abstractNumId="106">
    <w:nsid w:val="E3E47A8"/>
    <w:multiLevelType w:val="hybridMultilevel"/>
    <w:lvl w:ilvl="0">
      <w:lvlJc w:val="left"/>
      <w:lvlText w:val="•"/>
      <w:numFmt w:val="bullet"/>
      <w:start w:val="1"/>
    </w:lvl>
  </w:abstractNum>
  <w:abstractNum w:abstractNumId="107">
    <w:nsid w:val="2E48F044"/>
    <w:multiLevelType w:val="hybridMultilevel"/>
    <w:lvl w:ilvl="0">
      <w:lvlJc w:val="left"/>
      <w:lvlText w:val="•"/>
      <w:numFmt w:val="bullet"/>
      <w:start w:val="1"/>
    </w:lvl>
  </w:abstractNum>
  <w:abstractNum w:abstractNumId="108">
    <w:nsid w:val="49D0FEAC"/>
    <w:multiLevelType w:val="hybridMultilevel"/>
    <w:lvl w:ilvl="0">
      <w:lvlJc w:val="left"/>
      <w:lvlText w:val="•"/>
      <w:numFmt w:val="bullet"/>
      <w:start w:val="1"/>
    </w:lvl>
  </w:abstractNum>
  <w:abstractNum w:abstractNumId="109">
    <w:nsid w:val="4BEE5A5B"/>
    <w:multiLevelType w:val="hybridMultilevel"/>
    <w:lvl w:ilvl="0">
      <w:lvlJc w:val="left"/>
      <w:lvlText w:val="•"/>
      <w:numFmt w:val="bullet"/>
      <w:start w:val="1"/>
    </w:lvl>
  </w:abstractNum>
  <w:abstractNum w:abstractNumId="110">
    <w:nsid w:val="5551B9F3"/>
    <w:multiLevelType w:val="hybridMultilevel"/>
    <w:lvl w:ilvl="0">
      <w:lvlJc w:val="left"/>
      <w:lvlText w:val="•"/>
      <w:numFmt w:val="bullet"/>
      <w:start w:val="1"/>
    </w:lvl>
  </w:abstractNum>
  <w:abstractNum w:abstractNumId="111">
    <w:nsid w:val="24F6AB8E"/>
    <w:multiLevelType w:val="hybridMultilevel"/>
    <w:lvl w:ilvl="0">
      <w:lvlJc w:val="left"/>
      <w:lvlText w:val="•"/>
      <w:numFmt w:val="bullet"/>
      <w:start w:val="1"/>
    </w:lvl>
  </w:abstractNum>
  <w:abstractNum w:abstractNumId="112">
    <w:nsid w:val="634C574C"/>
    <w:multiLevelType w:val="hybridMultilevel"/>
    <w:lvl w:ilvl="0">
      <w:lvlJc w:val="left"/>
      <w:lvlText w:val="•"/>
      <w:numFmt w:val="bullet"/>
      <w:start w:val="1"/>
    </w:lvl>
  </w:abstractNum>
  <w:abstractNum w:abstractNumId="113">
    <w:nsid w:val="24E99DD7"/>
    <w:multiLevelType w:val="hybridMultilevel"/>
    <w:lvl w:ilvl="0">
      <w:lvlJc w:val="left"/>
      <w:lvlText w:val="•"/>
      <w:numFmt w:val="bullet"/>
      <w:start w:val="1"/>
    </w:lvl>
  </w:abstractNum>
  <w:abstractNum w:abstractNumId="114">
    <w:nsid w:val="2A31B62D"/>
    <w:multiLevelType w:val="hybridMultilevel"/>
    <w:lvl w:ilvl="0">
      <w:lvlJc w:val="left"/>
      <w:lvlText w:val="•"/>
      <w:numFmt w:val="bullet"/>
      <w:start w:val="1"/>
    </w:lvl>
  </w:abstractNum>
  <w:abstractNum w:abstractNumId="115">
    <w:nsid w:val="1849C29B"/>
    <w:multiLevelType w:val="hybridMultilevel"/>
    <w:lvl w:ilvl="0">
      <w:lvlJc w:val="left"/>
      <w:lvlText w:val="(%1)"/>
      <w:numFmt w:val="decimal"/>
      <w:start w:val="2"/>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1."/>
      <w:numFmt w:val="decimal"/>
      <w:start w:val="1"/>
    </w:lvl>
  </w:abstractNum>
  <w:abstractNum w:abstractNumId="118">
    <w:nsid w:val="69E7F3E5"/>
    <w:multiLevelType w:val="hybridMultilevel"/>
    <w:lvl w:ilvl="0">
      <w:lvlJc w:val="left"/>
      <w:lvlText w:val="%1."/>
      <w:numFmt w:val="decimal"/>
      <w:start w:val="2"/>
    </w:lvl>
  </w:abstractNum>
  <w:abstractNum w:abstractNumId="119">
    <w:nsid w:val="2A6DE806"/>
    <w:multiLevelType w:val="hybridMultilevel"/>
    <w:lvl w:ilvl="0">
      <w:lvlJc w:val="left"/>
      <w:lvlText w:val="%1."/>
      <w:numFmt w:val="decimal"/>
      <w:start w:val="3"/>
    </w:lvl>
  </w:abstractNum>
  <w:abstractNum w:abstractNumId="120">
    <w:nsid w:val="1816F8C4"/>
    <w:multiLevelType w:val="hybridMultilevel"/>
    <w:lvl w:ilvl="0">
      <w:lvlJc w:val="left"/>
      <w:lvlText w:val="%1."/>
      <w:numFmt w:val="decimal"/>
      <w:start w:val="4"/>
    </w:lvl>
  </w:abstractNum>
  <w:abstractNum w:abstractNumId="121">
    <w:nsid w:val="37DF2233"/>
    <w:multiLevelType w:val="hybridMultilevel"/>
    <w:lvl w:ilvl="0">
      <w:lvlJc w:val="left"/>
      <w:lvlText w:val="%1."/>
      <w:numFmt w:val="decimal"/>
      <w:start w:val="5"/>
    </w:lvl>
  </w:abstractNum>
  <w:abstractNum w:abstractNumId="122">
    <w:nsid w:val="7AB49DAF"/>
    <w:multiLevelType w:val="hybridMultilevel"/>
    <w:lvl w:ilvl="0">
      <w:lvlJc w:val="left"/>
      <w:lvlText w:val="%1."/>
      <w:numFmt w:val="decimal"/>
      <w:start w:val="6"/>
    </w:lvl>
  </w:abstractNum>
  <w:abstractNum w:abstractNumId="123">
    <w:nsid w:val="759F82CD"/>
    <w:multiLevelType w:val="hybridMultilevel"/>
    <w:lvl w:ilvl="0">
      <w:lvlJc w:val="left"/>
      <w:lvlText w:val="•"/>
      <w:numFmt w:val="bullet"/>
      <w:start w:val="1"/>
    </w:lvl>
    <w:lvl w:ilvl="1">
      <w:lvlJc w:val="left"/>
      <w:lvlText w:val="%2."/>
      <w:numFmt w:val="decimal"/>
      <w:start w:val="8"/>
    </w:lvl>
  </w:abstractNum>
  <w:abstractNum w:abstractNumId="124">
    <w:nsid w:val="61E74EA3"/>
    <w:multiLevelType w:val="hybridMultilevel"/>
    <w:lvl w:ilvl="0">
      <w:lvlJc w:val="left"/>
      <w:lvlText w:val="%1."/>
      <w:numFmt w:val="decimal"/>
      <w:start w:val="9"/>
    </w:lvl>
  </w:abstractNum>
  <w:abstractNum w:abstractNumId="125">
    <w:nsid w:val="597B4D84"/>
    <w:multiLevelType w:val="hybridMultilevel"/>
    <w:lvl w:ilvl="0">
      <w:lvlJc w:val="left"/>
      <w:lvlText w:val="%1."/>
      <w:numFmt w:val="decimal"/>
      <w:start w:val="10"/>
    </w:lvl>
  </w:abstractNum>
  <w:abstractNum w:abstractNumId="126">
    <w:nsid w:val="F819E7F"/>
    <w:multiLevelType w:val="hybridMultilevel"/>
    <w:lvl w:ilvl="0">
      <w:lvlJc w:val="left"/>
      <w:lvlText w:val="%1."/>
      <w:numFmt w:val="decimal"/>
      <w:start w:val="11"/>
    </w:lvl>
  </w:abstractNum>
  <w:abstractNum w:abstractNumId="127">
    <w:nsid w:val="57C7D42D"/>
    <w:multiLevelType w:val="hybridMultilevel"/>
    <w:lvl w:ilvl="0">
      <w:lvlJc w:val="left"/>
      <w:lvlText w:val="•"/>
      <w:numFmt w:val="bullet"/>
      <w:start w:val="1"/>
    </w:lvl>
  </w:abstractNum>
  <w:abstractNum w:abstractNumId="128">
    <w:nsid w:val="312167AD"/>
    <w:multiLevelType w:val="hybridMultilevel"/>
    <w:lvl w:ilvl="0">
      <w:lvlJc w:val="left"/>
      <w:lvlText w:val="•"/>
      <w:numFmt w:val="bullet"/>
      <w:start w:val="1"/>
    </w:lvl>
  </w:abstractNum>
  <w:abstractNum w:abstractNumId="129">
    <w:nsid w:val="631B64D4"/>
    <w:multiLevelType w:val="hybridMultilevel"/>
    <w:lvl w:ilvl="0">
      <w:lvlJc w:val="left"/>
      <w:lvlText w:val="•"/>
      <w:numFmt w:val="bullet"/>
      <w:start w:val="1"/>
    </w:lvl>
    <w:lvl w:ilvl="1">
      <w:lvlJc w:val="left"/>
      <w:lvlText w:val="%2."/>
      <w:numFmt w:val="decimal"/>
      <w:start w:val="12"/>
    </w:lvl>
  </w:abstractNum>
  <w:abstractNum w:abstractNumId="130">
    <w:nsid w:val="78B5E776"/>
    <w:multiLevelType w:val="hybridMultilevel"/>
    <w:lvl w:ilvl="0">
      <w:lvlJc w:val="left"/>
      <w:lvlText w:val="•"/>
      <w:numFmt w:val="bullet"/>
      <w:start w:val="1"/>
    </w:lvl>
  </w:abstractNum>
  <w:abstractNum w:abstractNumId="131">
    <w:nsid w:val="75486E47"/>
    <w:multiLevelType w:val="hybridMultilevel"/>
    <w:lvl w:ilvl="0">
      <w:lvlJc w:val="left"/>
      <w:lvlText w:val="•"/>
      <w:numFmt w:val="bullet"/>
      <w:start w:val="1"/>
    </w:lvl>
    <w:lvl w:ilvl="1">
      <w:lvlJc w:val="left"/>
      <w:lvlText w:val="%2."/>
      <w:numFmt w:val="decimal"/>
      <w:start w:val="13"/>
    </w:lvl>
  </w:abstractNum>
  <w:abstractNum w:abstractNumId="132">
    <w:nsid w:val="6E534CDE"/>
    <w:multiLevelType w:val="hybridMultilevel"/>
    <w:lvl w:ilvl="0">
      <w:lvlJc w:val="left"/>
      <w:lvlText w:val="•"/>
      <w:numFmt w:val="bullet"/>
      <w:start w:val="1"/>
    </w:lvl>
    <w:lvl w:ilvl="1">
      <w:lvlJc w:val="left"/>
      <w:lvlText w:val="%2."/>
      <w:numFmt w:val="decimal"/>
      <w:start w:val="14"/>
    </w:lvl>
  </w:abstractNum>
  <w:abstractNum w:abstractNumId="133">
    <w:nsid w:val="1A0DDE32"/>
    <w:multiLevelType w:val="hybridMultilevel"/>
    <w:lvl w:ilvl="0">
      <w:lvlJc w:val="left"/>
      <w:lvlText w:val="[●]"/>
      <w:numFmt w:val="bullet"/>
      <w:start w:val="1"/>
    </w:lvl>
    <w:lvl w:ilvl="1">
      <w:lvlJc w:val="left"/>
      <w:lvlText w:val="%2."/>
      <w:numFmt w:val="decimal"/>
      <w:start w:val="15"/>
    </w:lvl>
  </w:abstractNum>
  <w:abstractNum w:abstractNumId="134">
    <w:nsid w:val="65968C1C"/>
    <w:multiLevelType w:val="hybridMultilevel"/>
    <w:lvl w:ilvl="0">
      <w:lvlJc w:val="left"/>
      <w:lvlText w:val="(%1)"/>
      <w:numFmt w:val="lowerLetter"/>
      <w:start w:val="1"/>
    </w:lvl>
  </w:abstractNum>
  <w:abstractNum w:abstractNumId="135">
    <w:nsid w:val="46263DEC"/>
    <w:multiLevelType w:val="hybridMultilevel"/>
    <w:lvl w:ilvl="0">
      <w:lvlJc w:val="left"/>
      <w:lvlText w:val="(%1)"/>
      <w:numFmt w:val="lowerLetter"/>
      <w:start w:val="3"/>
    </w:lvl>
  </w:abstractNum>
  <w:abstractNum w:abstractNumId="136">
    <w:nsid w:val="260D8C4A"/>
    <w:multiLevelType w:val="hybridMultilevel"/>
    <w:lvl w:ilvl="0">
      <w:lvlJc w:val="left"/>
      <w:lvlText w:val="(%1)"/>
      <w:numFmt w:val="lowerLetter"/>
      <w:start w:val="1"/>
    </w:lvl>
  </w:abstractNum>
  <w:abstractNum w:abstractNumId="137">
    <w:nsid w:val="73D4D3C4"/>
    <w:multiLevelType w:val="hybridMultilevel"/>
    <w:lvl w:ilvl="0">
      <w:lvlJc w:val="left"/>
      <w:lvlText w:val="(%1)"/>
      <w:numFmt w:val="lowerLetter"/>
      <w:start w:val="2"/>
    </w:lvl>
  </w:abstractNum>
  <w:abstractNum w:abstractNumId="138">
    <w:nsid w:val="746F2E30"/>
    <w:multiLevelType w:val="hybridMultilevel"/>
    <w:lvl w:ilvl="0">
      <w:lvlJc w:val="left"/>
      <w:lvlText w:val="(%1)"/>
      <w:numFmt w:val="lowerRoman"/>
      <w:start w:val="3"/>
    </w:lvl>
  </w:abstractNum>
  <w:abstractNum w:abstractNumId="139">
    <w:nsid w:val="6FDE8AF6"/>
    <w:multiLevelType w:val="hybridMultilevel"/>
    <w:lvl w:ilvl="0">
      <w:lvlJc w:val="left"/>
      <w:lvlText w:val="(%1)"/>
      <w:numFmt w:val="lowerLetter"/>
      <w:start w:val="1"/>
    </w:lvl>
  </w:abstractNum>
  <w:abstractNum w:abstractNumId="140">
    <w:nsid w:val="3FC32E20"/>
    <w:multiLevelType w:val="hybridMultilevel"/>
    <w:lvl w:ilvl="0">
      <w:lvlJc w:val="left"/>
      <w:lvlText w:val="(%1)"/>
      <w:numFmt w:val="lowerLetter"/>
      <w:start w:val="4"/>
    </w:lvl>
  </w:abstractNum>
  <w:abstractNum w:abstractNumId="141">
    <w:nsid w:val="49C0E823"/>
    <w:multiLevelType w:val="hybridMultilevel"/>
    <w:lvl w:ilvl="0">
      <w:lvlJc w:val="left"/>
      <w:lvlText w:val="(%1)"/>
      <w:numFmt w:val="lowerLetter"/>
      <w:start w:val="1"/>
    </w:lvl>
  </w:abstractNum>
  <w:abstractNum w:abstractNumId="142">
    <w:nsid w:val="14D53685"/>
    <w:multiLevelType w:val="hybridMultilevel"/>
    <w:lvl w:ilvl="0">
      <w:lvlJc w:val="left"/>
      <w:lvlText w:val="(%1)"/>
      <w:numFmt w:val="lowerRoman"/>
      <w:start w:val="3"/>
    </w:lvl>
  </w:abstractNum>
  <w:abstractNum w:abstractNumId="143">
    <w:nsid w:val="230F856C"/>
    <w:multiLevelType w:val="hybridMultilevel"/>
    <w:lvl w:ilvl="0">
      <w:lvlJc w:val="left"/>
      <w:lvlText w:val="%1"/>
      <w:numFmt w:val="decimal"/>
      <w:start w:val="1"/>
    </w:lvl>
    <w:lvl w:ilvl="1">
      <w:lvlJc w:val="left"/>
      <w:lvlText w:val="(%2)"/>
      <w:numFmt w:val="lowerLetter"/>
      <w:start w:val="1"/>
    </w:lvl>
  </w:abstractNum>
  <w:abstractNum w:abstractNumId="144">
    <w:nsid w:val="6EAA85FB"/>
    <w:multiLevelType w:val="hybridMultilevel"/>
    <w:lvl w:ilvl="0">
      <w:lvlJc w:val="left"/>
      <w:lvlText w:val="(%1)"/>
      <w:numFmt w:val="decimal"/>
      <w:start w:val="50"/>
    </w:lvl>
    <w:lvl w:ilvl="1">
      <w:lvlJc w:val="left"/>
      <w:lvlText w:val="(%2)"/>
      <w:numFmt w:val="lowerLetter"/>
      <w:start w:val="4"/>
    </w:lvl>
  </w:abstractNum>
  <w:abstractNum w:abstractNumId="145">
    <w:nsid w:val="3F06ECB2"/>
    <w:multiLevelType w:val="hybridMultilevel"/>
    <w:lvl w:ilvl="0">
      <w:lvlJc w:val="left"/>
      <w:lvlText w:val="X"/>
      <w:numFmt w:val="bullet"/>
      <w:start w:val="1"/>
    </w:lvl>
  </w:abstractNum>
  <w:abstractNum w:abstractNumId="146">
    <w:nsid w:val="3B594807"/>
    <w:multiLevelType w:val="hybridMultilevel"/>
    <w:lvl w:ilvl="0">
      <w:lvlJc w:val="left"/>
      <w:lvlText w:val="A"/>
      <w:numFmt w:val="bullet"/>
      <w:start w:val="1"/>
    </w:lvl>
  </w:abstractNum>
  <w:abstractNum w:abstractNumId="147">
    <w:nsid w:val="6CAA2304"/>
    <w:multiLevelType w:val="hybridMultilevel"/>
    <w:lvl w:ilvl="0">
      <w:lvlJc w:val="left"/>
      <w:lvlText w:val="B"/>
      <w:numFmt w:val="bullet"/>
      <w:start w:val="1"/>
    </w:lvl>
  </w:abstractNum>
  <w:abstractNum w:abstractNumId="148">
    <w:nsid w:val="3F7C2FF4"/>
    <w:multiLevelType w:val="hybridMultilevel"/>
    <w:lvl w:ilvl="0">
      <w:lvlJc w:val="left"/>
      <w:lvlText w:val="(%1)"/>
      <w:numFmt w:val="lowerLetter"/>
      <w:start w:val="1"/>
    </w:lvl>
  </w:abstractNum>
  <w:abstractNum w:abstractNumId="149">
    <w:nsid w:val="25413BEC"/>
    <w:multiLevelType w:val="hybridMultilevel"/>
    <w:lvl w:ilvl="0">
      <w:lvlJc w:val="left"/>
      <w:lvlText w:val="(%1)"/>
      <w:numFmt w:val="lowerRoman"/>
      <w:start w:val="1"/>
    </w:lvl>
  </w:abstractNum>
  <w:abstractNum w:abstractNumId="150">
    <w:nsid w:val="17180B0B"/>
    <w:multiLevelType w:val="hybridMultilevel"/>
    <w:lvl w:ilvl="0">
      <w:lvlJc w:val="left"/>
      <w:lvlText w:val="(%1)"/>
      <w:numFmt w:val="lowerLetter"/>
      <w:start w:val="1"/>
    </w:lvl>
  </w:abstractNum>
  <w:abstractNum w:abstractNumId="151">
    <w:nsid w:val="579328B9"/>
    <w:multiLevelType w:val="hybridMultilevel"/>
    <w:lvl w:ilvl="0">
      <w:lvlJc w:val="left"/>
      <w:lvlText w:val="(%1)"/>
      <w:numFmt w:val="lowerLetter"/>
      <w:start w:val="1"/>
    </w:lvl>
  </w:abstractNum>
  <w:abstractNum w:abstractNumId="152">
    <w:nsid w:val="5D205E20"/>
    <w:multiLevelType w:val="hybridMultilevel"/>
    <w:lvl w:ilvl="0">
      <w:lvlJc w:val="left"/>
      <w:lvlText w:val="(%1)"/>
      <w:numFmt w:val="lowerLetter"/>
      <w:start w:val="1"/>
    </w:lvl>
  </w:abstractNum>
  <w:abstractNum w:abstractNumId="153">
    <w:nsid w:val="11CCA8BA"/>
    <w:multiLevelType w:val="hybridMultilevel"/>
    <w:lvl w:ilvl="0">
      <w:lvlJc w:val="left"/>
      <w:lvlText w:val="(%1)"/>
      <w:numFmt w:val="lowerLetter"/>
      <w:start w:val="1"/>
    </w:lvl>
  </w:abstractNum>
  <w:abstractNum w:abstractNumId="154">
    <w:nsid w:val="4D32AB86"/>
    <w:multiLevelType w:val="hybridMultilevel"/>
    <w:lvl w:ilvl="0">
      <w:lvlJc w:val="left"/>
      <w:lvlText w:val="(%1)"/>
      <w:numFmt w:val="lowerLetter"/>
      <w:start w:val="1"/>
    </w:lvl>
  </w:abstractNum>
  <w:abstractNum w:abstractNumId="155">
    <w:nsid w:val="3F07ACC3"/>
    <w:multiLevelType w:val="hybridMultilevel"/>
    <w:lvl w:ilvl="0">
      <w:lvlJc w:val="left"/>
      <w:lvlText w:val="(%1)"/>
      <w:numFmt w:val="lowerLetter"/>
      <w:start w:val="1"/>
    </w:lvl>
    <w:lvl w:ilvl="1">
      <w:lvlJc w:val="left"/>
      <w:lvlText w:val="(%2)"/>
      <w:numFmt w:val="lowerRoman"/>
      <w:start w:val="1"/>
    </w:lvl>
  </w:abstractNum>
  <w:abstractNum w:abstractNumId="156">
    <w:nsid w:val="6B47F63E"/>
    <w:multiLevelType w:val="hybridMultilevel"/>
    <w:lvl w:ilvl="0">
      <w:lvlJc w:val="left"/>
      <w:lvlText w:val="(%1)"/>
      <w:numFmt w:val="lowerLetter"/>
      <w:start w:val="6"/>
    </w:lvl>
  </w:abstractNum>
  <w:abstractNum w:abstractNumId="157">
    <w:nsid w:val="5CB44A05"/>
    <w:multiLevelType w:val="hybridMultilevel"/>
    <w:lvl w:ilvl="0">
      <w:lvlJc w:val="left"/>
      <w:lvlText w:val="(%1)"/>
      <w:numFmt w:val="lowerLetter"/>
      <w:start w:val="1"/>
    </w:lvl>
    <w:lvl w:ilvl="1">
      <w:lvlJc w:val="left"/>
      <w:lvlText w:val="(%2)"/>
      <w:numFmt w:val="lowerRoman"/>
      <w:start w:val="1"/>
    </w:lvl>
  </w:abstractNum>
  <w:abstractNum w:abstractNumId="158">
    <w:nsid w:val="16CF80F1"/>
    <w:multiLevelType w:val="hybridMultilevel"/>
    <w:lvl w:ilvl="0">
      <w:lvlJc w:val="left"/>
      <w:lvlText w:val="%1"/>
      <w:numFmt w:val="lowerLetter"/>
      <w:start w:val="1"/>
    </w:lvl>
    <w:lvl w:ilvl="1">
      <w:lvlJc w:val="left"/>
      <w:lvlText w:val="(%2)"/>
      <w:numFmt w:val="lowerLetter"/>
      <w:start w:val="61"/>
    </w:lvl>
  </w:abstractNum>
  <w:abstractNum w:abstractNumId="159">
    <w:nsid w:val="1C695DEC"/>
    <w:multiLevelType w:val="hybridMultilevel"/>
    <w:lvl w:ilvl="0">
      <w:lvlJc w:val="left"/>
      <w:lvlText w:val="(%1)"/>
      <w:numFmt w:val="lowerLetter"/>
      <w:start w:val="2"/>
    </w:lvl>
    <w:lvl w:ilvl="1">
      <w:lvlJc w:val="left"/>
      <w:lvlText w:val="(%2)"/>
      <w:numFmt w:val="lowerLetter"/>
      <w:start w:val="9"/>
    </w:lvl>
  </w:abstractNum>
  <w:abstractNum w:abstractNumId="160">
    <w:nsid w:val="3FCFAED9"/>
    <w:multiLevelType w:val="hybridMultilevel"/>
    <w:lvl w:ilvl="0">
      <w:lvlJc w:val="left"/>
      <w:lvlText w:val="(%1)"/>
      <w:numFmt w:val="lowerRoman"/>
      <w:start w:val="2"/>
    </w:lvl>
  </w:abstractNum>
  <w:abstractNum w:abstractNumId="161">
    <w:nsid w:val="F856867"/>
    <w:multiLevelType w:val="hybridMultilevel"/>
    <w:lvl w:ilvl="0">
      <w:lvlJc w:val="left"/>
      <w:lvlText w:val="(%1)"/>
      <w:numFmt w:val="lowerLetter"/>
      <w:start w:val="1"/>
    </w:lvl>
  </w:abstractNum>
  <w:abstractNum w:abstractNumId="162">
    <w:nsid w:val="11B1CC33"/>
    <w:multiLevelType w:val="hybridMultilevel"/>
    <w:lvl w:ilvl="0">
      <w:lvlJc w:val="left"/>
      <w:lvlText w:val="(%1)"/>
      <w:numFmt w:val="lowerLetter"/>
      <w:start w:val="1"/>
    </w:lvl>
    <w:lvl w:ilvl="1">
      <w:lvlJc w:val="left"/>
      <w:lvlText w:val="(%2)"/>
      <w:numFmt w:val="lowerRoman"/>
      <w:start w:val="1"/>
    </w:lvl>
  </w:abstractNum>
  <w:abstractNum w:abstractNumId="163">
    <w:nsid w:val="2E22FBB7"/>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jpeg"/><Relationship Id="rId319" Type="http://schemas.openxmlformats.org/officeDocument/2006/relationships/image" Target="media/image311.jpeg"/><Relationship Id="rId320" Type="http://schemas.openxmlformats.org/officeDocument/2006/relationships/image" Target="media/image312.jpeg"/><Relationship Id="rId321" Type="http://schemas.openxmlformats.org/officeDocument/2006/relationships/image" Target="media/image313.jpeg"/><Relationship Id="rId322" Type="http://schemas.openxmlformats.org/officeDocument/2006/relationships/image" Target="media/image314.png"/><Relationship Id="rId323" Type="http://schemas.openxmlformats.org/officeDocument/2006/relationships/image" Target="media/image315.jpeg"/><Relationship Id="rId324" Type="http://schemas.openxmlformats.org/officeDocument/2006/relationships/image" Target="media/image316.png"/><Relationship Id="rId325" Type="http://schemas.openxmlformats.org/officeDocument/2006/relationships/image" Target="media/image317.jpeg"/><Relationship Id="rId326" Type="http://schemas.openxmlformats.org/officeDocument/2006/relationships/image" Target="media/image318.png"/><Relationship Id="rId327" Type="http://schemas.openxmlformats.org/officeDocument/2006/relationships/image" Target="media/image319.jpeg"/><Relationship Id="rId328" Type="http://schemas.openxmlformats.org/officeDocument/2006/relationships/image" Target="media/image320.png"/><Relationship Id="rId329" Type="http://schemas.openxmlformats.org/officeDocument/2006/relationships/image" Target="media/image321.jpeg"/><Relationship Id="rId330" Type="http://schemas.openxmlformats.org/officeDocument/2006/relationships/image" Target="media/image322.png"/><Relationship Id="rId331" Type="http://schemas.openxmlformats.org/officeDocument/2006/relationships/image" Target="media/image323.jpeg"/><Relationship Id="rId332" Type="http://schemas.openxmlformats.org/officeDocument/2006/relationships/image" Target="media/image324.png"/><Relationship Id="rId333" Type="http://schemas.openxmlformats.org/officeDocument/2006/relationships/image" Target="media/image325.jpeg"/><Relationship Id="rId334" Type="http://schemas.openxmlformats.org/officeDocument/2006/relationships/image" Target="media/image326.png"/><Relationship Id="rId335" Type="http://schemas.openxmlformats.org/officeDocument/2006/relationships/image" Target="media/image327.jpeg"/><Relationship Id="rId336" Type="http://schemas.openxmlformats.org/officeDocument/2006/relationships/image" Target="media/image328.png"/><Relationship Id="rId337" Type="http://schemas.openxmlformats.org/officeDocument/2006/relationships/image" Target="media/image329.jpeg"/><Relationship Id="rId338" Type="http://schemas.openxmlformats.org/officeDocument/2006/relationships/image" Target="media/image330.jpe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jpeg"/><Relationship Id="rId345" Type="http://schemas.openxmlformats.org/officeDocument/2006/relationships/image" Target="media/image337.png"/><Relationship Id="rId346" Type="http://schemas.openxmlformats.org/officeDocument/2006/relationships/image" Target="media/image338.jpeg"/><Relationship Id="rId347" Type="http://schemas.openxmlformats.org/officeDocument/2006/relationships/image" Target="media/image339.jpeg"/><Relationship Id="rId348" Type="http://schemas.openxmlformats.org/officeDocument/2006/relationships/image" Target="media/image340.jpeg"/><Relationship Id="rId349" Type="http://schemas.openxmlformats.org/officeDocument/2006/relationships/image" Target="media/image341.png"/><Relationship Id="rId350" Type="http://schemas.openxmlformats.org/officeDocument/2006/relationships/image" Target="media/image342.jpe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jpe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jpeg"/><Relationship Id="rId375" Type="http://schemas.openxmlformats.org/officeDocument/2006/relationships/image" Target="media/image367.jpeg"/><Relationship Id="rId376" Type="http://schemas.openxmlformats.org/officeDocument/2006/relationships/image" Target="media/image368.png"/><Relationship Id="rId377" Type="http://schemas.openxmlformats.org/officeDocument/2006/relationships/image" Target="media/image369.jpeg"/><Relationship Id="rId378" Type="http://schemas.openxmlformats.org/officeDocument/2006/relationships/image" Target="media/image370.jpeg"/><Relationship Id="rId379" Type="http://schemas.openxmlformats.org/officeDocument/2006/relationships/image" Target="media/image371.png"/><Relationship Id="rId380" Type="http://schemas.openxmlformats.org/officeDocument/2006/relationships/image" Target="media/image372.jpeg"/><Relationship Id="rId381" Type="http://schemas.openxmlformats.org/officeDocument/2006/relationships/image" Target="media/image373.png"/><Relationship Id="rId382" Type="http://schemas.openxmlformats.org/officeDocument/2006/relationships/image" Target="media/image374.jpe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jpeg"/><Relationship Id="rId386" Type="http://schemas.openxmlformats.org/officeDocument/2006/relationships/image" Target="media/image378.jpeg"/><Relationship Id="rId387" Type="http://schemas.openxmlformats.org/officeDocument/2006/relationships/image" Target="media/image379.png"/><Relationship Id="rId388" Type="http://schemas.openxmlformats.org/officeDocument/2006/relationships/image" Target="media/image380.jpeg"/><Relationship Id="rId389" Type="http://schemas.openxmlformats.org/officeDocument/2006/relationships/image" Target="media/image381.jpe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jpeg"/><Relationship Id="rId393" Type="http://schemas.openxmlformats.org/officeDocument/2006/relationships/image" Target="media/image385.jpeg"/><Relationship Id="rId394" Type="http://schemas.openxmlformats.org/officeDocument/2006/relationships/image" Target="media/image386.png"/><Relationship Id="rId395" Type="http://schemas.openxmlformats.org/officeDocument/2006/relationships/image" Target="media/image387.jpeg"/><Relationship Id="rId396" Type="http://schemas.openxmlformats.org/officeDocument/2006/relationships/image" Target="media/image388.jpe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jpeg"/><Relationship Id="rId400" Type="http://schemas.openxmlformats.org/officeDocument/2006/relationships/image" Target="media/image392.jpeg"/><Relationship Id="rId401" Type="http://schemas.openxmlformats.org/officeDocument/2006/relationships/image" Target="media/image393.png"/><Relationship Id="rId402" Type="http://schemas.openxmlformats.org/officeDocument/2006/relationships/image" Target="media/image394.jpeg"/><Relationship Id="rId403" Type="http://schemas.openxmlformats.org/officeDocument/2006/relationships/image" Target="media/image395.png"/><Relationship Id="rId404" Type="http://schemas.openxmlformats.org/officeDocument/2006/relationships/image" Target="media/image396.jpe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jpe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jpeg"/><Relationship Id="rId411" Type="http://schemas.openxmlformats.org/officeDocument/2006/relationships/image" Target="media/image403.jpeg"/><Relationship Id="rId412" Type="http://schemas.openxmlformats.org/officeDocument/2006/relationships/image" Target="media/image404.jpeg"/><Relationship Id="rId413" Type="http://schemas.openxmlformats.org/officeDocument/2006/relationships/image" Target="media/image405.png"/><Relationship Id="rId414" Type="http://schemas.openxmlformats.org/officeDocument/2006/relationships/image" Target="media/image406.jpeg"/><Relationship Id="rId415" Type="http://schemas.openxmlformats.org/officeDocument/2006/relationships/image" Target="media/image407.jpeg"/><Relationship Id="rId416" Type="http://schemas.openxmlformats.org/officeDocument/2006/relationships/image" Target="media/image408.png"/><Relationship Id="rId417" Type="http://schemas.openxmlformats.org/officeDocument/2006/relationships/image" Target="media/image409.jpeg"/><Relationship Id="rId418" Type="http://schemas.openxmlformats.org/officeDocument/2006/relationships/image" Target="media/image410.jpeg"/><Relationship Id="rId419" Type="http://schemas.openxmlformats.org/officeDocument/2006/relationships/image" Target="media/image411.png"/><Relationship Id="rId420" Type="http://schemas.openxmlformats.org/officeDocument/2006/relationships/image" Target="media/image412.jpeg"/><Relationship Id="rId421" Type="http://schemas.openxmlformats.org/officeDocument/2006/relationships/image" Target="media/image413.jpeg"/><Relationship Id="rId422" Type="http://schemas.openxmlformats.org/officeDocument/2006/relationships/image" Target="media/image414.jpe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jpeg"/><Relationship Id="rId426" Type="http://schemas.openxmlformats.org/officeDocument/2006/relationships/image" Target="media/image418.jpeg"/><Relationship Id="rId427" Type="http://schemas.openxmlformats.org/officeDocument/2006/relationships/image" Target="media/image419.jpeg"/><Relationship Id="rId428" Type="http://schemas.openxmlformats.org/officeDocument/2006/relationships/image" Target="media/image420.jpe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jpeg"/><Relationship Id="rId433" Type="http://schemas.openxmlformats.org/officeDocument/2006/relationships/image" Target="media/image425.png"/><Relationship Id="rId434" Type="http://schemas.openxmlformats.org/officeDocument/2006/relationships/image" Target="media/image426.jpeg"/><Relationship Id="rId435" Type="http://schemas.openxmlformats.org/officeDocument/2006/relationships/image" Target="media/image427.jpeg"/><Relationship Id="rId436" Type="http://schemas.openxmlformats.org/officeDocument/2006/relationships/image" Target="media/image428.jpeg"/><Relationship Id="rId437" Type="http://schemas.openxmlformats.org/officeDocument/2006/relationships/image" Target="media/image429.jpeg"/><Relationship Id="rId438" Type="http://schemas.openxmlformats.org/officeDocument/2006/relationships/image" Target="media/image430.png"/><Relationship Id="rId439" Type="http://schemas.openxmlformats.org/officeDocument/2006/relationships/image" Target="media/image431.jpeg"/><Relationship Id="rId440" Type="http://schemas.openxmlformats.org/officeDocument/2006/relationships/image" Target="media/image432.jpe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jpe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jpe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jpe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jpeg"/><Relationship Id="rId462" Type="http://schemas.openxmlformats.org/officeDocument/2006/relationships/image" Target="media/image454.jpeg"/><Relationship Id="rId463" Type="http://schemas.openxmlformats.org/officeDocument/2006/relationships/image" Target="media/image455.jpe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jpeg"/><Relationship Id="rId468" Type="http://schemas.openxmlformats.org/officeDocument/2006/relationships/image" Target="media/image460.jpeg"/><Relationship Id="rId469" Type="http://schemas.openxmlformats.org/officeDocument/2006/relationships/image" Target="media/image461.png"/><Relationship Id="rId470" Type="http://schemas.openxmlformats.org/officeDocument/2006/relationships/image" Target="media/image462.jpe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jpeg"/><Relationship Id="rId474" Type="http://schemas.openxmlformats.org/officeDocument/2006/relationships/image" Target="media/image466.jpeg"/><Relationship Id="rId475" Type="http://schemas.openxmlformats.org/officeDocument/2006/relationships/image" Target="media/image467.png"/><Relationship Id="rId476" Type="http://schemas.openxmlformats.org/officeDocument/2006/relationships/image" Target="media/image468.jpeg"/><Relationship Id="rId477" Type="http://schemas.openxmlformats.org/officeDocument/2006/relationships/image" Target="media/image469.jpeg"/><Relationship Id="rId478" Type="http://schemas.openxmlformats.org/officeDocument/2006/relationships/image" Target="media/image470.jpeg"/><Relationship Id="rId479" Type="http://schemas.openxmlformats.org/officeDocument/2006/relationships/image" Target="media/image471.png"/><Relationship Id="rId480" Type="http://schemas.openxmlformats.org/officeDocument/2006/relationships/image" Target="media/image472.jpeg"/><Relationship Id="rId481" Type="http://schemas.openxmlformats.org/officeDocument/2006/relationships/image" Target="media/image473.jpeg"/><Relationship Id="rId482" Type="http://schemas.openxmlformats.org/officeDocument/2006/relationships/image" Target="media/image474.jpeg"/><Relationship Id="rId483" Type="http://schemas.openxmlformats.org/officeDocument/2006/relationships/image" Target="media/image475.png"/><Relationship Id="rId484" Type="http://schemas.openxmlformats.org/officeDocument/2006/relationships/image" Target="media/image476.jpeg"/><Relationship Id="rId485" Type="http://schemas.openxmlformats.org/officeDocument/2006/relationships/image" Target="media/image477.jpeg"/><Relationship Id="rId486" Type="http://schemas.openxmlformats.org/officeDocument/2006/relationships/image" Target="media/image478.jpeg"/><Relationship Id="rId487" Type="http://schemas.openxmlformats.org/officeDocument/2006/relationships/image" Target="media/image479.jpeg"/><Relationship Id="rId488" Type="http://schemas.openxmlformats.org/officeDocument/2006/relationships/image" Target="media/image480.png"/><Relationship Id="rId489" Type="http://schemas.openxmlformats.org/officeDocument/2006/relationships/image" Target="media/image481.jpe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jpe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jpeg"/><Relationship Id="rId501" Type="http://schemas.openxmlformats.org/officeDocument/2006/relationships/image" Target="media/image493.png"/><Relationship Id="rId502" Type="http://schemas.openxmlformats.org/officeDocument/2006/relationships/image" Target="media/image494.jpeg"/><Relationship Id="rId503" Type="http://schemas.openxmlformats.org/officeDocument/2006/relationships/image" Target="media/image495.png"/><Relationship Id="rId504" Type="http://schemas.openxmlformats.org/officeDocument/2006/relationships/image" Target="media/image496.jpe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jpe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jpe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jpe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jpeg"/><Relationship Id="rId526" Type="http://schemas.openxmlformats.org/officeDocument/2006/relationships/image" Target="media/image518.jpeg"/><Relationship Id="rId527" Type="http://schemas.openxmlformats.org/officeDocument/2006/relationships/image" Target="media/image519.jpeg"/><Relationship Id="rId528" Type="http://schemas.openxmlformats.org/officeDocument/2006/relationships/image" Target="media/image520.jpe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jpeg"/><Relationship Id="rId532" Type="http://schemas.openxmlformats.org/officeDocument/2006/relationships/image" Target="media/image524.jpeg"/><Relationship Id="rId533" Type="http://schemas.openxmlformats.org/officeDocument/2006/relationships/image" Target="media/image525.jpeg"/><Relationship Id="rId534" Type="http://schemas.openxmlformats.org/officeDocument/2006/relationships/image" Target="media/image526.png"/><Relationship Id="rId535" Type="http://schemas.openxmlformats.org/officeDocument/2006/relationships/image" Target="media/image527.jpeg"/><Relationship Id="rId536" Type="http://schemas.openxmlformats.org/officeDocument/2006/relationships/image" Target="media/image528.jpeg"/><Relationship Id="rId537" Type="http://schemas.openxmlformats.org/officeDocument/2006/relationships/image" Target="media/image529.png"/><Relationship Id="rId538" Type="http://schemas.openxmlformats.org/officeDocument/2006/relationships/image" Target="media/image530.jpeg"/><Relationship Id="rId539" Type="http://schemas.openxmlformats.org/officeDocument/2006/relationships/image" Target="media/image531.jpeg"/><Relationship Id="rId540" Type="http://schemas.openxmlformats.org/officeDocument/2006/relationships/image" Target="media/image532.png"/><Relationship Id="rId541" Type="http://schemas.openxmlformats.org/officeDocument/2006/relationships/image" Target="media/image533.jpeg"/><Relationship Id="rId542" Type="http://schemas.openxmlformats.org/officeDocument/2006/relationships/image" Target="media/image534.jpeg"/><Relationship Id="rId543" Type="http://schemas.openxmlformats.org/officeDocument/2006/relationships/image" Target="media/image535.png"/><Relationship Id="rId544" Type="http://schemas.openxmlformats.org/officeDocument/2006/relationships/image" Target="media/image536.jpeg"/><Relationship Id="rId545" Type="http://schemas.openxmlformats.org/officeDocument/2006/relationships/image" Target="media/image537.png"/><Relationship Id="rId546" Type="http://schemas.openxmlformats.org/officeDocument/2006/relationships/image" Target="media/image538.jpeg"/><Relationship Id="rId547" Type="http://schemas.openxmlformats.org/officeDocument/2006/relationships/image" Target="media/image539.png"/><Relationship Id="rId548" Type="http://schemas.openxmlformats.org/officeDocument/2006/relationships/image" Target="media/image540.jpeg"/><Relationship Id="rId549" Type="http://schemas.openxmlformats.org/officeDocument/2006/relationships/image" Target="media/image541.jpeg"/><Relationship Id="rId550" Type="http://schemas.openxmlformats.org/officeDocument/2006/relationships/image" Target="media/image542.png"/><Relationship Id="rId551" Type="http://schemas.openxmlformats.org/officeDocument/2006/relationships/image" Target="media/image543.jpeg"/><Relationship Id="rId552" Type="http://schemas.openxmlformats.org/officeDocument/2006/relationships/image" Target="media/image544.jpeg"/><Relationship Id="rId553" Type="http://schemas.openxmlformats.org/officeDocument/2006/relationships/image" Target="media/image545.png"/><Relationship Id="rId554" Type="http://schemas.openxmlformats.org/officeDocument/2006/relationships/image" Target="media/image546.jpeg"/><Relationship Id="rId555" Type="http://schemas.openxmlformats.org/officeDocument/2006/relationships/image" Target="media/image547.jpeg"/><Relationship Id="rId556" Type="http://schemas.openxmlformats.org/officeDocument/2006/relationships/image" Target="media/image548.png"/><Relationship Id="rId557" Type="http://schemas.openxmlformats.org/officeDocument/2006/relationships/image" Target="media/image549.jpeg"/><Relationship Id="rId558" Type="http://schemas.openxmlformats.org/officeDocument/2006/relationships/image" Target="media/image550.jpe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jpeg"/><Relationship Id="rId562" Type="http://schemas.openxmlformats.org/officeDocument/2006/relationships/image" Target="media/image554.png"/><Relationship Id="rId563" Type="http://schemas.openxmlformats.org/officeDocument/2006/relationships/image" Target="media/image555.jpeg"/><Relationship Id="rId564" Type="http://schemas.openxmlformats.org/officeDocument/2006/relationships/image" Target="media/image556.png"/><Relationship Id="rId315" Type="http://schemas.openxmlformats.org/officeDocument/2006/relationships/hyperlink" Target="http://www.sec.gov/Archives/edgar/data/72333/000007233323000037/jwn-202301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2023-04-17T08:28:07Z</dcterms:created>
  <dcterms:modified xsi:type="dcterms:W3CDTF">2023-04-17T08:28:07Z</dcterms:modified>
</cp:coreProperties>
</file>