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4000" w:right="2220" w:hanging="3965"/>
        <w:spacing w:after="0" w:line="333" w:lineRule="auto"/>
        <w:tabs>
          <w:tab w:leader="none" w:pos="527"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July 30, 2016</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440" w:right="2200" w:hanging="3405"/>
        <w:spacing w:after="0" w:line="333"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8"/>
          <w:szCs w:val="18"/>
          <w:b w:val="1"/>
          <w:bCs w:val="1"/>
          <w:color w:val="auto"/>
        </w:rPr>
        <w:t>For the transition period from ___________ to___________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8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Washington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594"/>
        </w:trPr>
        <w:tc>
          <w:tcPr>
            <w:tcW w:w="6580" w:type="dxa"/>
            <w:vAlign w:val="bottom"/>
          </w:tcPr>
          <w:p>
            <w:pPr>
              <w:jc w:val="center"/>
              <w:ind w:right="347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91"/>
        </w:trPr>
        <w:tc>
          <w:tcPr>
            <w:tcW w:w="6580" w:type="dxa"/>
            <w:vAlign w:val="bottom"/>
          </w:tcPr>
          <w:p>
            <w:pPr>
              <w:jc w:val="right"/>
              <w:ind w:right="1510"/>
              <w:spacing w:after="0"/>
              <w:rPr>
                <w:sz w:val="20"/>
                <w:szCs w:val="20"/>
                <w:color w:val="auto"/>
              </w:rPr>
            </w:pPr>
            <w:r>
              <w:rPr>
                <w:rFonts w:ascii="Arial" w:cs="Arial" w:eastAsia="Arial" w:hAnsi="Arial"/>
                <w:sz w:val="18"/>
                <w:szCs w:val="18"/>
                <w:b w:val="1"/>
                <w:bCs w:val="1"/>
                <w:color w:val="auto"/>
              </w:rPr>
              <w:t>206-628-2111</w:t>
            </w:r>
          </w:p>
        </w:tc>
        <w:tc>
          <w:tcPr>
            <w:tcW w:w="1540" w:type="dxa"/>
            <w:vAlign w:val="bottom"/>
          </w:tcPr>
          <w:p>
            <w:pPr>
              <w:spacing w:after="0"/>
              <w:rPr>
                <w:sz w:val="24"/>
                <w:szCs w:val="24"/>
                <w:color w:val="auto"/>
              </w:rPr>
            </w:pPr>
          </w:p>
        </w:tc>
      </w:tr>
      <w:tr>
        <w:trPr>
          <w:trHeight w:val="230"/>
        </w:trPr>
        <w:tc>
          <w:tcPr>
            <w:tcW w:w="6580" w:type="dxa"/>
            <w:vAlign w:val="bottom"/>
          </w:tcPr>
          <w:p>
            <w:pPr>
              <w:jc w:val="center"/>
              <w:ind w:left="227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14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60"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00" w:space="720"/>
            <w:col w:w="4300"/>
          </w:cols>
          <w:pgMar w:left="240" w:top="225" w:right="23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19" w:lineRule="exact"/>
        <w:rPr>
          <w:sz w:val="24"/>
          <w:szCs w:val="24"/>
          <w:color w:val="auto"/>
        </w:rPr>
      </w:pPr>
    </w:p>
    <w:p>
      <w:pPr>
        <w:sectPr>
          <w:pgSz w:w="11900" w:h="16838" w:orient="portrait"/>
          <w:cols w:equalWidth="0" w:num="3">
            <w:col w:w="2120" w:space="40"/>
            <w:col w:w="4240" w:space="720"/>
            <w:col w:w="4300"/>
          </w:cols>
          <w:pgMar w:left="240" w:top="225"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August 24, 2016: 173,440,084 shares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 of 29</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00" w:type="dxa"/>
            <w:vAlign w:val="bottom"/>
            <w:gridSpan w:val="13"/>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4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11"/>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Earnings</w:t>
              </w:r>
            </w:hyperlink>
          </w:p>
        </w:tc>
        <w:tc>
          <w:tcPr>
            <w:tcW w:w="4080" w:type="dxa"/>
            <w:vAlign w:val="bottom"/>
            <w:gridSpan w:val="9"/>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20" w:type="dxa"/>
            <w:vAlign w:val="bottom"/>
            <w:gridSpan w:val="14"/>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Quarter and Six Months Ended July 30, 2016 and August 1, 2015</w:t>
              </w:r>
            </w:hyperlink>
          </w:p>
        </w:tc>
        <w:tc>
          <w:tcPr>
            <w:tcW w:w="2920" w:type="dxa"/>
            <w:vAlign w:val="bottom"/>
            <w:gridSpan w:val="3"/>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Earnings</w:t>
              </w:r>
            </w:hyperlink>
          </w:p>
        </w:tc>
        <w:tc>
          <w:tcPr>
            <w:tcW w:w="20" w:type="dxa"/>
            <w:vAlign w:val="bottom"/>
            <w:tcBorders>
              <w:bottom w:val="single" w:sz="8" w:color="0000EE"/>
            </w:tcBorders>
          </w:tcPr>
          <w:p>
            <w:pPr>
              <w:spacing w:after="0"/>
              <w:rPr>
                <w:sz w:val="24"/>
                <w:szCs w:val="24"/>
                <w:color w:val="auto"/>
              </w:rPr>
            </w:pPr>
          </w:p>
        </w:tc>
        <w:tc>
          <w:tcPr>
            <w:tcW w:w="29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20" w:type="dxa"/>
            <w:vAlign w:val="bottom"/>
            <w:gridSpan w:val="14"/>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Quarter and Six Months Ended July 30, 2016 and August 1, 2015</w:t>
              </w:r>
            </w:hyperlink>
          </w:p>
        </w:tc>
        <w:tc>
          <w:tcPr>
            <w:tcW w:w="2920" w:type="dxa"/>
            <w:vAlign w:val="bottom"/>
            <w:gridSpan w:val="3"/>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w:t>
              </w:r>
            </w:hyperlink>
          </w:p>
        </w:tc>
        <w:tc>
          <w:tcPr>
            <w:tcW w:w="1740" w:type="dxa"/>
            <w:vAlign w:val="bottom"/>
            <w:tcBorders>
              <w:top w:val="single" w:sz="8" w:color="0000EE"/>
            </w:tcBorders>
            <w:gridSpan w:val="7"/>
          </w:tcPr>
          <w:p>
            <w:pPr>
              <w:spacing w:after="0"/>
              <w:rPr>
                <w:sz w:val="24"/>
                <w:szCs w:val="24"/>
                <w:color w:val="auto"/>
              </w:rPr>
            </w:pPr>
          </w:p>
        </w:tc>
        <w:tc>
          <w:tcPr>
            <w:tcW w:w="292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60" w:type="dxa"/>
            <w:vAlign w:val="bottom"/>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July 30, 2016, January 30, 2016 and August 1, 2015</w:t>
              </w:r>
            </w:hyperlink>
          </w:p>
        </w:tc>
        <w:tc>
          <w:tcPr>
            <w:tcW w:w="3880" w:type="dxa"/>
            <w:vAlign w:val="bottom"/>
            <w:gridSpan w:val="8"/>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w:t>
              </w:r>
            </w:hyperlink>
          </w:p>
        </w:tc>
        <w:tc>
          <w:tcPr>
            <w:tcW w:w="3200" w:type="dxa"/>
            <w:vAlign w:val="bottom"/>
            <w:gridSpan w:val="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20" w:type="dxa"/>
            <w:vAlign w:val="bottom"/>
            <w:gridSpan w:val="1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Six Months Ended July 30, 2016 and August 1, 2015</w:t>
              </w:r>
            </w:hyperlink>
          </w:p>
        </w:tc>
        <w:tc>
          <w:tcPr>
            <w:tcW w:w="382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60" w:type="dxa"/>
            <w:vAlign w:val="bottom"/>
            <w:tcBorders>
              <w:top w:val="single" w:sz="8" w:color="0000EE"/>
            </w:tcBorders>
          </w:tcPr>
          <w:p>
            <w:pPr>
              <w:spacing w:after="0"/>
              <w:rPr>
                <w:sz w:val="24"/>
                <w:szCs w:val="24"/>
                <w:color w:val="auto"/>
              </w:rPr>
            </w:pPr>
          </w:p>
        </w:tc>
        <w:tc>
          <w:tcPr>
            <w:tcW w:w="3820" w:type="dxa"/>
            <w:vAlign w:val="bottom"/>
            <w:gridSpan w:val="7"/>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20" w:type="dxa"/>
            <w:vAlign w:val="bottom"/>
            <w:gridSpan w:val="10"/>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Six Months Ended July 30, 2016 and August 1, 2015</w:t>
              </w:r>
            </w:hyperlink>
          </w:p>
        </w:tc>
        <w:tc>
          <w:tcPr>
            <w:tcW w:w="382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640" w:type="dxa"/>
            <w:vAlign w:val="bottom"/>
            <w:gridSpan w:val="6"/>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6500" w:type="dxa"/>
            <w:vAlign w:val="bottom"/>
            <w:gridSpan w:val="17"/>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4380" w:type="dxa"/>
            <w:vAlign w:val="bottom"/>
            <w:gridSpan w:val="1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3600" w:type="dxa"/>
            <w:vAlign w:val="bottom"/>
            <w:tcBorders>
              <w:left w:val="single" w:sz="8" w:color="0000EE"/>
            </w:tcBorders>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438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600" w:type="dxa"/>
            <w:vAlign w:val="bottom"/>
            <w:gridSpan w:val="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6500" w:type="dxa"/>
            <w:vAlign w:val="bottom"/>
            <w:gridSpan w:val="1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1380" w:type="dxa"/>
            <w:vAlign w:val="bottom"/>
            <w:gridSpan w:val="3"/>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6600" w:type="dxa"/>
            <w:vAlign w:val="bottom"/>
            <w:gridSpan w:val="1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798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3740" w:type="dxa"/>
            <w:vAlign w:val="bottom"/>
            <w:gridSpan w:val="11"/>
          </w:tcPr>
          <w:p>
            <w:pPr>
              <w:spacing w:after="0"/>
              <w:rPr>
                <w:sz w:val="24"/>
                <w:szCs w:val="24"/>
                <w:color w:val="auto"/>
              </w:rPr>
            </w:pPr>
          </w:p>
        </w:tc>
        <w:tc>
          <w:tcPr>
            <w:tcW w:w="3600" w:type="dxa"/>
            <w:vAlign w:val="bottom"/>
            <w:gridSpan w:val="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Arial" w:cs="Arial" w:eastAsia="Arial" w:hAnsi="Arial"/>
                <w:sz w:val="18"/>
                <w:szCs w:val="18"/>
                <w:b w:val="1"/>
                <w:bCs w:val="1"/>
                <w:color w:val="0000EE"/>
                <w:w w:val="85"/>
              </w:rPr>
            </w:pPr>
            <w:hyperlink w:anchor="page29">
              <w:r>
                <w:rPr>
                  <w:rFonts w:ascii="Arial" w:cs="Arial" w:eastAsia="Arial" w:hAnsi="Arial"/>
                  <w:sz w:val="18"/>
                  <w:szCs w:val="18"/>
                  <w:b w:val="1"/>
                  <w:bCs w:val="1"/>
                  <w:color w:val="0000EE"/>
                  <w:w w:val="85"/>
                </w:rPr>
                <w:t>Signatures</w:t>
              </w:r>
            </w:hyperlink>
          </w:p>
        </w:tc>
        <w:tc>
          <w:tcPr>
            <w:tcW w:w="560" w:type="dxa"/>
            <w:vAlign w:val="bottom"/>
            <w:gridSpan w:val="2"/>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 Index</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9"/>
          </w:tcPr>
          <w:p>
            <w:pPr>
              <w:ind w:left="140"/>
              <w:spacing w:after="0"/>
              <w:rPr>
                <w:sz w:val="20"/>
                <w:szCs w:val="20"/>
                <w:color w:val="auto"/>
              </w:rPr>
            </w:pPr>
            <w:r>
              <w:rPr>
                <w:rFonts w:ascii="Arial" w:cs="Arial" w:eastAsia="Arial" w:hAnsi="Arial"/>
                <w:sz w:val="18"/>
                <w:szCs w:val="18"/>
                <w:color w:val="auto"/>
              </w:rPr>
              <w:t>2 of 29</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760" w:firstLine="3757"/>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1, 2015</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$3,592</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$3,598</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$6,784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59</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116</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3,651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6,900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6,916</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Cost of sales and related buying and occupancy costs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(2,359)</w:t>
            </w:r>
          </w:p>
        </w:tc>
        <w:tc>
          <w:tcPr>
            <w:tcW w:w="1240" w:type="dxa"/>
            <w:vAlign w:val="bottom"/>
          </w:tcPr>
          <w:p>
            <w:pPr>
              <w:jc w:val="right"/>
              <w:spacing w:after="0"/>
              <w:rPr>
                <w:sz w:val="20"/>
                <w:szCs w:val="20"/>
                <w:color w:val="auto"/>
              </w:rPr>
            </w:pPr>
            <w:r>
              <w:rPr>
                <w:rFonts w:ascii="Arial" w:cs="Arial" w:eastAsia="Arial" w:hAnsi="Arial"/>
                <w:sz w:val="16"/>
                <w:szCs w:val="16"/>
                <w:color w:val="auto"/>
              </w:rPr>
              <w:t>(2,327)</w:t>
            </w:r>
          </w:p>
        </w:tc>
        <w:tc>
          <w:tcPr>
            <w:tcW w:w="120" w:type="dxa"/>
            <w:vAlign w:val="bottom"/>
          </w:tcPr>
          <w:p>
            <w:pPr>
              <w:spacing w:after="0"/>
              <w:rPr>
                <w:sz w:val="20"/>
                <w:szCs w:val="20"/>
                <w:color w:val="auto"/>
              </w:rPr>
            </w:pP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(4,459)</w:t>
            </w:r>
          </w:p>
        </w:tc>
        <w:tc>
          <w:tcPr>
            <w:tcW w:w="1180" w:type="dxa"/>
            <w:vAlign w:val="bottom"/>
          </w:tcPr>
          <w:p>
            <w:pPr>
              <w:jc w:val="right"/>
              <w:spacing w:after="0"/>
              <w:rPr>
                <w:sz w:val="20"/>
                <w:szCs w:val="20"/>
                <w:color w:val="auto"/>
              </w:rPr>
            </w:pPr>
            <w:r>
              <w:rPr>
                <w:rFonts w:ascii="Arial" w:cs="Arial" w:eastAsia="Arial" w:hAnsi="Arial"/>
                <w:sz w:val="16"/>
                <w:szCs w:val="16"/>
                <w:color w:val="auto"/>
              </w:rPr>
              <w:t>(4,326)</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(1,071)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(2,114)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221</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327</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622</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(61)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191</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266</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(74)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(103)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earnings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$117</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$163</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2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$0.67</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$0.94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$0.67</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$0.93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2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173.5</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173.3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174.8</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193.5</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175.2</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194.2</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1, 2015</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$117</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$163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Postretirement plan adjustments, net of tax</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$107</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$181</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29</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30, 2016</w:t>
            </w:r>
          </w:p>
        </w:tc>
        <w:tc>
          <w:tcPr>
            <w:tcW w:w="2000" w:type="dxa"/>
            <w:vAlign w:val="bottom"/>
          </w:tcPr>
          <w:p>
            <w:pPr>
              <w:jc w:val="right"/>
              <w:ind w:right="379"/>
              <w:spacing w:after="0"/>
              <w:rPr>
                <w:sz w:val="20"/>
                <w:szCs w:val="20"/>
                <w:color w:val="auto"/>
              </w:rPr>
            </w:pPr>
            <w:r>
              <w:rPr>
                <w:rFonts w:ascii="Arial" w:cs="Arial" w:eastAsia="Arial" w:hAnsi="Arial"/>
                <w:sz w:val="16"/>
                <w:szCs w:val="16"/>
                <w:b w:val="1"/>
                <w:bCs w:val="1"/>
                <w:color w:val="auto"/>
              </w:rPr>
              <w:t>January 30, 2016</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1, 2015</w:t>
            </w: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$892</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$595</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Accounts receivable held for sale</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263</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196</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Merchandise inventories</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2,032</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1,945</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deferred tax assets, net</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163</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278</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3,350</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3,014</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5,432</w:t>
            </w:r>
          </w:p>
        </w:tc>
        <w:tc>
          <w:tcPr>
            <w:tcW w:w="0" w:type="dxa"/>
            <w:vAlign w:val="bottom"/>
          </w:tcPr>
          <w:p>
            <w:pPr>
              <w:spacing w:after="0"/>
              <w:rPr>
                <w:sz w:val="1"/>
                <w:szCs w:val="1"/>
                <w:color w:val="auto"/>
              </w:rPr>
            </w:pPr>
          </w:p>
        </w:tc>
      </w:tr>
      <w:tr>
        <w:trPr>
          <w:trHeight w:val="297"/>
        </w:trPr>
        <w:tc>
          <w:tcPr>
            <w:tcW w:w="6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Land, property and equipment (net of accumulated depreciation of $5,330, $5,108 and</w:t>
            </w:r>
          </w:p>
        </w:tc>
        <w:tc>
          <w:tcPr>
            <w:tcW w:w="178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3,812</w:t>
            </w:r>
          </w:p>
        </w:tc>
        <w:tc>
          <w:tcPr>
            <w:tcW w:w="20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$4,912)</w:t>
            </w:r>
          </w:p>
        </w:tc>
        <w:tc>
          <w:tcPr>
            <w:tcW w:w="1780" w:type="dxa"/>
            <w:vAlign w:val="bottom"/>
            <w:tcBorders>
              <w:bottom w:val="single" w:sz="8" w:color="CCEEFF"/>
            </w:tcBorders>
            <w:vMerge w:val="continue"/>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3,735</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Goodwill</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435</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435</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533</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514</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1"/>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7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$8,130</w:t>
            </w:r>
          </w:p>
        </w:tc>
        <w:tc>
          <w:tcPr>
            <w:tcW w:w="20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$7,698</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$9,700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7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$1,604</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$1,324</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381</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416</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1,326</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1,161</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10</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10</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31"/>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17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3,321</w:t>
            </w:r>
          </w:p>
        </w:tc>
        <w:tc>
          <w:tcPr>
            <w:tcW w:w="20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2,911</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3,456</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2,772</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2,795</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530</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540</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780" w:type="dxa"/>
            <w:vAlign w:val="bottom"/>
          </w:tcPr>
          <w:p>
            <w:pPr>
              <w:jc w:val="right"/>
              <w:ind w:right="339"/>
              <w:spacing w:after="0"/>
              <w:rPr>
                <w:sz w:val="20"/>
                <w:szCs w:val="20"/>
                <w:color w:val="auto"/>
              </w:rPr>
            </w:pPr>
            <w:r>
              <w:rPr>
                <w:rFonts w:ascii="Arial" w:cs="Arial" w:eastAsia="Arial" w:hAnsi="Arial"/>
                <w:sz w:val="16"/>
                <w:szCs w:val="16"/>
                <w:b w:val="1"/>
                <w:bCs w:val="1"/>
                <w:color w:val="auto"/>
              </w:rPr>
              <w:t>570</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581</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Commitments and contingencies (Note 6)</w:t>
            </w: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17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no par value: 1,000 shares authorized; 173.3, 173.5 and 188.2</w:t>
            </w:r>
          </w:p>
        </w:tc>
        <w:tc>
          <w:tcPr>
            <w:tcW w:w="178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2,612</w:t>
            </w:r>
          </w:p>
        </w:tc>
        <w:tc>
          <w:tcPr>
            <w:tcW w:w="20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shares issued and outstanding</w:t>
            </w:r>
          </w:p>
        </w:tc>
        <w:tc>
          <w:tcPr>
            <w:tcW w:w="1780" w:type="dxa"/>
            <w:vAlign w:val="bottom"/>
            <w:tcBorders>
              <w:bottom w:val="single" w:sz="8" w:color="CCEEFF"/>
            </w:tcBorders>
            <w:vMerge w:val="continue"/>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2,539</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(Accumulated deficit) Retained earnings</w:t>
            </w: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rPr>
              <w:t>(1,635)</w:t>
            </w:r>
          </w:p>
        </w:tc>
        <w:tc>
          <w:tcPr>
            <w:tcW w:w="2000" w:type="dxa"/>
            <w:vAlign w:val="bottom"/>
          </w:tcPr>
          <w:p>
            <w:pPr>
              <w:jc w:val="right"/>
              <w:ind w:right="339"/>
              <w:spacing w:after="0"/>
              <w:rPr>
                <w:sz w:val="20"/>
                <w:szCs w:val="20"/>
                <w:color w:val="auto"/>
              </w:rPr>
            </w:pPr>
            <w:r>
              <w:rPr>
                <w:rFonts w:ascii="Arial" w:cs="Arial" w:eastAsia="Arial" w:hAnsi="Arial"/>
                <w:sz w:val="16"/>
                <w:szCs w:val="16"/>
                <w:color w:val="auto"/>
              </w:rPr>
              <w:t>(1,610)</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7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(40)</w:t>
            </w:r>
          </w:p>
        </w:tc>
        <w:tc>
          <w:tcPr>
            <w:tcW w:w="2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(58)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1"/>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shareholders’ equity</w:t>
            </w:r>
          </w:p>
        </w:tc>
        <w:tc>
          <w:tcPr>
            <w:tcW w:w="17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937</w:t>
            </w:r>
          </w:p>
        </w:tc>
        <w:tc>
          <w:tcPr>
            <w:tcW w:w="20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871</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2,491</w:t>
            </w: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7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$8,130</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$7,698</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$9,700</w:t>
            </w:r>
          </w:p>
        </w:tc>
        <w:tc>
          <w:tcPr>
            <w:tcW w:w="0" w:type="dxa"/>
            <w:vAlign w:val="bottom"/>
          </w:tcPr>
          <w:p>
            <w:pPr>
              <w:spacing w:after="0"/>
              <w:rPr>
                <w:sz w:val="1"/>
                <w:szCs w:val="1"/>
                <w:color w:val="auto"/>
              </w:rPr>
            </w:pPr>
          </w:p>
        </w:tc>
      </w:tr>
      <w:tr>
        <w:trPr>
          <w:trHeight w:val="20"/>
        </w:trPr>
        <w:tc>
          <w:tcPr>
            <w:tcW w:w="60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29</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20" w:type="dxa"/>
            <w:vAlign w:val="bottom"/>
          </w:tcPr>
          <w:p>
            <w:pPr>
              <w:jc w:val="right"/>
              <w:ind w:right="619"/>
              <w:spacing w:after="0"/>
              <w:rPr>
                <w:sz w:val="20"/>
                <w:szCs w:val="20"/>
                <w:color w:val="auto"/>
              </w:rPr>
            </w:pPr>
            <w:r>
              <w:rPr>
                <w:rFonts w:ascii="Arial" w:cs="Arial" w:eastAsia="Arial" w:hAnsi="Arial"/>
                <w:sz w:val="16"/>
                <w:szCs w:val="16"/>
                <w:b w:val="1"/>
                <w:bCs w:val="1"/>
                <w:color w:val="auto"/>
              </w:rPr>
              <w:t>Accumulated</w:t>
            </w:r>
          </w:p>
        </w:tc>
        <w:tc>
          <w:tcPr>
            <w:tcW w:w="1140" w:type="dxa"/>
            <w:vAlign w:val="bottom"/>
          </w:tcPr>
          <w:p>
            <w:pPr>
              <w:spacing w:after="0"/>
              <w:rPr>
                <w:sz w:val="18"/>
                <w:szCs w:val="18"/>
                <w:color w:val="auto"/>
              </w:rPr>
            </w:pPr>
          </w:p>
        </w:tc>
      </w:tr>
      <w:tr>
        <w:trPr>
          <w:trHeight w:val="270"/>
        </w:trPr>
        <w:tc>
          <w:tcPr>
            <w:tcW w:w="29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Other</w:t>
            </w:r>
          </w:p>
        </w:tc>
        <w:tc>
          <w:tcPr>
            <w:tcW w:w="1140" w:type="dxa"/>
            <w:vAlign w:val="bottom"/>
          </w:tcPr>
          <w:p>
            <w:pPr>
              <w:spacing w:after="0"/>
              <w:rPr>
                <w:sz w:val="23"/>
                <w:szCs w:val="23"/>
                <w:color w:val="auto"/>
              </w:rPr>
            </w:pPr>
          </w:p>
        </w:tc>
      </w:tr>
      <w:tr>
        <w:trPr>
          <w:trHeight w:val="270"/>
        </w:trPr>
        <w:tc>
          <w:tcPr>
            <w:tcW w:w="2980" w:type="dxa"/>
            <w:vAlign w:val="bottom"/>
          </w:tcPr>
          <w:p>
            <w:pPr>
              <w:spacing w:after="0"/>
              <w:rPr>
                <w:sz w:val="23"/>
                <w:szCs w:val="23"/>
                <w:color w:val="auto"/>
              </w:rPr>
            </w:pPr>
          </w:p>
        </w:tc>
        <w:tc>
          <w:tcPr>
            <w:tcW w:w="2440" w:type="dxa"/>
            <w:vAlign w:val="bottom"/>
          </w:tcPr>
          <w:p>
            <w:pPr>
              <w:jc w:val="right"/>
              <w:ind w:right="139"/>
              <w:spacing w:after="0"/>
              <w:rPr>
                <w:sz w:val="20"/>
                <w:szCs w:val="20"/>
                <w:color w:val="auto"/>
              </w:rPr>
            </w:pPr>
            <w:r>
              <w:rPr>
                <w:rFonts w:ascii="Arial" w:cs="Arial" w:eastAsia="Arial" w:hAnsi="Arial"/>
                <w:sz w:val="16"/>
                <w:szCs w:val="16"/>
                <w:b w:val="1"/>
                <w:bCs w:val="1"/>
                <w:color w:val="auto"/>
              </w:rPr>
              <w:t>Common Stock</w:t>
            </w:r>
          </w:p>
        </w:tc>
        <w:tc>
          <w:tcPr>
            <w:tcW w:w="900" w:type="dxa"/>
            <w:vAlign w:val="bottom"/>
          </w:tcPr>
          <w:p>
            <w:pPr>
              <w:spacing w:after="0"/>
              <w:rPr>
                <w:sz w:val="23"/>
                <w:szCs w:val="23"/>
                <w:color w:val="auto"/>
              </w:rPr>
            </w:pP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Accumulated</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Comprehensive</w:t>
            </w:r>
          </w:p>
        </w:tc>
        <w:tc>
          <w:tcPr>
            <w:tcW w:w="1140" w:type="dxa"/>
            <w:vAlign w:val="bottom"/>
          </w:tcPr>
          <w:p>
            <w:pPr>
              <w:spacing w:after="0"/>
              <w:rPr>
                <w:sz w:val="23"/>
                <w:szCs w:val="23"/>
                <w:color w:val="auto"/>
              </w:rPr>
            </w:pPr>
          </w:p>
        </w:tc>
      </w:tr>
      <w:tr>
        <w:trPr>
          <w:trHeight w:val="33"/>
        </w:trPr>
        <w:tc>
          <w:tcPr>
            <w:tcW w:w="29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440" w:type="dxa"/>
            <w:vAlign w:val="bottom"/>
          </w:tcPr>
          <w:p>
            <w:pPr>
              <w:jc w:val="right"/>
              <w:ind w:right="879"/>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Loss</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2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30, 2016</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173.5</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$2,539</w:t>
            </w:r>
          </w:p>
        </w:tc>
        <w:tc>
          <w:tcPr>
            <w:tcW w:w="1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($1,610)</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($58)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239"/>
              <w:spacing w:after="0"/>
              <w:rPr>
                <w:sz w:val="20"/>
                <w:szCs w:val="20"/>
                <w:color w:val="auto"/>
              </w:rPr>
            </w:pPr>
            <w:r>
              <w:rPr>
                <w:rFonts w:ascii="Arial" w:cs="Arial" w:eastAsia="Arial" w:hAnsi="Arial"/>
                <w:sz w:val="16"/>
                <w:szCs w:val="16"/>
                <w:color w:val="auto"/>
              </w:rPr>
              <w:t>163</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18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Dividends ($0.74 per share)</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9"/>
              <w:spacing w:after="0"/>
              <w:rPr>
                <w:sz w:val="20"/>
                <w:szCs w:val="20"/>
                <w:color w:val="auto"/>
              </w:rPr>
            </w:pPr>
            <w:r>
              <w:rPr>
                <w:rFonts w:ascii="Arial" w:cs="Arial" w:eastAsia="Arial" w:hAnsi="Arial"/>
                <w:sz w:val="16"/>
                <w:szCs w:val="16"/>
                <w:color w:val="auto"/>
              </w:rPr>
              <w:t>(128)</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under stock</w:t>
            </w:r>
          </w:p>
        </w:tc>
        <w:tc>
          <w:tcPr>
            <w:tcW w:w="2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compensation plans</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0.9</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0.2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9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4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(1.3)</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(60)</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July 30, 2016</w:t>
            </w:r>
          </w:p>
        </w:tc>
        <w:tc>
          <w:tcPr>
            <w:tcW w:w="244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173.3</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$2,612</w:t>
            </w:r>
          </w:p>
        </w:tc>
        <w:tc>
          <w:tcPr>
            <w:tcW w:w="1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($1,635)</w:t>
            </w: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($40)</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$937</w:t>
            </w:r>
          </w:p>
        </w:tc>
      </w:tr>
      <w:tr>
        <w:trPr>
          <w:trHeight w:val="33"/>
        </w:trPr>
        <w:tc>
          <w:tcPr>
            <w:tcW w:w="2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49"/>
        </w:trPr>
        <w:tc>
          <w:tcPr>
            <w:tcW w:w="2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Accumulated</w:t>
            </w:r>
          </w:p>
        </w:tc>
        <w:tc>
          <w:tcPr>
            <w:tcW w:w="1140" w:type="dxa"/>
            <w:vAlign w:val="bottom"/>
          </w:tcPr>
          <w:p>
            <w:pPr>
              <w:spacing w:after="0"/>
              <w:rPr>
                <w:sz w:val="24"/>
                <w:szCs w:val="24"/>
                <w:color w:val="auto"/>
              </w:rPr>
            </w:pPr>
          </w:p>
        </w:tc>
      </w:tr>
      <w:tr>
        <w:trPr>
          <w:trHeight w:val="270"/>
        </w:trPr>
        <w:tc>
          <w:tcPr>
            <w:tcW w:w="29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Other</w:t>
            </w:r>
          </w:p>
        </w:tc>
        <w:tc>
          <w:tcPr>
            <w:tcW w:w="1140" w:type="dxa"/>
            <w:vAlign w:val="bottom"/>
          </w:tcPr>
          <w:p>
            <w:pPr>
              <w:spacing w:after="0"/>
              <w:rPr>
                <w:sz w:val="23"/>
                <w:szCs w:val="23"/>
                <w:color w:val="auto"/>
              </w:rPr>
            </w:pPr>
          </w:p>
        </w:tc>
      </w:tr>
      <w:tr>
        <w:trPr>
          <w:trHeight w:val="270"/>
        </w:trPr>
        <w:tc>
          <w:tcPr>
            <w:tcW w:w="2980" w:type="dxa"/>
            <w:vAlign w:val="bottom"/>
          </w:tcPr>
          <w:p>
            <w:pPr>
              <w:spacing w:after="0"/>
              <w:rPr>
                <w:sz w:val="23"/>
                <w:szCs w:val="23"/>
                <w:color w:val="auto"/>
              </w:rPr>
            </w:pPr>
          </w:p>
        </w:tc>
        <w:tc>
          <w:tcPr>
            <w:tcW w:w="2440" w:type="dxa"/>
            <w:vAlign w:val="bottom"/>
          </w:tcPr>
          <w:p>
            <w:pPr>
              <w:jc w:val="right"/>
              <w:ind w:right="139"/>
              <w:spacing w:after="0"/>
              <w:rPr>
                <w:sz w:val="20"/>
                <w:szCs w:val="20"/>
                <w:color w:val="auto"/>
              </w:rPr>
            </w:pPr>
            <w:r>
              <w:rPr>
                <w:rFonts w:ascii="Arial" w:cs="Arial" w:eastAsia="Arial" w:hAnsi="Arial"/>
                <w:sz w:val="16"/>
                <w:szCs w:val="16"/>
                <w:b w:val="1"/>
                <w:bCs w:val="1"/>
                <w:color w:val="auto"/>
              </w:rPr>
              <w:t>Common Stock</w:t>
            </w:r>
          </w:p>
        </w:tc>
        <w:tc>
          <w:tcPr>
            <w:tcW w:w="900" w:type="dxa"/>
            <w:vAlign w:val="bottom"/>
          </w:tcPr>
          <w:p>
            <w:pPr>
              <w:spacing w:after="0"/>
              <w:rPr>
                <w:sz w:val="23"/>
                <w:szCs w:val="23"/>
                <w:color w:val="auto"/>
              </w:rPr>
            </w:pP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Retained</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Comprehensive</w:t>
            </w:r>
          </w:p>
        </w:tc>
        <w:tc>
          <w:tcPr>
            <w:tcW w:w="1140" w:type="dxa"/>
            <w:vAlign w:val="bottom"/>
          </w:tcPr>
          <w:p>
            <w:pPr>
              <w:spacing w:after="0"/>
              <w:rPr>
                <w:sz w:val="23"/>
                <w:szCs w:val="23"/>
                <w:color w:val="auto"/>
              </w:rPr>
            </w:pPr>
          </w:p>
        </w:tc>
      </w:tr>
      <w:tr>
        <w:trPr>
          <w:trHeight w:val="33"/>
        </w:trPr>
        <w:tc>
          <w:tcPr>
            <w:tcW w:w="29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440" w:type="dxa"/>
            <w:vAlign w:val="bottom"/>
          </w:tcPr>
          <w:p>
            <w:pPr>
              <w:jc w:val="right"/>
              <w:ind w:right="879"/>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Earnings</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Loss</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2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31, 2015</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190.1</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$2,338</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$166</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($64)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239"/>
              <w:spacing w:after="0"/>
              <w:rPr>
                <w:sz w:val="20"/>
                <w:szCs w:val="20"/>
                <w:color w:val="auto"/>
              </w:rPr>
            </w:pPr>
            <w:r>
              <w:rPr>
                <w:rFonts w:ascii="Arial" w:cs="Arial" w:eastAsia="Arial" w:hAnsi="Arial"/>
                <w:sz w:val="16"/>
                <w:szCs w:val="16"/>
                <w:color w:val="auto"/>
              </w:rPr>
              <w:t>339</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Dividends ($0.74 per share)</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9"/>
              <w:spacing w:after="0"/>
              <w:rPr>
                <w:sz w:val="20"/>
                <w:szCs w:val="20"/>
                <w:color w:val="auto"/>
              </w:rPr>
            </w:pPr>
            <w:r>
              <w:rPr>
                <w:rFonts w:ascii="Arial" w:cs="Arial" w:eastAsia="Arial" w:hAnsi="Arial"/>
                <w:sz w:val="16"/>
                <w:szCs w:val="16"/>
                <w:color w:val="auto"/>
              </w:rPr>
              <w:t>(142)</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under stock</w:t>
            </w:r>
          </w:p>
        </w:tc>
        <w:tc>
          <w:tcPr>
            <w:tcW w:w="2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compensation plans</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1.5</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0.1</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9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4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(3.5)</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(266)</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August 1, 2015</w:t>
            </w:r>
          </w:p>
        </w:tc>
        <w:tc>
          <w:tcPr>
            <w:tcW w:w="244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188.2</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$2,460</w:t>
            </w:r>
          </w:p>
        </w:tc>
        <w:tc>
          <w:tcPr>
            <w:tcW w:w="19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$97</w:t>
            </w: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($66)</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$2,491</w:t>
            </w:r>
          </w:p>
        </w:tc>
      </w:tr>
      <w:tr>
        <w:trPr>
          <w:trHeight w:val="33"/>
        </w:trPr>
        <w:tc>
          <w:tcPr>
            <w:tcW w:w="2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29</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$163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319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277</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(53)</w:t>
            </w: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Tax (deficiency) benefit from stock-based compensation</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Bad debt expense</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(66)</w:t>
            </w:r>
          </w:p>
        </w:tc>
        <w:tc>
          <w:tcPr>
            <w:tcW w:w="11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Merchandise inventories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(59)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96</w:t>
            </w: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262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(40)</w:t>
            </w: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175</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Deferred property incentives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31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5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851</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(407)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Change in credit card receivables originated at third parties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58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(374)</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(5)</w:t>
            </w: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increase in cash book overdrafts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(18)</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(128)</w:t>
            </w:r>
          </w:p>
        </w:tc>
        <w:tc>
          <w:tcPr>
            <w:tcW w:w="118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(59)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30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(180)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91"/>
        </w:trPr>
        <w:tc>
          <w:tcPr>
            <w:tcW w:w="766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297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595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$892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r>
      <w:tr>
        <w:trPr>
          <w:trHeight w:val="291"/>
        </w:trPr>
        <w:tc>
          <w:tcPr>
            <w:tcW w:w="7660" w:type="dxa"/>
            <w:vAlign w:val="bottom"/>
            <w:tcBorders>
              <w:top w:val="single" w:sz="8" w:color="auto"/>
              <w:bottom w:val="single" w:sz="8" w:color="auto"/>
            </w:tcBorders>
          </w:tcPr>
          <w:p>
            <w:pPr>
              <w:spacing w:after="0"/>
              <w:rPr>
                <w:sz w:val="24"/>
                <w:szCs w:val="24"/>
                <w:color w:val="auto"/>
              </w:rPr>
            </w:pPr>
          </w:p>
        </w:tc>
        <w:tc>
          <w:tcPr>
            <w:tcW w:w="25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(refund), net</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($50)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Interest, net of capitalized interest</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67</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66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2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reclassified from held for investment to held for sale</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2,391</w:t>
            </w:r>
          </w:p>
        </w:tc>
      </w:tr>
      <w:tr>
        <w:trPr>
          <w:trHeight w:val="20"/>
        </w:trPr>
        <w:tc>
          <w:tcPr>
            <w:tcW w:w="76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rPr>
          <w:sz w:val="20"/>
          <w:szCs w:val="20"/>
          <w:color w:val="auto"/>
        </w:rPr>
      </w:pPr>
      <w:r>
        <w:rPr>
          <w:rFonts w:ascii="Arial" w:cs="Arial" w:eastAsia="Arial" w:hAnsi="Arial"/>
          <w:sz w:val="16"/>
          <w:szCs w:val="16"/>
          <w:color w:val="auto"/>
        </w:rPr>
        <w:t>The accompanying Notes to Condensed Consolidated Financial Statements are an integral part of these financial statements.</w:t>
      </w:r>
    </w:p>
    <w:p>
      <w:pPr>
        <w:sectPr>
          <w:pgSz w:w="11900" w:h="16838" w:orient="portrait"/>
          <w:cols w:equalWidth="0" w:num="1">
            <w:col w:w="11420"/>
          </w:cols>
          <w:pgMar w:left="240" w:top="118"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color w:val="auto"/>
        </w:rPr>
        <w:t>6 of 29</w:t>
      </w:r>
    </w:p>
    <w:p>
      <w:pPr>
        <w:sectPr>
          <w:pgSz w:w="11900" w:h="16838" w:orient="portrait"/>
          <w:cols w:equalWidth="0" w:num="1">
            <w:col w:w="9019"/>
          </w:cols>
          <w:pgMar w:left="1440" w:top="368"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balances of Nordstrom, Inc. and its subsidiaries (the “Company”). All intercompany transactions and balances are eliminated in consolidation. The interim Condensed Consolidated Financial Statements have been prepared on a basis consistent in all material respects with the accounting policies described and applied in our 2015 Annual Report on Form 10-K (“Annual Report”), and reflect all adjustments of a normal recurring nature that are, in management’s opinion, necessary for the fair presentation of the results of operations, financial position and cash flows for the periods presented.</w:t>
      </w:r>
    </w:p>
    <w:p>
      <w:pPr>
        <w:spacing w:after="0" w:line="13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July 30, 2016 and August 1, 2015 are unaudited. The Condensed Consolidated Balance Sheet as of January 30, 2016 has been derived from the audited Consolidated Financial Statements included in our 2015 Annual Report. The interim Condensed Consolidated Financial Statements should be read together with the Consolidated Financial Statements and related footnote disclosures contained in our 2015 Annual Report.</w:t>
      </w:r>
    </w:p>
    <w:p>
      <w:pPr>
        <w:spacing w:after="0" w:line="13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like that of other retailers, is subject to seasonal fluctuations. Due to our Anniversary Sale in July and the holidays in the fourth quarter, our sales are typically higher in the second and fourth quarters than in the first and third quarters of the fiscal year. In 2016, the Anniversary Sale event started one week later in July relative to last year, shifting one week of the event into the third quarter. Results for any quarter are not necessarily indicative of the results that may be achieved for a full fiscal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Prior to the second quarter of 2016, customers who used Nordstrom Visa or Nordstrom credit or debit cards were able to participate in the Nordstrom Rewards program. During the second quarter of 2016, the Nordstrom Rewards program was expanded to enable all customers to earn benefits regardless of how they choose to pay. Customers accumulate points based on their level of spending. Upon reaching a certain points threshold, customers receive Nordstrom Notes, which can be redeemed for any goods or services offered at Nordstrom full-line stores, Nordstrom.com, Nordstrom Rack and Nordstromrack.com/HauteLook. Customers who use Nordstrom private label credit or debit cards or Nordstrom Visa credit cards receive additional benefits, including reimbursements for alterations, shopping and fashion events and early access to the Anniversary Sale.</w:t>
      </w:r>
    </w:p>
    <w:p>
      <w:pPr>
        <w:spacing w:after="0" w:line="1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estimate the net cost of Nordstrom Notes that will be issued and redeemed and record this cost as rewards points are accumulated. These costs, as well as reimbursed alterations, are recorded in cost of sales as we provide customers with products and services for these rewards. Other benefits of the loyalty program, including shopping and fashion events, are recorded in selling, general and administrative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Reclassifications were made to our fiscal 2015 Condensed Consolidated Statements of Earnings and Condensed Consolidated Statement of Cash Flows to conform with current period presentation.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was subsequently modified in August 2015 by ASU No. 2015-14,</w:t>
      </w:r>
      <w:r>
        <w:rPr>
          <w:rFonts w:ascii="Arial" w:cs="Arial" w:eastAsia="Arial" w:hAnsi="Arial"/>
          <w:sz w:val="18"/>
          <w:szCs w:val="18"/>
          <w:i w:val="1"/>
          <w:iCs w:val="1"/>
          <w:color w:val="auto"/>
        </w:rPr>
        <w:t xml:space="preserve"> Revenue from Contracts with Customers: Deferral of the Effective Date</w:t>
      </w:r>
      <w:r>
        <w:rPr>
          <w:rFonts w:ascii="Arial" w:cs="Arial" w:eastAsia="Arial" w:hAnsi="Arial"/>
          <w:sz w:val="18"/>
          <w:szCs w:val="18"/>
          <w:color w:val="auto"/>
        </w:rPr>
        <w:t>. The core principle of ASU No. 2014-09 is that companies should recognize revenue when the transfer of promised goods or services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occurs in an amount that reflects what the company expects to receive. It requires additional disclosures to describe the nature, amount, timing and uncertainty of revenue and cash flows from contracts with customers. In early 2016, the FASB issued additional ASUs which clarify the implementation guidance on principal versus agent considerations, on identifying performance obligations and licensing and on the revenue recognition criteria. This guidance is effective for us beginning in the first quarter of 2018. We are currently evaluating the impact these provisions will have on our Consolidated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of 29</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This ASU increases transparency and comparability by recognizing a lessee’s rights and obligations resulting from leases by recording them on the balance sheet as lease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This ASU is effective for us beginning with the first quarter of 2019. Though we are currently evaluating the impact of these provisions, we expect it will have a material impact on our Consolidated Financial Statements.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 Improvements to Employee Share-Based Payment Accounting</w:t>
      </w:r>
      <w:r>
        <w:rPr>
          <w:rFonts w:ascii="Arial" w:cs="Arial" w:eastAsia="Arial" w:hAnsi="Arial"/>
          <w:sz w:val="18"/>
          <w:szCs w:val="18"/>
          <w:color w:val="auto"/>
        </w:rPr>
        <w:t>. This ASU impacts several aspects of the accounting for share-based payment transactions, including income tax consequences, classification of awards as either equity or liabilities and classification on the statement of cash flows. This ASU is effective for us beginning with the first quarter of 2017. We are currently evaluating the impact these provisions will have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CREDIT CARD RECEIVABLE TRANSACTION</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October 1, 2015, we completed the sale of a substantial majority of our U.S. Visa and private label credit card portfolio to TD Bank, N.A. (“TD”) and we entered into a long-term program agreement under which TD is the exclusive issuer of our U.S. consumer credit cards.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close of the credit card receivable transaction, we completed the defeasance of our $325 Series 2011-1 Class A Notes in order to provide the credit card receivables to TD free and clear. At close, we received $2.2 billion in cash consideration reflecting the par value of the receivables sold and incurred $32 in transaction-related expenses during the third quarter of 2015. Pursuant to the agreement, we are obligated to offer and administer our loyalty program and perform other account servicing functions. In return, we receive a portion of the ongoing credit card revenue, net of credit losses, from both the sold and newly generated credit card receivables.</w:t>
      </w:r>
    </w:p>
    <w:p>
      <w:pPr>
        <w:spacing w:after="0" w:line="1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recorded certain assets and liabilities associated with the arrangement. The beneficial interest asset is carried at fair value (see Note 5: Fair Value Measurements) and is amortized over approximately four years based primarily on the payment rate of the associated receivables. The deferred revenue and investment in contract asset are recognized/amortized over seven years on a straight line basis, following the delivery of the contract obligations and expected life of the agreement. We record each of these items in credit card revenue, net in our Condensed Consolidated Statements of Earnings.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260" w:type="dxa"/>
            <w:vAlign w:val="bottom"/>
          </w:tcPr>
          <w:p>
            <w:pPr>
              <w:jc w:val="right"/>
              <w:ind w:right="359"/>
              <w:spacing w:after="0"/>
              <w:rPr>
                <w:sz w:val="20"/>
                <w:szCs w:val="20"/>
                <w:color w:val="auto"/>
              </w:rPr>
            </w:pPr>
            <w:r>
              <w:rPr>
                <w:rFonts w:ascii="Arial" w:cs="Arial" w:eastAsia="Arial" w:hAnsi="Arial"/>
                <w:sz w:val="16"/>
                <w:szCs w:val="16"/>
                <w:b w:val="1"/>
                <w:bCs w:val="1"/>
                <w:color w:val="auto"/>
              </w:rPr>
              <w:t>July 30, 2016</w:t>
            </w:r>
          </w:p>
        </w:tc>
        <w:tc>
          <w:tcPr>
            <w:tcW w:w="2080" w:type="dxa"/>
            <w:vAlign w:val="bottom"/>
          </w:tcPr>
          <w:p>
            <w:pPr>
              <w:jc w:val="right"/>
              <w:ind w:right="439"/>
              <w:spacing w:after="0"/>
              <w:rPr>
                <w:sz w:val="20"/>
                <w:szCs w:val="20"/>
                <w:color w:val="auto"/>
              </w:rPr>
            </w:pPr>
            <w:r>
              <w:rPr>
                <w:rFonts w:ascii="Arial" w:cs="Arial" w:eastAsia="Arial" w:hAnsi="Arial"/>
                <w:sz w:val="16"/>
                <w:szCs w:val="16"/>
                <w:b w:val="1"/>
                <w:bCs w:val="1"/>
                <w:color w:val="auto"/>
              </w:rPr>
              <w:t>January 30, 2016</w:t>
            </w:r>
          </w:p>
        </w:tc>
        <w:tc>
          <w:tcPr>
            <w:tcW w:w="17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1, 2015</w:t>
            </w:r>
          </w:p>
        </w:tc>
      </w:tr>
      <w:tr>
        <w:trPr>
          <w:trHeight w:val="33"/>
        </w:trPr>
        <w:tc>
          <w:tcPr>
            <w:tcW w:w="43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receivables and other, net</w:t>
            </w:r>
          </w:p>
        </w:tc>
        <w:tc>
          <w:tcPr>
            <w:tcW w:w="32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$264</w:t>
            </w:r>
          </w:p>
        </w:tc>
        <w:tc>
          <w:tcPr>
            <w:tcW w:w="20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$197</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$242</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Allowance for credit losses</w:t>
            </w:r>
          </w:p>
        </w:tc>
        <w:tc>
          <w:tcPr>
            <w:tcW w:w="3260" w:type="dxa"/>
            <w:vAlign w:val="bottom"/>
          </w:tcPr>
          <w:p>
            <w:pPr>
              <w:jc w:val="right"/>
              <w:ind w:right="299"/>
              <w:spacing w:after="0"/>
              <w:rPr>
                <w:sz w:val="20"/>
                <w:szCs w:val="20"/>
                <w:color w:val="auto"/>
              </w:rPr>
            </w:pPr>
            <w:r>
              <w:rPr>
                <w:rFonts w:ascii="Arial" w:cs="Arial" w:eastAsia="Arial" w:hAnsi="Arial"/>
                <w:sz w:val="16"/>
                <w:szCs w:val="16"/>
                <w:b w:val="1"/>
                <w:bCs w:val="1"/>
                <w:color w:val="auto"/>
              </w:rPr>
              <w:t>(1)</w:t>
            </w:r>
          </w:p>
        </w:tc>
        <w:tc>
          <w:tcPr>
            <w:tcW w:w="208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(1)</w:t>
            </w:r>
          </w:p>
        </w:tc>
      </w:tr>
      <w:tr>
        <w:trPr>
          <w:trHeight w:val="33"/>
        </w:trPr>
        <w:tc>
          <w:tcPr>
            <w:tcW w:w="43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Accounts receivable, net</w:t>
            </w:r>
          </w:p>
        </w:tc>
        <w:tc>
          <w:tcPr>
            <w:tcW w:w="32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$263</w:t>
            </w:r>
          </w:p>
        </w:tc>
        <w:tc>
          <w:tcPr>
            <w:tcW w:w="20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$196</w:t>
            </w:r>
          </w:p>
        </w:tc>
        <w:tc>
          <w:tcPr>
            <w:tcW w:w="1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$241</w:t>
            </w:r>
          </w:p>
        </w:tc>
      </w:tr>
      <w:tr>
        <w:trPr>
          <w:trHeight w:val="291"/>
        </w:trPr>
        <w:tc>
          <w:tcPr>
            <w:tcW w:w="436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3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Accounts receivable held for sale</w:t>
            </w:r>
          </w:p>
        </w:tc>
        <w:tc>
          <w:tcPr>
            <w:tcW w:w="32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$2,391</w:t>
            </w:r>
          </w:p>
        </w:tc>
      </w:tr>
      <w:tr>
        <w:trPr>
          <w:trHeight w:val="33"/>
        </w:trPr>
        <w:tc>
          <w:tcPr>
            <w:tcW w:w="436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Credit card receivables and other, net primarily consist of employee credit card receivables and receivables from non-Nordstrom-branded cards.</w:t>
      </w:r>
    </w:p>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our May 2015 purchase and sale agreement with TD, the accounts receivable discussed in Note 2: Credit Card Receivable Transaction, were recorded at the lower of cost (par) or fair value and reclassified as “held for sale.” This resulted in the recognition of a $64 benefit in the second quarter of 2015, due to the reversal of the allowance for credit losses. We subsequently sold the receivables to TD on October 1, 2015. There have been no material changes to the delinquency status or net credit losses of the receivables sold.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of 29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64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30, 2016</w:t>
            </w:r>
          </w:p>
        </w:tc>
        <w:tc>
          <w:tcPr>
            <w:tcW w:w="2000" w:type="dxa"/>
            <w:vAlign w:val="bottom"/>
          </w:tcPr>
          <w:p>
            <w:pPr>
              <w:jc w:val="right"/>
              <w:ind w:right="379"/>
              <w:spacing w:after="0"/>
              <w:rPr>
                <w:sz w:val="20"/>
                <w:szCs w:val="20"/>
                <w:color w:val="auto"/>
              </w:rPr>
            </w:pPr>
            <w:r>
              <w:rPr>
                <w:rFonts w:ascii="Arial" w:cs="Arial" w:eastAsia="Arial" w:hAnsi="Arial"/>
                <w:sz w:val="16"/>
                <w:szCs w:val="16"/>
                <w:b w:val="1"/>
                <w:bCs w:val="1"/>
                <w:color w:val="auto"/>
              </w:rPr>
              <w:t>January 30, 2016</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1, 2015</w:t>
            </w:r>
          </w:p>
        </w:tc>
      </w:tr>
      <w:tr>
        <w:trPr>
          <w:trHeight w:val="33"/>
        </w:trPr>
        <w:tc>
          <w:tcPr>
            <w:tcW w:w="5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26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Series 2011-1 Class A Notes, 2.28%, due October 2016</w:t>
            </w:r>
          </w:p>
        </w:tc>
        <w:tc>
          <w:tcPr>
            <w:tcW w:w="26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33"/>
        </w:trPr>
        <w:tc>
          <w:tcPr>
            <w:tcW w:w="5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 payable, 7.68%, due April 2020</w:t>
            </w:r>
          </w:p>
        </w:tc>
        <w:tc>
          <w:tcPr>
            <w:tcW w:w="2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30</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Other</w:t>
            </w:r>
          </w:p>
        </w:tc>
        <w:tc>
          <w:tcPr>
            <w:tcW w:w="2640" w:type="dxa"/>
            <w:vAlign w:val="bottom"/>
          </w:tcPr>
          <w:p>
            <w:pPr>
              <w:jc w:val="right"/>
              <w:ind w:right="339"/>
              <w:spacing w:after="0"/>
              <w:rPr>
                <w:sz w:val="20"/>
                <w:szCs w:val="20"/>
                <w:color w:val="auto"/>
              </w:rPr>
            </w:pPr>
            <w:r>
              <w:rPr>
                <w:rFonts w:ascii="Arial" w:cs="Arial" w:eastAsia="Arial" w:hAnsi="Arial"/>
                <w:sz w:val="16"/>
                <w:szCs w:val="16"/>
                <w:b w:val="1"/>
                <w:bCs w:val="1"/>
                <w:color w:val="auto"/>
              </w:rPr>
              <w:t>4</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5</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5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secured debt</w:t>
            </w:r>
          </w:p>
        </w:tc>
        <w:tc>
          <w:tcPr>
            <w:tcW w:w="2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31</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35</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r>
      <w:tr>
        <w:trPr>
          <w:trHeight w:val="291"/>
        </w:trPr>
        <w:tc>
          <w:tcPr>
            <w:tcW w:w="52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Unsecured</w:t>
            </w:r>
          </w:p>
        </w:tc>
        <w:tc>
          <w:tcPr>
            <w:tcW w:w="26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Net of unamortized discount:</w:t>
            </w:r>
          </w:p>
        </w:tc>
        <w:tc>
          <w:tcPr>
            <w:tcW w:w="2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6.25%, due January 2018</w:t>
            </w:r>
          </w:p>
        </w:tc>
        <w:tc>
          <w:tcPr>
            <w:tcW w:w="2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649</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649</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r>
      <w:tr>
        <w:trPr>
          <w:trHeight w:val="237"/>
        </w:trPr>
        <w:tc>
          <w:tcPr>
            <w:tcW w:w="5220" w:type="dxa"/>
            <w:vAlign w:val="bottom"/>
          </w:tcPr>
          <w:p>
            <w:pPr>
              <w:ind w:left="500"/>
              <w:spacing w:after="0"/>
              <w:rPr>
                <w:sz w:val="20"/>
                <w:szCs w:val="20"/>
                <w:color w:val="auto"/>
              </w:rPr>
            </w:pPr>
            <w:r>
              <w:rPr>
                <w:rFonts w:ascii="Arial" w:cs="Arial" w:eastAsia="Arial" w:hAnsi="Arial"/>
                <w:sz w:val="16"/>
                <w:szCs w:val="16"/>
                <w:color w:val="auto"/>
              </w:rPr>
              <w:t>Senior notes, 4.75%, due May 2020</w:t>
            </w:r>
          </w:p>
        </w:tc>
        <w:tc>
          <w:tcPr>
            <w:tcW w:w="2640" w:type="dxa"/>
            <w:vAlign w:val="bottom"/>
          </w:tcPr>
          <w:p>
            <w:pPr>
              <w:jc w:val="right"/>
              <w:ind w:right="339"/>
              <w:spacing w:after="0"/>
              <w:rPr>
                <w:sz w:val="20"/>
                <w:szCs w:val="20"/>
                <w:color w:val="auto"/>
              </w:rPr>
            </w:pPr>
            <w:r>
              <w:rPr>
                <w:rFonts w:ascii="Arial" w:cs="Arial" w:eastAsia="Arial" w:hAnsi="Arial"/>
                <w:sz w:val="16"/>
                <w:szCs w:val="16"/>
                <w:b w:val="1"/>
                <w:bCs w:val="1"/>
                <w:color w:val="auto"/>
              </w:rPr>
              <w:t>499</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499</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33"/>
        </w:trPr>
        <w:tc>
          <w:tcPr>
            <w:tcW w:w="5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4.00%, due October 2021</w:t>
            </w:r>
          </w:p>
        </w:tc>
        <w:tc>
          <w:tcPr>
            <w:tcW w:w="2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500</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r>
      <w:tr>
        <w:trPr>
          <w:trHeight w:val="237"/>
        </w:trPr>
        <w:tc>
          <w:tcPr>
            <w:tcW w:w="5220" w:type="dxa"/>
            <w:vAlign w:val="bottom"/>
          </w:tcPr>
          <w:p>
            <w:pPr>
              <w:ind w:left="500"/>
              <w:spacing w:after="0"/>
              <w:rPr>
                <w:sz w:val="20"/>
                <w:szCs w:val="20"/>
                <w:color w:val="auto"/>
              </w:rPr>
            </w:pPr>
            <w:r>
              <w:rPr>
                <w:rFonts w:ascii="Arial" w:cs="Arial" w:eastAsia="Arial" w:hAnsi="Arial"/>
                <w:sz w:val="16"/>
                <w:szCs w:val="16"/>
                <w:color w:val="auto"/>
              </w:rPr>
              <w:t>Senior debentures, 6.95%, due March 2028</w:t>
            </w:r>
          </w:p>
        </w:tc>
        <w:tc>
          <w:tcPr>
            <w:tcW w:w="2640" w:type="dxa"/>
            <w:vAlign w:val="bottom"/>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300</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5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7.00%, due January 2038</w:t>
            </w:r>
          </w:p>
        </w:tc>
        <w:tc>
          <w:tcPr>
            <w:tcW w:w="2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146</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146</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37"/>
        </w:trPr>
        <w:tc>
          <w:tcPr>
            <w:tcW w:w="5220" w:type="dxa"/>
            <w:vAlign w:val="bottom"/>
          </w:tcPr>
          <w:p>
            <w:pPr>
              <w:ind w:left="500"/>
              <w:spacing w:after="0"/>
              <w:rPr>
                <w:sz w:val="20"/>
                <w:szCs w:val="20"/>
                <w:color w:val="auto"/>
              </w:rPr>
            </w:pPr>
            <w:r>
              <w:rPr>
                <w:rFonts w:ascii="Arial" w:cs="Arial" w:eastAsia="Arial" w:hAnsi="Arial"/>
                <w:sz w:val="16"/>
                <w:szCs w:val="16"/>
                <w:color w:val="auto"/>
              </w:rPr>
              <w:t>Senior notes, 5.00%, due January 2044</w:t>
            </w:r>
          </w:p>
        </w:tc>
        <w:tc>
          <w:tcPr>
            <w:tcW w:w="2640" w:type="dxa"/>
            <w:vAlign w:val="bottom"/>
          </w:tcPr>
          <w:p>
            <w:pPr>
              <w:jc w:val="right"/>
              <w:ind w:right="339"/>
              <w:spacing w:after="0"/>
              <w:rPr>
                <w:sz w:val="20"/>
                <w:szCs w:val="20"/>
                <w:color w:val="auto"/>
              </w:rPr>
            </w:pPr>
            <w:r>
              <w:rPr>
                <w:rFonts w:ascii="Arial" w:cs="Arial" w:eastAsia="Arial" w:hAnsi="Arial"/>
                <w:sz w:val="16"/>
                <w:szCs w:val="16"/>
                <w:b w:val="1"/>
                <w:bCs w:val="1"/>
                <w:color w:val="auto"/>
              </w:rPr>
              <w:t>601</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600</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599</w:t>
            </w:r>
          </w:p>
        </w:tc>
      </w:tr>
      <w:tr>
        <w:trPr>
          <w:trHeight w:val="33"/>
        </w:trPr>
        <w:tc>
          <w:tcPr>
            <w:tcW w:w="5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56</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76</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31"/>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unsecured debt</w:t>
            </w:r>
          </w:p>
        </w:tc>
        <w:tc>
          <w:tcPr>
            <w:tcW w:w="26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2,751</w:t>
            </w:r>
          </w:p>
        </w:tc>
        <w:tc>
          <w:tcPr>
            <w:tcW w:w="20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2,770</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2,774</w:t>
            </w:r>
          </w:p>
        </w:tc>
      </w:tr>
      <w:tr>
        <w:trPr>
          <w:trHeight w:val="33"/>
        </w:trPr>
        <w:tc>
          <w:tcPr>
            <w:tcW w:w="5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91"/>
        </w:trPr>
        <w:tc>
          <w:tcPr>
            <w:tcW w:w="52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2640" w:type="dxa"/>
            <w:vAlign w:val="bottom"/>
          </w:tcPr>
          <w:p>
            <w:pPr>
              <w:jc w:val="right"/>
              <w:ind w:right="339"/>
              <w:spacing w:after="0"/>
              <w:rPr>
                <w:sz w:val="20"/>
                <w:szCs w:val="20"/>
                <w:color w:val="auto"/>
              </w:rPr>
            </w:pPr>
            <w:r>
              <w:rPr>
                <w:rFonts w:ascii="Arial" w:cs="Arial" w:eastAsia="Arial" w:hAnsi="Arial"/>
                <w:sz w:val="16"/>
                <w:szCs w:val="16"/>
                <w:b w:val="1"/>
                <w:bCs w:val="1"/>
                <w:color w:val="auto"/>
              </w:rPr>
              <w:t>2,782</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2,805</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3,141</w:t>
            </w:r>
          </w:p>
        </w:tc>
      </w:tr>
      <w:tr>
        <w:trPr>
          <w:trHeight w:val="33"/>
        </w:trPr>
        <w:tc>
          <w:tcPr>
            <w:tcW w:w="5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6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(10)</w:t>
            </w:r>
          </w:p>
        </w:tc>
        <w:tc>
          <w:tcPr>
            <w:tcW w:w="2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31"/>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26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$2,772</w:t>
            </w:r>
          </w:p>
        </w:tc>
        <w:tc>
          <w:tcPr>
            <w:tcW w:w="20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$2,795</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$2,808</w:t>
            </w:r>
          </w:p>
        </w:tc>
      </w:tr>
      <w:tr>
        <w:trPr>
          <w:trHeight w:val="33"/>
        </w:trPr>
        <w:tc>
          <w:tcPr>
            <w:tcW w:w="5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third quarter of 2015, as a condition of closing the credit card receivable transaction (see Note 2: Credit Card Receivable Transaction), we defeased $325 in secured Series 2011-1 Class A Notes in order to provide the receivables to TD free and clear.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July 30, 2016, we had total short-term borrowing capacity of $800 under our senior unsecured revolving credit facility (“revolver”) that expires in April 2020, with an option to extend for an additional year.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As of July 30, 2016, we had no issuances outstanding under our commercial paper program and no borrowings outstanding under our revolver.</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less than four times. As of July 30, 2016, we were in compliance with this covenant.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recorded a beneficial interest asset when we completed the sale of a substantial majority of our U.S. Visa and private label credit card portfolio (see Note</w:t>
      </w:r>
    </w:p>
    <w:p>
      <w:pPr>
        <w:spacing w:after="0" w:line="32" w:lineRule="exact"/>
        <w:rPr>
          <w:sz w:val="20"/>
          <w:szCs w:val="20"/>
          <w:color w:val="auto"/>
        </w:rPr>
      </w:pPr>
    </w:p>
    <w:p>
      <w:pPr>
        <w:ind w:right="180" w:firstLine="8"/>
        <w:spacing w:after="0" w:line="295" w:lineRule="auto"/>
        <w:tabs>
          <w:tab w:leader="none" w:pos="185"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Credit Card Receivable Transaction). We determined the fair value of the beneficial interest asset based on a discounted cash flow model using Level 3 inputs of the fair value hierarchy. Inputs and assumptions include the discount rate, payment rate, credit loss rate and revenues and expenses associated with the program agreement. Given our review of market participant capital structures in the banking and credit card industries and our historical and expected portfolio performance, we used the following ranges of input assumptions to determine the fair value as of July 30, 2016: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880" w:type="dxa"/>
            <w:vAlign w:val="bottom"/>
          </w:tcPr>
          <w:p>
            <w:pPr>
              <w:jc w:val="right"/>
              <w:ind w:right="619"/>
              <w:spacing w:after="0"/>
              <w:rPr>
                <w:sz w:val="20"/>
                <w:szCs w:val="20"/>
                <w:color w:val="auto"/>
              </w:rPr>
            </w:pPr>
            <w:r>
              <w:rPr>
                <w:rFonts w:ascii="Arial" w:cs="Arial" w:eastAsia="Arial" w:hAnsi="Arial"/>
                <w:sz w:val="16"/>
                <w:szCs w:val="16"/>
                <w:b w:val="1"/>
                <w:bCs w:val="1"/>
                <w:color w:val="auto"/>
              </w:rPr>
              <w:t>Minimum</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Maximum</w:t>
            </w:r>
          </w:p>
        </w:tc>
      </w:tr>
      <w:tr>
        <w:trPr>
          <w:trHeight w:val="33"/>
        </w:trPr>
        <w:tc>
          <w:tcPr>
            <w:tcW w:w="61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Monthly payment rate</w:t>
            </w:r>
          </w:p>
        </w:tc>
        <w:tc>
          <w:tcPr>
            <w:tcW w:w="3880" w:type="dxa"/>
            <w:vAlign w:val="bottom"/>
          </w:tcPr>
          <w:p>
            <w:pPr>
              <w:jc w:val="right"/>
              <w:ind w:right="479"/>
              <w:spacing w:after="0"/>
              <w:rPr>
                <w:sz w:val="20"/>
                <w:szCs w:val="20"/>
                <w:color w:val="auto"/>
              </w:rPr>
            </w:pPr>
            <w:r>
              <w:rPr>
                <w:rFonts w:ascii="Arial" w:cs="Arial" w:eastAsia="Arial" w:hAnsi="Arial"/>
                <w:sz w:val="16"/>
                <w:szCs w:val="16"/>
                <w:color w:val="auto"/>
              </w:rPr>
              <w:t>6%</w:t>
            </w:r>
          </w:p>
        </w:tc>
        <w:tc>
          <w:tcPr>
            <w:tcW w:w="14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credit loss rate</w:t>
            </w:r>
          </w:p>
        </w:tc>
        <w:tc>
          <w:tcPr>
            <w:tcW w:w="38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Annual revenues as a percent to credit card receivables</w:t>
            </w:r>
          </w:p>
        </w:tc>
        <w:tc>
          <w:tcPr>
            <w:tcW w:w="3880" w:type="dxa"/>
            <w:vAlign w:val="bottom"/>
          </w:tcPr>
          <w:p>
            <w:pPr>
              <w:jc w:val="right"/>
              <w:ind w:right="479"/>
              <w:spacing w:after="0"/>
              <w:rPr>
                <w:sz w:val="20"/>
                <w:szCs w:val="20"/>
                <w:color w:val="auto"/>
              </w:rPr>
            </w:pPr>
            <w:r>
              <w:rPr>
                <w:rFonts w:ascii="Arial" w:cs="Arial" w:eastAsia="Arial" w:hAnsi="Arial"/>
                <w:sz w:val="16"/>
                <w:szCs w:val="16"/>
                <w:color w:val="auto"/>
              </w:rPr>
              <w:t>13%</w:t>
            </w:r>
          </w:p>
        </w:tc>
        <w:tc>
          <w:tcPr>
            <w:tcW w:w="1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6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expenses as a percent to credit card receivables</w:t>
            </w:r>
          </w:p>
        </w:tc>
        <w:tc>
          <w:tcPr>
            <w:tcW w:w="38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610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recognized $7 and $17 of amortization expense for the quarter and six months ended July 30, 2016 on the beneficial interest asset, which had a fair value of $20 and $37 as of July 30, 2016 and January 30, 2016. Amortization primarily reflects payments received on the receivables sold and is recorded in credit card revenues, net.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financial assets or liabilities that were measured at fair value on a recurring basis as of August 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Nonrecurring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any financial assets or liabilities that were measured at fair value on a nonrecurring basis as of July 30, 2016 and January 30, 2016.</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August 1, 2015, our U.S. Visa and private label credit card receivables were “held for sale” and were recorded at the lower of cost (par) or fair value. We estimated the fair value of our credit card receivables “held for sale” based on a discounted cash flow model using estimates and assumptions regarding future credit card portfolio performance. This fair value estimate was primarily based on Level 3 inputs in the fair value hierarchy, including the discount rate, payment rate, credit losses, revenues and expenses. The estimated fair value of our credit card receivables “held for sale” was approximately 3% above par. This premium was solely associated with our credit card receivables “held for sale,” and did not encompass other terms and elements within our agreement with TD.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Financial instruments not measured at fair value on a recurring basis include cash and cash equivalents, accounts receivable, accounts payable and certificates of deposit, which approximate fair value due to their short-term nature, and long-term debt.</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estimate the fair value of our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460" w:type="dxa"/>
            <w:vAlign w:val="bottom"/>
          </w:tcPr>
          <w:p>
            <w:pPr>
              <w:jc w:val="right"/>
              <w:ind w:right="299"/>
              <w:spacing w:after="0"/>
              <w:rPr>
                <w:sz w:val="20"/>
                <w:szCs w:val="20"/>
                <w:color w:val="auto"/>
              </w:rPr>
            </w:pPr>
            <w:r>
              <w:rPr>
                <w:rFonts w:ascii="Arial" w:cs="Arial" w:eastAsia="Arial" w:hAnsi="Arial"/>
                <w:sz w:val="16"/>
                <w:szCs w:val="16"/>
                <w:b w:val="1"/>
                <w:bCs w:val="1"/>
                <w:color w:val="auto"/>
              </w:rPr>
              <w:t>July 30, 2016</w:t>
            </w:r>
          </w:p>
        </w:tc>
        <w:tc>
          <w:tcPr>
            <w:tcW w:w="202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30, 2016</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1, 2015</w:t>
            </w:r>
          </w:p>
        </w:tc>
      </w:tr>
      <w:tr>
        <w:trPr>
          <w:trHeight w:val="33"/>
        </w:trPr>
        <w:tc>
          <w:tcPr>
            <w:tcW w:w="4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4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$2,782</w:t>
            </w:r>
          </w:p>
        </w:tc>
        <w:tc>
          <w:tcPr>
            <w:tcW w:w="20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$2,805</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$3,141</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460" w:type="dxa"/>
            <w:vAlign w:val="bottom"/>
          </w:tcPr>
          <w:p>
            <w:pPr>
              <w:jc w:val="right"/>
              <w:ind w:right="299"/>
              <w:spacing w:after="0"/>
              <w:rPr>
                <w:sz w:val="20"/>
                <w:szCs w:val="20"/>
                <w:color w:val="auto"/>
              </w:rPr>
            </w:pPr>
            <w:r>
              <w:rPr>
                <w:rFonts w:ascii="Arial" w:cs="Arial" w:eastAsia="Arial" w:hAnsi="Arial"/>
                <w:sz w:val="16"/>
                <w:szCs w:val="16"/>
                <w:b w:val="1"/>
                <w:bCs w:val="1"/>
                <w:color w:val="auto"/>
              </w:rPr>
              <w:t>3,076</w:t>
            </w:r>
          </w:p>
        </w:tc>
        <w:tc>
          <w:tcPr>
            <w:tcW w:w="2020" w:type="dxa"/>
            <w:vAlign w:val="bottom"/>
          </w:tcPr>
          <w:p>
            <w:pPr>
              <w:jc w:val="right"/>
              <w:ind w:right="359"/>
              <w:spacing w:after="0"/>
              <w:rPr>
                <w:sz w:val="20"/>
                <w:szCs w:val="20"/>
                <w:color w:val="auto"/>
              </w:rPr>
            </w:pPr>
            <w:r>
              <w:rPr>
                <w:rFonts w:ascii="Arial" w:cs="Arial" w:eastAsia="Arial" w:hAnsi="Arial"/>
                <w:sz w:val="16"/>
                <w:szCs w:val="16"/>
                <w:color w:val="auto"/>
              </w:rPr>
              <w:t>3,077</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3,526</w:t>
            </w:r>
          </w:p>
        </w:tc>
      </w:tr>
      <w:tr>
        <w:trPr>
          <w:trHeight w:val="33"/>
        </w:trPr>
        <w:tc>
          <w:tcPr>
            <w:tcW w:w="4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investment in contract asset and long-lived tangible and intangible assets, in connection with periodic evaluations for potential impairment. There were no material impairment charges for these assets for the six months ended July 30, 2016 and August 1, 2015. We estimate the fair value of these assets using primarily unobservable inputs and, as such, these are considered Level 3 fair value measurements.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Plans for our Manhattan full-line store, which we currently expect to open in 2019, ultimately include owning a condominium interest in a mixed-use tower and leasing certain nearby properties. As of July 30, 2016, we had approximately $201 of fee interest in land, which is expected to convert to a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October 1, 2015, our Board of Directors authorized a program to repurchase up to $1,000 of our outstanding common stock through March 1, 2017. During the six months ended July 30, 2016, we repurchased 1.3 shares of our common stock for an aggregate purchase price of $60 and had $751 remaining in share repurchase capacity as of July 30, 2016. The actual number, price, manner and timing of future share repurchases, if any, will be subject to market and economic conditions and applicable Securities and Exchange Commission (“SEC”) rules.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August 2016, subsequent to quarter end, we declared a quarterly dividend of $0.37 per share, which will be paid on September 13,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1, 2015</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$19</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9</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stock compensation</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8</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1"/>
              </w:rPr>
              <w:t>Total stock-based compensation expense, before income</w:t>
            </w:r>
          </w:p>
        </w:tc>
        <w:tc>
          <w:tcPr>
            <w:tcW w:w="2560" w:type="dxa"/>
            <w:vAlign w:val="bottom"/>
            <w:tcBorders>
              <w:top w:val="single" w:sz="8" w:color="auto"/>
            </w:tcBorders>
            <w:vMerge w:val="restart"/>
          </w:tcPr>
          <w:p>
            <w:pPr>
              <w:jc w:val="right"/>
              <w:ind w:right="759"/>
              <w:spacing w:after="0"/>
              <w:rPr>
                <w:sz w:val="20"/>
                <w:szCs w:val="20"/>
                <w:color w:val="auto"/>
              </w:rPr>
            </w:pPr>
            <w:r>
              <w:rPr>
                <w:rFonts w:ascii="Arial" w:cs="Arial" w:eastAsia="Arial" w:hAnsi="Arial"/>
                <w:sz w:val="16"/>
                <w:szCs w:val="16"/>
                <w:b w:val="1"/>
                <w:bCs w:val="1"/>
                <w:color w:val="auto"/>
              </w:rPr>
              <w:t>27</w:t>
            </w: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vMerge w:val="restart"/>
          </w:tcPr>
          <w:p>
            <w:pPr>
              <w:jc w:val="right"/>
              <w:ind w:right="759"/>
              <w:spacing w:after="0"/>
              <w:rPr>
                <w:sz w:val="20"/>
                <w:szCs w:val="20"/>
                <w:color w:val="auto"/>
              </w:rPr>
            </w:pPr>
            <w:r>
              <w:rPr>
                <w:rFonts w:ascii="Arial" w:cs="Arial" w:eastAsia="Arial" w:hAnsi="Arial"/>
                <w:sz w:val="16"/>
                <w:szCs w:val="16"/>
                <w:b w:val="1"/>
                <w:bCs w:val="1"/>
                <w:color w:val="auto"/>
              </w:rPr>
              <w:t>47</w:t>
            </w: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80"/>
              <w:spacing w:after="0"/>
              <w:rPr>
                <w:sz w:val="20"/>
                <w:szCs w:val="20"/>
                <w:color w:val="auto"/>
              </w:rPr>
            </w:pPr>
            <w:r>
              <w:rPr>
                <w:rFonts w:ascii="Arial" w:cs="Arial" w:eastAsia="Arial" w:hAnsi="Arial"/>
                <w:sz w:val="16"/>
                <w:szCs w:val="16"/>
                <w:color w:val="auto"/>
              </w:rPr>
              <w:t>tax benefit</w:t>
            </w:r>
          </w:p>
        </w:tc>
        <w:tc>
          <w:tcPr>
            <w:tcW w:w="2560" w:type="dxa"/>
            <w:vAlign w:val="bottom"/>
            <w:vMerge w:val="continue"/>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 net of</w:t>
            </w:r>
          </w:p>
        </w:tc>
        <w:tc>
          <w:tcPr>
            <w:tcW w:w="25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80"/>
              <w:spacing w:after="0"/>
              <w:rPr>
                <w:sz w:val="20"/>
                <w:szCs w:val="20"/>
                <w:color w:val="auto"/>
              </w:rPr>
            </w:pPr>
            <w:r>
              <w:rPr>
                <w:rFonts w:ascii="Arial" w:cs="Arial" w:eastAsia="Arial" w:hAnsi="Arial"/>
                <w:sz w:val="16"/>
                <w:szCs w:val="16"/>
                <w:b w:val="1"/>
                <w:bCs w:val="1"/>
                <w:color w:val="auto"/>
              </w:rPr>
              <w:t>income tax benefit</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$18</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$32</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60" w:type="dxa"/>
            <w:vAlign w:val="bottom"/>
            <w:gridSpan w:val="3"/>
          </w:tcPr>
          <w:p>
            <w:pPr>
              <w:ind w:left="1200"/>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740" w:type="dxa"/>
            <w:vAlign w:val="bottom"/>
            <w:tcBorders>
              <w:bottom w:val="single" w:sz="8" w:color="auto"/>
            </w:tcBorders>
            <w:gridSpan w:val="4"/>
          </w:tcPr>
          <w:p>
            <w:pPr>
              <w:spacing w:after="0"/>
              <w:rPr>
                <w:sz w:val="2"/>
                <w:szCs w:val="2"/>
                <w:color w:val="auto"/>
              </w:rPr>
            </w:pPr>
          </w:p>
        </w:tc>
        <w:tc>
          <w:tcPr>
            <w:tcW w:w="290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4740" w:type="dxa"/>
            <w:vAlign w:val="bottom"/>
            <w:gridSpan w:val="4"/>
          </w:tcPr>
          <w:p>
            <w:pPr>
              <w:ind w:left="1440"/>
              <w:spacing w:after="0"/>
              <w:rPr>
                <w:sz w:val="20"/>
                <w:szCs w:val="20"/>
                <w:color w:val="auto"/>
              </w:rPr>
            </w:pPr>
            <w:r>
              <w:rPr>
                <w:rFonts w:ascii="Arial" w:cs="Arial" w:eastAsia="Arial" w:hAnsi="Arial"/>
                <w:sz w:val="16"/>
                <w:szCs w:val="16"/>
                <w:b w:val="1"/>
                <w:bCs w:val="1"/>
                <w:color w:val="auto"/>
              </w:rPr>
              <w:t>July 30, 2016</w:t>
            </w:r>
          </w:p>
        </w:tc>
        <w:tc>
          <w:tcPr>
            <w:tcW w:w="290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August 1, 2015</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60" w:type="dxa"/>
            <w:vAlign w:val="bottom"/>
            <w:gridSpan w:val="3"/>
          </w:tcPr>
          <w:p>
            <w:pPr>
              <w:jc w:val="right"/>
              <w:ind w:right="1060"/>
              <w:spacing w:after="0"/>
              <w:rPr>
                <w:sz w:val="20"/>
                <w:szCs w:val="20"/>
                <w:color w:val="auto"/>
              </w:rPr>
            </w:pPr>
            <w:r>
              <w:rPr>
                <w:rFonts w:ascii="Arial" w:cs="Arial" w:eastAsia="Arial" w:hAnsi="Arial"/>
                <w:sz w:val="16"/>
                <w:szCs w:val="16"/>
                <w:b w:val="1"/>
                <w:bCs w:val="1"/>
                <w:color w:val="auto"/>
              </w:rPr>
              <w:t>Weighted-average</w:t>
            </w:r>
          </w:p>
        </w:tc>
        <w:tc>
          <w:tcPr>
            <w:tcW w:w="112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760" w:type="dxa"/>
            <w:vAlign w:val="bottom"/>
            <w:gridSpan w:val="3"/>
          </w:tcPr>
          <w:p>
            <w:pPr>
              <w:jc w:val="right"/>
              <w:ind w:right="1060"/>
              <w:spacing w:after="0"/>
              <w:rPr>
                <w:sz w:val="20"/>
                <w:szCs w:val="20"/>
                <w:color w:val="auto"/>
              </w:rPr>
            </w:pPr>
            <w:r>
              <w:rPr>
                <w:rFonts w:ascii="Arial" w:cs="Arial" w:eastAsia="Arial" w:hAnsi="Arial"/>
                <w:sz w:val="16"/>
                <w:szCs w:val="16"/>
                <w:b w:val="1"/>
                <w:bCs w:val="1"/>
                <w:color w:val="auto"/>
              </w:rPr>
              <w:t>grant-date fair value</w:t>
            </w:r>
          </w:p>
        </w:tc>
        <w:tc>
          <w:tcPr>
            <w:tcW w:w="112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2760" w:type="dxa"/>
            <w:vAlign w:val="bottom"/>
            <w:gridSpan w:val="3"/>
          </w:tcPr>
          <w:p>
            <w:pPr>
              <w:jc w:val="right"/>
              <w:ind w:right="1060"/>
              <w:spacing w:after="0"/>
              <w:rPr>
                <w:sz w:val="20"/>
                <w:szCs w:val="20"/>
                <w:color w:val="auto"/>
              </w:rPr>
            </w:pPr>
            <w:r>
              <w:rPr>
                <w:rFonts w:ascii="Arial" w:cs="Arial" w:eastAsia="Arial" w:hAnsi="Arial"/>
                <w:sz w:val="16"/>
                <w:szCs w:val="16"/>
                <w:b w:val="1"/>
                <w:bCs w:val="1"/>
                <w:color w:val="auto"/>
              </w:rPr>
              <w:t>per unit</w:t>
            </w: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2.9</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1.6</w:t>
            </w: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$43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0.4</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$78</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8"/>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8"/>
              <w:spacing w:after="0"/>
              <w:rPr>
                <w:sz w:val="20"/>
                <w:szCs w:val="20"/>
                <w:color w:val="auto"/>
              </w:rPr>
            </w:pPr>
            <w:r>
              <w:rPr>
                <w:rFonts w:ascii="Arial" w:cs="Arial" w:eastAsia="Arial" w:hAnsi="Arial"/>
                <w:sz w:val="16"/>
                <w:szCs w:val="16"/>
                <w:b w:val="1"/>
                <w:bCs w:val="1"/>
                <w:color w:val="auto"/>
              </w:rPr>
              <w:t>July 30, 2016</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1, 2015</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5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6"/>
                <w:szCs w:val="16"/>
                <w:b w:val="1"/>
                <w:bCs w:val="1"/>
                <w:color w:val="auto"/>
              </w:rPr>
              <w:t>$117</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$163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r>
      <w:tr>
        <w:trPr>
          <w:trHeight w:val="291"/>
        </w:trPr>
        <w:tc>
          <w:tcPr>
            <w:tcW w:w="378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5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6"/>
                <w:szCs w:val="16"/>
                <w:b w:val="1"/>
                <w:bCs w:val="1"/>
                <w:color w:val="auto"/>
              </w:rPr>
              <w:t>173.5</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173.3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Dilutive effect of stock options and other</w:t>
            </w:r>
          </w:p>
        </w:tc>
        <w:tc>
          <w:tcPr>
            <w:tcW w:w="2560" w:type="dxa"/>
            <w:vAlign w:val="bottom"/>
          </w:tcPr>
          <w:p>
            <w:pPr>
              <w:jc w:val="right"/>
              <w:ind w:right="758"/>
              <w:spacing w:after="0"/>
              <w:rPr>
                <w:sz w:val="20"/>
                <w:szCs w:val="20"/>
                <w:color w:val="auto"/>
              </w:rPr>
            </w:pPr>
            <w:r>
              <w:rPr>
                <w:rFonts w:ascii="Arial" w:cs="Arial" w:eastAsia="Arial" w:hAnsi="Arial"/>
                <w:sz w:val="16"/>
                <w:szCs w:val="16"/>
                <w:b w:val="1"/>
                <w:bCs w:val="1"/>
                <w:color w:val="auto"/>
              </w:rPr>
              <w:t>1.3</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5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6"/>
                <w:szCs w:val="16"/>
                <w:b w:val="1"/>
                <w:bCs w:val="1"/>
                <w:color w:val="auto"/>
              </w:rPr>
              <w:t>174.8</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w:t>
            </w:r>
          </w:p>
        </w:tc>
        <w:tc>
          <w:tcPr>
            <w:tcW w:w="12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175.2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194.2</w:t>
            </w:r>
          </w:p>
        </w:tc>
      </w:tr>
      <w:tr>
        <w:trPr>
          <w:trHeight w:val="291"/>
        </w:trPr>
        <w:tc>
          <w:tcPr>
            <w:tcW w:w="378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25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6"/>
                <w:szCs w:val="16"/>
                <w:b w:val="1"/>
                <w:bCs w:val="1"/>
                <w:color w:val="auto"/>
              </w:rPr>
              <w:t>$0.67</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$0.94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2560" w:type="dxa"/>
            <w:vAlign w:val="bottom"/>
          </w:tcPr>
          <w:p>
            <w:pPr>
              <w:jc w:val="right"/>
              <w:ind w:right="758"/>
              <w:spacing w:after="0"/>
              <w:rPr>
                <w:sz w:val="20"/>
                <w:szCs w:val="20"/>
                <w:color w:val="auto"/>
              </w:rPr>
            </w:pPr>
            <w:r>
              <w:rPr>
                <w:rFonts w:ascii="Arial" w:cs="Arial" w:eastAsia="Arial" w:hAnsi="Arial"/>
                <w:sz w:val="16"/>
                <w:szCs w:val="16"/>
                <w:b w:val="1"/>
                <w:bCs w:val="1"/>
                <w:color w:val="auto"/>
              </w:rPr>
              <w:t>$0.67</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$0.93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Anti-dilutive stock options and other</w:t>
            </w:r>
          </w:p>
        </w:tc>
        <w:tc>
          <w:tcPr>
            <w:tcW w:w="2560" w:type="dxa"/>
            <w:vAlign w:val="bottom"/>
          </w:tcPr>
          <w:p>
            <w:pPr>
              <w:jc w:val="right"/>
              <w:ind w:right="758"/>
              <w:spacing w:after="0"/>
              <w:rPr>
                <w:sz w:val="20"/>
                <w:szCs w:val="20"/>
                <w:color w:val="auto"/>
              </w:rPr>
            </w:pPr>
            <w:r>
              <w:rPr>
                <w:rFonts w:ascii="Arial" w:cs="Arial" w:eastAsia="Arial" w:hAnsi="Arial"/>
                <w:sz w:val="16"/>
                <w:szCs w:val="16"/>
                <w:b w:val="1"/>
                <w:bCs w:val="1"/>
                <w:color w:val="auto"/>
              </w:rPr>
              <w:t>13.6</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10.2</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453"/>
        </w:trPr>
        <w:tc>
          <w:tcPr>
            <w:tcW w:w="3780" w:type="dxa"/>
            <w:vAlign w:val="bottom"/>
          </w:tcPr>
          <w:p>
            <w:pPr>
              <w:spacing w:after="0"/>
              <w:rPr>
                <w:sz w:val="24"/>
                <w:szCs w:val="24"/>
                <w:color w:val="auto"/>
              </w:rPr>
            </w:pPr>
          </w:p>
        </w:tc>
        <w:tc>
          <w:tcPr>
            <w:tcW w:w="2560" w:type="dxa"/>
            <w:vAlign w:val="bottom"/>
          </w:tcPr>
          <w:p>
            <w:pPr>
              <w:jc w:val="right"/>
              <w:ind w:right="238"/>
              <w:spacing w:after="0"/>
              <w:rPr>
                <w:sz w:val="20"/>
                <w:szCs w:val="20"/>
                <w:color w:val="auto"/>
              </w:rPr>
            </w:pPr>
            <w:r>
              <w:rPr>
                <w:rFonts w:ascii="Arial" w:cs="Arial" w:eastAsia="Arial" w:hAnsi="Arial"/>
                <w:sz w:val="18"/>
                <w:szCs w:val="18"/>
                <w:color w:val="auto"/>
              </w:rPr>
              <w:t>12 of 29</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REPORTING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for our reportable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Retail</w:t>
            </w: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Retail</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Corporate/Other</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Business</w:t>
            </w: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Credit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Quarter Ended July 30, 2016</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$3,871</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($279)</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$3,592</w:t>
            </w: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$3,592</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59</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383</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(179)</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204</w:t>
            </w: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17</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221</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(30)</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(30)</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383</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(209)</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174</w:t>
            </w: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17</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191</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40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Quarter Ended August 1, 2015</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$3,775</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($177)</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$3,598</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$3,598</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99"/>
              <w:spacing w:after="0"/>
              <w:rPr>
                <w:sz w:val="20"/>
                <w:szCs w:val="20"/>
                <w:color w:val="auto"/>
              </w:rPr>
            </w:pPr>
            <w:r>
              <w:rPr>
                <w:rFonts w:ascii="Arial" w:cs="Arial" w:eastAsia="Arial" w:hAnsi="Arial"/>
                <w:sz w:val="16"/>
                <w:szCs w:val="16"/>
                <w:color w:val="auto"/>
              </w:rPr>
              <w:t>103</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378</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(115)</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263</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114</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(27)</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(27)</w:t>
            </w:r>
          </w:p>
        </w:tc>
        <w:tc>
          <w:tcPr>
            <w:tcW w:w="1580" w:type="dxa"/>
            <w:vAlign w:val="bottom"/>
          </w:tcPr>
          <w:p>
            <w:pPr>
              <w:jc w:val="right"/>
              <w:ind w:right="459"/>
              <w:spacing w:after="0"/>
              <w:rPr>
                <w:sz w:val="20"/>
                <w:szCs w:val="20"/>
                <w:color w:val="auto"/>
              </w:rPr>
            </w:pPr>
            <w:r>
              <w:rPr>
                <w:rFonts w:ascii="Arial" w:cs="Arial" w:eastAsia="Arial" w:hAnsi="Arial"/>
                <w:sz w:val="16"/>
                <w:szCs w:val="16"/>
                <w:color w:val="auto"/>
              </w:rPr>
              <w:t>(5)</w:t>
            </w: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378</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(142)</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236</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109</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r>
      <w:tr>
        <w:trPr>
          <w:trHeight w:val="297"/>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July 30, 2016</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$7,129</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($345)</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$6,784</w:t>
            </w: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$6,784</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116</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572</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(278)</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294</w:t>
            </w: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33</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327</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(61)</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(61)</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572</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(339)</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233</w:t>
            </w: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33</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266</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Six Months Ended August 1, 2015</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$6,966</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($252)</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$6,714</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$6,714</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99"/>
              <w:spacing w:after="0"/>
              <w:rPr>
                <w:sz w:val="20"/>
                <w:szCs w:val="20"/>
                <w:color w:val="auto"/>
              </w:rPr>
            </w:pPr>
            <w:r>
              <w:rPr>
                <w:rFonts w:ascii="Arial" w:cs="Arial" w:eastAsia="Arial" w:hAnsi="Arial"/>
                <w:sz w:val="16"/>
                <w:szCs w:val="16"/>
                <w:color w:val="auto"/>
              </w:rPr>
              <w:t>202</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658</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(197)</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461</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161</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(55)</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(55)</w:t>
            </w:r>
          </w:p>
        </w:tc>
        <w:tc>
          <w:tcPr>
            <w:tcW w:w="1580" w:type="dxa"/>
            <w:vAlign w:val="bottom"/>
          </w:tcPr>
          <w:p>
            <w:pPr>
              <w:jc w:val="right"/>
              <w:ind w:right="459"/>
              <w:spacing w:after="0"/>
              <w:rPr>
                <w:sz w:val="20"/>
                <w:szCs w:val="20"/>
                <w:color w:val="auto"/>
              </w:rPr>
            </w:pPr>
            <w:r>
              <w:rPr>
                <w:rFonts w:ascii="Arial" w:cs="Arial" w:eastAsia="Arial" w:hAnsi="Arial"/>
                <w:sz w:val="16"/>
                <w:szCs w:val="16"/>
                <w:color w:val="auto"/>
              </w:rPr>
              <w:t>(10)</w:t>
            </w: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658</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(252)</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406</w:t>
            </w:r>
          </w:p>
        </w:tc>
        <w:tc>
          <w:tcPr>
            <w:tcW w:w="15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151</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r>
      <w:tr>
        <w:trPr>
          <w:trHeight w:val="20"/>
        </w:trPr>
        <w:tc>
          <w:tcPr>
            <w:tcW w:w="40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Credit segment earnings before interest and income taxes for the quarter and six months ended August 1, 2015 included a $64 benefit due to the reversal of the allowance for credit losses on accounts receivable that were reclassified to “held for sale” (see Note 3: Accounts Receivable).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29</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within our reportable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1, 2015</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full-line stores - U.S.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$1,978</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$3,560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$3,796</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Nordstrom.com</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683</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1,178</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1,105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2,661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2,722</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4,738</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4,901</w:t>
            </w:r>
          </w:p>
        </w:tc>
      </w:tr>
      <w:tr>
        <w:trPr>
          <w:trHeight w:val="297"/>
        </w:trPr>
        <w:tc>
          <w:tcPr>
            <w:tcW w:w="3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926</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1,819</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157</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323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1,083</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2,142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1,922</w:t>
            </w:r>
          </w:p>
        </w:tc>
      </w:tr>
      <w:tr>
        <w:trPr>
          <w:trHeight w:val="297"/>
        </w:trPr>
        <w:tc>
          <w:tcPr>
            <w:tcW w:w="3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25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127</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auto"/>
            </w:tcBorders>
            <w:shd w:val="clear" w:color="auto" w:fill="CCEEFF"/>
          </w:tcPr>
          <w:p>
            <w:pPr>
              <w:spacing w:after="0"/>
              <w:rPr>
                <w:sz w:val="23"/>
                <w:szCs w:val="23"/>
                <w:color w:val="auto"/>
              </w:rPr>
            </w:pP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249</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Total Retail segment</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3,871</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3,775</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7,129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6,966</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Corporate/Other</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(279)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(345)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$3,592</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$3,598</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$6,784</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$6,714</w:t>
            </w:r>
          </w:p>
        </w:tc>
      </w:tr>
    </w:tbl>
    <w:p>
      <w:pPr>
        <w:spacing w:after="0" w:line="28"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29</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statements in this Quarterly Report on Form 10-Q contain or may suggest “forward-looking” information (as defined in the Private Securities Litigation Reform Act of 1995) that involve risks and uncertainties including, but not limited to, anticipated financial outlook for the fiscal year ending January 28, 2017, anticipated annual total and comparable sales rates, anticipated new store openings in existing, new and international markets, anticipated Return on Invested Capital and trends in our operations. Such statements are based upon the current beliefs and expectations of the Company’s management and are subject to significant risks and uncertainties. Actual future results may differ materially from historical results or current expectations depending upon factors including, but not limited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execution of our customer strategy, including expansion into new domestic and international markets, acquisitions, investments in our stores and online as well as investments in technology, our ability to realize the anticipated benefits from growth initiatives and our ability to provide a seamless experience across all channels,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and effective execution of our ecommerce initiatives and ability to manage the costs and organizational changes associated with this evolving business model,</w:t>
      </w:r>
    </w:p>
    <w:p>
      <w:pPr>
        <w:ind w:left="660" w:right="2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completion of construction associated with newly planned stores, relocations and remodels, all of which may be impacted by the financial health of third parties,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relationships with our employees and to effectively attract, develop and retain our future leaders,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processes and systems, disruptions in our supply chain and our ability to control costs,</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systems failures, cybersecurity and/or security breaches, including any security breach of our systems or those of a third-party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utilize data in strategic planning and decision making,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expected benefits, respond to potential risks and appropriately manage costs associated with our program agreement with TD,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our vendor relationships,</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respond to the business environment, fashion trends and consumer preferences, including changing expectations of service and experience in stores and online, and evolve our business model,</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retail industry,</w:t>
      </w:r>
    </w:p>
    <w:p>
      <w:pPr>
        <w:spacing w:after="0" w:line="9"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price, manner and amounts of share repurchases by the Company, if any, or any share issuances by the Company, including issuances associated with option exercises or other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patterns,</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 natural disasters, health hazards, national security or other market disruptions, or the prospects of these events and the resulting impact on consumer spending patterns,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660" w:right="1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banking, employment and tax and the outcome of claims and litigation and resolution of such matters,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and health care reforms,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debt covenants, availability and cost of credit, changes in our credit rating, changes in interest rates, debt repayment patterns and personal bankruptcies.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and other factors, including those factors described in Part I, “Item 1A. Risk Factors” in our 2015 Annual Report on Form 10-K could affect our financial results and cause actual results to differ materially from any forward-looking information we may provide. We undertake no obligation to update or revise any forward-looking statements to reflect subsequent events, new information or future circumstances.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 of 29</w:t>
      </w:r>
    </w:p>
    <w:p>
      <w:pPr>
        <w:sectPr>
          <w:pgSz w:w="11900" w:h="16838" w:orient="portrait"/>
          <w:cols w:equalWidth="0" w:num="1">
            <w:col w:w="11380"/>
          </w:cols>
          <w:pgMar w:left="240" w:top="118" w:right="2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Our Anniversary Sale kicked off in July, which is our largest event of the year outside of the holiday season. We were pleased with the customer response to the event. This year marked one of the best events in our history, with an all-time high in sales volume. The strength of the Anniversary Sale, along with our inventory and expense execution, drove better than expected results for the second quarter.</w:t>
      </w:r>
    </w:p>
    <w:p>
      <w:pPr>
        <w:spacing w:after="0" w:line="13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Second quarter net earnings were $117 compared with net earnings of $211 during the same period in fiscal 2015 which included a $64 benefit from a non-cash accounting adjustment. Our earnings per diluted share of $0.67 exceeded expectations. We believe these results are reflective of our ongoing efforts to realign our resources and priorities to better serve customers.</w:t>
      </w:r>
    </w:p>
    <w:p>
      <w:pPr>
        <w:spacing w:after="0" w:line="12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Our Nordstrom Rewards program is one area that enables us to strengthen relationships with customers. It also serves as a powerful tool to drive incremental sales and trips. On May 18, we expanded the program so that all of our customers can earn rewards regardless of how they choose to pay. Based on the strong customer response, we now have approximately 6 million Nordstrom Rewards customers, up significantly from 4.7 million last quarter.</w:t>
      </w:r>
    </w:p>
    <w:p>
      <w:pPr>
        <w:spacing w:after="0" w:line="93"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In continuing our efforts to improve our operating model, we recognize that the shift toward ecommerce is having an impact on our financial results. As we accelerated investments to support changes in customer expectations, our expenses -- particularly in supply chain, marketing and technology -- grew faster than sales. To address this, we are executing on several initiatives to enhance the customer experience and improve our operating performance:</w:t>
      </w:r>
    </w:p>
    <w:p>
      <w:pPr>
        <w:spacing w:after="0" w:line="93" w:lineRule="exact"/>
        <w:rPr>
          <w:sz w:val="20"/>
          <w:szCs w:val="20"/>
          <w:color w:val="auto"/>
        </w:rPr>
      </w:pPr>
    </w:p>
    <w:p>
      <w:pPr>
        <w:ind w:left="3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supply chain, we are optimizing our supplier network for both inbound and outbound carriers, reducing split shipments through a greater allocation of merchandise to our fulfillment centers and editing out less profitable items online. Since the opening of our East Coast fulfillment center last fall, our delivery times for customers we serve on the East Coast improved by more than 30% while reducing unit shipping costs due to the increased proximity to our customers.</w:t>
      </w:r>
    </w:p>
    <w:p>
      <w:pPr>
        <w:spacing w:after="0" w:line="24"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marketing, we are repositioning our organization to better align with the customer journey and our strategic priorities around customer acquisition and retention. This includes strengthening our capabilities around customer analytics and digital engagement so that we can reach customers in a more efficient and cost-effective manner.</w:t>
      </w:r>
    </w:p>
    <w:p>
      <w:pPr>
        <w:spacing w:after="0" w:line="19" w:lineRule="exact"/>
        <w:rPr>
          <w:rFonts w:ascii="Arial" w:cs="Arial" w:eastAsia="Arial" w:hAnsi="Arial"/>
          <w:sz w:val="18"/>
          <w:szCs w:val="18"/>
          <w:color w:val="auto"/>
        </w:rPr>
      </w:pPr>
    </w:p>
    <w:p>
      <w:pPr>
        <w:ind w:left="340" w:right="10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technology, we’re on a path to modernize our platform and increase the productivity of delivering features that will improve the customer experience. We implemented a new technology solution that supports our expanded loyalty program, which enables us to better serve customers and increase their lifetime value.</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several quarters, we have been actively addressing our inventory, expense and capital investments as we align with current sales trends. In the second quarter, we made substantial progress by bringing down inventory levels relative to sales. As we head into the second half of the year, we are focused on a number of initiatives to improve the customer experience and drive top-line growth:</w:t>
      </w:r>
    </w:p>
    <w:p>
      <w:pPr>
        <w:spacing w:after="0" w:line="127" w:lineRule="exact"/>
        <w:rPr>
          <w:sz w:val="20"/>
          <w:szCs w:val="20"/>
          <w:color w:val="auto"/>
        </w:rPr>
      </w:pPr>
    </w:p>
    <w:p>
      <w:pPr>
        <w:ind w:left="340" w:right="40" w:hanging="332"/>
        <w:spacing w:after="0" w:line="29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We’re expanding our reach to serve more customers. We’re building on the success of our Canada expansion with two full-line store openings in Toronto in the third quarter. In the U.S., we plan to open a second full-line store in Austin, Texas and 15 Nordstrom Rack stores this fall.</w:t>
      </w:r>
    </w:p>
    <w:p>
      <w:pPr>
        <w:ind w:left="340" w:right="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our efforts to grow relevant brands that have limited distribution play an important role in creating excitement and attracting new customers. These brands now make up the majority of our top 20 fastest-growing vendors, and we’re continuing to expand highly sought-after brands, like Ivy Park, Madewell and Charlotte Tilbury, with new partnerships to come.</w:t>
      </w:r>
    </w:p>
    <w:p>
      <w:pPr>
        <w:spacing w:after="0" w:line="19" w:lineRule="exact"/>
        <w:rPr>
          <w:rFonts w:ascii="Arial" w:cs="Arial" w:eastAsia="Arial" w:hAnsi="Arial"/>
          <w:sz w:val="18"/>
          <w:szCs w:val="18"/>
          <w:color w:val="auto"/>
        </w:rPr>
      </w:pPr>
    </w:p>
    <w:p>
      <w:pPr>
        <w:ind w:left="340" w:right="8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making digital enhancements to better serve customers no matter how they choose to shop with us. We have several initiatives underway that include new mobile features, improvements to our website and enhanced selling tools. This fall we are piloting a mobile feature that gives customers the ability to reserve merchandise online and try on in our stores.</w:t>
      </w:r>
    </w:p>
    <w:p>
      <w:pPr>
        <w:spacing w:after="0" w:line="127"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These efforts to improve our operations are expected to result in a more productive use of financial resources, which is beginning to positively impact our results. As our business evolves, we will continue to aggressively prioritize our resources to ensure that we can serve customers with high-quality products and services while achieving profitable growth. Through these ongoing efforts, we believe we will be well-positioned for future success.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 of 29</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Our reportable segments are Retail and Credit. We analyze our results of operations through earnings before interest and income taxes for our Retail Business and Credit, while interest expense, income taxes, earnings per share and return on invested capital are discussed on a total Company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Business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Retail Business includes our Nordstrom U.S. and Canada full-line stores, Nordstrom.com, Nordstrom Rack stores, Nordstromrack.com/HauteLook, Trunk Club, Jeffrey and our Last Chance clearance store. For purposes of discussion and analysis of our results of operations of our Retail Business, we combine our Retail segment results with revenues and expenses in the “Corporate/Other” column of Note 10: Segment Reporting in Item 1 (collectively, the “Retail Business”).</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metrics we use to evaluate the Retail Business may not be calculated in a consistent manner among industry peers. Provided below are definitions of metrics we present within our analysis of the Retail Business:</w:t>
      </w:r>
    </w:p>
    <w:p>
      <w:pPr>
        <w:spacing w:after="0" w:line="116" w:lineRule="exact"/>
        <w:rPr>
          <w:sz w:val="20"/>
          <w:szCs w:val="20"/>
          <w:color w:val="auto"/>
        </w:rPr>
      </w:pPr>
    </w:p>
    <w:p>
      <w:pPr>
        <w:ind w:left="340" w:righ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Comparable Sales – sales from stores that have been open at least one full year at the beginning of the year. Total Company comparable sales include sales from our online channels.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 net sales less cost of sales and related buying and occupancy costs.</w:t>
      </w:r>
    </w:p>
    <w:p>
      <w:pPr>
        <w:spacing w:after="0" w:line="63"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Inventory Turnover Rate – annual cost of sales and related buying and occupancy costs (for all segments) divided by the trailing 4-quarter average inventory.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Sales Per Square Foot – net sales divided by weighted-average square footage.</w:t>
      </w:r>
    </w:p>
    <w:p>
      <w:pPr>
        <w:spacing w:after="0" w:line="63"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4-wall Sales Per Square Foot – sales for Nordstrom U.S. and Canada full-line stores, Nordstrom Rack stores, Trunk Club clubhouses, Jeffrey boutiques and our Last Chance store divided by their weighted-average square footage.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Retail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36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5"/>
              </w:rPr>
              <w:t>Quarter Ended</w:t>
            </w: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July 30, 2016</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August 1, 2015</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480" w:type="dxa"/>
            <w:vAlign w:val="bottom"/>
          </w:tcPr>
          <w:p>
            <w:pPr>
              <w:jc w:val="right"/>
              <w:ind w:right="799"/>
              <w:spacing w:after="0"/>
              <w:rPr>
                <w:sz w:val="20"/>
                <w:szCs w:val="20"/>
                <w:color w:val="auto"/>
              </w:rPr>
            </w:pPr>
            <w:r>
              <w:rPr>
                <w:rFonts w:ascii="Arial" w:cs="Arial" w:eastAsia="Arial" w:hAnsi="Arial"/>
                <w:sz w:val="16"/>
                <w:szCs w:val="16"/>
                <w:b w:val="1"/>
                <w:bCs w:val="1"/>
                <w:color w:val="auto"/>
              </w:rPr>
              <w:t>Amount</w:t>
            </w:r>
          </w:p>
        </w:tc>
        <w:tc>
          <w:tcPr>
            <w:tcW w:w="2360" w:type="dxa"/>
            <w:vAlign w:val="bottom"/>
            <w:gridSpan w:val="3"/>
          </w:tcPr>
          <w:p>
            <w:pPr>
              <w:ind w:left="60"/>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1700" w:type="dxa"/>
            <w:vAlign w:val="bottom"/>
          </w:tcPr>
          <w:p>
            <w:pPr>
              <w:jc w:val="right"/>
              <w:ind w:right="819"/>
              <w:spacing w:after="0"/>
              <w:rPr>
                <w:sz w:val="20"/>
                <w:szCs w:val="20"/>
                <w:color w:val="auto"/>
              </w:rPr>
            </w:pPr>
            <w:r>
              <w:rPr>
                <w:rFonts w:ascii="Arial" w:cs="Arial" w:eastAsia="Arial" w:hAnsi="Arial"/>
                <w:sz w:val="16"/>
                <w:szCs w:val="16"/>
                <w:b w:val="1"/>
                <w:bCs w:val="1"/>
                <w:color w:val="auto"/>
              </w:rPr>
              <w:t>Amount</w:t>
            </w: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 of net sales</w:t>
            </w:r>
            <w:r>
              <w:rPr>
                <w:rFonts w:ascii="Arial" w:cs="Arial" w:eastAsia="Arial" w:hAnsi="Arial"/>
                <w:sz w:val="21"/>
                <w:szCs w:val="21"/>
                <w:color w:val="auto"/>
                <w:w w:val="89"/>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8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$3,592</w:t>
            </w:r>
          </w:p>
        </w:tc>
        <w:tc>
          <w:tcPr>
            <w:tcW w:w="14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$3,598</w:t>
            </w:r>
          </w:p>
        </w:tc>
        <w:tc>
          <w:tcPr>
            <w:tcW w:w="14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48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(2,358)</w:t>
            </w:r>
          </w:p>
        </w:tc>
        <w:tc>
          <w:tcPr>
            <w:tcW w:w="14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280"/>
              <w:spacing w:after="0"/>
              <w:rPr>
                <w:sz w:val="20"/>
                <w:szCs w:val="20"/>
                <w:color w:val="auto"/>
              </w:rPr>
            </w:pPr>
            <w:r>
              <w:rPr>
                <w:rFonts w:ascii="Arial" w:cs="Arial" w:eastAsia="Arial" w:hAnsi="Arial"/>
                <w:sz w:val="16"/>
                <w:szCs w:val="16"/>
                <w:color w:val="auto"/>
              </w:rPr>
              <w:t>costs</w:t>
            </w:r>
          </w:p>
        </w:tc>
        <w:tc>
          <w:tcPr>
            <w:tcW w:w="2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tcPr>
          <w:p>
            <w:pPr>
              <w:jc w:val="right"/>
              <w:ind w:right="779"/>
              <w:spacing w:after="0"/>
              <w:rPr>
                <w:sz w:val="20"/>
                <w:szCs w:val="20"/>
                <w:color w:val="auto"/>
              </w:rPr>
            </w:pPr>
            <w:r>
              <w:rPr>
                <w:rFonts w:ascii="Arial" w:cs="Arial" w:eastAsia="Arial" w:hAnsi="Arial"/>
                <w:sz w:val="16"/>
                <w:szCs w:val="16"/>
                <w:color w:val="auto"/>
              </w:rPr>
              <w:t>(2,326)</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1,234</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1,272</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480" w:type="dxa"/>
            <w:vAlign w:val="bottom"/>
          </w:tcPr>
          <w:p>
            <w:pPr>
              <w:jc w:val="right"/>
              <w:ind w:right="759"/>
              <w:spacing w:after="0"/>
              <w:rPr>
                <w:sz w:val="20"/>
                <w:szCs w:val="20"/>
                <w:color w:val="auto"/>
              </w:rPr>
            </w:pPr>
            <w:r>
              <w:rPr>
                <w:rFonts w:ascii="Arial" w:cs="Arial" w:eastAsia="Arial" w:hAnsi="Arial"/>
                <w:sz w:val="16"/>
                <w:szCs w:val="16"/>
                <w:b w:val="1"/>
                <w:bCs w:val="1"/>
                <w:color w:val="auto"/>
              </w:rPr>
              <w:t>(1,030)</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(28.7%)</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jc w:val="right"/>
              <w:ind w:right="779"/>
              <w:spacing w:after="0"/>
              <w:rPr>
                <w:sz w:val="20"/>
                <w:szCs w:val="20"/>
                <w:color w:val="auto"/>
              </w:rPr>
            </w:pPr>
            <w:r>
              <w:rPr>
                <w:rFonts w:ascii="Arial" w:cs="Arial" w:eastAsia="Arial" w:hAnsi="Arial"/>
                <w:sz w:val="16"/>
                <w:szCs w:val="16"/>
                <w:color w:val="auto"/>
              </w:rPr>
              <w:t>(1,009)</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4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$204</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$263</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501"/>
        </w:trPr>
        <w:tc>
          <w:tcPr>
            <w:tcW w:w="34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w w:val="92"/>
              </w:rPr>
              <w:t>Six Months Ended</w:t>
            </w:r>
          </w:p>
        </w:tc>
        <w:tc>
          <w:tcPr>
            <w:tcW w:w="17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July 30, 2016</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August 1, 2015</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480" w:type="dxa"/>
            <w:vAlign w:val="bottom"/>
          </w:tcPr>
          <w:p>
            <w:pPr>
              <w:jc w:val="right"/>
              <w:ind w:right="799"/>
              <w:spacing w:after="0"/>
              <w:rPr>
                <w:sz w:val="20"/>
                <w:szCs w:val="20"/>
                <w:color w:val="auto"/>
              </w:rPr>
            </w:pPr>
            <w:r>
              <w:rPr>
                <w:rFonts w:ascii="Arial" w:cs="Arial" w:eastAsia="Arial" w:hAnsi="Arial"/>
                <w:sz w:val="16"/>
                <w:szCs w:val="16"/>
                <w:b w:val="1"/>
                <w:bCs w:val="1"/>
                <w:color w:val="auto"/>
              </w:rPr>
              <w:t>Amount</w:t>
            </w:r>
          </w:p>
        </w:tc>
        <w:tc>
          <w:tcPr>
            <w:tcW w:w="2360" w:type="dxa"/>
            <w:vAlign w:val="bottom"/>
            <w:gridSpan w:val="3"/>
          </w:tcPr>
          <w:p>
            <w:pPr>
              <w:ind w:left="60"/>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1700" w:type="dxa"/>
            <w:vAlign w:val="bottom"/>
          </w:tcPr>
          <w:p>
            <w:pPr>
              <w:jc w:val="right"/>
              <w:ind w:right="819"/>
              <w:spacing w:after="0"/>
              <w:rPr>
                <w:sz w:val="20"/>
                <w:szCs w:val="20"/>
                <w:color w:val="auto"/>
              </w:rPr>
            </w:pPr>
            <w:r>
              <w:rPr>
                <w:rFonts w:ascii="Arial" w:cs="Arial" w:eastAsia="Arial" w:hAnsi="Arial"/>
                <w:sz w:val="16"/>
                <w:szCs w:val="16"/>
                <w:b w:val="1"/>
                <w:bCs w:val="1"/>
                <w:color w:val="auto"/>
              </w:rPr>
              <w:t>Amount</w:t>
            </w: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 of net sales</w:t>
            </w:r>
            <w:r>
              <w:rPr>
                <w:rFonts w:ascii="Arial" w:cs="Arial" w:eastAsia="Arial" w:hAnsi="Arial"/>
                <w:sz w:val="21"/>
                <w:szCs w:val="21"/>
                <w:color w:val="auto"/>
                <w:w w:val="89"/>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8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$6,784</w:t>
            </w:r>
          </w:p>
        </w:tc>
        <w:tc>
          <w:tcPr>
            <w:tcW w:w="14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$6,714</w:t>
            </w:r>
          </w:p>
        </w:tc>
        <w:tc>
          <w:tcPr>
            <w:tcW w:w="14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48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(4,456)</w:t>
            </w:r>
          </w:p>
        </w:tc>
        <w:tc>
          <w:tcPr>
            <w:tcW w:w="14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280"/>
              <w:spacing w:after="0"/>
              <w:rPr>
                <w:sz w:val="20"/>
                <w:szCs w:val="20"/>
                <w:color w:val="auto"/>
              </w:rPr>
            </w:pPr>
            <w:r>
              <w:rPr>
                <w:rFonts w:ascii="Arial" w:cs="Arial" w:eastAsia="Arial" w:hAnsi="Arial"/>
                <w:sz w:val="16"/>
                <w:szCs w:val="16"/>
                <w:color w:val="auto"/>
              </w:rPr>
              <w:t>costs</w:t>
            </w:r>
          </w:p>
        </w:tc>
        <w:tc>
          <w:tcPr>
            <w:tcW w:w="248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tcPr>
          <w:p>
            <w:pPr>
              <w:jc w:val="right"/>
              <w:ind w:right="779"/>
              <w:spacing w:after="0"/>
              <w:rPr>
                <w:sz w:val="20"/>
                <w:szCs w:val="20"/>
                <w:color w:val="auto"/>
              </w:rPr>
            </w:pPr>
            <w:r>
              <w:rPr>
                <w:rFonts w:ascii="Arial" w:cs="Arial" w:eastAsia="Arial" w:hAnsi="Arial"/>
                <w:sz w:val="16"/>
                <w:szCs w:val="16"/>
                <w:color w:val="auto"/>
              </w:rPr>
              <w:t>(4,323)</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2,328</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2,391</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480" w:type="dxa"/>
            <w:vAlign w:val="bottom"/>
          </w:tcPr>
          <w:p>
            <w:pPr>
              <w:jc w:val="right"/>
              <w:ind w:right="759"/>
              <w:spacing w:after="0"/>
              <w:rPr>
                <w:sz w:val="20"/>
                <w:szCs w:val="20"/>
                <w:color w:val="auto"/>
              </w:rPr>
            </w:pPr>
            <w:r>
              <w:rPr>
                <w:rFonts w:ascii="Arial" w:cs="Arial" w:eastAsia="Arial" w:hAnsi="Arial"/>
                <w:sz w:val="16"/>
                <w:szCs w:val="16"/>
                <w:b w:val="1"/>
                <w:bCs w:val="1"/>
                <w:color w:val="auto"/>
              </w:rPr>
              <w:t>(2,034)</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jc w:val="right"/>
              <w:ind w:right="779"/>
              <w:spacing w:after="0"/>
              <w:rPr>
                <w:sz w:val="20"/>
                <w:szCs w:val="20"/>
                <w:color w:val="auto"/>
              </w:rPr>
            </w:pPr>
            <w:r>
              <w:rPr>
                <w:rFonts w:ascii="Arial" w:cs="Arial" w:eastAsia="Arial" w:hAnsi="Arial"/>
                <w:sz w:val="16"/>
                <w:szCs w:val="16"/>
                <w:color w:val="auto"/>
              </w:rPr>
              <w:t>(1,930)</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48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$294</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$461</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34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Subtotals and totals may not foot due to rounding.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29</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Net Sales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our ongoing effort to enhance the customer experience, we are focused on providing customers with a seamless experience across our channels. While our customers may engage with us through multiple channels, we know they value the overall Nordstrom brand experience and view us simply as Nordstrom, which is ultimately how we view our business. To provide additional transparency into our net sales by channel, we present the following summary of our Retail Business:</w:t>
      </w:r>
    </w:p>
    <w:p>
      <w:pPr>
        <w:sectPr>
          <w:pgSz w:w="11900" w:h="16838" w:orient="portrait"/>
          <w:cols w:equalWidth="0" w:num="1">
            <w:col w:w="11420"/>
          </w:cols>
          <w:pgMar w:left="240" w:top="118" w:right="239" w:bottom="1440" w:gutter="0" w:footer="0" w:header="0"/>
        </w:sectPr>
      </w:pPr>
    </w:p>
    <w:p>
      <w:pPr>
        <w:spacing w:after="0" w:line="150"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37465</wp:posOffset>
            </wp:positionV>
            <wp:extent cx="2478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80" w:lineRule="exact"/>
        <w:rPr>
          <w:sz w:val="20"/>
          <w:szCs w:val="20"/>
          <w:color w:val="auto"/>
        </w:rPr>
      </w:pPr>
    </w:p>
    <w:p>
      <w:pPr>
        <w:ind w:left="4140"/>
        <w:spacing w:after="0"/>
        <w:tabs>
          <w:tab w:leader="none" w:pos="6060" w:val="left"/>
        </w:tabs>
        <w:rPr>
          <w:sz w:val="20"/>
          <w:szCs w:val="20"/>
          <w:color w:val="auto"/>
        </w:rPr>
      </w:pPr>
      <w:r>
        <w:rPr>
          <w:rFonts w:ascii="Arial" w:cs="Arial" w:eastAsia="Arial" w:hAnsi="Arial"/>
          <w:sz w:val="16"/>
          <w:szCs w:val="16"/>
          <w:b w:val="1"/>
          <w:bCs w:val="1"/>
          <w:color w:val="auto"/>
        </w:rPr>
        <w:t>July 30, 2016</w:t>
      </w:r>
      <w:r>
        <w:rPr>
          <w:sz w:val="20"/>
          <w:szCs w:val="20"/>
          <w:color w:val="auto"/>
        </w:rPr>
        <w:tab/>
      </w:r>
      <w:r>
        <w:rPr>
          <w:rFonts w:ascii="Arial" w:cs="Arial" w:eastAsia="Arial" w:hAnsi="Arial"/>
          <w:sz w:val="14"/>
          <w:szCs w:val="14"/>
          <w:b w:val="1"/>
          <w:bCs w:val="1"/>
          <w:color w:val="auto"/>
        </w:rPr>
        <w:t>August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37465</wp:posOffset>
            </wp:positionV>
            <wp:extent cx="2487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80"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b w:val="1"/>
          <w:bCs w:val="1"/>
          <w:color w:val="auto"/>
        </w:rPr>
        <w:t>July 30, 2016</w:t>
      </w:r>
      <w:r>
        <w:rPr>
          <w:sz w:val="20"/>
          <w:szCs w:val="20"/>
          <w:color w:val="auto"/>
        </w:rPr>
        <w:tab/>
      </w:r>
      <w:r>
        <w:rPr>
          <w:rFonts w:ascii="Arial" w:cs="Arial" w:eastAsia="Arial" w:hAnsi="Arial"/>
          <w:sz w:val="14"/>
          <w:szCs w:val="14"/>
          <w:b w:val="1"/>
          <w:bCs w:val="1"/>
          <w:color w:val="auto"/>
        </w:rPr>
        <w:t>August 1, 2015</w:t>
      </w:r>
    </w:p>
    <w:p>
      <w:pPr>
        <w:spacing w:after="0" w:line="100" w:lineRule="exact"/>
        <w:rPr>
          <w:sz w:val="20"/>
          <w:szCs w:val="20"/>
          <w:color w:val="auto"/>
        </w:rPr>
      </w:pPr>
    </w:p>
    <w:p>
      <w:pPr>
        <w:sectPr>
          <w:pgSz w:w="11900" w:h="16838" w:orient="portrait"/>
          <w:cols w:equalWidth="0" w:num="2">
            <w:col w:w="7440" w:space="720"/>
            <w:col w:w="326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Net sales by channel:</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1940" w:type="dxa"/>
            <w:vAlign w:val="bottom"/>
          </w:tcPr>
          <w:p>
            <w:pPr>
              <w:jc w:val="right"/>
              <w:ind w:right="839"/>
              <w:spacing w:after="0"/>
              <w:rPr>
                <w:sz w:val="20"/>
                <w:szCs w:val="20"/>
                <w:color w:val="auto"/>
              </w:rPr>
            </w:pPr>
            <w:r>
              <w:rPr>
                <w:rFonts w:ascii="Arial" w:cs="Arial" w:eastAsia="Arial" w:hAnsi="Arial"/>
                <w:sz w:val="16"/>
                <w:szCs w:val="16"/>
                <w:b w:val="1"/>
                <w:bCs w:val="1"/>
                <w:color w:val="auto"/>
              </w:rPr>
              <w:t>$1,978</w:t>
            </w:r>
          </w:p>
        </w:tc>
        <w:tc>
          <w:tcPr>
            <w:tcW w:w="1960" w:type="dxa"/>
            <w:vAlign w:val="bottom"/>
          </w:tcPr>
          <w:p>
            <w:pPr>
              <w:jc w:val="right"/>
              <w:ind w:right="739"/>
              <w:spacing w:after="0"/>
              <w:rPr>
                <w:sz w:val="20"/>
                <w:szCs w:val="20"/>
                <w:color w:val="auto"/>
              </w:rPr>
            </w:pPr>
            <w:r>
              <w:rPr>
                <w:rFonts w:ascii="Arial" w:cs="Arial" w:eastAsia="Arial" w:hAnsi="Arial"/>
                <w:sz w:val="16"/>
                <w:szCs w:val="16"/>
                <w:color w:val="auto"/>
              </w:rPr>
              <w:t>$2,097</w:t>
            </w:r>
          </w:p>
        </w:tc>
        <w:tc>
          <w:tcPr>
            <w:tcW w:w="2060" w:type="dxa"/>
            <w:vAlign w:val="bottom"/>
          </w:tcPr>
          <w:p>
            <w:pPr>
              <w:jc w:val="right"/>
              <w:ind w:right="839"/>
              <w:spacing w:after="0"/>
              <w:rPr>
                <w:sz w:val="20"/>
                <w:szCs w:val="20"/>
                <w:color w:val="auto"/>
              </w:rPr>
            </w:pPr>
            <w:r>
              <w:rPr>
                <w:rFonts w:ascii="Arial" w:cs="Arial" w:eastAsia="Arial" w:hAnsi="Arial"/>
                <w:sz w:val="16"/>
                <w:szCs w:val="16"/>
                <w:b w:val="1"/>
                <w:bCs w:val="1"/>
                <w:color w:val="auto"/>
              </w:rPr>
              <w:t>$3,560</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$3,796</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19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683</w:t>
            </w:r>
          </w:p>
        </w:tc>
        <w:tc>
          <w:tcPr>
            <w:tcW w:w="1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625</w:t>
            </w:r>
          </w:p>
        </w:tc>
        <w:tc>
          <w:tcPr>
            <w:tcW w:w="206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1,178</w:t>
            </w:r>
          </w:p>
        </w:tc>
        <w:tc>
          <w:tcPr>
            <w:tcW w:w="14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1,105</w:t>
            </w:r>
          </w:p>
        </w:tc>
      </w:tr>
      <w:tr>
        <w:trPr>
          <w:trHeight w:val="231"/>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Full-price</w:t>
            </w:r>
          </w:p>
        </w:tc>
        <w:tc>
          <w:tcPr>
            <w:tcW w:w="19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2,661</w:t>
            </w:r>
          </w:p>
        </w:tc>
        <w:tc>
          <w:tcPr>
            <w:tcW w:w="19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2,722</w:t>
            </w:r>
          </w:p>
        </w:tc>
        <w:tc>
          <w:tcPr>
            <w:tcW w:w="206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4,738</w:t>
            </w:r>
          </w:p>
        </w:tc>
        <w:tc>
          <w:tcPr>
            <w:tcW w:w="1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4,901</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40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Nordstrom Rack</w:t>
            </w:r>
          </w:p>
        </w:tc>
        <w:tc>
          <w:tcPr>
            <w:tcW w:w="1940" w:type="dxa"/>
            <w:vAlign w:val="bottom"/>
          </w:tcPr>
          <w:p>
            <w:pPr>
              <w:jc w:val="right"/>
              <w:ind w:right="839"/>
              <w:spacing w:after="0"/>
              <w:rPr>
                <w:sz w:val="20"/>
                <w:szCs w:val="20"/>
                <w:color w:val="auto"/>
              </w:rPr>
            </w:pPr>
            <w:r>
              <w:rPr>
                <w:rFonts w:ascii="Arial" w:cs="Arial" w:eastAsia="Arial" w:hAnsi="Arial"/>
                <w:sz w:val="16"/>
                <w:szCs w:val="16"/>
                <w:b w:val="1"/>
                <w:bCs w:val="1"/>
                <w:color w:val="auto"/>
              </w:rPr>
              <w:t>926</w:t>
            </w:r>
          </w:p>
        </w:tc>
        <w:tc>
          <w:tcPr>
            <w:tcW w:w="1960" w:type="dxa"/>
            <w:vAlign w:val="bottom"/>
          </w:tcPr>
          <w:p>
            <w:pPr>
              <w:jc w:val="right"/>
              <w:ind w:right="739"/>
              <w:spacing w:after="0"/>
              <w:rPr>
                <w:sz w:val="20"/>
                <w:szCs w:val="20"/>
                <w:color w:val="auto"/>
              </w:rPr>
            </w:pPr>
            <w:r>
              <w:rPr>
                <w:rFonts w:ascii="Arial" w:cs="Arial" w:eastAsia="Arial" w:hAnsi="Arial"/>
                <w:sz w:val="16"/>
                <w:szCs w:val="16"/>
                <w:color w:val="auto"/>
              </w:rPr>
              <w:t>857</w:t>
            </w:r>
          </w:p>
        </w:tc>
        <w:tc>
          <w:tcPr>
            <w:tcW w:w="2060" w:type="dxa"/>
            <w:vAlign w:val="bottom"/>
          </w:tcPr>
          <w:p>
            <w:pPr>
              <w:jc w:val="right"/>
              <w:ind w:right="839"/>
              <w:spacing w:after="0"/>
              <w:rPr>
                <w:sz w:val="20"/>
                <w:szCs w:val="20"/>
                <w:color w:val="auto"/>
              </w:rPr>
            </w:pPr>
            <w:r>
              <w:rPr>
                <w:rFonts w:ascii="Arial" w:cs="Arial" w:eastAsia="Arial" w:hAnsi="Arial"/>
                <w:sz w:val="16"/>
                <w:szCs w:val="16"/>
                <w:b w:val="1"/>
                <w:bCs w:val="1"/>
                <w:color w:val="auto"/>
              </w:rPr>
              <w:t>1,819</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1,688</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Nordstromrack.com/HauteLook</w:t>
            </w:r>
          </w:p>
        </w:tc>
        <w:tc>
          <w:tcPr>
            <w:tcW w:w="19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157</w:t>
            </w:r>
          </w:p>
        </w:tc>
        <w:tc>
          <w:tcPr>
            <w:tcW w:w="1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117</w:t>
            </w:r>
          </w:p>
        </w:tc>
        <w:tc>
          <w:tcPr>
            <w:tcW w:w="206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323</w:t>
            </w:r>
          </w:p>
        </w:tc>
        <w:tc>
          <w:tcPr>
            <w:tcW w:w="14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234</w:t>
            </w:r>
          </w:p>
        </w:tc>
      </w:tr>
      <w:tr>
        <w:trPr>
          <w:trHeight w:val="231"/>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Off-price</w:t>
            </w:r>
          </w:p>
        </w:tc>
        <w:tc>
          <w:tcPr>
            <w:tcW w:w="19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1,083</w:t>
            </w:r>
          </w:p>
        </w:tc>
        <w:tc>
          <w:tcPr>
            <w:tcW w:w="196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974</w:t>
            </w:r>
          </w:p>
        </w:tc>
        <w:tc>
          <w:tcPr>
            <w:tcW w:w="206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2,142</w:t>
            </w:r>
          </w:p>
        </w:tc>
        <w:tc>
          <w:tcPr>
            <w:tcW w:w="1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1,922</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0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19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127</w:t>
            </w:r>
          </w:p>
        </w:tc>
        <w:tc>
          <w:tcPr>
            <w:tcW w:w="19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79</w:t>
            </w:r>
          </w:p>
        </w:tc>
        <w:tc>
          <w:tcPr>
            <w:tcW w:w="20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249</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143</w:t>
            </w: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segment</w:t>
            </w:r>
          </w:p>
        </w:tc>
        <w:tc>
          <w:tcPr>
            <w:tcW w:w="19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3,871</w:t>
            </w:r>
          </w:p>
        </w:tc>
        <w:tc>
          <w:tcPr>
            <w:tcW w:w="1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3,775</w:t>
            </w:r>
          </w:p>
        </w:tc>
        <w:tc>
          <w:tcPr>
            <w:tcW w:w="206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7,129</w:t>
            </w:r>
          </w:p>
        </w:tc>
        <w:tc>
          <w:tcPr>
            <w:tcW w:w="14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6,966</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Corporate/Other</w:t>
            </w:r>
          </w:p>
        </w:tc>
        <w:tc>
          <w:tcPr>
            <w:tcW w:w="1940" w:type="dxa"/>
            <w:vAlign w:val="bottom"/>
          </w:tcPr>
          <w:p>
            <w:pPr>
              <w:jc w:val="right"/>
              <w:ind w:right="779"/>
              <w:spacing w:after="0"/>
              <w:rPr>
                <w:sz w:val="20"/>
                <w:szCs w:val="20"/>
                <w:color w:val="auto"/>
              </w:rPr>
            </w:pPr>
            <w:r>
              <w:rPr>
                <w:rFonts w:ascii="Arial" w:cs="Arial" w:eastAsia="Arial" w:hAnsi="Arial"/>
                <w:sz w:val="16"/>
                <w:szCs w:val="16"/>
                <w:b w:val="1"/>
                <w:bCs w:val="1"/>
                <w:color w:val="auto"/>
              </w:rPr>
              <w:t>(279)</w:t>
            </w:r>
          </w:p>
        </w:tc>
        <w:tc>
          <w:tcPr>
            <w:tcW w:w="1960" w:type="dxa"/>
            <w:vAlign w:val="bottom"/>
          </w:tcPr>
          <w:p>
            <w:pPr>
              <w:jc w:val="right"/>
              <w:ind w:right="679"/>
              <w:spacing w:after="0"/>
              <w:rPr>
                <w:sz w:val="20"/>
                <w:szCs w:val="20"/>
                <w:color w:val="auto"/>
              </w:rPr>
            </w:pPr>
            <w:r>
              <w:rPr>
                <w:rFonts w:ascii="Arial" w:cs="Arial" w:eastAsia="Arial" w:hAnsi="Arial"/>
                <w:sz w:val="16"/>
                <w:szCs w:val="16"/>
                <w:color w:val="auto"/>
              </w:rPr>
              <w:t>(177)</w:t>
            </w:r>
          </w:p>
        </w:tc>
        <w:tc>
          <w:tcPr>
            <w:tcW w:w="2060" w:type="dxa"/>
            <w:vAlign w:val="bottom"/>
          </w:tcPr>
          <w:p>
            <w:pPr>
              <w:jc w:val="right"/>
              <w:ind w:right="779"/>
              <w:spacing w:after="0"/>
              <w:rPr>
                <w:sz w:val="20"/>
                <w:szCs w:val="20"/>
                <w:color w:val="auto"/>
              </w:rPr>
            </w:pPr>
            <w:r>
              <w:rPr>
                <w:rFonts w:ascii="Arial" w:cs="Arial" w:eastAsia="Arial" w:hAnsi="Arial"/>
                <w:sz w:val="16"/>
                <w:szCs w:val="16"/>
                <w:b w:val="1"/>
                <w:bCs w:val="1"/>
                <w:color w:val="auto"/>
              </w:rPr>
              <w:t>(345)</w:t>
            </w: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(252)</w:t>
            </w: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19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$3,592</w:t>
            </w:r>
          </w:p>
        </w:tc>
        <w:tc>
          <w:tcPr>
            <w:tcW w:w="1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$3,598</w:t>
            </w:r>
          </w:p>
        </w:tc>
        <w:tc>
          <w:tcPr>
            <w:tcW w:w="206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$6,784</w:t>
            </w:r>
          </w:p>
        </w:tc>
        <w:tc>
          <w:tcPr>
            <w:tcW w:w="14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$6,714</w:t>
            </w:r>
          </w:p>
        </w:tc>
      </w:tr>
      <w:tr>
        <w:trPr>
          <w:trHeight w:val="291"/>
        </w:trPr>
        <w:tc>
          <w:tcPr>
            <w:tcW w:w="40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(decrease) increase</w:t>
            </w:r>
          </w:p>
        </w:tc>
        <w:tc>
          <w:tcPr>
            <w:tcW w:w="1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(0.2%)</w:t>
            </w:r>
          </w:p>
        </w:tc>
        <w:tc>
          <w:tcPr>
            <w:tcW w:w="19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9.2%</w:t>
            </w:r>
          </w:p>
        </w:tc>
        <w:tc>
          <w:tcPr>
            <w:tcW w:w="2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1.0%</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r>
      <w:tr>
        <w:trPr>
          <w:trHeight w:val="297"/>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Comparable sales increase (decrease) by channel:</w:t>
            </w:r>
          </w:p>
        </w:tc>
        <w:tc>
          <w:tcPr>
            <w:tcW w:w="19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1940" w:type="dxa"/>
            <w:vAlign w:val="bottom"/>
          </w:tcPr>
          <w:p>
            <w:pPr>
              <w:jc w:val="right"/>
              <w:ind w:right="619"/>
              <w:spacing w:after="0"/>
              <w:rPr>
                <w:sz w:val="20"/>
                <w:szCs w:val="20"/>
                <w:color w:val="auto"/>
              </w:rPr>
            </w:pPr>
            <w:r>
              <w:rPr>
                <w:rFonts w:ascii="Arial" w:cs="Arial" w:eastAsia="Arial" w:hAnsi="Arial"/>
                <w:sz w:val="16"/>
                <w:szCs w:val="16"/>
                <w:b w:val="1"/>
                <w:bCs w:val="1"/>
                <w:color w:val="auto"/>
              </w:rPr>
              <w:t>(6.5%)</w:t>
            </w:r>
          </w:p>
        </w:tc>
        <w:tc>
          <w:tcPr>
            <w:tcW w:w="1960" w:type="dxa"/>
            <w:vAlign w:val="bottom"/>
          </w:tcPr>
          <w:p>
            <w:pPr>
              <w:jc w:val="right"/>
              <w:ind w:right="599"/>
              <w:spacing w:after="0"/>
              <w:rPr>
                <w:sz w:val="20"/>
                <w:szCs w:val="20"/>
                <w:color w:val="auto"/>
              </w:rPr>
            </w:pPr>
            <w:r>
              <w:rPr>
                <w:rFonts w:ascii="Arial" w:cs="Arial" w:eastAsia="Arial" w:hAnsi="Arial"/>
                <w:sz w:val="16"/>
                <w:szCs w:val="16"/>
                <w:color w:val="auto"/>
              </w:rPr>
              <w:t>0.8%</w:t>
            </w:r>
          </w:p>
        </w:tc>
        <w:tc>
          <w:tcPr>
            <w:tcW w:w="2060" w:type="dxa"/>
            <w:vAlign w:val="bottom"/>
          </w:tcPr>
          <w:p>
            <w:pPr>
              <w:jc w:val="right"/>
              <w:ind w:right="619"/>
              <w:spacing w:after="0"/>
              <w:rPr>
                <w:sz w:val="20"/>
                <w:szCs w:val="20"/>
                <w:color w:val="auto"/>
              </w:rPr>
            </w:pPr>
            <w:r>
              <w:rPr>
                <w:rFonts w:ascii="Arial" w:cs="Arial" w:eastAsia="Arial" w:hAnsi="Arial"/>
                <w:sz w:val="16"/>
                <w:szCs w:val="16"/>
                <w:b w:val="1"/>
                <w:bCs w:val="1"/>
                <w:color w:val="auto"/>
              </w:rPr>
              <w:t>(7.0%)</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0.7%</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9.4%</w:t>
            </w:r>
          </w:p>
        </w:tc>
        <w:tc>
          <w:tcPr>
            <w:tcW w:w="19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20.4%</w:t>
            </w:r>
          </w:p>
        </w:tc>
        <w:tc>
          <w:tcPr>
            <w:tcW w:w="2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6.7%</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Full-price</w:t>
            </w:r>
          </w:p>
        </w:tc>
        <w:tc>
          <w:tcPr>
            <w:tcW w:w="1940" w:type="dxa"/>
            <w:vAlign w:val="bottom"/>
          </w:tcPr>
          <w:p>
            <w:pPr>
              <w:jc w:val="right"/>
              <w:ind w:right="619"/>
              <w:spacing w:after="0"/>
              <w:rPr>
                <w:sz w:val="20"/>
                <w:szCs w:val="20"/>
                <w:color w:val="auto"/>
              </w:rPr>
            </w:pPr>
            <w:r>
              <w:rPr>
                <w:rFonts w:ascii="Arial" w:cs="Arial" w:eastAsia="Arial" w:hAnsi="Arial"/>
                <w:sz w:val="16"/>
                <w:szCs w:val="16"/>
                <w:b w:val="1"/>
                <w:bCs w:val="1"/>
                <w:color w:val="auto"/>
              </w:rPr>
              <w:t>(2.8%)</w:t>
            </w:r>
          </w:p>
        </w:tc>
        <w:tc>
          <w:tcPr>
            <w:tcW w:w="1960" w:type="dxa"/>
            <w:vAlign w:val="bottom"/>
          </w:tcPr>
          <w:p>
            <w:pPr>
              <w:jc w:val="right"/>
              <w:ind w:right="599"/>
              <w:spacing w:after="0"/>
              <w:rPr>
                <w:sz w:val="20"/>
                <w:szCs w:val="20"/>
                <w:color w:val="auto"/>
              </w:rPr>
            </w:pPr>
            <w:r>
              <w:rPr>
                <w:rFonts w:ascii="Arial" w:cs="Arial" w:eastAsia="Arial" w:hAnsi="Arial"/>
                <w:sz w:val="16"/>
                <w:szCs w:val="16"/>
                <w:color w:val="auto"/>
              </w:rPr>
              <w:t>4.8%</w:t>
            </w:r>
          </w:p>
        </w:tc>
        <w:tc>
          <w:tcPr>
            <w:tcW w:w="2060" w:type="dxa"/>
            <w:vAlign w:val="bottom"/>
          </w:tcPr>
          <w:p>
            <w:pPr>
              <w:jc w:val="right"/>
              <w:ind w:right="619"/>
              <w:spacing w:after="0"/>
              <w:rPr>
                <w:sz w:val="20"/>
                <w:szCs w:val="20"/>
                <w:color w:val="auto"/>
              </w:rPr>
            </w:pPr>
            <w:r>
              <w:rPr>
                <w:rFonts w:ascii="Arial" w:cs="Arial" w:eastAsia="Arial" w:hAnsi="Arial"/>
                <w:sz w:val="16"/>
                <w:szCs w:val="16"/>
                <w:b w:val="1"/>
                <w:bCs w:val="1"/>
                <w:color w:val="auto"/>
              </w:rPr>
              <w:t>(4.0%)</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4.5%</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w:t>
            </w:r>
          </w:p>
        </w:tc>
        <w:tc>
          <w:tcPr>
            <w:tcW w:w="19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1.7%</w:t>
            </w:r>
          </w:p>
        </w:tc>
        <w:tc>
          <w:tcPr>
            <w:tcW w:w="2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0.2%</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1940" w:type="dxa"/>
            <w:vAlign w:val="bottom"/>
          </w:tcPr>
          <w:p>
            <w:pPr>
              <w:jc w:val="right"/>
              <w:ind w:right="679"/>
              <w:spacing w:after="0"/>
              <w:rPr>
                <w:sz w:val="20"/>
                <w:szCs w:val="20"/>
                <w:color w:val="auto"/>
              </w:rPr>
            </w:pPr>
            <w:r>
              <w:rPr>
                <w:rFonts w:ascii="Arial" w:cs="Arial" w:eastAsia="Arial" w:hAnsi="Arial"/>
                <w:sz w:val="16"/>
                <w:szCs w:val="16"/>
                <w:b w:val="1"/>
                <w:bCs w:val="1"/>
                <w:color w:val="auto"/>
              </w:rPr>
              <w:t>34.7%</w:t>
            </w:r>
          </w:p>
        </w:tc>
        <w:tc>
          <w:tcPr>
            <w:tcW w:w="1960" w:type="dxa"/>
            <w:vAlign w:val="bottom"/>
          </w:tcPr>
          <w:p>
            <w:pPr>
              <w:jc w:val="right"/>
              <w:ind w:right="599"/>
              <w:spacing w:after="0"/>
              <w:rPr>
                <w:sz w:val="20"/>
                <w:szCs w:val="20"/>
                <w:color w:val="auto"/>
              </w:rPr>
            </w:pPr>
            <w:r>
              <w:rPr>
                <w:rFonts w:ascii="Arial" w:cs="Arial" w:eastAsia="Arial" w:hAnsi="Arial"/>
                <w:sz w:val="16"/>
                <w:szCs w:val="16"/>
                <w:color w:val="auto"/>
              </w:rPr>
              <w:t>49.6%</w:t>
            </w:r>
          </w:p>
        </w:tc>
        <w:tc>
          <w:tcPr>
            <w:tcW w:w="2060" w:type="dxa"/>
            <w:vAlign w:val="bottom"/>
          </w:tcPr>
          <w:p>
            <w:pPr>
              <w:jc w:val="right"/>
              <w:ind w:right="679"/>
              <w:spacing w:after="0"/>
              <w:rPr>
                <w:sz w:val="20"/>
                <w:szCs w:val="20"/>
                <w:color w:val="auto"/>
              </w:rPr>
            </w:pPr>
            <w:r>
              <w:rPr>
                <w:rFonts w:ascii="Arial" w:cs="Arial" w:eastAsia="Arial" w:hAnsi="Arial"/>
                <w:sz w:val="16"/>
                <w:szCs w:val="16"/>
                <w:b w:val="1"/>
                <w:bCs w:val="1"/>
                <w:color w:val="auto"/>
              </w:rPr>
              <w:t>38.3%</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50.4%</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5.3%</w:t>
            </w:r>
          </w:p>
        </w:tc>
        <w:tc>
          <w:tcPr>
            <w:tcW w:w="196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6.5%</w:t>
            </w:r>
          </w:p>
        </w:tc>
        <w:tc>
          <w:tcPr>
            <w:tcW w:w="20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4.9%</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1940" w:type="dxa"/>
            <w:vAlign w:val="bottom"/>
          </w:tcPr>
          <w:p>
            <w:pPr>
              <w:jc w:val="right"/>
              <w:ind w:right="619"/>
              <w:spacing w:after="0"/>
              <w:rPr>
                <w:sz w:val="20"/>
                <w:szCs w:val="20"/>
                <w:color w:val="auto"/>
              </w:rPr>
            </w:pPr>
            <w:r>
              <w:rPr>
                <w:rFonts w:ascii="Arial" w:cs="Arial" w:eastAsia="Arial" w:hAnsi="Arial"/>
                <w:sz w:val="16"/>
                <w:szCs w:val="16"/>
                <w:b w:val="1"/>
                <w:bCs w:val="1"/>
                <w:color w:val="auto"/>
              </w:rPr>
              <w:t>(1.2%)</w:t>
            </w:r>
          </w:p>
        </w:tc>
        <w:tc>
          <w:tcPr>
            <w:tcW w:w="1960" w:type="dxa"/>
            <w:vAlign w:val="bottom"/>
          </w:tcPr>
          <w:p>
            <w:pPr>
              <w:jc w:val="right"/>
              <w:ind w:right="599"/>
              <w:spacing w:after="0"/>
              <w:rPr>
                <w:sz w:val="20"/>
                <w:szCs w:val="20"/>
                <w:color w:val="auto"/>
              </w:rPr>
            </w:pPr>
            <w:r>
              <w:rPr>
                <w:rFonts w:ascii="Arial" w:cs="Arial" w:eastAsia="Arial" w:hAnsi="Arial"/>
                <w:sz w:val="16"/>
                <w:szCs w:val="16"/>
                <w:color w:val="auto"/>
              </w:rPr>
              <w:t>4.9%</w:t>
            </w:r>
          </w:p>
        </w:tc>
        <w:tc>
          <w:tcPr>
            <w:tcW w:w="2060" w:type="dxa"/>
            <w:vAlign w:val="bottom"/>
          </w:tcPr>
          <w:p>
            <w:pPr>
              <w:jc w:val="right"/>
              <w:ind w:right="619"/>
              <w:spacing w:after="0"/>
              <w:rPr>
                <w:sz w:val="20"/>
                <w:szCs w:val="20"/>
                <w:color w:val="auto"/>
              </w:rPr>
            </w:pPr>
            <w:r>
              <w:rPr>
                <w:rFonts w:ascii="Arial" w:cs="Arial" w:eastAsia="Arial" w:hAnsi="Arial"/>
                <w:sz w:val="16"/>
                <w:szCs w:val="16"/>
                <w:b w:val="1"/>
                <w:bCs w:val="1"/>
                <w:color w:val="auto"/>
              </w:rPr>
              <w:t>(1.5%)</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4.6%</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40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Sales per square foot:</w:t>
            </w:r>
          </w:p>
        </w:tc>
        <w:tc>
          <w:tcPr>
            <w:tcW w:w="1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sales per square foot</w:t>
            </w:r>
          </w:p>
        </w:tc>
        <w:tc>
          <w:tcPr>
            <w:tcW w:w="19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$125</w:t>
            </w:r>
          </w:p>
        </w:tc>
        <w:tc>
          <w:tcPr>
            <w:tcW w:w="1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$131</w:t>
            </w:r>
          </w:p>
        </w:tc>
        <w:tc>
          <w:tcPr>
            <w:tcW w:w="206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$236</w:t>
            </w:r>
          </w:p>
        </w:tc>
        <w:tc>
          <w:tcPr>
            <w:tcW w:w="14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$245</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4-wall sales per square foot</w:t>
            </w:r>
          </w:p>
        </w:tc>
        <w:tc>
          <w:tcPr>
            <w:tcW w:w="1940" w:type="dxa"/>
            <w:vAlign w:val="bottom"/>
          </w:tcPr>
          <w:p>
            <w:pPr>
              <w:jc w:val="right"/>
              <w:ind w:right="839"/>
              <w:spacing w:after="0"/>
              <w:rPr>
                <w:sz w:val="20"/>
                <w:szCs w:val="20"/>
                <w:color w:val="auto"/>
              </w:rPr>
            </w:pPr>
            <w:r>
              <w:rPr>
                <w:rFonts w:ascii="Arial" w:cs="Arial" w:eastAsia="Arial" w:hAnsi="Arial"/>
                <w:sz w:val="16"/>
                <w:szCs w:val="16"/>
                <w:b w:val="1"/>
                <w:bCs w:val="1"/>
                <w:color w:val="auto"/>
              </w:rPr>
              <w:t>104</w:t>
            </w:r>
          </w:p>
        </w:tc>
        <w:tc>
          <w:tcPr>
            <w:tcW w:w="1960" w:type="dxa"/>
            <w:vAlign w:val="bottom"/>
          </w:tcPr>
          <w:p>
            <w:pPr>
              <w:jc w:val="right"/>
              <w:ind w:right="739"/>
              <w:spacing w:after="0"/>
              <w:rPr>
                <w:sz w:val="20"/>
                <w:szCs w:val="20"/>
                <w:color w:val="auto"/>
              </w:rPr>
            </w:pPr>
            <w:r>
              <w:rPr>
                <w:rFonts w:ascii="Arial" w:cs="Arial" w:eastAsia="Arial" w:hAnsi="Arial"/>
                <w:sz w:val="16"/>
                <w:szCs w:val="16"/>
                <w:color w:val="auto"/>
              </w:rPr>
              <w:t>109</w:t>
            </w:r>
          </w:p>
        </w:tc>
        <w:tc>
          <w:tcPr>
            <w:tcW w:w="2060" w:type="dxa"/>
            <w:vAlign w:val="bottom"/>
          </w:tcPr>
          <w:p>
            <w:pPr>
              <w:jc w:val="right"/>
              <w:ind w:right="839"/>
              <w:spacing w:after="0"/>
              <w:rPr>
                <w:sz w:val="20"/>
                <w:szCs w:val="20"/>
                <w:color w:val="auto"/>
              </w:rPr>
            </w:pPr>
            <w:r>
              <w:rPr>
                <w:rFonts w:ascii="Arial" w:cs="Arial" w:eastAsia="Arial" w:hAnsi="Arial"/>
                <w:sz w:val="16"/>
                <w:szCs w:val="16"/>
                <w:b w:val="1"/>
                <w:bCs w:val="1"/>
                <w:color w:val="auto"/>
              </w:rPr>
              <w:t>193</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204</w:t>
            </w: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Full-line sales per square foot - U.S.</w:t>
            </w:r>
          </w:p>
        </w:tc>
        <w:tc>
          <w:tcPr>
            <w:tcW w:w="19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95</w:t>
            </w:r>
          </w:p>
        </w:tc>
        <w:tc>
          <w:tcPr>
            <w:tcW w:w="19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102</w:t>
            </w:r>
          </w:p>
        </w:tc>
        <w:tc>
          <w:tcPr>
            <w:tcW w:w="206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171</w:t>
            </w:r>
          </w:p>
        </w:tc>
        <w:tc>
          <w:tcPr>
            <w:tcW w:w="14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185</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Nordstrom Rack sales per square foot</w:t>
            </w:r>
          </w:p>
        </w:tc>
        <w:tc>
          <w:tcPr>
            <w:tcW w:w="1940" w:type="dxa"/>
            <w:vAlign w:val="bottom"/>
          </w:tcPr>
          <w:p>
            <w:pPr>
              <w:jc w:val="right"/>
              <w:ind w:right="839"/>
              <w:spacing w:after="0"/>
              <w:rPr>
                <w:sz w:val="20"/>
                <w:szCs w:val="20"/>
                <w:color w:val="auto"/>
              </w:rPr>
            </w:pPr>
            <w:r>
              <w:rPr>
                <w:rFonts w:ascii="Arial" w:cs="Arial" w:eastAsia="Arial" w:hAnsi="Arial"/>
                <w:sz w:val="16"/>
                <w:szCs w:val="16"/>
                <w:b w:val="1"/>
                <w:bCs w:val="1"/>
                <w:color w:val="auto"/>
              </w:rPr>
              <w:t>126</w:t>
            </w:r>
          </w:p>
        </w:tc>
        <w:tc>
          <w:tcPr>
            <w:tcW w:w="1960" w:type="dxa"/>
            <w:vAlign w:val="bottom"/>
          </w:tcPr>
          <w:p>
            <w:pPr>
              <w:jc w:val="right"/>
              <w:ind w:right="739"/>
              <w:spacing w:after="0"/>
              <w:rPr>
                <w:sz w:val="20"/>
                <w:szCs w:val="20"/>
                <w:color w:val="auto"/>
              </w:rPr>
            </w:pPr>
            <w:r>
              <w:rPr>
                <w:rFonts w:ascii="Arial" w:cs="Arial" w:eastAsia="Arial" w:hAnsi="Arial"/>
                <w:sz w:val="16"/>
                <w:szCs w:val="16"/>
                <w:color w:val="auto"/>
              </w:rPr>
              <w:t>129</w:t>
            </w:r>
          </w:p>
        </w:tc>
        <w:tc>
          <w:tcPr>
            <w:tcW w:w="2060" w:type="dxa"/>
            <w:vAlign w:val="bottom"/>
          </w:tcPr>
          <w:p>
            <w:pPr>
              <w:jc w:val="right"/>
              <w:ind w:right="839"/>
              <w:spacing w:after="0"/>
              <w:rPr>
                <w:sz w:val="20"/>
                <w:szCs w:val="20"/>
                <w:color w:val="auto"/>
              </w:rPr>
            </w:pPr>
            <w:r>
              <w:rPr>
                <w:rFonts w:ascii="Arial" w:cs="Arial" w:eastAsia="Arial" w:hAnsi="Arial"/>
                <w:sz w:val="16"/>
                <w:szCs w:val="16"/>
                <w:b w:val="1"/>
                <w:bCs w:val="1"/>
                <w:color w:val="auto"/>
              </w:rPr>
              <w:t>249</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259</w:t>
            </w:r>
          </w:p>
        </w:tc>
      </w:tr>
    </w:tbl>
    <w:p>
      <w:pPr>
        <w:spacing w:after="0" w:line="28"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Total Company net sales decreased 0.2% for the quarter and increased 1.0% for the six months ended July 30, 2016, compared with the same periods in 2015, while comparable sales decreased 1.2% for the quarter and 1.5% for the six months ended July 30, 2016. The Anniversary Sale, historically the largest event of the year, performed better than recent trends. This event started one week later in July relative to last year, shifting one week of the event into the third quarter. The shift had an unfavorable comparison to comparable sales of approximately 250 basis points in the second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date in fiscal 2016, we relocated one full-line store and opened six Nordstrom Rack stores.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29</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Full-price net sales, which consists of U.S. full-line and Nordstrom.com channels, decreased 2.2% for the quarter and 3.3% for the six months ended July 30, 2016, compared with the same periods in 2015, while on a comparable basis, sales decreased 2.8% and 4.0% for the quarter and six months ended July 30, 2016. Also on a comparable basis for the quarter and six months ended July 30, 2016, full-price experienced a decrease in the total number of items sold, partially offset by an increase in the average selling price per item sold. The top-performing merchandise categories were Beauty and Shoes for the quarter and six months ended July 30, 2016.</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U.S. full-line stores’ net sales decreased 5.7% and comparable sales decreased 6.5% for the quarter ended July 30, 2016, while for the six months ended July 30, 2016, net sales decreased 6.2% and comparable sales decreased 7.0%, compared with the same periods in 2015. Southern California was the top-performing geographic region for the quarter and six months ended July 30, 2016. Nordstrom.com net sales increased 9.4% for the quarter and 6.7% for the six months ended July 30, 2016.</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Within our off-price offering, Nordstrom Rack net sales increased 8.0% and 7.8% for the quarter and six months ended July 30, 2016, compared with the same periods in 2015, attributable to 22 new store openings since the end of the second quarter of 2015. Nordstrom Rack comparable sales increased 1.1% for the quarter and 0.2% for the six months ended July 30, 2016. Also on a comparable basis for the quarter and six months ended July 30, 2016, the number of items sold increased at Nordstrom Rack, partially offset by a decrease in the average retail price. Handbags was the top-performing merchandise category and the East was the top-performing geographic region for the quarter and six months ended July 30, 2016.</w:t>
      </w:r>
    </w:p>
    <w:p>
      <w:pPr>
        <w:spacing w:after="0" w:line="1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Nordstromrack.com/HauteLook continued to experience outsized growth, as net sales increased 34.7% for the quarter and 38.3% for the six months ended July 30,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Retail Business gross profit (“Retail GP”):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2"/>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54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520" w:type="dxa"/>
            <w:vAlign w:val="bottom"/>
          </w:tcPr>
          <w:p>
            <w:pPr>
              <w:jc w:val="right"/>
              <w:ind w:right="879"/>
              <w:spacing w:after="0"/>
              <w:rPr>
                <w:sz w:val="20"/>
                <w:szCs w:val="20"/>
                <w:color w:val="auto"/>
              </w:rPr>
            </w:pPr>
            <w:r>
              <w:rPr>
                <w:rFonts w:ascii="Arial" w:cs="Arial" w:eastAsia="Arial" w:hAnsi="Arial"/>
                <w:sz w:val="16"/>
                <w:szCs w:val="16"/>
                <w:b w:val="1"/>
                <w:bCs w:val="1"/>
                <w:color w:val="auto"/>
              </w:rPr>
              <w:t>July 30, 2016</w:t>
            </w: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August 1, 2015</w:t>
            </w:r>
          </w:p>
        </w:tc>
        <w:tc>
          <w:tcPr>
            <w:tcW w:w="2160" w:type="dxa"/>
            <w:vAlign w:val="bottom"/>
          </w:tcPr>
          <w:p>
            <w:pPr>
              <w:jc w:val="right"/>
              <w:ind w:right="499"/>
              <w:spacing w:after="0"/>
              <w:rPr>
                <w:sz w:val="20"/>
                <w:szCs w:val="20"/>
                <w:color w:val="auto"/>
              </w:rPr>
            </w:pPr>
            <w:r>
              <w:rPr>
                <w:rFonts w:ascii="Arial" w:cs="Arial" w:eastAsia="Arial" w:hAnsi="Arial"/>
                <w:sz w:val="16"/>
                <w:szCs w:val="16"/>
                <w:b w:val="1"/>
                <w:bCs w:val="1"/>
                <w:color w:val="auto"/>
              </w:rPr>
              <w:t>July 30, 2016</w:t>
            </w:r>
          </w:p>
        </w:tc>
        <w:tc>
          <w:tcPr>
            <w:tcW w:w="17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1, 2015</w:t>
            </w:r>
          </w:p>
        </w:tc>
      </w:tr>
      <w:tr>
        <w:trPr>
          <w:trHeight w:val="33"/>
        </w:trPr>
        <w:tc>
          <w:tcPr>
            <w:tcW w:w="35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gross profit</w:t>
            </w:r>
          </w:p>
        </w:tc>
        <w:tc>
          <w:tcPr>
            <w:tcW w:w="252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$1,234</w:t>
            </w:r>
          </w:p>
        </w:tc>
        <w:tc>
          <w:tcPr>
            <w:tcW w:w="13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$2,328</w:t>
            </w:r>
          </w:p>
        </w:tc>
        <w:tc>
          <w:tcPr>
            <w:tcW w:w="17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$2,391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Retail gross profit as a % of net sales</w:t>
            </w:r>
          </w:p>
        </w:tc>
        <w:tc>
          <w:tcPr>
            <w:tcW w:w="2520" w:type="dxa"/>
            <w:vAlign w:val="bottom"/>
          </w:tcPr>
          <w:p>
            <w:pPr>
              <w:jc w:val="right"/>
              <w:ind w:right="719"/>
              <w:spacing w:after="0"/>
              <w:rPr>
                <w:sz w:val="20"/>
                <w:szCs w:val="20"/>
                <w:color w:val="auto"/>
              </w:rPr>
            </w:pPr>
            <w:r>
              <w:rPr>
                <w:rFonts w:ascii="Arial" w:cs="Arial" w:eastAsia="Arial" w:hAnsi="Arial"/>
                <w:sz w:val="16"/>
                <w:szCs w:val="16"/>
                <w:b w:val="1"/>
                <w:bCs w:val="1"/>
                <w:color w:val="auto"/>
              </w:rPr>
              <w:t>34.4%</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2160" w:type="dxa"/>
            <w:vAlign w:val="bottom"/>
          </w:tcPr>
          <w:p>
            <w:pPr>
              <w:jc w:val="right"/>
              <w:ind w:right="339"/>
              <w:spacing w:after="0"/>
              <w:rPr>
                <w:sz w:val="20"/>
                <w:szCs w:val="20"/>
                <w:color w:val="auto"/>
              </w:rPr>
            </w:pPr>
            <w:r>
              <w:rPr>
                <w:rFonts w:ascii="Arial" w:cs="Arial" w:eastAsia="Arial" w:hAnsi="Arial"/>
                <w:sz w:val="16"/>
                <w:szCs w:val="16"/>
                <w:b w:val="1"/>
                <w:bCs w:val="1"/>
                <w:color w:val="auto"/>
              </w:rPr>
              <w:t>34.3%</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35.6%</w:t>
            </w:r>
          </w:p>
        </w:tc>
      </w:tr>
      <w:tr>
        <w:trPr>
          <w:trHeight w:val="33"/>
        </w:trPr>
        <w:tc>
          <w:tcPr>
            <w:tcW w:w="3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354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right"/>
              <w:ind w:right="499"/>
              <w:spacing w:after="0"/>
              <w:rPr>
                <w:sz w:val="20"/>
                <w:szCs w:val="20"/>
                <w:color w:val="auto"/>
              </w:rPr>
            </w:pPr>
            <w:r>
              <w:rPr>
                <w:rFonts w:ascii="Arial" w:cs="Arial" w:eastAsia="Arial" w:hAnsi="Arial"/>
                <w:sz w:val="16"/>
                <w:szCs w:val="16"/>
                <w:b w:val="1"/>
                <w:bCs w:val="1"/>
                <w:color w:val="auto"/>
              </w:rPr>
              <w:t>July 30, 2016</w:t>
            </w:r>
          </w:p>
        </w:tc>
        <w:tc>
          <w:tcPr>
            <w:tcW w:w="17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1, 2015</w:t>
            </w:r>
          </w:p>
        </w:tc>
      </w:tr>
      <w:tr>
        <w:trPr>
          <w:trHeight w:val="33"/>
        </w:trPr>
        <w:tc>
          <w:tcPr>
            <w:tcW w:w="35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inventory per square foot</w:t>
            </w:r>
          </w:p>
        </w:tc>
        <w:tc>
          <w:tcPr>
            <w:tcW w:w="25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$70.51</w:t>
            </w:r>
          </w:p>
        </w:tc>
        <w:tc>
          <w:tcPr>
            <w:tcW w:w="17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$72.72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Inventory turnover rate</w:t>
            </w:r>
          </w:p>
        </w:tc>
        <w:tc>
          <w:tcPr>
            <w:tcW w:w="2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right"/>
              <w:ind w:right="499"/>
              <w:spacing w:after="0"/>
              <w:rPr>
                <w:sz w:val="20"/>
                <w:szCs w:val="20"/>
                <w:color w:val="auto"/>
              </w:rPr>
            </w:pPr>
            <w:r>
              <w:rPr>
                <w:rFonts w:ascii="Arial" w:cs="Arial" w:eastAsia="Arial" w:hAnsi="Arial"/>
                <w:sz w:val="16"/>
                <w:szCs w:val="16"/>
                <w:b w:val="1"/>
                <w:bCs w:val="1"/>
                <w:color w:val="auto"/>
              </w:rPr>
              <w:t>4.43</w:t>
            </w:r>
          </w:p>
        </w:tc>
        <w:tc>
          <w:tcPr>
            <w:tcW w:w="1740" w:type="dxa"/>
            <w:vAlign w:val="bottom"/>
          </w:tcPr>
          <w:p>
            <w:pPr>
              <w:jc w:val="right"/>
              <w:ind w:right="219"/>
              <w:spacing w:after="0"/>
              <w:rPr>
                <w:sz w:val="20"/>
                <w:szCs w:val="20"/>
                <w:color w:val="auto"/>
              </w:rPr>
            </w:pPr>
            <w:r>
              <w:rPr>
                <w:rFonts w:ascii="Arial" w:cs="Arial" w:eastAsia="Arial" w:hAnsi="Arial"/>
                <w:sz w:val="16"/>
                <w:szCs w:val="16"/>
                <w:color w:val="auto"/>
              </w:rPr>
              <w:t>4.49</w:t>
            </w:r>
          </w:p>
        </w:tc>
      </w:tr>
      <w:tr>
        <w:trPr>
          <w:trHeight w:val="33"/>
        </w:trPr>
        <w:tc>
          <w:tcPr>
            <w:tcW w:w="35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Retail GP rate decreased 100 basis points, or $38 for the quarter and 130 basis points, or $63 for the six months ended July 30, 2016 compared with the same periods in 2015. These decreases were primarily due to higher markdowns in addition to increased occupancy costs related to Nordstrom Rack’s continued store expansion.</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Through our actions to realign inventory levels and the performance of our Anniversary Sale, inventory growth slowed to 1.4% which drove improvement to our ending inventory per square foot.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selling, general and administrative expenses (“Retail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2"/>
          </w:tcPr>
          <w:p>
            <w:pPr>
              <w:jc w:val="right"/>
              <w:ind w:right="11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560" w:type="dxa"/>
            <w:vAlign w:val="bottom"/>
          </w:tcPr>
          <w:p>
            <w:pPr>
              <w:jc w:val="right"/>
              <w:ind w:right="879"/>
              <w:spacing w:after="0"/>
              <w:rPr>
                <w:sz w:val="20"/>
                <w:szCs w:val="20"/>
                <w:color w:val="auto"/>
              </w:rPr>
            </w:pPr>
            <w:r>
              <w:rPr>
                <w:rFonts w:ascii="Arial" w:cs="Arial" w:eastAsia="Arial" w:hAnsi="Arial"/>
                <w:sz w:val="16"/>
                <w:szCs w:val="16"/>
                <w:b w:val="1"/>
                <w:bCs w:val="1"/>
                <w:color w:val="auto"/>
              </w:rPr>
              <w:t>July 30, 2016</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1, 2015</w:t>
            </w:r>
          </w:p>
        </w:tc>
        <w:tc>
          <w:tcPr>
            <w:tcW w:w="2020" w:type="dxa"/>
            <w:vAlign w:val="bottom"/>
          </w:tcPr>
          <w:p>
            <w:pPr>
              <w:jc w:val="right"/>
              <w:ind w:right="439"/>
              <w:spacing w:after="0"/>
              <w:rPr>
                <w:sz w:val="20"/>
                <w:szCs w:val="20"/>
                <w:color w:val="auto"/>
              </w:rPr>
            </w:pPr>
            <w:r>
              <w:rPr>
                <w:rFonts w:ascii="Arial" w:cs="Arial" w:eastAsia="Arial" w:hAnsi="Arial"/>
                <w:sz w:val="16"/>
                <w:szCs w:val="16"/>
                <w:b w:val="1"/>
                <w:bCs w:val="1"/>
                <w:color w:val="auto"/>
              </w:rPr>
              <w:t>July 30, 2016</w:t>
            </w: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1, 2015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Retail selling, general and administrative expenses</w:t>
            </w:r>
          </w:p>
        </w:tc>
        <w:tc>
          <w:tcPr>
            <w:tcW w:w="25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$1,030</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$2,034</w:t>
            </w:r>
          </w:p>
        </w:tc>
        <w:tc>
          <w:tcPr>
            <w:tcW w:w="17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1"/>
              </w:rPr>
              <w:t>Retail selling, general and administrative expenses as a</w:t>
            </w:r>
          </w:p>
        </w:tc>
        <w:tc>
          <w:tcPr>
            <w:tcW w:w="256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28.7%</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30.0%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280"/>
              <w:spacing w:after="0"/>
              <w:rPr>
                <w:sz w:val="20"/>
                <w:szCs w:val="20"/>
                <w:color w:val="auto"/>
              </w:rPr>
            </w:pPr>
            <w:r>
              <w:rPr>
                <w:rFonts w:ascii="Arial" w:cs="Arial" w:eastAsia="Arial" w:hAnsi="Arial"/>
                <w:sz w:val="16"/>
                <w:szCs w:val="16"/>
                <w:color w:val="auto"/>
              </w:rPr>
              <w:t>% of net sales</w:t>
            </w:r>
          </w:p>
        </w:tc>
        <w:tc>
          <w:tcPr>
            <w:tcW w:w="2560" w:type="dxa"/>
            <w:vAlign w:val="bottom"/>
            <w:vMerge w:val="continue"/>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the quarter ended July 30, 2016, our Retail SG&amp;A rate increased 64 basis points primarily attributable to expense deleverage from the shift in sales volume into the third quarter related to the Anniversary Sale event, while Retail SG&amp;A expenses increased $21 primarily due to increased technology investments. For the six months ended July 30, 2016, our Retail SG&amp;A rate increased 123 basis points and our Retail SG&amp;A increased $104 primarily reflecting planned technology investments and higher credit chargeback expenses associated with an industry change in liability rules effective October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Segment</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we completed the sale of a substantial majority of our U.S. Visa and private label credit card portfolio to TD on October 1, 2015, and entered into a long-term program agreement under which TD is the exclusive issuer of our U.S. consumer credit cards, our Credit Segment business has changed. With these changes, although we receive a smaller share of available profits under the program agreement, we no longer fund this portfolio alleviating significant working capital requirements (see Note 2: Credit Card Receivable Transaction in Item 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a detailed view of the operational results of our Credit segment, consistent with Note 10: Segment Reporting in Item 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600" w:type="dxa"/>
            <w:vAlign w:val="bottom"/>
          </w:tcPr>
          <w:p>
            <w:pPr>
              <w:spacing w:after="0"/>
              <w:rPr>
                <w:sz w:val="20"/>
                <w:szCs w:val="20"/>
                <w:color w:val="auto"/>
              </w:rPr>
            </w:pPr>
          </w:p>
        </w:tc>
        <w:tc>
          <w:tcPr>
            <w:tcW w:w="2540" w:type="dxa"/>
            <w:vAlign w:val="bottom"/>
          </w:tcPr>
          <w:p>
            <w:pPr>
              <w:jc w:val="right"/>
              <w:ind w:right="819"/>
              <w:spacing w:after="0"/>
              <w:rPr>
                <w:sz w:val="20"/>
                <w:szCs w:val="20"/>
                <w:color w:val="auto"/>
              </w:rPr>
            </w:pPr>
            <w:r>
              <w:rPr>
                <w:rFonts w:ascii="Arial" w:cs="Arial" w:eastAsia="Arial" w:hAnsi="Arial"/>
                <w:sz w:val="16"/>
                <w:szCs w:val="16"/>
                <w:b w:val="1"/>
                <w:bCs w:val="1"/>
                <w:color w:val="auto"/>
              </w:rPr>
              <w:t>July 30, 2016</w:t>
            </w: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1, 2015</w:t>
            </w:r>
          </w:p>
        </w:tc>
        <w:tc>
          <w:tcPr>
            <w:tcW w:w="2600" w:type="dxa"/>
            <w:vAlign w:val="bottom"/>
          </w:tcPr>
          <w:p>
            <w:pPr>
              <w:jc w:val="right"/>
              <w:ind w:right="859"/>
              <w:spacing w:after="0"/>
              <w:rPr>
                <w:sz w:val="20"/>
                <w:szCs w:val="20"/>
                <w:color w:val="auto"/>
              </w:rPr>
            </w:pPr>
            <w:r>
              <w:rPr>
                <w:rFonts w:ascii="Arial" w:cs="Arial" w:eastAsia="Arial" w:hAnsi="Arial"/>
                <w:sz w:val="16"/>
                <w:szCs w:val="16"/>
                <w:b w:val="1"/>
                <w:bCs w:val="1"/>
                <w:color w:val="auto"/>
              </w:rPr>
              <w:t>July 30, 2016</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w w:val="90"/>
              </w:rPr>
              <w:t>August 1, 2015</w:t>
            </w:r>
          </w:p>
        </w:tc>
      </w:tr>
      <w:tr>
        <w:trPr>
          <w:trHeight w:val="33"/>
        </w:trPr>
        <w:tc>
          <w:tcPr>
            <w:tcW w:w="3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25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$59</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$116</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$202</w:t>
            </w: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Credit expenses</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(42)</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600" w:type="dxa"/>
            <w:vAlign w:val="bottom"/>
          </w:tcPr>
          <w:p>
            <w:pPr>
              <w:jc w:val="right"/>
              <w:ind w:right="799"/>
              <w:spacing w:after="0"/>
              <w:rPr>
                <w:sz w:val="20"/>
                <w:szCs w:val="20"/>
                <w:color w:val="auto"/>
              </w:rPr>
            </w:pPr>
            <w:r>
              <w:rPr>
                <w:rFonts w:ascii="Arial" w:cs="Arial" w:eastAsia="Arial" w:hAnsi="Arial"/>
                <w:sz w:val="16"/>
                <w:szCs w:val="16"/>
                <w:b w:val="1"/>
                <w:bCs w:val="1"/>
                <w:color w:val="auto"/>
              </w:rPr>
              <w:t>(83)</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(102)</w:t>
            </w:r>
          </w:p>
        </w:tc>
      </w:tr>
      <w:tr>
        <w:trPr>
          <w:trHeight w:val="33"/>
        </w:trPr>
        <w:tc>
          <w:tcPr>
            <w:tcW w:w="3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transaction, net</w:t>
            </w:r>
          </w:p>
        </w:tc>
        <w:tc>
          <w:tcPr>
            <w:tcW w:w="25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w:t>
            </w:r>
          </w:p>
        </w:tc>
      </w:tr>
      <w:tr>
        <w:trPr>
          <w:trHeight w:val="231"/>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54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17</w:t>
            </w:r>
          </w:p>
        </w:tc>
        <w:tc>
          <w:tcPr>
            <w:tcW w:w="1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114</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33</w:t>
            </w:r>
          </w:p>
        </w:tc>
        <w:tc>
          <w:tcPr>
            <w:tcW w:w="12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161</w:t>
            </w:r>
          </w:p>
        </w:tc>
      </w:tr>
      <w:tr>
        <w:trPr>
          <w:trHeight w:val="33"/>
        </w:trPr>
        <w:tc>
          <w:tcPr>
            <w:tcW w:w="3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1</w:t>
            </w:r>
          </w:p>
        </w:tc>
        <w:tc>
          <w:tcPr>
            <w:tcW w:w="254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shd w:val="clear" w:color="auto" w:fill="CCEEFF"/>
          </w:tcPr>
          <w:p>
            <w:pPr>
              <w:spacing w:after="0"/>
              <w:rPr>
                <w:sz w:val="22"/>
                <w:szCs w:val="22"/>
                <w:color w:val="auto"/>
              </w:rPr>
            </w:pPr>
          </w:p>
        </w:tc>
        <w:tc>
          <w:tcPr>
            <w:tcW w:w="26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31"/>
        </w:trPr>
        <w:tc>
          <w:tcPr>
            <w:tcW w:w="360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2540" w:type="dxa"/>
            <w:vAlign w:val="bottom"/>
          </w:tcPr>
          <w:p>
            <w:pPr>
              <w:jc w:val="right"/>
              <w:ind w:right="819"/>
              <w:spacing w:after="0"/>
              <w:rPr>
                <w:sz w:val="20"/>
                <w:szCs w:val="20"/>
                <w:color w:val="auto"/>
              </w:rPr>
            </w:pPr>
            <w:r>
              <w:rPr>
                <w:rFonts w:ascii="Arial" w:cs="Arial" w:eastAsia="Arial" w:hAnsi="Arial"/>
                <w:sz w:val="16"/>
                <w:szCs w:val="16"/>
                <w:b w:val="1"/>
                <w:bCs w:val="1"/>
                <w:color w:val="auto"/>
              </w:rPr>
              <w:t>$17</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600" w:type="dxa"/>
            <w:vAlign w:val="bottom"/>
          </w:tcPr>
          <w:p>
            <w:pPr>
              <w:jc w:val="right"/>
              <w:ind w:right="859"/>
              <w:spacing w:after="0"/>
              <w:rPr>
                <w:sz w:val="20"/>
                <w:szCs w:val="20"/>
                <w:color w:val="auto"/>
              </w:rPr>
            </w:pPr>
            <w:r>
              <w:rPr>
                <w:rFonts w:ascii="Arial" w:cs="Arial" w:eastAsia="Arial" w:hAnsi="Arial"/>
                <w:sz w:val="16"/>
                <w:szCs w:val="16"/>
                <w:b w:val="1"/>
                <w:bCs w:val="1"/>
                <w:color w:val="auto"/>
              </w:rPr>
              <w:t>$33</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$151</w:t>
            </w:r>
          </w:p>
        </w:tc>
      </w:tr>
      <w:tr>
        <w:trPr>
          <w:trHeight w:val="33"/>
        </w:trPr>
        <w:tc>
          <w:tcPr>
            <w:tcW w:w="3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360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70"/>
        </w:trPr>
        <w:tc>
          <w:tcPr>
            <w:tcW w:w="3600" w:type="dxa"/>
            <w:vAlign w:val="bottom"/>
          </w:tcPr>
          <w:p>
            <w:pPr>
              <w:ind w:left="40"/>
              <w:spacing w:after="0"/>
              <w:rPr>
                <w:sz w:val="20"/>
                <w:szCs w:val="20"/>
                <w:color w:val="auto"/>
              </w:rPr>
            </w:pPr>
            <w:r>
              <w:rPr>
                <w:rFonts w:ascii="Arial" w:cs="Arial" w:eastAsia="Arial" w:hAnsi="Arial"/>
                <w:sz w:val="16"/>
                <w:szCs w:val="16"/>
                <w:color w:val="auto"/>
              </w:rPr>
              <w:t>Credit and debit card volume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2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3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Outside</w:t>
            </w:r>
          </w:p>
        </w:tc>
        <w:tc>
          <w:tcPr>
            <w:tcW w:w="25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$1,068</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$2,084</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$2,150</w:t>
            </w:r>
          </w:p>
        </w:tc>
      </w:tr>
      <w:tr>
        <w:trPr>
          <w:trHeight w:val="237"/>
        </w:trPr>
        <w:tc>
          <w:tcPr>
            <w:tcW w:w="3600" w:type="dxa"/>
            <w:vAlign w:val="bottom"/>
          </w:tcPr>
          <w:p>
            <w:pPr>
              <w:ind w:left="280"/>
              <w:spacing w:after="0"/>
              <w:rPr>
                <w:sz w:val="20"/>
                <w:szCs w:val="20"/>
                <w:color w:val="auto"/>
              </w:rPr>
            </w:pPr>
            <w:r>
              <w:rPr>
                <w:rFonts w:ascii="Arial" w:cs="Arial" w:eastAsia="Arial" w:hAnsi="Arial"/>
                <w:sz w:val="16"/>
                <w:szCs w:val="16"/>
                <w:color w:val="auto"/>
              </w:rPr>
              <w:t>Inside</w:t>
            </w:r>
          </w:p>
        </w:tc>
        <w:tc>
          <w:tcPr>
            <w:tcW w:w="2540" w:type="dxa"/>
            <w:vAlign w:val="bottom"/>
          </w:tcPr>
          <w:p>
            <w:pPr>
              <w:jc w:val="right"/>
              <w:ind w:right="819"/>
              <w:spacing w:after="0"/>
              <w:rPr>
                <w:sz w:val="20"/>
                <w:szCs w:val="20"/>
                <w:color w:val="auto"/>
              </w:rPr>
            </w:pPr>
            <w:r>
              <w:rPr>
                <w:rFonts w:ascii="Arial" w:cs="Arial" w:eastAsia="Arial" w:hAnsi="Arial"/>
                <w:sz w:val="16"/>
                <w:szCs w:val="16"/>
                <w:b w:val="1"/>
                <w:bCs w:val="1"/>
                <w:color w:val="auto"/>
              </w:rPr>
              <w:t>1,708</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20"/>
                <w:szCs w:val="20"/>
                <w:color w:val="auto"/>
              </w:rPr>
            </w:pPr>
          </w:p>
        </w:tc>
        <w:tc>
          <w:tcPr>
            <w:tcW w:w="2600" w:type="dxa"/>
            <w:vAlign w:val="bottom"/>
          </w:tcPr>
          <w:p>
            <w:pPr>
              <w:jc w:val="right"/>
              <w:ind w:right="859"/>
              <w:spacing w:after="0"/>
              <w:rPr>
                <w:sz w:val="20"/>
                <w:szCs w:val="20"/>
                <w:color w:val="auto"/>
              </w:rPr>
            </w:pPr>
            <w:r>
              <w:rPr>
                <w:rFonts w:ascii="Arial" w:cs="Arial" w:eastAsia="Arial" w:hAnsi="Arial"/>
                <w:sz w:val="16"/>
                <w:szCs w:val="16"/>
                <w:b w:val="1"/>
                <w:bCs w:val="1"/>
                <w:color w:val="auto"/>
              </w:rPr>
              <w:t>2,975</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2,999</w:t>
            </w:r>
          </w:p>
        </w:tc>
      </w:tr>
      <w:tr>
        <w:trPr>
          <w:trHeight w:val="33"/>
        </w:trPr>
        <w:tc>
          <w:tcPr>
            <w:tcW w:w="3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volume</w:t>
            </w:r>
          </w:p>
        </w:tc>
        <w:tc>
          <w:tcPr>
            <w:tcW w:w="254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$2,776</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$2,827</w:t>
            </w:r>
          </w:p>
        </w:tc>
        <w:tc>
          <w:tcPr>
            <w:tcW w:w="120" w:type="dxa"/>
            <w:vAlign w:val="bottom"/>
            <w:shd w:val="clear" w:color="auto" w:fill="CCEEFF"/>
          </w:tcPr>
          <w:p>
            <w:pPr>
              <w:spacing w:after="0"/>
              <w:rPr>
                <w:sz w:val="20"/>
                <w:szCs w:val="20"/>
                <w:color w:val="auto"/>
              </w:rPr>
            </w:pPr>
          </w:p>
        </w:tc>
        <w:tc>
          <w:tcPr>
            <w:tcW w:w="2600" w:type="dxa"/>
            <w:vAlign w:val="bottom"/>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$5,059</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$5,149</w:t>
            </w:r>
          </w:p>
        </w:tc>
      </w:tr>
      <w:tr>
        <w:trPr>
          <w:trHeight w:val="33"/>
        </w:trPr>
        <w:tc>
          <w:tcPr>
            <w:tcW w:w="36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Prior to the credit card receivable transaction, interest expense was allocated to the Credit segment as if it carried debt of up to 80% of the credit card receivables.</w:t>
      </w:r>
    </w:p>
    <w:p>
      <w:pPr>
        <w:spacing w:after="0" w:line="7"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Volume represents sales on the total portfolio plus applicable 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credit card revenues, net</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1, 2015</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charge revenue</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Interchange fees</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1</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Late fees and other</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program revenues, net</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56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109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credit card revenues, net</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$59</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$116</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0"/>
        </w:trPr>
        <w:tc>
          <w:tcPr>
            <w:tcW w:w="378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the close of the credit card receivable transaction on October 1, 2015, credit card revenues included finance charges, interchange fees, late fees and other revenue, recorded net of estimated uncollectible finance charges and fees. Finance charges represent interest earned on unpaid balances while interchange fees are earned from the use of Nordstrom Visa credit cards at merchants outside of Nordstrom. Late fees are assessed when a credit card account becomes past due. We continue to recognize revenue in this manner for the credit card receivables retained subsequent to the close of the credit card receivable transaction.</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Following the close of the transaction and pursuant to the program agreement with TD, we receive our portion of the ongoing credit card revenue, net of credit losses, from both the sold and newly generated credit card receivables, which is recorded in credit program revenues, net. Revenue earned under the program agreement is impacted by the credit quality of receivables and factors such as deteriorating economic conditions, declining creditworthiness of cardholders and the execution of account management and collection activities may heighten the risk of credit losses. Asset amortization and deferred revenue recognition associated with the assets and liabilities recorded as part of the transaction are also recognized in credit program revenues, net.</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Credit card revenues, net decreased $44 and $86 for the quarter and six months ended July 30, 2016, compared with the same periods in 2015, primarily due to the impact of the program agreement with TD and the amortization of our beneficial interest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expenses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1, 2015</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Operational expenses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$80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Bad debt expense</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Occupancy expenses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expenses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$42</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$83</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Total credit expenses decreased $8 and $19 for the quarter and six months ended July 30, 2016, compared with the same periods in 2015, primarily due to a decrease in bad debt expense since the sale of our credit card receivables in the third quarter of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Transaction, net</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Credit transaction, net of $61 for the quarter and six months ended August 1, 2015 is primarily due to the reversal of the allowance for credit losses on accounts receivable that were reclassified to “held for sale” (see Note 3: Accounts Receivable).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Company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Interest expense, net was $30 for the second quarter and $61 for the six months ended July 30, 2016, compared with $32 for the second quarter and $65 for the six months ended August 1, 2015. These decreases were primarily due to the defeasance of our $325 Series 2011-1 Class A Notes in the third quarter of 2015 as a result of the credit card receivable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32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560" w:type="dxa"/>
            <w:vAlign w:val="bottom"/>
          </w:tcPr>
          <w:p>
            <w:pPr>
              <w:jc w:val="right"/>
              <w:ind w:right="879"/>
              <w:spacing w:after="0"/>
              <w:rPr>
                <w:sz w:val="20"/>
                <w:szCs w:val="20"/>
                <w:color w:val="auto"/>
              </w:rPr>
            </w:pPr>
            <w:r>
              <w:rPr>
                <w:rFonts w:ascii="Arial" w:cs="Arial" w:eastAsia="Arial" w:hAnsi="Arial"/>
                <w:sz w:val="16"/>
                <w:szCs w:val="16"/>
                <w:b w:val="1"/>
                <w:bCs w:val="1"/>
                <w:color w:val="auto"/>
              </w:rPr>
              <w:t>July 30, 2016</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1, 2015</w:t>
            </w:r>
          </w:p>
        </w:tc>
        <w:tc>
          <w:tcPr>
            <w:tcW w:w="2640" w:type="dxa"/>
            <w:vAlign w:val="bottom"/>
          </w:tcPr>
          <w:p>
            <w:pPr>
              <w:jc w:val="right"/>
              <w:ind w:right="939"/>
              <w:spacing w:after="0"/>
              <w:rPr>
                <w:sz w:val="20"/>
                <w:szCs w:val="20"/>
                <w:color w:val="auto"/>
              </w:rPr>
            </w:pPr>
            <w:r>
              <w:rPr>
                <w:rFonts w:ascii="Arial" w:cs="Arial" w:eastAsia="Arial" w:hAnsi="Arial"/>
                <w:sz w:val="16"/>
                <w:szCs w:val="16"/>
                <w:b w:val="1"/>
                <w:bCs w:val="1"/>
                <w:color w:val="auto"/>
              </w:rPr>
              <w:t>July 30, 2016</w:t>
            </w: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88"/>
              </w:rPr>
              <w:t>August 1, 2015</w:t>
            </w:r>
          </w:p>
        </w:tc>
      </w:tr>
      <w:tr>
        <w:trPr>
          <w:trHeight w:val="33"/>
        </w:trPr>
        <w:tc>
          <w:tcPr>
            <w:tcW w:w="34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5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$74</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$103</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$218</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560" w:type="dxa"/>
            <w:vAlign w:val="bottom"/>
          </w:tcPr>
          <w:p>
            <w:pPr>
              <w:jc w:val="right"/>
              <w:ind w:right="719"/>
              <w:spacing w:after="0"/>
              <w:rPr>
                <w:sz w:val="20"/>
                <w:szCs w:val="20"/>
                <w:color w:val="auto"/>
              </w:rPr>
            </w:pPr>
            <w:r>
              <w:rPr>
                <w:rFonts w:ascii="Arial" w:cs="Arial" w:eastAsia="Arial" w:hAnsi="Arial"/>
                <w:sz w:val="16"/>
                <w:szCs w:val="16"/>
                <w:b w:val="1"/>
                <w:bCs w:val="1"/>
                <w:color w:val="auto"/>
              </w:rPr>
              <w:t>38.7%</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38.7%</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39.2%</w:t>
            </w:r>
          </w:p>
        </w:tc>
      </w:tr>
      <w:tr>
        <w:trPr>
          <w:trHeight w:val="33"/>
        </w:trPr>
        <w:tc>
          <w:tcPr>
            <w:tcW w:w="34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The effective tax rate was relatively flat for the quarter ended July 30, 2016, compared with the same period in 2015. The effective tax rate decreased for the six months ended July 30, 2016, compared with the same period in 2015, primarily due to increased federal income tax credits.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August 1, 2015</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1, 2015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$0.67</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$0.94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$0.67</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$0.93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Earnings per diluted share decreased for the quarter and six months ended July 30, 2016, compared with the same periods in 2015, primarily due to a $64 benefit in fiscal 2015 associated with the sale of the credit card portfolio and higher 2016 planned technology and fulfillment expenses supporting the Company’s growth initiatives. This was partially offset by a decrease in weighted average shares outstanding resulting from increased share repurchases in the second half of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Outlook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updated our annual earnings per diluted share expectations to incorporate our second quarter results. Our expectations for fiscal 2016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292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 Outlook</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Current Outlook</w:t>
            </w:r>
          </w:p>
        </w:tc>
      </w:tr>
      <w:tr>
        <w:trPr>
          <w:trHeight w:val="47"/>
        </w:trPr>
        <w:tc>
          <w:tcPr>
            <w:tcW w:w="650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3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(percent)</w:t>
            </w:r>
          </w:p>
        </w:tc>
        <w:tc>
          <w:tcPr>
            <w:tcW w:w="2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 to 4.5 increase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to 4.5 increase</w:t>
            </w:r>
          </w:p>
        </w:tc>
      </w:tr>
      <w:tr>
        <w:trPr>
          <w:trHeight w:val="224"/>
        </w:trPr>
        <w:tc>
          <w:tcPr>
            <w:tcW w:w="6500" w:type="dxa"/>
            <w:vAlign w:val="bottom"/>
          </w:tcPr>
          <w:p>
            <w:pPr>
              <w:ind w:left="40"/>
              <w:spacing w:after="0"/>
              <w:rPr>
                <w:sz w:val="20"/>
                <w:szCs w:val="20"/>
                <w:color w:val="auto"/>
              </w:rPr>
            </w:pPr>
            <w:r>
              <w:rPr>
                <w:rFonts w:ascii="Arial" w:cs="Arial" w:eastAsia="Arial" w:hAnsi="Arial"/>
                <w:sz w:val="16"/>
                <w:szCs w:val="16"/>
                <w:color w:val="auto"/>
              </w:rPr>
              <w:t>Comparable sales (percent)</w:t>
            </w:r>
          </w:p>
        </w:tc>
        <w:tc>
          <w:tcPr>
            <w:tcW w:w="2920" w:type="dxa"/>
            <w:vAlign w:val="bottom"/>
          </w:tcPr>
          <w:p>
            <w:pPr>
              <w:jc w:val="right"/>
              <w:ind w:right="99"/>
              <w:spacing w:after="0"/>
              <w:rPr>
                <w:sz w:val="20"/>
                <w:szCs w:val="20"/>
                <w:color w:val="auto"/>
              </w:rPr>
            </w:pPr>
            <w:r>
              <w:rPr>
                <w:rFonts w:ascii="Arial" w:cs="Arial" w:eastAsia="Arial" w:hAnsi="Arial"/>
                <w:sz w:val="16"/>
                <w:szCs w:val="16"/>
                <w:color w:val="auto"/>
              </w:rPr>
              <w:t>1 decrease to 1 increase</w:t>
            </w:r>
          </w:p>
        </w:tc>
        <w:tc>
          <w:tcPr>
            <w:tcW w:w="2000" w:type="dxa"/>
            <w:vAlign w:val="bottom"/>
          </w:tcPr>
          <w:p>
            <w:pPr>
              <w:jc w:val="right"/>
              <w:spacing w:after="0"/>
              <w:rPr>
                <w:sz w:val="20"/>
                <w:szCs w:val="20"/>
                <w:color w:val="auto"/>
              </w:rPr>
            </w:pPr>
            <w:r>
              <w:rPr>
                <w:rFonts w:ascii="Arial" w:cs="Arial" w:eastAsia="Arial" w:hAnsi="Arial"/>
                <w:sz w:val="16"/>
                <w:szCs w:val="16"/>
                <w:color w:val="auto"/>
              </w:rPr>
              <w:t>1 decrease to 1 increase</w:t>
            </w:r>
          </w:p>
        </w:tc>
      </w:tr>
      <w:tr>
        <w:trPr>
          <w:trHeight w:val="33"/>
        </w:trPr>
        <w:tc>
          <w:tcPr>
            <w:tcW w:w="65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EBIT (percent)</w:t>
            </w:r>
          </w:p>
        </w:tc>
        <w:tc>
          <w:tcPr>
            <w:tcW w:w="2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 to 20 decrease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to 15 decrease</w:t>
            </w:r>
          </w:p>
        </w:tc>
      </w:tr>
      <w:tr>
        <w:trPr>
          <w:trHeight w:val="224"/>
        </w:trPr>
        <w:tc>
          <w:tcPr>
            <w:tcW w:w="6500" w:type="dxa"/>
            <w:vAlign w:val="bottom"/>
          </w:tcPr>
          <w:p>
            <w:pPr>
              <w:ind w:left="40"/>
              <w:spacing w:after="0"/>
              <w:rPr>
                <w:sz w:val="20"/>
                <w:szCs w:val="20"/>
                <w:color w:val="auto"/>
              </w:rPr>
            </w:pPr>
            <w:r>
              <w:rPr>
                <w:rFonts w:ascii="Arial" w:cs="Arial" w:eastAsia="Arial" w:hAnsi="Arial"/>
                <w:sz w:val="16"/>
                <w:szCs w:val="16"/>
                <w:color w:val="auto"/>
              </w:rPr>
              <w:t>Credit EBIT</w:t>
            </w:r>
          </w:p>
        </w:tc>
        <w:tc>
          <w:tcPr>
            <w:tcW w:w="2920" w:type="dxa"/>
            <w:vAlign w:val="bottom"/>
          </w:tcPr>
          <w:p>
            <w:pPr>
              <w:jc w:val="right"/>
              <w:ind w:right="99"/>
              <w:spacing w:after="0"/>
              <w:rPr>
                <w:sz w:val="20"/>
                <w:szCs w:val="20"/>
                <w:color w:val="auto"/>
              </w:rPr>
            </w:pPr>
            <w:r>
              <w:rPr>
                <w:rFonts w:ascii="Arial" w:cs="Arial" w:eastAsia="Arial" w:hAnsi="Arial"/>
                <w:sz w:val="16"/>
                <w:szCs w:val="16"/>
                <w:color w:val="auto"/>
              </w:rPr>
              <w:t>$70 to $80 million</w:t>
            </w:r>
          </w:p>
        </w:tc>
        <w:tc>
          <w:tcPr>
            <w:tcW w:w="2000" w:type="dxa"/>
            <w:vAlign w:val="bottom"/>
          </w:tcPr>
          <w:p>
            <w:pPr>
              <w:jc w:val="right"/>
              <w:spacing w:after="0"/>
              <w:rPr>
                <w:sz w:val="20"/>
                <w:szCs w:val="20"/>
                <w:color w:val="auto"/>
              </w:rPr>
            </w:pPr>
            <w:r>
              <w:rPr>
                <w:rFonts w:ascii="Arial" w:cs="Arial" w:eastAsia="Arial" w:hAnsi="Arial"/>
                <w:sz w:val="16"/>
                <w:szCs w:val="16"/>
                <w:color w:val="auto"/>
              </w:rPr>
              <w:t>Approximately $80 million</w:t>
            </w:r>
          </w:p>
        </w:tc>
      </w:tr>
      <w:tr>
        <w:trPr>
          <w:trHeight w:val="33"/>
        </w:trPr>
        <w:tc>
          <w:tcPr>
            <w:tcW w:w="65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diluted share (excluding the impact of any future share repurchases)</w:t>
            </w:r>
          </w:p>
        </w:tc>
        <w:tc>
          <w:tcPr>
            <w:tcW w:w="2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$2.50 to $2.70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 to $2.75</w:t>
            </w:r>
          </w:p>
        </w:tc>
      </w:tr>
      <w:tr>
        <w:trPr>
          <w:trHeight w:val="20"/>
        </w:trPr>
        <w:tc>
          <w:tcPr>
            <w:tcW w:w="650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Invested Capital (“ROIC”) (Non-GAAP financial measure)</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ROIC is a useful financial measure for investors in evaluating the efficiency and effectiveness of our use of capital and believe ROIC is an important component of shareholders’ return over the long term. In addition, we incorporate ROIC in our executive incentive compensation measures. For the 12 fiscal months ended July 30, 2016, our ROIC decreased to 9.1% compared with 12.3% for the 12 fiscal months ended August 1, 2015, primarily due to reduced earnings.</w:t>
      </w:r>
    </w:p>
    <w:p>
      <w:pPr>
        <w:spacing w:after="0" w:line="13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define ROIC as our net operating profit after tax divided by our average invested capital using the trailing 12-month average.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ROIC is return on assets. The following is a reconciliation of the components of ROIC and return on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4080" w:type="dxa"/>
            <w:vAlign w:val="bottom"/>
            <w:gridSpan w:val="2"/>
          </w:tcPr>
          <w:p>
            <w:pPr>
              <w:jc w:val="right"/>
              <w:ind w:right="1119"/>
              <w:spacing w:after="0"/>
              <w:rPr>
                <w:sz w:val="20"/>
                <w:szCs w:val="20"/>
                <w:color w:val="auto"/>
              </w:rPr>
            </w:pPr>
            <w:r>
              <w:rPr>
                <w:rFonts w:ascii="Arial" w:cs="Arial" w:eastAsia="Arial" w:hAnsi="Arial"/>
                <w:sz w:val="16"/>
                <w:szCs w:val="16"/>
                <w:b w:val="1"/>
                <w:bCs w:val="1"/>
                <w:color w:val="auto"/>
              </w:rPr>
              <w:t>12 Fiscal Months Ended</w:t>
            </w:r>
          </w:p>
        </w:tc>
      </w:tr>
      <w:tr>
        <w:trPr>
          <w:trHeight w:val="33"/>
        </w:trPr>
        <w:tc>
          <w:tcPr>
            <w:tcW w:w="73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300" w:type="dxa"/>
            <w:vAlign w:val="bottom"/>
          </w:tcPr>
          <w:p>
            <w:pPr>
              <w:jc w:val="right"/>
              <w:ind w:right="559"/>
              <w:spacing w:after="0"/>
              <w:rPr>
                <w:sz w:val="20"/>
                <w:szCs w:val="20"/>
                <w:color w:val="auto"/>
              </w:rPr>
            </w:pPr>
            <w:r>
              <w:rPr>
                <w:rFonts w:ascii="Arial" w:cs="Arial" w:eastAsia="Arial" w:hAnsi="Arial"/>
                <w:sz w:val="16"/>
                <w:szCs w:val="16"/>
                <w:b w:val="1"/>
                <w:bCs w:val="1"/>
                <w:color w:val="auto"/>
              </w:rPr>
              <w:t>July 30, 2016</w:t>
            </w:r>
          </w:p>
        </w:tc>
        <w:tc>
          <w:tcPr>
            <w:tcW w:w="178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1, 2015</w:t>
            </w:r>
          </w:p>
        </w:tc>
      </w:tr>
      <w:tr>
        <w:trPr>
          <w:trHeight w:val="33"/>
        </w:trPr>
        <w:tc>
          <w:tcPr>
            <w:tcW w:w="7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$424</w:t>
            </w:r>
          </w:p>
        </w:tc>
        <w:tc>
          <w:tcPr>
            <w:tcW w:w="17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$736</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300" w:type="dxa"/>
            <w:vAlign w:val="bottom"/>
          </w:tcPr>
          <w:p>
            <w:pPr>
              <w:jc w:val="right"/>
              <w:ind w:right="559"/>
              <w:spacing w:after="0"/>
              <w:rPr>
                <w:sz w:val="20"/>
                <w:szCs w:val="20"/>
                <w:color w:val="auto"/>
              </w:rPr>
            </w:pPr>
            <w:r>
              <w:rPr>
                <w:rFonts w:ascii="Arial" w:cs="Arial" w:eastAsia="Arial" w:hAnsi="Arial"/>
                <w:sz w:val="16"/>
                <w:szCs w:val="16"/>
                <w:b w:val="1"/>
                <w:bCs w:val="1"/>
                <w:color w:val="auto"/>
              </w:rPr>
              <w:t>261</w:t>
            </w:r>
          </w:p>
        </w:tc>
        <w:tc>
          <w:tcPr>
            <w:tcW w:w="1780" w:type="dxa"/>
            <w:vAlign w:val="bottom"/>
          </w:tcPr>
          <w:p>
            <w:pPr>
              <w:jc w:val="right"/>
              <w:ind w:right="219"/>
              <w:spacing w:after="0"/>
              <w:rPr>
                <w:sz w:val="20"/>
                <w:szCs w:val="20"/>
                <w:color w:val="auto"/>
              </w:rPr>
            </w:pPr>
            <w:r>
              <w:rPr>
                <w:rFonts w:ascii="Arial" w:cs="Arial" w:eastAsia="Arial" w:hAnsi="Arial"/>
                <w:sz w:val="16"/>
                <w:szCs w:val="16"/>
                <w:color w:val="auto"/>
              </w:rPr>
              <w:t>481</w:t>
            </w:r>
          </w:p>
        </w:tc>
      </w:tr>
      <w:tr>
        <w:trPr>
          <w:trHeight w:val="33"/>
        </w:trPr>
        <w:tc>
          <w:tcPr>
            <w:tcW w:w="7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121</w:t>
            </w:r>
          </w:p>
        </w:tc>
        <w:tc>
          <w:tcPr>
            <w:tcW w:w="17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133</w:t>
            </w:r>
          </w:p>
        </w:tc>
      </w:tr>
      <w:tr>
        <w:trPr>
          <w:trHeight w:val="231"/>
        </w:trPr>
        <w:tc>
          <w:tcPr>
            <w:tcW w:w="7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 expense</w:t>
            </w:r>
          </w:p>
        </w:tc>
        <w:tc>
          <w:tcPr>
            <w:tcW w:w="23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806</w:t>
            </w:r>
          </w:p>
        </w:tc>
        <w:tc>
          <w:tcPr>
            <w:tcW w:w="17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1,350</w:t>
            </w:r>
          </w:p>
        </w:tc>
      </w:tr>
      <w:tr>
        <w:trPr>
          <w:trHeight w:val="33"/>
        </w:trPr>
        <w:tc>
          <w:tcPr>
            <w:tcW w:w="7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97"/>
        </w:trPr>
        <w:tc>
          <w:tcPr>
            <w:tcW w:w="73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2300" w:type="dxa"/>
            <w:vAlign w:val="bottom"/>
          </w:tcPr>
          <w:p>
            <w:pPr>
              <w:jc w:val="right"/>
              <w:ind w:right="559"/>
              <w:spacing w:after="0"/>
              <w:rPr>
                <w:sz w:val="20"/>
                <w:szCs w:val="20"/>
                <w:color w:val="auto"/>
              </w:rPr>
            </w:pPr>
            <w:r>
              <w:rPr>
                <w:rFonts w:ascii="Arial" w:cs="Arial" w:eastAsia="Arial" w:hAnsi="Arial"/>
                <w:sz w:val="16"/>
                <w:szCs w:val="16"/>
                <w:b w:val="1"/>
                <w:bCs w:val="1"/>
                <w:color w:val="auto"/>
              </w:rPr>
              <w:t>190</w:t>
            </w:r>
          </w:p>
        </w:tc>
        <w:tc>
          <w:tcPr>
            <w:tcW w:w="1780" w:type="dxa"/>
            <w:vAlign w:val="bottom"/>
          </w:tcPr>
          <w:p>
            <w:pPr>
              <w:jc w:val="right"/>
              <w:ind w:right="219"/>
              <w:spacing w:after="0"/>
              <w:rPr>
                <w:sz w:val="20"/>
                <w:szCs w:val="20"/>
                <w:color w:val="auto"/>
              </w:rPr>
            </w:pPr>
            <w:r>
              <w:rPr>
                <w:rFonts w:ascii="Arial" w:cs="Arial" w:eastAsia="Arial" w:hAnsi="Arial"/>
                <w:sz w:val="16"/>
                <w:szCs w:val="16"/>
                <w:color w:val="auto"/>
              </w:rPr>
              <w:t>154</w:t>
            </w:r>
          </w:p>
        </w:tc>
      </w:tr>
      <w:tr>
        <w:trPr>
          <w:trHeight w:val="33"/>
        </w:trPr>
        <w:tc>
          <w:tcPr>
            <w:tcW w:w="7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Less: estimated depreciation on capitalized operating leases</w:t>
            </w:r>
            <w:r>
              <w:rPr>
                <w:rFonts w:ascii="Arial" w:cs="Arial" w:eastAsia="Arial" w:hAnsi="Arial"/>
                <w:sz w:val="21"/>
                <w:szCs w:val="21"/>
                <w:color w:val="auto"/>
                <w:vertAlign w:val="superscript"/>
              </w:rPr>
              <w:t>1</w:t>
            </w:r>
          </w:p>
        </w:tc>
        <w:tc>
          <w:tcPr>
            <w:tcW w:w="23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(101)</w:t>
            </w:r>
          </w:p>
        </w:tc>
        <w:tc>
          <w:tcPr>
            <w:tcW w:w="17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(83)</w:t>
            </w:r>
          </w:p>
        </w:tc>
      </w:tr>
      <w:tr>
        <w:trPr>
          <w:trHeight w:val="231"/>
        </w:trPr>
        <w:tc>
          <w:tcPr>
            <w:tcW w:w="7320" w:type="dxa"/>
            <w:vAlign w:val="bottom"/>
          </w:tcPr>
          <w:p>
            <w:pPr>
              <w:ind w:left="40"/>
              <w:spacing w:after="0"/>
              <w:rPr>
                <w:sz w:val="20"/>
                <w:szCs w:val="20"/>
                <w:color w:val="auto"/>
              </w:rPr>
            </w:pPr>
            <w:r>
              <w:rPr>
                <w:rFonts w:ascii="Arial" w:cs="Arial" w:eastAsia="Arial" w:hAnsi="Arial"/>
                <w:sz w:val="16"/>
                <w:szCs w:val="16"/>
                <w:color w:val="auto"/>
              </w:rPr>
              <w:t>Net operating profit</w:t>
            </w:r>
          </w:p>
        </w:tc>
        <w:tc>
          <w:tcPr>
            <w:tcW w:w="2300" w:type="dxa"/>
            <w:vAlign w:val="bottom"/>
          </w:tcPr>
          <w:p>
            <w:pPr>
              <w:jc w:val="right"/>
              <w:ind w:right="559"/>
              <w:spacing w:after="0"/>
              <w:rPr>
                <w:sz w:val="20"/>
                <w:szCs w:val="20"/>
                <w:color w:val="auto"/>
              </w:rPr>
            </w:pPr>
            <w:r>
              <w:rPr>
                <w:rFonts w:ascii="Arial" w:cs="Arial" w:eastAsia="Arial" w:hAnsi="Arial"/>
                <w:sz w:val="16"/>
                <w:szCs w:val="16"/>
                <w:b w:val="1"/>
                <w:bCs w:val="1"/>
                <w:color w:val="auto"/>
              </w:rPr>
              <w:t>895</w:t>
            </w:r>
          </w:p>
        </w:tc>
        <w:tc>
          <w:tcPr>
            <w:tcW w:w="1780" w:type="dxa"/>
            <w:vAlign w:val="bottom"/>
          </w:tcPr>
          <w:p>
            <w:pPr>
              <w:jc w:val="right"/>
              <w:ind w:right="219"/>
              <w:spacing w:after="0"/>
              <w:rPr>
                <w:sz w:val="20"/>
                <w:szCs w:val="20"/>
                <w:color w:val="auto"/>
              </w:rPr>
            </w:pPr>
            <w:r>
              <w:rPr>
                <w:rFonts w:ascii="Arial" w:cs="Arial" w:eastAsia="Arial" w:hAnsi="Arial"/>
                <w:sz w:val="16"/>
                <w:szCs w:val="16"/>
                <w:color w:val="auto"/>
              </w:rPr>
              <w:t>1,421</w:t>
            </w:r>
          </w:p>
        </w:tc>
      </w:tr>
      <w:tr>
        <w:trPr>
          <w:trHeight w:val="33"/>
        </w:trPr>
        <w:tc>
          <w:tcPr>
            <w:tcW w:w="7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97"/>
        </w:trPr>
        <w:tc>
          <w:tcPr>
            <w:tcW w:w="73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Less: estimated income tax expense</w:t>
            </w:r>
          </w:p>
        </w:tc>
        <w:tc>
          <w:tcPr>
            <w:tcW w:w="2300" w:type="dxa"/>
            <w:vAlign w:val="bottom"/>
          </w:tcPr>
          <w:p>
            <w:pPr>
              <w:jc w:val="right"/>
              <w:ind w:right="499"/>
              <w:spacing w:after="0"/>
              <w:rPr>
                <w:sz w:val="20"/>
                <w:szCs w:val="20"/>
                <w:color w:val="auto"/>
              </w:rPr>
            </w:pPr>
            <w:r>
              <w:rPr>
                <w:rFonts w:ascii="Arial" w:cs="Arial" w:eastAsia="Arial" w:hAnsi="Arial"/>
                <w:sz w:val="16"/>
                <w:szCs w:val="16"/>
                <w:b w:val="1"/>
                <w:bCs w:val="1"/>
                <w:color w:val="auto"/>
              </w:rPr>
              <w:t>(341)</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(561)</w:t>
            </w:r>
          </w:p>
        </w:tc>
      </w:tr>
      <w:tr>
        <w:trPr>
          <w:trHeight w:val="33"/>
        </w:trPr>
        <w:tc>
          <w:tcPr>
            <w:tcW w:w="7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operating profit after tax</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$554</w:t>
            </w:r>
          </w:p>
        </w:tc>
        <w:tc>
          <w:tcPr>
            <w:tcW w:w="17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$860</w:t>
            </w:r>
          </w:p>
        </w:tc>
      </w:tr>
      <w:tr>
        <w:trPr>
          <w:trHeight w:val="291"/>
        </w:trPr>
        <w:tc>
          <w:tcPr>
            <w:tcW w:w="73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total assets</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$8,332</w:t>
            </w:r>
          </w:p>
        </w:tc>
        <w:tc>
          <w:tcPr>
            <w:tcW w:w="17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$9,275</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Less: average non-interest-bearing current liabilities</w:t>
            </w:r>
          </w:p>
        </w:tc>
        <w:tc>
          <w:tcPr>
            <w:tcW w:w="2300" w:type="dxa"/>
            <w:vAlign w:val="bottom"/>
          </w:tcPr>
          <w:p>
            <w:pPr>
              <w:jc w:val="right"/>
              <w:ind w:right="499"/>
              <w:spacing w:after="0"/>
              <w:rPr>
                <w:sz w:val="20"/>
                <w:szCs w:val="20"/>
                <w:color w:val="auto"/>
              </w:rPr>
            </w:pPr>
            <w:r>
              <w:rPr>
                <w:rFonts w:ascii="Arial" w:cs="Arial" w:eastAsia="Arial" w:hAnsi="Arial"/>
                <w:sz w:val="16"/>
                <w:szCs w:val="16"/>
                <w:b w:val="1"/>
                <w:bCs w:val="1"/>
                <w:color w:val="auto"/>
              </w:rPr>
              <w:t>(3,062)</w:t>
            </w:r>
          </w:p>
        </w:tc>
        <w:tc>
          <w:tcPr>
            <w:tcW w:w="1780" w:type="dxa"/>
            <w:vAlign w:val="bottom"/>
          </w:tcPr>
          <w:p>
            <w:pPr>
              <w:jc w:val="right"/>
              <w:ind w:right="179"/>
              <w:spacing w:after="0"/>
              <w:rPr>
                <w:sz w:val="20"/>
                <w:szCs w:val="20"/>
                <w:color w:val="auto"/>
              </w:rPr>
            </w:pPr>
            <w:r>
              <w:rPr>
                <w:rFonts w:ascii="Arial" w:cs="Arial" w:eastAsia="Arial" w:hAnsi="Arial"/>
                <w:sz w:val="16"/>
                <w:szCs w:val="16"/>
                <w:color w:val="auto"/>
              </w:rPr>
              <w:t>(2,892)</w:t>
            </w:r>
          </w:p>
        </w:tc>
      </w:tr>
      <w:tr>
        <w:trPr>
          <w:trHeight w:val="33"/>
        </w:trPr>
        <w:tc>
          <w:tcPr>
            <w:tcW w:w="7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average deferred property incentives</w:t>
            </w:r>
          </w:p>
        </w:tc>
        <w:tc>
          <w:tcPr>
            <w:tcW w:w="230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(549)</w:t>
            </w:r>
          </w:p>
        </w:tc>
        <w:tc>
          <w:tcPr>
            <w:tcW w:w="17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(521)</w:t>
            </w:r>
          </w:p>
        </w:tc>
      </w:tr>
      <w:tr>
        <w:trPr>
          <w:trHeight w:val="270"/>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average estimated asset base of capitalized operating leases</w:t>
            </w:r>
            <w:r>
              <w:rPr>
                <w:rFonts w:ascii="Arial" w:cs="Arial" w:eastAsia="Arial" w:hAnsi="Arial"/>
                <w:sz w:val="21"/>
                <w:szCs w:val="21"/>
                <w:color w:val="auto"/>
                <w:vertAlign w:val="superscript"/>
              </w:rPr>
              <w:t>2</w:t>
            </w:r>
          </w:p>
        </w:tc>
        <w:tc>
          <w:tcPr>
            <w:tcW w:w="2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1,388</w:t>
            </w:r>
          </w:p>
        </w:tc>
        <w:tc>
          <w:tcPr>
            <w:tcW w:w="1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1,117</w:t>
            </w: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30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$6,109</w:t>
            </w:r>
          </w:p>
        </w:tc>
        <w:tc>
          <w:tcPr>
            <w:tcW w:w="17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$6,979</w:t>
            </w:r>
          </w:p>
        </w:tc>
      </w:tr>
      <w:tr>
        <w:trPr>
          <w:trHeight w:val="291"/>
        </w:trPr>
        <w:tc>
          <w:tcPr>
            <w:tcW w:w="73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p>
        </w:tc>
        <w:tc>
          <w:tcPr>
            <w:tcW w:w="23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5.1%</w:t>
            </w:r>
          </w:p>
        </w:tc>
        <w:tc>
          <w:tcPr>
            <w:tcW w:w="1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ROIC</w:t>
            </w:r>
          </w:p>
        </w:tc>
        <w:tc>
          <w:tcPr>
            <w:tcW w:w="2300" w:type="dxa"/>
            <w:vAlign w:val="bottom"/>
          </w:tcPr>
          <w:p>
            <w:pPr>
              <w:jc w:val="right"/>
              <w:ind w:right="379"/>
              <w:spacing w:after="0"/>
              <w:rPr>
                <w:sz w:val="20"/>
                <w:szCs w:val="20"/>
                <w:color w:val="auto"/>
              </w:rPr>
            </w:pPr>
            <w:r>
              <w:rPr>
                <w:rFonts w:ascii="Arial" w:cs="Arial" w:eastAsia="Arial" w:hAnsi="Arial"/>
                <w:sz w:val="16"/>
                <w:szCs w:val="16"/>
                <w:b w:val="1"/>
                <w:bCs w:val="1"/>
                <w:color w:val="auto"/>
              </w:rPr>
              <w:t>9.1%</w:t>
            </w: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12.3%</w:t>
            </w:r>
          </w:p>
        </w:tc>
      </w:tr>
    </w:tbl>
    <w:p>
      <w:pPr>
        <w:spacing w:after="0" w:line="28" w:lineRule="exact"/>
        <w:rPr>
          <w:sz w:val="20"/>
          <w:szCs w:val="20"/>
          <w:color w:val="auto"/>
        </w:rPr>
      </w:pPr>
    </w:p>
    <w:p>
      <w:pPr>
        <w:ind w:left="80" w:right="200" w:hanging="72"/>
        <w:spacing w:after="0" w:line="250" w:lineRule="auto"/>
        <w:tabs>
          <w:tab w:leader="none" w:pos="66" w:val="left"/>
        </w:tabs>
        <w:numPr>
          <w:ilvl w:val="0"/>
          <w:numId w:val="14"/>
        </w:numPr>
        <w:rPr>
          <w:rFonts w:ascii="Arial" w:cs="Arial" w:eastAsia="Arial" w:hAnsi="Arial"/>
          <w:sz w:val="9"/>
          <w:szCs w:val="9"/>
          <w:color w:val="auto"/>
        </w:rPr>
      </w:pPr>
      <w:r>
        <w:rPr>
          <w:rFonts w:ascii="Arial" w:cs="Arial" w:eastAsia="Arial" w:hAnsi="Arial"/>
          <w:sz w:val="14"/>
          <w:szCs w:val="14"/>
          <w:color w:val="auto"/>
        </w:rPr>
        <w:t>Capitalized operating leases is our best estimate of the asset base we would record for our leases that are classified as operating if they had met the criteria for a capital lease or we had purchased the property. Asset base is calculated as described in footnote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right="80" w:hanging="72"/>
        <w:spacing w:after="0" w:line="255" w:lineRule="auto"/>
        <w:tabs>
          <w:tab w:leader="none" w:pos="66" w:val="left"/>
        </w:tabs>
        <w:numPr>
          <w:ilvl w:val="0"/>
          <w:numId w:val="15"/>
        </w:numPr>
        <w:rPr>
          <w:rFonts w:ascii="Arial" w:cs="Arial" w:eastAsia="Arial" w:hAnsi="Arial"/>
          <w:sz w:val="9"/>
          <w:szCs w:val="9"/>
          <w:color w:val="auto"/>
        </w:rPr>
      </w:pPr>
      <w:r>
        <w:rPr>
          <w:rFonts w:ascii="Arial" w:cs="Arial" w:eastAsia="Arial" w:hAnsi="Arial"/>
          <w:sz w:val="14"/>
          <w:szCs w:val="14"/>
          <w:color w:val="auto"/>
        </w:rPr>
        <w:t>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 described in footnote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29</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facilities and potential future borrowings are sufficient to finance our cash requirements for the next 12 months and beyond.</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we manage our cash and capital structure to maximize shareholder return, maintain our financial position, manage refinancing risk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allow flexibility for strategic initiatives. We regularly assess our debt and leverage levels, capital expenditure requirements, debt service payments,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payouts, potential share repurchases and other future investments. We believe that as of July 30, 2016, our existing cash and cash equivalents on-hand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$892, available credit facilities of $800 and potential future operating cash flows and borrowings will be sufficient to fund these scheduled future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potential long-term initiatives.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Net cash provided by operating activities increased $436 for the six months ended July 30, 2016, compared with the same period in 2015, primarily due to favorable changes in working capital, which includes our efforts to align inventory levels with sales trends, partially offset by a decrease in earnings.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Net cash used in investing activities was $374 for the six months ended July 30, 2016, compared with net cash used of $581 for the same period in 2015, primarily due to a decrease in capital expenditures related to lower spend on full-line store openings and relocations and our East Coast Fulfillment Center which was completed during the third quarter of 2015.</w:t>
      </w:r>
    </w:p>
    <w:p>
      <w:pPr>
        <w:spacing w:after="0" w:line="13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the beginning of the second quarter, we completed a review of our five-year capital plan, resulting in approximately $400, or 10%, of reduced spend primarily related to new stores and remodels over the next few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Net cash used in financing activities was $180 for the six months ended July 30, 2016, compared with $238 for the same period in 2015, primarily due to a decrease in share repurchases, partially offset by a decrease in cash book overdrafts.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provides investors with a meaningful analysis of our ability to generate cash from our business. For the six months ended July 30, 2016, we had Free Cash Flow of $298 compared with ($263) for the six months ended August 1, 2015.</w:t>
      </w:r>
    </w:p>
    <w:p>
      <w:pPr>
        <w:spacing w:after="0" w:line="13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July 30, 2016</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August 1, 2015</w:t>
            </w:r>
          </w:p>
        </w:tc>
      </w:tr>
      <w:tr>
        <w:trPr>
          <w:trHeight w:val="33"/>
        </w:trPr>
        <w:tc>
          <w:tcPr>
            <w:tcW w:w="7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5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$851</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(407)</w:t>
            </w:r>
          </w:p>
        </w:tc>
        <w:tc>
          <w:tcPr>
            <w:tcW w:w="118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33"/>
        </w:trPr>
        <w:tc>
          <w:tcPr>
            <w:tcW w:w="7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dividends paid</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(128)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Less: change in credit card receivables originated at third parties</w:t>
            </w: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7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Add: change in cash book overdrafts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(18)</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r>
      <w:tr>
        <w:trPr>
          <w:trHeight w:val="231"/>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Free Cash Flow</w:t>
            </w:r>
          </w:p>
        </w:tc>
        <w:tc>
          <w:tcPr>
            <w:tcW w:w="25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$298</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33"/>
        </w:trPr>
        <w:tc>
          <w:tcPr>
            <w:tcW w:w="7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6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bl>
    <w:p>
      <w:pPr>
        <w:spacing w:after="0" w:line="27"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Pr>
          <w:p>
            <w:pPr>
              <w:jc w:val="right"/>
              <w:ind w:right="659"/>
              <w:spacing w:after="0"/>
              <w:rPr>
                <w:sz w:val="20"/>
                <w:szCs w:val="20"/>
                <w:color w:val="auto"/>
              </w:rPr>
            </w:pPr>
            <w:r>
              <w:rPr>
                <w:rFonts w:ascii="Arial" w:cs="Arial" w:eastAsia="Arial" w:hAnsi="Arial"/>
                <w:sz w:val="16"/>
                <w:szCs w:val="16"/>
                <w:b w:val="1"/>
                <w:bCs w:val="1"/>
                <w:color w:val="auto"/>
                <w:w w:val="90"/>
              </w:rPr>
              <w:t>($374)</w:t>
            </w:r>
          </w:p>
        </w:tc>
        <w:tc>
          <w:tcPr>
            <w:tcW w:w="118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70"/>
        </w:trPr>
        <w:tc>
          <w:tcPr>
            <w:tcW w:w="1180" w:type="dxa"/>
            <w:vAlign w:val="bottom"/>
          </w:tcPr>
          <w:p>
            <w:pPr>
              <w:jc w:val="right"/>
              <w:ind w:right="659"/>
              <w:spacing w:after="0"/>
              <w:rPr>
                <w:sz w:val="20"/>
                <w:szCs w:val="20"/>
                <w:color w:val="auto"/>
              </w:rPr>
            </w:pPr>
            <w:r>
              <w:rPr>
                <w:rFonts w:ascii="Arial" w:cs="Arial" w:eastAsia="Arial" w:hAnsi="Arial"/>
                <w:sz w:val="16"/>
                <w:szCs w:val="16"/>
                <w:b w:val="1"/>
                <w:bCs w:val="1"/>
                <w:color w:val="auto"/>
              </w:rPr>
              <w:t>(180)</w:t>
            </w:r>
          </w:p>
        </w:tc>
        <w:tc>
          <w:tcPr>
            <w:tcW w:w="1180" w:type="dxa"/>
            <w:vAlign w:val="bottom"/>
          </w:tcPr>
          <w:p>
            <w:pPr>
              <w:jc w:val="right"/>
              <w:spacing w:after="0"/>
              <w:rPr>
                <w:sz w:val="20"/>
                <w:szCs w:val="20"/>
                <w:color w:val="auto"/>
              </w:rPr>
            </w:pPr>
            <w:r>
              <w:rPr>
                <w:rFonts w:ascii="Arial" w:cs="Arial" w:eastAsia="Arial" w:hAnsi="Arial"/>
                <w:sz w:val="16"/>
                <w:szCs w:val="16"/>
                <w:color w:val="auto"/>
              </w:rPr>
              <w:t>(238)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-149860</wp:posOffset>
            </wp:positionV>
            <wp:extent cx="72294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420"/>
          </w:cols>
          <w:pgMar w:left="240" w:top="118" w:right="259" w:bottom="1440" w:gutter="0" w:footer="0" w:header="0"/>
          <w:type w:val="continuous"/>
        </w:sectPr>
      </w:pP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 of 29</w:t>
      </w:r>
    </w:p>
    <w:p>
      <w:pPr>
        <w:sectPr>
          <w:pgSz w:w="11900" w:h="16838" w:orient="portrait"/>
          <w:cols w:equalWidth="0" w:num="1">
            <w:col w:w="11400"/>
          </w:cols>
          <w:pgMar w:left="240" w:top="118" w:right="25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 of July 30, 2016, we had total short-term borrowing capacity of $800 under our senior unsecured revolving credit facility (“revolver”) that expires in April 2020, with an option to extend for an additional year.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From time to time we utilize our commercial paper program to fund working capital needs, which has the effect of reducing our available liquidity under the revolver until repaid.</w:t>
      </w:r>
    </w:p>
    <w:p>
      <w:pPr>
        <w:spacing w:after="0" w:line="109" w:lineRule="exact"/>
        <w:rPr>
          <w:sz w:val="20"/>
          <w:szCs w:val="20"/>
          <w:color w:val="auto"/>
        </w:rPr>
      </w:pPr>
    </w:p>
    <w:p>
      <w:pPr>
        <w:ind w:right="1120"/>
        <w:spacing w:after="0" w:line="352" w:lineRule="auto"/>
        <w:rPr>
          <w:sz w:val="20"/>
          <w:szCs w:val="20"/>
          <w:color w:val="auto"/>
        </w:rPr>
      </w:pPr>
      <w:r>
        <w:rPr>
          <w:rFonts w:ascii="Arial" w:cs="Arial" w:eastAsia="Arial" w:hAnsi="Arial"/>
          <w:sz w:val="18"/>
          <w:szCs w:val="18"/>
          <w:color w:val="auto"/>
        </w:rPr>
        <w:t xml:space="preserve">As of July 30, 2016, we had no issuances outstanding under our commercial paper program and no borrowings outstanding under our revolver. </w:t>
      </w:r>
      <w:r>
        <w:rPr>
          <w:rFonts w:ascii="Arial" w:cs="Arial" w:eastAsia="Arial" w:hAnsi="Arial"/>
          <w:sz w:val="18"/>
          <w:szCs w:val="18"/>
          <w:b w:val="1"/>
          <w:bCs w:val="1"/>
          <w:color w:val="auto"/>
        </w:rPr>
        <w:t>Impact of Credit Ratings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Credit</w:t>
            </w:r>
          </w:p>
        </w:tc>
        <w:tc>
          <w:tcPr>
            <w:tcW w:w="1440" w:type="dxa"/>
            <w:vAlign w:val="bottom"/>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Ratings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Baa1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20" w:type="dxa"/>
            <w:vAlign w:val="bottom"/>
          </w:tcPr>
          <w:p>
            <w:pPr>
              <w:jc w:val="right"/>
              <w:ind w:right="439"/>
              <w:spacing w:after="0"/>
              <w:rPr>
                <w:sz w:val="20"/>
                <w:szCs w:val="20"/>
                <w:color w:val="auto"/>
              </w:rPr>
            </w:pPr>
            <w:r>
              <w:rPr>
                <w:rFonts w:ascii="Arial" w:cs="Arial" w:eastAsia="Arial" w:hAnsi="Arial"/>
                <w:sz w:val="16"/>
                <w:szCs w:val="16"/>
                <w:color w:val="auto"/>
              </w:rPr>
              <w:t>BBB+</w:t>
            </w:r>
          </w:p>
        </w:tc>
        <w:tc>
          <w:tcPr>
            <w:tcW w:w="1440" w:type="dxa"/>
            <w:vAlign w:val="bottom"/>
          </w:tcPr>
          <w:p>
            <w:pPr>
              <w:jc w:val="right"/>
              <w:spacing w:after="0"/>
              <w:rPr>
                <w:sz w:val="20"/>
                <w:szCs w:val="20"/>
                <w:color w:val="auto"/>
              </w:rPr>
            </w:pPr>
            <w:r>
              <w:rPr>
                <w:rFonts w:ascii="Arial" w:cs="Arial" w:eastAsia="Arial" w:hAnsi="Arial"/>
                <w:sz w:val="16"/>
                <w:szCs w:val="16"/>
                <w:color w:val="auto"/>
              </w:rPr>
              <w:t>Negative</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6"/>
        </w:trPr>
        <w:tc>
          <w:tcPr>
            <w:tcW w:w="5360" w:type="dxa"/>
            <w:vAlign w:val="bottom"/>
          </w:tcPr>
          <w:p>
            <w:pPr>
              <w:spacing w:after="0"/>
              <w:rPr>
                <w:sz w:val="24"/>
                <w:szCs w:val="24"/>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Base Interest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LIBOR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20" w:type="dxa"/>
            <w:vAlign w:val="bottom"/>
          </w:tcPr>
          <w:p>
            <w:pPr>
              <w:jc w:val="right"/>
              <w:ind w:right="479"/>
              <w:spacing w:after="0"/>
              <w:rPr>
                <w:sz w:val="20"/>
                <w:szCs w:val="20"/>
                <w:color w:val="auto"/>
              </w:rPr>
            </w:pPr>
            <w:r>
              <w:rPr>
                <w:rFonts w:ascii="Arial" w:cs="Arial" w:eastAsia="Arial" w:hAnsi="Arial"/>
                <w:sz w:val="16"/>
                <w:szCs w:val="16"/>
                <w:color w:val="auto"/>
              </w:rPr>
              <w:t>CDOR</w:t>
            </w: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less than four times (see the following additional discussion of Adjusted Debt to EBITDAR). As of July 30, 2016, we were in compliance with this covenant.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of 29</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less than four times. As of July 30, 2016, our Adjusted Debt to EBITDAR was 2.6, compared with 2.1 as of August 1, 2015. This increase was primarily driven by reduced earnings.</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color w:val="auto"/>
                <w:vertAlign w:val="superscript"/>
              </w:rPr>
              <w:t>1</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color w:val="auto"/>
                <w:vertAlign w:val="superscript"/>
              </w:rPr>
              <w:t>1</w:t>
            </w: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$2,782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$3,141</w:t>
            </w:r>
          </w:p>
        </w:tc>
      </w:tr>
      <w:tr>
        <w:trPr>
          <w:trHeight w:val="270"/>
        </w:trPr>
        <w:tc>
          <w:tcPr>
            <w:tcW w:w="6440" w:type="dxa"/>
            <w:vAlign w:val="bottom"/>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1,518</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1,231</w:t>
            </w: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fair value hedge adjustment included in long-term debt</w:t>
            </w:r>
          </w:p>
        </w:tc>
        <w:tc>
          <w:tcPr>
            <w:tcW w:w="37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1"/>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Debt</w:t>
            </w:r>
          </w:p>
        </w:tc>
        <w:tc>
          <w:tcPr>
            <w:tcW w:w="37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$4,282</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$4,342</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$424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$736</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261</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121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133</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806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1,350</w:t>
            </w:r>
          </w:p>
        </w:tc>
      </w:tr>
      <w:tr>
        <w:trPr>
          <w:trHeight w:val="297"/>
        </w:trPr>
        <w:tc>
          <w:tcPr>
            <w:tcW w:w="6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617</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190</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154</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non-cash acquisition-related charges</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7</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r>
      <w:tr>
        <w:trPr>
          <w:trHeight w:val="231"/>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EBITDAR</w:t>
            </w:r>
          </w:p>
        </w:tc>
        <w:tc>
          <w:tcPr>
            <w:tcW w:w="37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$1,620</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$2,061</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Debt to Net Earnings</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6.6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r>
      <w:tr>
        <w:trPr>
          <w:trHeight w:val="33"/>
        </w:trPr>
        <w:tc>
          <w:tcPr>
            <w:tcW w:w="64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components of Adjusted Debt are as of July 30, 2016 and August 1, 2015, while the components of EBITDAR are for the 12 months ended July 30, 2016 and August 1, 2015.</w:t>
      </w:r>
    </w:p>
    <w:p>
      <w:pPr>
        <w:spacing w:after="0" w:line="8" w:lineRule="exact"/>
        <w:rPr>
          <w:sz w:val="20"/>
          <w:szCs w:val="20"/>
          <w:color w:val="auto"/>
        </w:rPr>
      </w:pPr>
    </w:p>
    <w:p>
      <w:pPr>
        <w:ind w:left="80" w:right="60" w:hanging="72"/>
        <w:spacing w:after="0" w:line="293" w:lineRule="auto"/>
        <w:tabs>
          <w:tab w:leader="none" w:pos="66" w:val="left"/>
        </w:tabs>
        <w:numPr>
          <w:ilvl w:val="0"/>
          <w:numId w:val="17"/>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 used method of estimating the debt we would record for our leases that are classified as operating if they had met the criteria for a capital lease or we had purchased the property.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 of 29</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discussed our interest rate risk and our foreign currency exchange risk in Part II, “Item 7A. Quantitative and Qualitative Disclosures About Market Risk” in our 2015 Annual Report on Form 10-K filed with the SEC on March 14, 2016. There have been no material changes to these risks since that time.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 of 29</w:t>
      </w:r>
    </w:p>
    <w:p>
      <w:pPr>
        <w:sectPr>
          <w:pgSz w:w="11900" w:h="16838" w:orient="portrait"/>
          <w:cols w:equalWidth="0" w:num="1">
            <w:col w:w="11360"/>
          </w:cols>
          <w:pgMar w:left="240" w:top="118" w:right="2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second quarter share repurchases: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Total Number of Shares</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3420" w:type="dxa"/>
            <w:vAlign w:val="bottom"/>
          </w:tcPr>
          <w:p>
            <w:pPr>
              <w:spacing w:after="0"/>
              <w:rPr>
                <w:sz w:val="17"/>
                <w:szCs w:val="17"/>
                <w:color w:val="auto"/>
              </w:rPr>
            </w:pPr>
          </w:p>
        </w:tc>
        <w:tc>
          <w:tcPr>
            <w:tcW w:w="254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Purchased as Part of</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of Shares that May</w:t>
            </w:r>
          </w:p>
        </w:tc>
      </w:tr>
      <w:tr>
        <w:trPr>
          <w:trHeight w:val="203"/>
        </w:trPr>
        <w:tc>
          <w:tcPr>
            <w:tcW w:w="3420" w:type="dxa"/>
            <w:vAlign w:val="bottom"/>
          </w:tcPr>
          <w:p>
            <w:pPr>
              <w:spacing w:after="0"/>
              <w:rPr>
                <w:sz w:val="17"/>
                <w:szCs w:val="17"/>
                <w:color w:val="auto"/>
              </w:rPr>
            </w:pPr>
          </w:p>
        </w:tc>
        <w:tc>
          <w:tcPr>
            <w:tcW w:w="2540" w:type="dxa"/>
            <w:vAlign w:val="bottom"/>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Price Paid</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Publicly Announced</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Yet Be Purchased Under</w:t>
            </w:r>
          </w:p>
        </w:tc>
      </w:tr>
      <w:tr>
        <w:trPr>
          <w:trHeight w:val="243"/>
        </w:trPr>
        <w:tc>
          <w:tcPr>
            <w:tcW w:w="34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Purchased</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Per Share</w:t>
            </w:r>
          </w:p>
        </w:tc>
        <w:tc>
          <w:tcPr>
            <w:tcW w:w="2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Plans or Programs</w:t>
            </w:r>
          </w:p>
        </w:tc>
        <w:tc>
          <w:tcPr>
            <w:tcW w:w="2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the Plans or Programs</w:t>
            </w:r>
            <w:r>
              <w:rPr>
                <w:rFonts w:ascii="Arial" w:cs="Arial" w:eastAsia="Arial" w:hAnsi="Arial"/>
                <w:sz w:val="21"/>
                <w:szCs w:val="21"/>
                <w:color w:val="auto"/>
                <w:vertAlign w:val="superscript"/>
              </w:rPr>
              <w:t>1</w:t>
            </w:r>
          </w:p>
        </w:tc>
      </w:tr>
      <w:tr>
        <w:trPr>
          <w:trHeight w:val="213"/>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2016</w:t>
            </w: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9"/>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2016 to May 28, 2016)</w:t>
            </w:r>
          </w:p>
        </w:tc>
        <w:tc>
          <w:tcPr>
            <w:tcW w:w="2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20"/>
        </w:trPr>
        <w:tc>
          <w:tcPr>
            <w:tcW w:w="3420" w:type="dxa"/>
            <w:vAlign w:val="bottom"/>
          </w:tcPr>
          <w:p>
            <w:pPr>
              <w:ind w:left="40"/>
              <w:spacing w:after="0"/>
              <w:rPr>
                <w:sz w:val="20"/>
                <w:szCs w:val="20"/>
                <w:color w:val="auto"/>
              </w:rPr>
            </w:pPr>
            <w:r>
              <w:rPr>
                <w:rFonts w:ascii="Arial" w:cs="Arial" w:eastAsia="Arial" w:hAnsi="Arial"/>
                <w:sz w:val="16"/>
                <w:szCs w:val="16"/>
                <w:color w:val="auto"/>
              </w:rPr>
              <w:t>June 2016</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6"/>
        </w:trPr>
        <w:tc>
          <w:tcPr>
            <w:tcW w:w="3420" w:type="dxa"/>
            <w:vAlign w:val="bottom"/>
          </w:tcPr>
          <w:p>
            <w:pPr>
              <w:ind w:left="40"/>
              <w:spacing w:after="0"/>
              <w:rPr>
                <w:sz w:val="20"/>
                <w:szCs w:val="20"/>
                <w:color w:val="auto"/>
              </w:rPr>
            </w:pPr>
            <w:r>
              <w:rPr>
                <w:rFonts w:ascii="Arial" w:cs="Arial" w:eastAsia="Arial" w:hAnsi="Arial"/>
                <w:sz w:val="16"/>
                <w:szCs w:val="16"/>
                <w:color w:val="auto"/>
              </w:rPr>
              <w:t>(May 29, 2016 to July 2, 2016)</w:t>
            </w:r>
          </w:p>
        </w:tc>
        <w:tc>
          <w:tcPr>
            <w:tcW w:w="2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761</w:t>
            </w:r>
          </w:p>
        </w:tc>
      </w:tr>
      <w:tr>
        <w:trPr>
          <w:trHeight w:val="33"/>
        </w:trPr>
        <w:tc>
          <w:tcPr>
            <w:tcW w:w="3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2016</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3, 2016 to July 30, 2016)</w:t>
            </w:r>
          </w:p>
        </w:tc>
        <w:tc>
          <w:tcPr>
            <w:tcW w:w="2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0.3</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39.78</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0.3</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r>
      <w:tr>
        <w:trPr>
          <w:trHeight w:val="231"/>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5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0.3</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$39.78</w:t>
            </w:r>
          </w:p>
        </w:tc>
        <w:tc>
          <w:tcPr>
            <w:tcW w:w="21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0.3</w:t>
            </w:r>
          </w:p>
        </w:tc>
        <w:tc>
          <w:tcPr>
            <w:tcW w:w="2260" w:type="dxa"/>
            <w:vAlign w:val="bottom"/>
            <w:tcBorders>
              <w:top w:val="single" w:sz="8" w:color="auto"/>
            </w:tcBorders>
          </w:tcPr>
          <w:p>
            <w:pPr>
              <w:spacing w:after="0"/>
              <w:rPr>
                <w:sz w:val="20"/>
                <w:szCs w:val="20"/>
                <w:color w:val="auto"/>
              </w:rPr>
            </w:pPr>
          </w:p>
        </w:tc>
      </w:tr>
    </w:tbl>
    <w:p>
      <w:pPr>
        <w:spacing w:after="0" w:line="28" w:lineRule="exact"/>
        <w:rPr>
          <w:sz w:val="20"/>
          <w:szCs w:val="20"/>
          <w:color w:val="auto"/>
        </w:rPr>
      </w:pPr>
    </w:p>
    <w:p>
      <w:pPr>
        <w:ind w:left="80" w:right="400" w:hanging="72"/>
        <w:spacing w:after="0" w:line="273" w:lineRule="auto"/>
        <w:tabs>
          <w:tab w:leader="none" w:pos="66" w:val="left"/>
        </w:tabs>
        <w:numPr>
          <w:ilvl w:val="0"/>
          <w:numId w:val="18"/>
        </w:numPr>
        <w:rPr>
          <w:rFonts w:ascii="Arial" w:cs="Arial" w:eastAsia="Arial" w:hAnsi="Arial"/>
          <w:sz w:val="9"/>
          <w:szCs w:val="9"/>
          <w:color w:val="auto"/>
        </w:rPr>
      </w:pPr>
      <w:r>
        <w:rPr>
          <w:rFonts w:ascii="Arial" w:cs="Arial" w:eastAsia="Arial" w:hAnsi="Arial"/>
          <w:sz w:val="14"/>
          <w:szCs w:val="14"/>
          <w:color w:val="auto"/>
        </w:rPr>
        <w:t>On October 1, 2015, our Board of Directors authorized a program to repurchase up to $1,000 of our outstanding common stock through March 1, 2017. The actual number, price, manner and timing of future share repurchases, if any, will be subject to market and economic conditions and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29 hereof.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 of 29</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Michael G. Koppel</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30, 2016</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 of 29</w:t>
      </w:r>
    </w:p>
    <w:p>
      <w:pPr>
        <w:sectPr>
          <w:pgSz w:w="11900" w:h="16838" w:orient="portrait"/>
          <w:cols w:equalWidth="0" w:num="1">
            <w:col w:w="11220"/>
          </w:cols>
          <w:pgMar w:left="240" w:top="118" w:right="4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5300" w:type="dxa"/>
            <w:vAlign w:val="bottom"/>
          </w:tcPr>
          <w:p>
            <w:pPr>
              <w:ind w:left="190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ind w:left="20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9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2"/>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5300" w:type="dxa"/>
            <w:vAlign w:val="bottom"/>
          </w:tcPr>
          <w:p>
            <w:pPr>
              <w:ind w:left="180"/>
              <w:spacing w:after="0"/>
              <w:rPr>
                <w:sz w:val="20"/>
                <w:szCs w:val="20"/>
                <w:color w:val="auto"/>
              </w:rPr>
            </w:pPr>
            <w:r>
              <w:rPr>
                <w:rFonts w:ascii="Arial" w:cs="Arial" w:eastAsia="Arial" w:hAnsi="Arial"/>
                <w:sz w:val="18"/>
                <w:szCs w:val="18"/>
                <w:color w:val="auto"/>
              </w:rPr>
              <w:t>Nordstrom, Inc. Employee Stock Purchase Plan, amended and</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restated on June 1, 2016</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5300" w:type="dxa"/>
            <w:vAlign w:val="bottom"/>
          </w:tcPr>
          <w:p>
            <w:pPr>
              <w:ind w:left="180"/>
              <w:spacing w:after="0"/>
              <w:rPr>
                <w:sz w:val="20"/>
                <w:szCs w:val="20"/>
                <w:color w:val="auto"/>
              </w:rPr>
            </w:pPr>
            <w:r>
              <w:rPr>
                <w:rFonts w:ascii="Arial" w:cs="Arial" w:eastAsia="Arial" w:hAnsi="Arial"/>
                <w:sz w:val="18"/>
                <w:szCs w:val="18"/>
                <w:color w:val="auto"/>
              </w:rPr>
              <w:t>Form of 2016 Nonqualified Stock Option Grant Agreement,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Supplemental Award</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5300" w:type="dxa"/>
            <w:vAlign w:val="bottom"/>
          </w:tcPr>
          <w:p>
            <w:pPr>
              <w:ind w:left="180"/>
              <w:spacing w:after="0"/>
              <w:rPr>
                <w:sz w:val="20"/>
                <w:szCs w:val="20"/>
                <w:color w:val="auto"/>
              </w:rPr>
            </w:pPr>
            <w:r>
              <w:rPr>
                <w:rFonts w:ascii="Arial" w:cs="Arial" w:eastAsia="Arial" w:hAnsi="Arial"/>
                <w:sz w:val="18"/>
                <w:szCs w:val="18"/>
                <w:color w:val="auto"/>
                <w:w w:val="92"/>
              </w:rPr>
              <w:t>Form of 2016 Restricted Stock Unit Award Agreement, Supplemental</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Award</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5300" w:type="dxa"/>
            <w:vAlign w:val="bottom"/>
          </w:tcPr>
          <w:p>
            <w:pPr>
              <w:ind w:left="180"/>
              <w:spacing w:after="0"/>
              <w:rPr>
                <w:sz w:val="20"/>
                <w:szCs w:val="20"/>
                <w:color w:val="auto"/>
              </w:rPr>
            </w:pPr>
            <w:r>
              <w:rPr>
                <w:rFonts w:ascii="Arial" w:cs="Arial" w:eastAsia="Arial" w:hAnsi="Arial"/>
                <w:sz w:val="18"/>
                <w:szCs w:val="18"/>
                <w:color w:val="auto"/>
              </w:rPr>
              <w:t>Certification of Co-President required by Section 302(a) of the</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5300" w:type="dxa"/>
            <w:vAlign w:val="bottom"/>
          </w:tcPr>
          <w:p>
            <w:pPr>
              <w:ind w:left="180"/>
              <w:spacing w:after="0"/>
              <w:rPr>
                <w:sz w:val="20"/>
                <w:szCs w:val="20"/>
                <w:color w:val="auto"/>
              </w:rPr>
            </w:pPr>
            <w:r>
              <w:rPr>
                <w:rFonts w:ascii="Arial" w:cs="Arial" w:eastAsia="Arial" w:hAnsi="Arial"/>
                <w:sz w:val="18"/>
                <w:szCs w:val="18"/>
                <w:color w:val="auto"/>
                <w:w w:val="95"/>
              </w:rPr>
              <w:t>Certification of Chief Financial Officer required by Section 302(a) of</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the Sarbanes-Oxley Act of 2002</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5300" w:type="dxa"/>
            <w:vAlign w:val="bottom"/>
          </w:tcPr>
          <w:p>
            <w:pPr>
              <w:ind w:left="180"/>
              <w:spacing w:after="0"/>
              <w:rPr>
                <w:sz w:val="20"/>
                <w:szCs w:val="20"/>
                <w:color w:val="auto"/>
              </w:rPr>
            </w:pPr>
            <w:r>
              <w:rPr>
                <w:rFonts w:ascii="Arial" w:cs="Arial" w:eastAsia="Arial" w:hAnsi="Arial"/>
                <w:sz w:val="18"/>
                <w:szCs w:val="18"/>
                <w:color w:val="auto"/>
                <w:w w:val="94"/>
              </w:rPr>
              <w:t>Certification of Co-President and Chief Financial Officer pursuant to</w:t>
            </w:r>
          </w:p>
        </w:tc>
        <w:tc>
          <w:tcPr>
            <w:tcW w:w="522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216"/>
        </w:trPr>
        <w:tc>
          <w:tcPr>
            <w:tcW w:w="90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1"/>
              </w:rPr>
              <w:t>18 U.S.C. 1350, as adopted pursuant to Section 906 of the Sarbanes-</w:t>
            </w:r>
          </w:p>
        </w:tc>
        <w:tc>
          <w:tcPr>
            <w:tcW w:w="52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Oxley Act of 2002</w:t>
            </w:r>
          </w:p>
        </w:tc>
        <w:tc>
          <w:tcPr>
            <w:tcW w:w="5220" w:type="dxa"/>
            <w:vAlign w:val="bottom"/>
          </w:tcPr>
          <w:p>
            <w:pPr>
              <w:spacing w:after="0"/>
              <w:rPr>
                <w:sz w:val="20"/>
                <w:szCs w:val="20"/>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53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49"/>
        </w:trPr>
        <w:tc>
          <w:tcPr>
            <w:tcW w:w="90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453"/>
        </w:trPr>
        <w:tc>
          <w:tcPr>
            <w:tcW w:w="900" w:type="dxa"/>
            <w:vAlign w:val="bottom"/>
          </w:tcPr>
          <w:p>
            <w:pPr>
              <w:spacing w:after="0"/>
              <w:rPr>
                <w:sz w:val="24"/>
                <w:szCs w:val="24"/>
                <w:color w:val="auto"/>
              </w:rPr>
            </w:pPr>
          </w:p>
        </w:tc>
        <w:tc>
          <w:tcPr>
            <w:tcW w:w="5300" w:type="dxa"/>
            <w:vAlign w:val="bottom"/>
          </w:tcPr>
          <w:p>
            <w:pPr>
              <w:ind w:left="4520"/>
              <w:spacing w:after="0"/>
              <w:rPr>
                <w:sz w:val="20"/>
                <w:szCs w:val="20"/>
                <w:color w:val="auto"/>
              </w:rPr>
            </w:pPr>
            <w:r>
              <w:rPr>
                <w:rFonts w:ascii="Arial" w:cs="Arial" w:eastAsia="Arial" w:hAnsi="Arial"/>
                <w:sz w:val="18"/>
                <w:szCs w:val="18"/>
                <w:color w:val="auto"/>
              </w:rPr>
              <w:t>29 of 29</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2016-1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NORDSTROM, INC. EMPLOYEE STOCK PURCHASE PLAN (2011 Restatement)</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Nordstrom, Inc. Employee Stock Purchase Plan (the “Plan”) is amended effective June 1, 2016, pursuant to Section 14 of the Plan, to revise the procedures related to employees who die while participating in the Plan.</w:t>
      </w:r>
    </w:p>
    <w:p>
      <w:pPr>
        <w:spacing w:after="0" w:line="16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6(c) (“</w:t>
      </w:r>
      <w:r>
        <w:rPr>
          <w:rFonts w:ascii="Arial" w:cs="Arial" w:eastAsia="Arial" w:hAnsi="Arial"/>
          <w:sz w:val="18"/>
          <w:szCs w:val="18"/>
          <w:b w:val="1"/>
          <w:bCs w:val="1"/>
          <w:color w:val="auto"/>
        </w:rPr>
        <w:t>Death</w:t>
      </w:r>
      <w:r>
        <w:rPr>
          <w:rFonts w:ascii="Arial" w:cs="Arial" w:eastAsia="Arial" w:hAnsi="Arial"/>
          <w:sz w:val="18"/>
          <w:szCs w:val="18"/>
          <w:color w:val="auto"/>
        </w:rPr>
        <w:t>”) is replaced in its entirety as follows:</w:t>
      </w:r>
    </w:p>
    <w:p>
      <w:pPr>
        <w:spacing w:after="0" w:line="225" w:lineRule="exact"/>
        <w:rPr>
          <w:rFonts w:ascii="Arial" w:cs="Arial" w:eastAsia="Arial" w:hAnsi="Arial"/>
          <w:sz w:val="18"/>
          <w:szCs w:val="18"/>
          <w:color w:val="auto"/>
        </w:rPr>
      </w:pPr>
    </w:p>
    <w:p>
      <w:pPr>
        <w:jc w:val="both"/>
        <w:ind w:firstLine="656"/>
        <w:spacing w:after="0" w:line="314" w:lineRule="auto"/>
        <w:tabs>
          <w:tab w:leader="none" w:pos="1068" w:val="left"/>
        </w:tabs>
        <w:numPr>
          <w:ilvl w:val="1"/>
          <w:numId w:val="19"/>
        </w:numPr>
        <w:rPr>
          <w:rFonts w:ascii="Arial" w:cs="Arial" w:eastAsia="Arial" w:hAnsi="Arial"/>
          <w:sz w:val="16"/>
          <w:szCs w:val="16"/>
          <w:color w:val="auto"/>
        </w:rPr>
      </w:pPr>
      <w:r>
        <w:rPr>
          <w:rFonts w:ascii="Arial" w:cs="Arial" w:eastAsia="Arial" w:hAnsi="Arial"/>
          <w:sz w:val="16"/>
          <w:szCs w:val="16"/>
          <w:b w:val="1"/>
          <w:bCs w:val="1"/>
          <w:color w:val="auto"/>
        </w:rPr>
        <w:t>Death</w:t>
      </w:r>
      <w:r>
        <w:rPr>
          <w:rFonts w:ascii="Arial" w:cs="Arial" w:eastAsia="Arial" w:hAnsi="Arial"/>
          <w:sz w:val="16"/>
          <w:szCs w:val="16"/>
          <w:color w:val="auto"/>
        </w:rPr>
        <w:t>. In the event of the Participant’s death, the amount credited to his or her Plan Account shall be paid in the same manner as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final paycheck from the Company. Any shares of Stock held by the broker designated by the Committee pursuant to Section 7(e) shall be paid or delivered to a beneficiary or beneficiaries designated by the Participant pursuant to the relevant rules established by the broker with respect to the brokerage account.</w:t>
      </w:r>
    </w:p>
    <w:p>
      <w:pPr>
        <w:spacing w:after="0" w:line="142" w:lineRule="exact"/>
        <w:rPr>
          <w:rFonts w:ascii="Arial" w:cs="Arial" w:eastAsia="Arial" w:hAnsi="Arial"/>
          <w:sz w:val="16"/>
          <w:szCs w:val="16"/>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9 (“</w:t>
      </w:r>
      <w:r>
        <w:rPr>
          <w:rFonts w:ascii="Arial" w:cs="Arial" w:eastAsia="Arial" w:hAnsi="Arial"/>
          <w:sz w:val="18"/>
          <w:szCs w:val="18"/>
          <w:b w:val="1"/>
          <w:bCs w:val="1"/>
          <w:color w:val="auto"/>
        </w:rPr>
        <w:t>RIGHTS NOT TRANSFERABLE</w:t>
      </w:r>
      <w:r>
        <w:rPr>
          <w:rFonts w:ascii="Arial" w:cs="Arial" w:eastAsia="Arial" w:hAnsi="Arial"/>
          <w:sz w:val="18"/>
          <w:szCs w:val="18"/>
          <w:color w:val="auto"/>
        </w:rPr>
        <w:t>”) is replaced in its entirety as follows: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5(a).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Executed pursuant to proper authority this _____ day of _______, 2016.</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NORDSTROM, INC.</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Christine Deputy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Executive Vice President, Human Resources</w:t>
      </w:r>
    </w:p>
    <w:p>
      <w:pPr>
        <w:sectPr>
          <w:pgSz w:w="11900" w:h="16838" w:orient="portrait"/>
          <w:cols w:equalWidth="0" w:num="1">
            <w:col w:w="11420"/>
          </w:cols>
          <w:pgMar w:left="240" w:top="58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567690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69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626365"/>
        </w:rPr>
        <w:t>A NONQUALIFIED STOCK OPTION GRANT (hereinafter the “Option”) for the number of shares of Nordstrom Common Stock (“Common Stock”), as noted in the 2016 Notice of Grant of Stock Options (the “Notice”), of Nordstrom, Inc., a Washington Corporation (the “Company”), is hereby granted to the Recipient (“Optionee”) on the date set forth in the Notice, subject to the terms and conditions of this Agreement. The Option is also subject to the terms, definitions and provisions of the Nordstrom, Inc. 2010 Equity Incentive Plan (the “Plan”), adopted by the Board of Directors of the Company (the “Board”) and approved by the Company’s shareholders, which is incorporated in this Agreement. To the extent inconsistent with this Agreement, the terms of the Plan shall govern. Terms not defined herein shall have the meanings as set forth in the Plan. The Compensation Committee of the Board (the “Compensation Committee”) has the discretionary authority to construe and interpret the Plan and this Agreement. All decisions of the Compensation Committee upon any question arising under the Plan or under this Agreement shall be final and binding on all parties. The Option is subject to the following terms and conditions:</w:t>
      </w:r>
    </w:p>
    <w:p>
      <w:pPr>
        <w:sectPr>
          <w:pgSz w:w="11900" w:h="16838" w:orient="portrait"/>
          <w:cols w:equalWidth="0" w:num="1">
            <w:col w:w="11420"/>
          </w:cols>
          <w:pgMar w:left="240" w:top="368" w:right="239" w:bottom="1440" w:gutter="0" w:footer="0" w:header="0"/>
        </w:sectPr>
      </w:pPr>
    </w:p>
    <w:p>
      <w:pPr>
        <w:spacing w:after="0" w:line="27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b w:val="1"/>
          <w:bCs w:val="1"/>
          <w:color w:val="626365"/>
        </w:rPr>
      </w:pPr>
      <w:r>
        <w:rPr>
          <w:rFonts w:ascii="Arial" w:cs="Arial" w:eastAsia="Arial" w:hAnsi="Arial"/>
          <w:sz w:val="16"/>
          <w:szCs w:val="16"/>
          <w:b w:val="1"/>
          <w:bCs w:val="1"/>
          <w:color w:val="626365"/>
        </w:rPr>
        <w:t>OPTION EXERCISE PRICE</w:t>
      </w:r>
    </w:p>
    <w:p>
      <w:pPr>
        <w:spacing w:after="0" w:line="63" w:lineRule="exact"/>
        <w:rPr>
          <w:rFonts w:ascii="Arial" w:cs="Arial" w:eastAsia="Arial" w:hAnsi="Arial"/>
          <w:sz w:val="16"/>
          <w:szCs w:val="16"/>
          <w:b w:val="1"/>
          <w:bCs w:val="1"/>
          <w:color w:val="626365"/>
        </w:rPr>
      </w:pPr>
    </w:p>
    <w:p>
      <w:pPr>
        <w:ind w:left="340" w:right="20"/>
        <w:spacing w:after="0" w:line="251" w:lineRule="auto"/>
        <w:rPr>
          <w:rFonts w:ascii="Arial" w:cs="Arial" w:eastAsia="Arial" w:hAnsi="Arial"/>
          <w:sz w:val="16"/>
          <w:szCs w:val="16"/>
          <w:b w:val="1"/>
          <w:bCs w:val="1"/>
          <w:color w:val="626365"/>
        </w:rPr>
      </w:pPr>
      <w:r>
        <w:rPr>
          <w:rFonts w:ascii="Arial" w:cs="Arial" w:eastAsia="Arial" w:hAnsi="Arial"/>
          <w:sz w:val="16"/>
          <w:szCs w:val="16"/>
          <w:color w:val="626365"/>
        </w:rPr>
        <w:t>The option exercise price is one hundred percent (100%) of the fair market value of a share of Common Stock as determined by the closing price of Common Stock on the New York Stock Exchange on the date of grant. For this purpose, the date of grant is indicated in the Notice and reflects either the date the Compensation Committee approves the grant, or if this date falls within a closed trading period, the first trading day thereafter that falls within an open trading window.</w:t>
      </w:r>
    </w:p>
    <w:p>
      <w:pPr>
        <w:spacing w:after="0" w:line="175" w:lineRule="exact"/>
        <w:rPr>
          <w:rFonts w:ascii="Arial" w:cs="Arial" w:eastAsia="Arial" w:hAnsi="Arial"/>
          <w:sz w:val="16"/>
          <w:szCs w:val="16"/>
          <w:b w:val="1"/>
          <w:bCs w:val="1"/>
          <w:color w:val="626365"/>
        </w:rPr>
      </w:pPr>
    </w:p>
    <w:p>
      <w:pPr>
        <w:ind w:left="340" w:hanging="332"/>
        <w:spacing w:after="0"/>
        <w:tabs>
          <w:tab w:leader="none" w:pos="340" w:val="left"/>
        </w:tabs>
        <w:numPr>
          <w:ilvl w:val="0"/>
          <w:numId w:val="20"/>
        </w:numPr>
        <w:rPr>
          <w:rFonts w:ascii="Arial" w:cs="Arial" w:eastAsia="Arial" w:hAnsi="Arial"/>
          <w:sz w:val="16"/>
          <w:szCs w:val="16"/>
          <w:b w:val="1"/>
          <w:bCs w:val="1"/>
          <w:color w:val="626365"/>
        </w:rPr>
      </w:pPr>
      <w:r>
        <w:rPr>
          <w:rFonts w:ascii="Arial" w:cs="Arial" w:eastAsia="Arial" w:hAnsi="Arial"/>
          <w:sz w:val="16"/>
          <w:szCs w:val="16"/>
          <w:b w:val="1"/>
          <w:bCs w:val="1"/>
          <w:color w:val="626365"/>
        </w:rPr>
        <w:t>VESTING AND EXERCISING OF OPTION</w:t>
      </w:r>
    </w:p>
    <w:p>
      <w:pPr>
        <w:spacing w:after="0" w:line="63" w:lineRule="exact"/>
        <w:rPr>
          <w:rFonts w:ascii="Arial" w:cs="Arial" w:eastAsia="Arial" w:hAnsi="Arial"/>
          <w:sz w:val="16"/>
          <w:szCs w:val="16"/>
          <w:b w:val="1"/>
          <w:bCs w:val="1"/>
          <w:color w:val="626365"/>
        </w:rPr>
      </w:pPr>
    </w:p>
    <w:p>
      <w:pPr>
        <w:ind w:left="340" w:right="480"/>
        <w:spacing w:after="0" w:line="349" w:lineRule="auto"/>
        <w:rPr>
          <w:rFonts w:ascii="Arial" w:cs="Arial" w:eastAsia="Arial" w:hAnsi="Arial"/>
          <w:sz w:val="16"/>
          <w:szCs w:val="16"/>
          <w:b w:val="1"/>
          <w:bCs w:val="1"/>
          <w:color w:val="626365"/>
        </w:rPr>
      </w:pPr>
      <w:r>
        <w:rPr>
          <w:rFonts w:ascii="Arial" w:cs="Arial" w:eastAsia="Arial" w:hAnsi="Arial"/>
          <w:sz w:val="14"/>
          <w:szCs w:val="14"/>
          <w:color w:val="626365"/>
        </w:rPr>
        <w:t>Except as set forth in Section 5, the Option shall vest and be exercisable pursuant to the terms of the vesting schedule set forth in the Notice.</w:t>
      </w:r>
    </w:p>
    <w:p>
      <w:pPr>
        <w:spacing w:after="0" w:line="71" w:lineRule="exact"/>
        <w:rPr>
          <w:rFonts w:ascii="Arial" w:cs="Arial" w:eastAsia="Arial" w:hAnsi="Arial"/>
          <w:sz w:val="16"/>
          <w:szCs w:val="16"/>
          <w:b w:val="1"/>
          <w:bCs w:val="1"/>
          <w:color w:val="626365"/>
        </w:rPr>
      </w:pPr>
    </w:p>
    <w:p>
      <w:pPr>
        <w:ind w:left="660" w:right="180" w:hanging="328"/>
        <w:spacing w:after="0" w:line="261" w:lineRule="auto"/>
        <w:tabs>
          <w:tab w:leader="none" w:pos="660" w:val="left"/>
        </w:tabs>
        <w:numPr>
          <w:ilvl w:val="1"/>
          <w:numId w:val="20"/>
        </w:numPr>
        <w:rPr>
          <w:rFonts w:ascii="Arial" w:cs="Arial" w:eastAsia="Arial" w:hAnsi="Arial"/>
          <w:sz w:val="16"/>
          <w:szCs w:val="16"/>
          <w:color w:val="626365"/>
        </w:rPr>
      </w:pPr>
      <w:r>
        <w:rPr>
          <w:rFonts w:ascii="Arial" w:cs="Arial" w:eastAsia="Arial" w:hAnsi="Arial"/>
          <w:sz w:val="16"/>
          <w:szCs w:val="16"/>
          <w:color w:val="626365"/>
        </w:rPr>
        <w:t>Method of Exercise. The Option shall be exercisable (only to the extent vested) by a written notice in a form prescribed by the Company that shall:</w:t>
      </w:r>
    </w:p>
    <w:p>
      <w:pPr>
        <w:spacing w:after="0" w:line="20" w:lineRule="exact"/>
        <w:rPr>
          <w:rFonts w:ascii="Arial" w:cs="Arial" w:eastAsia="Arial" w:hAnsi="Arial"/>
          <w:sz w:val="16"/>
          <w:szCs w:val="16"/>
          <w:color w:val="626365"/>
        </w:rPr>
      </w:pPr>
    </w:p>
    <w:p>
      <w:pPr>
        <w:ind w:left="980" w:right="220" w:hanging="324"/>
        <w:spacing w:after="0" w:line="261" w:lineRule="auto"/>
        <w:tabs>
          <w:tab w:leader="none" w:pos="980" w:val="left"/>
        </w:tabs>
        <w:numPr>
          <w:ilvl w:val="2"/>
          <w:numId w:val="20"/>
        </w:numPr>
        <w:rPr>
          <w:rFonts w:ascii="Arial" w:cs="Arial" w:eastAsia="Arial" w:hAnsi="Arial"/>
          <w:sz w:val="16"/>
          <w:szCs w:val="16"/>
          <w:color w:val="626365"/>
        </w:rPr>
      </w:pPr>
      <w:r>
        <w:rPr>
          <w:rFonts w:ascii="Arial" w:cs="Arial" w:eastAsia="Arial" w:hAnsi="Arial"/>
          <w:sz w:val="16"/>
          <w:szCs w:val="16"/>
          <w:color w:val="626365"/>
        </w:rPr>
        <w:t>state the election to exercise the Option, the number of shares, the total option exercise price, and the name and address of the Optionee;</w:t>
      </w:r>
    </w:p>
    <w:p>
      <w:pPr>
        <w:spacing w:after="0" w:line="20" w:lineRule="exact"/>
        <w:rPr>
          <w:rFonts w:ascii="Arial" w:cs="Arial" w:eastAsia="Arial" w:hAnsi="Arial"/>
          <w:sz w:val="16"/>
          <w:szCs w:val="16"/>
          <w:color w:val="626365"/>
        </w:rPr>
      </w:pPr>
    </w:p>
    <w:p>
      <w:pPr>
        <w:ind w:left="980" w:hanging="324"/>
        <w:spacing w:after="0"/>
        <w:tabs>
          <w:tab w:leader="none" w:pos="980" w:val="left"/>
        </w:tabs>
        <w:numPr>
          <w:ilvl w:val="2"/>
          <w:numId w:val="20"/>
        </w:numPr>
        <w:rPr>
          <w:rFonts w:ascii="Arial" w:cs="Arial" w:eastAsia="Arial" w:hAnsi="Arial"/>
          <w:sz w:val="16"/>
          <w:szCs w:val="16"/>
          <w:color w:val="626365"/>
        </w:rPr>
      </w:pPr>
      <w:r>
        <w:rPr>
          <w:rFonts w:ascii="Arial" w:cs="Arial" w:eastAsia="Arial" w:hAnsi="Arial"/>
          <w:sz w:val="16"/>
          <w:szCs w:val="16"/>
          <w:color w:val="626365"/>
        </w:rPr>
        <w:t>be signed by the person entitled to exercise the Option; and</w:t>
      </w:r>
    </w:p>
    <w:p>
      <w:pPr>
        <w:spacing w:after="0" w:line="59" w:lineRule="exact"/>
        <w:rPr>
          <w:rFonts w:ascii="Arial" w:cs="Arial" w:eastAsia="Arial" w:hAnsi="Arial"/>
          <w:sz w:val="16"/>
          <w:szCs w:val="16"/>
          <w:color w:val="626365"/>
        </w:rPr>
      </w:pPr>
    </w:p>
    <w:p>
      <w:pPr>
        <w:ind w:left="980" w:right="40" w:hanging="324"/>
        <w:spacing w:after="0" w:line="275" w:lineRule="auto"/>
        <w:tabs>
          <w:tab w:leader="none" w:pos="980" w:val="left"/>
        </w:tabs>
        <w:numPr>
          <w:ilvl w:val="2"/>
          <w:numId w:val="20"/>
        </w:numPr>
        <w:rPr>
          <w:rFonts w:ascii="Arial" w:cs="Arial" w:eastAsia="Arial" w:hAnsi="Arial"/>
          <w:sz w:val="16"/>
          <w:szCs w:val="16"/>
          <w:color w:val="626365"/>
        </w:rPr>
      </w:pPr>
      <w:r>
        <w:rPr>
          <w:rFonts w:ascii="Arial" w:cs="Arial" w:eastAsia="Arial" w:hAnsi="Arial"/>
          <w:sz w:val="16"/>
          <w:szCs w:val="16"/>
          <w:color w:val="626365"/>
        </w:rPr>
        <w:t>be in writing and delivered to Nordstrom Leadership Benefits (either directly or through a broker).</w:t>
      </w:r>
    </w:p>
    <w:p>
      <w:pPr>
        <w:spacing w:after="0" w:line="10" w:lineRule="exact"/>
        <w:rPr>
          <w:rFonts w:ascii="Arial" w:cs="Arial" w:eastAsia="Arial" w:hAnsi="Arial"/>
          <w:sz w:val="16"/>
          <w:szCs w:val="16"/>
          <w:color w:val="626365"/>
        </w:rPr>
      </w:pPr>
    </w:p>
    <w:p>
      <w:pPr>
        <w:jc w:val="both"/>
        <w:ind w:left="660" w:right="320" w:hanging="328"/>
        <w:spacing w:after="0" w:line="322" w:lineRule="auto"/>
        <w:tabs>
          <w:tab w:leader="none" w:pos="660" w:val="left"/>
        </w:tabs>
        <w:numPr>
          <w:ilvl w:val="1"/>
          <w:numId w:val="20"/>
        </w:numPr>
        <w:rPr>
          <w:rFonts w:ascii="Arial" w:cs="Arial" w:eastAsia="Arial" w:hAnsi="Arial"/>
          <w:sz w:val="14"/>
          <w:szCs w:val="14"/>
          <w:color w:val="626365"/>
        </w:rPr>
      </w:pPr>
      <w:r>
        <w:rPr>
          <w:rFonts w:ascii="Arial" w:cs="Arial" w:eastAsia="Arial" w:hAnsi="Arial"/>
          <w:sz w:val="14"/>
          <w:szCs w:val="14"/>
          <w:color w:val="626365"/>
        </w:rPr>
        <w:t>Payment upon Exercise. Payment of the option exercise price for any shares with respect to which an Option is being exercised shall be by:</w:t>
      </w:r>
    </w:p>
    <w:p>
      <w:pPr>
        <w:ind w:left="980" w:hanging="324"/>
        <w:spacing w:after="0"/>
        <w:tabs>
          <w:tab w:leader="none" w:pos="980" w:val="left"/>
        </w:tabs>
        <w:numPr>
          <w:ilvl w:val="2"/>
          <w:numId w:val="20"/>
        </w:numPr>
        <w:rPr>
          <w:rFonts w:ascii="Arial" w:cs="Arial" w:eastAsia="Arial" w:hAnsi="Arial"/>
          <w:sz w:val="16"/>
          <w:szCs w:val="16"/>
          <w:color w:val="626365"/>
        </w:rPr>
      </w:pPr>
      <w:r>
        <w:rPr>
          <w:rFonts w:ascii="Arial" w:cs="Arial" w:eastAsia="Arial" w:hAnsi="Arial"/>
          <w:sz w:val="16"/>
          <w:szCs w:val="16"/>
          <w:color w:val="626365"/>
        </w:rPr>
        <w:t>check or bank wire transfer, or</w:t>
      </w:r>
    </w:p>
    <w:p>
      <w:pPr>
        <w:spacing w:after="0" w:line="59" w:lineRule="exact"/>
        <w:rPr>
          <w:rFonts w:ascii="Arial" w:cs="Arial" w:eastAsia="Arial" w:hAnsi="Arial"/>
          <w:sz w:val="16"/>
          <w:szCs w:val="16"/>
          <w:color w:val="626365"/>
        </w:rPr>
      </w:pPr>
    </w:p>
    <w:p>
      <w:pPr>
        <w:ind w:left="980" w:hanging="324"/>
        <w:spacing w:after="0" w:line="270" w:lineRule="auto"/>
        <w:tabs>
          <w:tab w:leader="none" w:pos="980" w:val="left"/>
        </w:tabs>
        <w:numPr>
          <w:ilvl w:val="2"/>
          <w:numId w:val="20"/>
        </w:numPr>
        <w:rPr>
          <w:rFonts w:ascii="Arial" w:cs="Arial" w:eastAsia="Arial" w:hAnsi="Arial"/>
          <w:sz w:val="15"/>
          <w:szCs w:val="15"/>
          <w:color w:val="626365"/>
        </w:rPr>
      </w:pPr>
      <w:r>
        <w:rPr>
          <w:rFonts w:ascii="Arial" w:cs="Arial" w:eastAsia="Arial" w:hAnsi="Arial"/>
          <w:sz w:val="15"/>
          <w:szCs w:val="15"/>
          <w:color w:val="626365"/>
        </w:rPr>
        <w:t>giving an irrevocable direction for a broker approved by the Company to sell all or part of the Option shares and to deliver to the Company from the sale proceeds an amount sufficient to pay the option exercise price and any amount required to be withheld to meet the Company’s minimum statutory withholding requirements, including the employee’s share of payroll taxes. (The balance of the sale proceeds, if any, will be delivered to the Optionee.)</w:t>
      </w:r>
    </w:p>
    <w:p>
      <w:pPr>
        <w:spacing w:after="0" w:line="19" w:lineRule="exact"/>
        <w:rPr>
          <w:sz w:val="20"/>
          <w:szCs w:val="20"/>
          <w:color w:val="auto"/>
        </w:rPr>
      </w:pPr>
    </w:p>
    <w:p>
      <w:pPr>
        <w:ind w:left="340" w:right="140"/>
        <w:spacing w:after="0" w:line="275" w:lineRule="auto"/>
        <w:rPr>
          <w:sz w:val="20"/>
          <w:szCs w:val="20"/>
          <w:color w:val="auto"/>
        </w:rPr>
      </w:pPr>
      <w:r>
        <w:rPr>
          <w:rFonts w:ascii="Arial" w:cs="Arial" w:eastAsia="Arial" w:hAnsi="Arial"/>
          <w:sz w:val="16"/>
          <w:szCs w:val="16"/>
          <w:color w:val="626365"/>
        </w:rPr>
        <w:t>The certificate(s) or shares of Common Stock as to which the Option shall be exercised shall be registered in the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both"/>
        <w:ind w:left="318" w:right="40"/>
        <w:spacing w:after="0" w:line="261" w:lineRule="auto"/>
        <w:rPr>
          <w:sz w:val="20"/>
          <w:szCs w:val="20"/>
          <w:color w:val="auto"/>
        </w:rPr>
      </w:pPr>
      <w:r>
        <w:rPr>
          <w:rFonts w:ascii="Arial" w:cs="Arial" w:eastAsia="Arial" w:hAnsi="Arial"/>
          <w:sz w:val="16"/>
          <w:szCs w:val="16"/>
          <w:color w:val="626365"/>
        </w:rPr>
        <w:t>name of the person(s) exercising the Option unless another person is specified. An Option hereunder may not at any time be exercised for a fractional number of shares.</w:t>
      </w:r>
    </w:p>
    <w:p>
      <w:pPr>
        <w:spacing w:after="0" w:line="21" w:lineRule="exact"/>
        <w:rPr>
          <w:sz w:val="20"/>
          <w:szCs w:val="20"/>
          <w:color w:val="auto"/>
        </w:rPr>
      </w:pPr>
    </w:p>
    <w:p>
      <w:pPr>
        <w:ind w:left="658" w:right="40" w:hanging="334"/>
        <w:spacing w:after="0" w:line="269" w:lineRule="auto"/>
        <w:tabs>
          <w:tab w:leader="none" w:pos="658" w:val="left"/>
        </w:tabs>
        <w:numPr>
          <w:ilvl w:val="1"/>
          <w:numId w:val="21"/>
        </w:numPr>
        <w:rPr>
          <w:rFonts w:ascii="Arial" w:cs="Arial" w:eastAsia="Arial" w:hAnsi="Arial"/>
          <w:sz w:val="15"/>
          <w:szCs w:val="15"/>
          <w:color w:val="626365"/>
        </w:rPr>
      </w:pPr>
      <w:r>
        <w:rPr>
          <w:rFonts w:ascii="Arial" w:cs="Arial" w:eastAsia="Arial" w:hAnsi="Arial"/>
          <w:sz w:val="15"/>
          <w:szCs w:val="15"/>
          <w:color w:val="626365"/>
        </w:rPr>
        <w:t>Restrictions on Exercise. The Option may not be exercised if the issuance of the shares upon such exercise would constitute a violation of any applicable federal or state securities or other law or valid regulation, or the Company’s Insider Trading Policy. As a condition to the exercise of the Option, the Company may require the person exercising the Option to make any representation and warranty to the Company as the Company’s counsel advises and as may be required by the Company or by any applicable law or regulation.</w:t>
      </w:r>
    </w:p>
    <w:p>
      <w:pPr>
        <w:spacing w:after="0" w:line="164" w:lineRule="exact"/>
        <w:rPr>
          <w:rFonts w:ascii="Arial" w:cs="Arial" w:eastAsia="Arial" w:hAnsi="Arial"/>
          <w:sz w:val="15"/>
          <w:szCs w:val="15"/>
          <w:color w:val="626365"/>
        </w:rPr>
      </w:pPr>
    </w:p>
    <w:p>
      <w:pPr>
        <w:ind w:left="318" w:hanging="318"/>
        <w:spacing w:after="0"/>
        <w:tabs>
          <w:tab w:leader="none" w:pos="318" w:val="left"/>
        </w:tabs>
        <w:numPr>
          <w:ilvl w:val="0"/>
          <w:numId w:val="22"/>
        </w:numPr>
        <w:rPr>
          <w:rFonts w:ascii="Arial" w:cs="Arial" w:eastAsia="Arial" w:hAnsi="Arial"/>
          <w:sz w:val="16"/>
          <w:szCs w:val="16"/>
          <w:b w:val="1"/>
          <w:bCs w:val="1"/>
          <w:color w:val="626365"/>
        </w:rPr>
      </w:pPr>
      <w:r>
        <w:rPr>
          <w:rFonts w:ascii="Arial" w:cs="Arial" w:eastAsia="Arial" w:hAnsi="Arial"/>
          <w:sz w:val="16"/>
          <w:szCs w:val="16"/>
          <w:b w:val="1"/>
          <w:bCs w:val="1"/>
          <w:color w:val="626365"/>
        </w:rPr>
        <w:t>ACCEPTANCE OF OPTION</w:t>
      </w:r>
    </w:p>
    <w:p>
      <w:pPr>
        <w:spacing w:after="0" w:line="63" w:lineRule="exact"/>
        <w:rPr>
          <w:rFonts w:ascii="Arial" w:cs="Arial" w:eastAsia="Arial" w:hAnsi="Arial"/>
          <w:sz w:val="16"/>
          <w:szCs w:val="16"/>
          <w:b w:val="1"/>
          <w:bCs w:val="1"/>
          <w:color w:val="626365"/>
        </w:rPr>
      </w:pPr>
    </w:p>
    <w:p>
      <w:pPr>
        <w:ind w:left="318" w:right="80"/>
        <w:spacing w:after="0" w:line="261" w:lineRule="auto"/>
        <w:rPr>
          <w:rFonts w:ascii="Arial" w:cs="Arial" w:eastAsia="Arial" w:hAnsi="Arial"/>
          <w:sz w:val="16"/>
          <w:szCs w:val="16"/>
          <w:b w:val="1"/>
          <w:bCs w:val="1"/>
          <w:color w:val="626365"/>
        </w:rPr>
      </w:pPr>
      <w:r>
        <w:rPr>
          <w:rFonts w:ascii="Arial" w:cs="Arial" w:eastAsia="Arial" w:hAnsi="Arial"/>
          <w:sz w:val="16"/>
          <w:szCs w:val="16"/>
          <w:color w:val="626365"/>
        </w:rPr>
        <w:t>Although the Company may or may not require the Optionee’s signature upon accepting the grant, the Optionee remains subject to the terms and conditions of this Agreement.</w:t>
      </w:r>
    </w:p>
    <w:p>
      <w:pPr>
        <w:spacing w:after="0" w:line="165"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2"/>
        </w:numPr>
        <w:rPr>
          <w:rFonts w:ascii="Arial" w:cs="Arial" w:eastAsia="Arial" w:hAnsi="Arial"/>
          <w:sz w:val="16"/>
          <w:szCs w:val="16"/>
          <w:b w:val="1"/>
          <w:bCs w:val="1"/>
          <w:color w:val="626365"/>
        </w:rPr>
      </w:pPr>
      <w:r>
        <w:rPr>
          <w:rFonts w:ascii="Arial" w:cs="Arial" w:eastAsia="Arial" w:hAnsi="Arial"/>
          <w:sz w:val="16"/>
          <w:szCs w:val="16"/>
          <w:b w:val="1"/>
          <w:bCs w:val="1"/>
          <w:color w:val="626365"/>
        </w:rPr>
        <w:t>NONTRANSFERABILITY OF OPTION</w:t>
      </w:r>
    </w:p>
    <w:p>
      <w:pPr>
        <w:spacing w:after="0" w:line="63" w:lineRule="exact"/>
        <w:rPr>
          <w:rFonts w:ascii="Arial" w:cs="Arial" w:eastAsia="Arial" w:hAnsi="Arial"/>
          <w:sz w:val="16"/>
          <w:szCs w:val="16"/>
          <w:b w:val="1"/>
          <w:bCs w:val="1"/>
          <w:color w:val="626365"/>
        </w:rPr>
      </w:pPr>
    </w:p>
    <w:p>
      <w:pPr>
        <w:ind w:left="318" w:right="20"/>
        <w:spacing w:after="0" w:line="268" w:lineRule="auto"/>
        <w:rPr>
          <w:rFonts w:ascii="Arial" w:cs="Arial" w:eastAsia="Arial" w:hAnsi="Arial"/>
          <w:sz w:val="16"/>
          <w:szCs w:val="16"/>
          <w:b w:val="1"/>
          <w:bCs w:val="1"/>
          <w:color w:val="626365"/>
        </w:rPr>
      </w:pPr>
      <w:r>
        <w:rPr>
          <w:rFonts w:ascii="Arial" w:cs="Arial" w:eastAsia="Arial" w:hAnsi="Arial"/>
          <w:sz w:val="15"/>
          <w:szCs w:val="15"/>
          <w:color w:val="626365"/>
        </w:rPr>
        <w:t>The Option may not be sold, pledged, assigned or transferred in any manner except in the event of the Optionee’s death. In the event of the Optionee’s death, the Options may be transferred to the person indicated on a valid Nordstrom Beneficiary Designation form, or if no Beneficiary Designation form is on file with the Company, then to the person to whom the Optionee’s rights have passed by will or the laws of descent and distribution. Except as set forth in Section 5, the Option may be exercised during the lifetime of the Optionee only by the Optionee or by the guardian or legal representative of the Optionee. The terms of this Agreement shall be binding upon the executors, administrators, heirs and successors of the Optionee.</w:t>
      </w:r>
    </w:p>
    <w:p>
      <w:pPr>
        <w:spacing w:after="0" w:line="163"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2"/>
        </w:numPr>
        <w:rPr>
          <w:rFonts w:ascii="Arial" w:cs="Arial" w:eastAsia="Arial" w:hAnsi="Arial"/>
          <w:sz w:val="16"/>
          <w:szCs w:val="16"/>
          <w:b w:val="1"/>
          <w:bCs w:val="1"/>
          <w:color w:val="626365"/>
        </w:rPr>
      </w:pPr>
      <w:r>
        <w:rPr>
          <w:rFonts w:ascii="Arial" w:cs="Arial" w:eastAsia="Arial" w:hAnsi="Arial"/>
          <w:sz w:val="16"/>
          <w:szCs w:val="16"/>
          <w:b w:val="1"/>
          <w:bCs w:val="1"/>
          <w:color w:val="626365"/>
        </w:rPr>
        <w:t>SEPARATION OF EMPLOYMENT</w:t>
      </w:r>
    </w:p>
    <w:p>
      <w:pPr>
        <w:spacing w:after="0" w:line="63" w:lineRule="exact"/>
        <w:rPr>
          <w:rFonts w:ascii="Arial" w:cs="Arial" w:eastAsia="Arial" w:hAnsi="Arial"/>
          <w:sz w:val="16"/>
          <w:szCs w:val="16"/>
          <w:b w:val="1"/>
          <w:bCs w:val="1"/>
          <w:color w:val="626365"/>
        </w:rPr>
      </w:pPr>
    </w:p>
    <w:p>
      <w:pPr>
        <w:ind w:left="318" w:right="20"/>
        <w:spacing w:after="0" w:line="278" w:lineRule="auto"/>
        <w:rPr>
          <w:rFonts w:ascii="Arial" w:cs="Arial" w:eastAsia="Arial" w:hAnsi="Arial"/>
          <w:sz w:val="16"/>
          <w:szCs w:val="16"/>
          <w:b w:val="1"/>
          <w:bCs w:val="1"/>
          <w:color w:val="626365"/>
        </w:rPr>
      </w:pPr>
      <w:r>
        <w:rPr>
          <w:rFonts w:ascii="Arial" w:cs="Arial" w:eastAsia="Arial" w:hAnsi="Arial"/>
          <w:sz w:val="15"/>
          <w:szCs w:val="15"/>
          <w:color w:val="626365"/>
        </w:rPr>
        <w:t>Except as set forth in this section, a vested Option may only be exercised while the Optionee is an employee of the Company. If an Optionee’s employment is terminated, the Optionee or his or her legal representative shall have the right to exercise the Option after such termination as follows:</w:t>
      </w:r>
    </w:p>
    <w:p>
      <w:pPr>
        <w:sectPr>
          <w:pgSz w:w="11900" w:h="16838" w:orient="portrait"/>
          <w:cols w:equalWidth="0" w:num="2">
            <w:col w:w="5480" w:space="462"/>
            <w:col w:w="5478"/>
          </w:cols>
          <w:pgMar w:left="240" w:top="368" w:right="239" w:bottom="1440" w:gutter="0" w:footer="0" w:header="0"/>
          <w:type w:val="continuous"/>
        </w:sectPr>
      </w:pPr>
    </w:p>
    <w:bookmarkStart w:id="32" w:name="page33"/>
    <w:bookmarkEnd w:id="32"/>
    <w:p>
      <w:pPr>
        <w:spacing w:after="0" w:line="45" w:lineRule="exact"/>
        <w:rPr>
          <w:sz w:val="20"/>
          <w:szCs w:val="20"/>
          <w:color w:val="auto"/>
        </w:rPr>
      </w:pPr>
    </w:p>
    <w:p>
      <w:pPr>
        <w:ind w:left="328" w:right="60" w:hanging="328"/>
        <w:spacing w:after="0" w:line="275" w:lineRule="auto"/>
        <w:tabs>
          <w:tab w:leader="none" w:pos="328" w:val="left"/>
        </w:tabs>
        <w:numPr>
          <w:ilvl w:val="0"/>
          <w:numId w:val="23"/>
        </w:numPr>
        <w:rPr>
          <w:rFonts w:ascii="Arial" w:cs="Arial" w:eastAsia="Arial" w:hAnsi="Arial"/>
          <w:sz w:val="16"/>
          <w:szCs w:val="16"/>
          <w:color w:val="626365"/>
        </w:rPr>
      </w:pPr>
      <w:r>
        <w:rPr>
          <w:rFonts w:ascii="Arial" w:cs="Arial" w:eastAsia="Arial" w:hAnsi="Arial"/>
          <w:sz w:val="16"/>
          <w:szCs w:val="16"/>
          <w:color w:val="626365"/>
        </w:rPr>
        <w:t>If the Optionee dies while employed by the Company, and the option was granted at least six</w:t>
      </w:r>
    </w:p>
    <w:p>
      <w:pPr>
        <w:spacing w:after="0" w:line="10" w:lineRule="exact"/>
        <w:rPr>
          <w:rFonts w:ascii="Arial" w:cs="Arial" w:eastAsia="Arial" w:hAnsi="Arial"/>
          <w:sz w:val="16"/>
          <w:szCs w:val="16"/>
          <w:color w:val="626365"/>
        </w:rPr>
      </w:pPr>
    </w:p>
    <w:p>
      <w:pPr>
        <w:ind w:left="328" w:right="60" w:hanging="328"/>
        <w:spacing w:after="0" w:line="268" w:lineRule="auto"/>
        <w:tabs>
          <w:tab w:leader="none" w:pos="328" w:val="left"/>
        </w:tabs>
        <w:numPr>
          <w:ilvl w:val="0"/>
          <w:numId w:val="23"/>
        </w:numPr>
        <w:rPr>
          <w:rFonts w:ascii="Arial" w:cs="Arial" w:eastAsia="Arial" w:hAnsi="Arial"/>
          <w:sz w:val="15"/>
          <w:szCs w:val="15"/>
          <w:color w:val="626365"/>
        </w:rPr>
      </w:pPr>
      <w:r>
        <w:rPr>
          <w:rFonts w:ascii="Arial" w:cs="Arial" w:eastAsia="Arial" w:hAnsi="Arial"/>
          <w:sz w:val="15"/>
          <w:szCs w:val="15"/>
          <w:color w:val="626365"/>
        </w:rPr>
        <w:t>months prior to the date of the Optionee’s death, it shall immediately vest and may be exercised during the period ending four years after the Optionee’s death. The recipient named on the Optionee’s Beneficiary Designation form may exercise such rights. If no valid Beneficiary Designation form is on file with the Company, then the person to whom the Optionee’s rights have passed by will or the laws of descent and distribution may exercise such rights. In no event may the Option be exercised more than 10 years from the date of grant. If the Option was granted less than six months prior to death, such Option shall be forfeited as of the date of death.</w:t>
      </w:r>
    </w:p>
    <w:p>
      <w:pPr>
        <w:spacing w:after="0" w:line="19" w:lineRule="exact"/>
        <w:rPr>
          <w:sz w:val="20"/>
          <w:szCs w:val="20"/>
          <w:color w:val="auto"/>
        </w:rPr>
      </w:pPr>
    </w:p>
    <w:p>
      <w:pPr>
        <w:ind w:left="328" w:right="20" w:hanging="328"/>
        <w:spacing w:after="0" w:line="267" w:lineRule="auto"/>
        <w:tabs>
          <w:tab w:leader="none" w:pos="328" w:val="left"/>
        </w:tabs>
        <w:numPr>
          <w:ilvl w:val="0"/>
          <w:numId w:val="24"/>
        </w:numPr>
        <w:rPr>
          <w:rFonts w:ascii="Arial" w:cs="Arial" w:eastAsia="Arial" w:hAnsi="Arial"/>
          <w:sz w:val="15"/>
          <w:szCs w:val="15"/>
          <w:color w:val="626365"/>
        </w:rPr>
      </w:pPr>
      <w:r>
        <w:rPr>
          <w:rFonts w:ascii="Arial" w:cs="Arial" w:eastAsia="Arial" w:hAnsi="Arial"/>
          <w:sz w:val="15"/>
          <w:szCs w:val="15"/>
          <w:color w:val="626365"/>
        </w:rPr>
        <w:t>If the Optionee is separated due to his or her disability, as defined in Section 22(e)(3) of the Internal Revenue Code of 1986, as amended (the “Code”), the Option was granted at least six months prior to such separation and the Optionee provides Nordstrom Leadership Benefits with reasonable documentation of the Optionee’s disability, the Option shall immediately vest as of the date of such separation and may be exercised during the period ending four years after separation. In no event may the Option be exercised more than 10 years from the date of grant. If the Option was granted less than six months prior to separation due to the Optionee’s disability, such Option shall be forfeited as of the date of separation.</w:t>
      </w:r>
    </w:p>
    <w:p>
      <w:pPr>
        <w:spacing w:after="0" w:line="23" w:lineRule="exact"/>
        <w:rPr>
          <w:rFonts w:ascii="Arial" w:cs="Arial" w:eastAsia="Arial" w:hAnsi="Arial"/>
          <w:sz w:val="15"/>
          <w:szCs w:val="15"/>
          <w:color w:val="626365"/>
        </w:rPr>
      </w:pPr>
    </w:p>
    <w:p>
      <w:pPr>
        <w:ind w:left="328" w:hanging="328"/>
        <w:spacing w:after="0" w:line="274" w:lineRule="auto"/>
        <w:tabs>
          <w:tab w:leader="none" w:pos="328" w:val="left"/>
        </w:tabs>
        <w:numPr>
          <w:ilvl w:val="0"/>
          <w:numId w:val="24"/>
        </w:numPr>
        <w:rPr>
          <w:rFonts w:ascii="Arial" w:cs="Arial" w:eastAsia="Arial" w:hAnsi="Arial"/>
          <w:sz w:val="15"/>
          <w:szCs w:val="15"/>
          <w:color w:val="626365"/>
        </w:rPr>
      </w:pPr>
      <w:r>
        <w:rPr>
          <w:rFonts w:ascii="Arial" w:cs="Arial" w:eastAsia="Arial" w:hAnsi="Arial"/>
          <w:sz w:val="15"/>
          <w:szCs w:val="15"/>
          <w:color w:val="626365"/>
        </w:rPr>
        <w:t>If the Optionee’s employment is terminated due to his or her embezzlement or theft of Company funds, defraudation of the Company, violation of Company rules, regulations or policies, or any intentional act that harms the Company, such Option, to the extent not exercised as of the date of termination, shall be forfeited as of that date.</w:t>
      </w:r>
    </w:p>
    <w:p>
      <w:pPr>
        <w:spacing w:after="0" w:line="14" w:lineRule="exact"/>
        <w:rPr>
          <w:rFonts w:ascii="Arial" w:cs="Arial" w:eastAsia="Arial" w:hAnsi="Arial"/>
          <w:sz w:val="15"/>
          <w:szCs w:val="15"/>
          <w:color w:val="626365"/>
        </w:rPr>
      </w:pPr>
    </w:p>
    <w:p>
      <w:pPr>
        <w:ind w:left="328" w:right="40" w:hanging="328"/>
        <w:spacing w:after="0" w:line="295" w:lineRule="auto"/>
        <w:tabs>
          <w:tab w:leader="none" w:pos="328" w:val="left"/>
        </w:tabs>
        <w:numPr>
          <w:ilvl w:val="0"/>
          <w:numId w:val="24"/>
        </w:numPr>
        <w:rPr>
          <w:rFonts w:ascii="Arial" w:cs="Arial" w:eastAsia="Arial" w:hAnsi="Arial"/>
          <w:sz w:val="14"/>
          <w:szCs w:val="14"/>
          <w:color w:val="626365"/>
        </w:rPr>
      </w:pPr>
      <w:r>
        <w:rPr>
          <w:rFonts w:ascii="Arial" w:cs="Arial" w:eastAsia="Arial" w:hAnsi="Arial"/>
          <w:sz w:val="14"/>
          <w:szCs w:val="14"/>
          <w:color w:val="626365"/>
        </w:rPr>
        <w:t>If the Optionee is separated for any reason other than those set forth in subparagraphs (a), (b) and (c) above, the Optionee (or Optionee’s beneficiary) may exercise his or her Option, to the extent vested as of the date of his or her separation, within 100 days after separation. In no event may the Option be exercised more than 10 years from the date of grant. Any unvested options will be forfeited as of the date of separation.</w:t>
      </w:r>
    </w:p>
    <w:p>
      <w:pPr>
        <w:spacing w:after="0" w:line="1" w:lineRule="exact"/>
        <w:rPr>
          <w:sz w:val="20"/>
          <w:szCs w:val="20"/>
          <w:color w:val="auto"/>
        </w:rPr>
      </w:pPr>
    </w:p>
    <w:p>
      <w:pPr>
        <w:ind w:left="8" w:right="60"/>
        <w:spacing w:after="0" w:line="267" w:lineRule="auto"/>
        <w:rPr>
          <w:sz w:val="20"/>
          <w:szCs w:val="20"/>
          <w:color w:val="auto"/>
        </w:rPr>
      </w:pPr>
      <w:r>
        <w:rPr>
          <w:rFonts w:ascii="Arial" w:cs="Arial" w:eastAsia="Arial" w:hAnsi="Arial"/>
          <w:sz w:val="15"/>
          <w:szCs w:val="15"/>
          <w:color w:val="626365"/>
        </w:rPr>
        <w:t>Notwithstanding anything above to the contrary, if at any time during the Optionee’s employment or in the period during which the Option is exercisable, the Optionee directly or indirectly, either as an employee, employer, consultant, agent, principal, partner, shareholder, corporate officer, director or in any other capacity, engages or assists any third party in engaging in any business competitive with the Company; divulges any confidential or proprietary information of the Company to a third party who is not authorized by the Company to receive the confidential or proprietary information; or improperly uses any confidential or proprietary information of the Company, then the post-separation vesting and exercise rights of the Option set forth above shall cease immediately, and all outstanding vested and unvested portions of the Option shall be immediately forfeited.</w:t>
      </w:r>
    </w:p>
    <w:p>
      <w:pPr>
        <w:spacing w:after="0" w:line="20" w:lineRule="exact"/>
        <w:rPr>
          <w:sz w:val="20"/>
          <w:szCs w:val="20"/>
          <w:color w:val="auto"/>
        </w:rPr>
      </w:pPr>
      <w:r>
        <w:rPr>
          <w:sz w:val="20"/>
          <w:szCs w:val="20"/>
          <w:color w:val="auto"/>
        </w:rPr>
        <w:br w:type="column"/>
      </w:r>
    </w:p>
    <w:p>
      <w:pPr>
        <w:ind w:left="318" w:hanging="318"/>
        <w:spacing w:after="0"/>
        <w:tabs>
          <w:tab w:leader="none" w:pos="318" w:val="left"/>
        </w:tabs>
        <w:numPr>
          <w:ilvl w:val="0"/>
          <w:numId w:val="25"/>
        </w:numPr>
        <w:rPr>
          <w:rFonts w:ascii="Arial" w:cs="Arial" w:eastAsia="Arial" w:hAnsi="Arial"/>
          <w:sz w:val="16"/>
          <w:szCs w:val="16"/>
          <w:b w:val="1"/>
          <w:bCs w:val="1"/>
          <w:color w:val="626365"/>
        </w:rPr>
      </w:pPr>
      <w:r>
        <w:rPr>
          <w:rFonts w:ascii="Arial" w:cs="Arial" w:eastAsia="Arial" w:hAnsi="Arial"/>
          <w:sz w:val="16"/>
          <w:szCs w:val="16"/>
          <w:b w:val="1"/>
          <w:bCs w:val="1"/>
          <w:color w:val="626365"/>
        </w:rPr>
        <w:t>TERM OF OPTION</w:t>
      </w:r>
    </w:p>
    <w:p>
      <w:pPr>
        <w:spacing w:after="0" w:line="63" w:lineRule="exact"/>
        <w:rPr>
          <w:rFonts w:ascii="Arial" w:cs="Arial" w:eastAsia="Arial" w:hAnsi="Arial"/>
          <w:sz w:val="16"/>
          <w:szCs w:val="16"/>
          <w:b w:val="1"/>
          <w:bCs w:val="1"/>
          <w:color w:val="626365"/>
        </w:rPr>
      </w:pPr>
    </w:p>
    <w:p>
      <w:pPr>
        <w:ind w:left="318" w:right="100"/>
        <w:spacing w:after="0" w:line="306" w:lineRule="auto"/>
        <w:rPr>
          <w:rFonts w:ascii="Arial" w:cs="Arial" w:eastAsia="Arial" w:hAnsi="Arial"/>
          <w:sz w:val="16"/>
          <w:szCs w:val="16"/>
          <w:b w:val="1"/>
          <w:bCs w:val="1"/>
          <w:color w:val="626365"/>
        </w:rPr>
      </w:pPr>
      <w:r>
        <w:rPr>
          <w:rFonts w:ascii="Arial" w:cs="Arial" w:eastAsia="Arial" w:hAnsi="Arial"/>
          <w:sz w:val="14"/>
          <w:szCs w:val="14"/>
          <w:color w:val="626365"/>
        </w:rPr>
        <w:t>The Option may not be exercised more than 10 years from the date of grant of the Option, and the vested portion of such Option may be exercised during such term only in accordance with the Plan and the terms of the Option.</w:t>
      </w:r>
    </w:p>
    <w:p>
      <w:pPr>
        <w:spacing w:after="0" w:line="1"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5"/>
        </w:numPr>
        <w:rPr>
          <w:rFonts w:ascii="Arial" w:cs="Arial" w:eastAsia="Arial" w:hAnsi="Arial"/>
          <w:sz w:val="16"/>
          <w:szCs w:val="16"/>
          <w:b w:val="1"/>
          <w:bCs w:val="1"/>
          <w:color w:val="626365"/>
        </w:rPr>
      </w:pPr>
      <w:r>
        <w:rPr>
          <w:rFonts w:ascii="Arial" w:cs="Arial" w:eastAsia="Arial" w:hAnsi="Arial"/>
          <w:sz w:val="16"/>
          <w:szCs w:val="16"/>
          <w:b w:val="1"/>
          <w:bCs w:val="1"/>
          <w:color w:val="626365"/>
        </w:rPr>
        <w:t>ADJUSTMENTS UPON CHANGES IN CAPITALIZATION</w:t>
      </w:r>
    </w:p>
    <w:p>
      <w:pPr>
        <w:spacing w:after="0" w:line="63" w:lineRule="exact"/>
        <w:rPr>
          <w:rFonts w:ascii="Arial" w:cs="Arial" w:eastAsia="Arial" w:hAnsi="Arial"/>
          <w:sz w:val="16"/>
          <w:szCs w:val="16"/>
          <w:b w:val="1"/>
          <w:bCs w:val="1"/>
          <w:color w:val="626365"/>
        </w:rPr>
      </w:pPr>
    </w:p>
    <w:p>
      <w:pPr>
        <w:ind w:left="318" w:right="20"/>
        <w:spacing w:after="0" w:line="253" w:lineRule="auto"/>
        <w:rPr>
          <w:rFonts w:ascii="Arial" w:cs="Arial" w:eastAsia="Arial" w:hAnsi="Arial"/>
          <w:sz w:val="16"/>
          <w:szCs w:val="16"/>
          <w:b w:val="1"/>
          <w:bCs w:val="1"/>
          <w:color w:val="626365"/>
        </w:rPr>
      </w:pPr>
      <w:r>
        <w:rPr>
          <w:rFonts w:ascii="Arial" w:cs="Arial" w:eastAsia="Arial" w:hAnsi="Arial"/>
          <w:sz w:val="16"/>
          <w:szCs w:val="16"/>
          <w:color w:val="626365"/>
        </w:rPr>
        <w:t>The Option shall be adjusted pursuant to the Plan, in such manner, to such extent (if any) and at such time as the Compensation Committee deems appropriate in the circumstances, to reflect any stock dividend, stock split, split up, extraordinary cash dividend, any combination or exchange of shares or other Strategic Transaction.</w:t>
      </w:r>
    </w:p>
    <w:p>
      <w:pPr>
        <w:spacing w:after="0" w:line="174"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5"/>
        </w:numPr>
        <w:rPr>
          <w:rFonts w:ascii="Arial" w:cs="Arial" w:eastAsia="Arial" w:hAnsi="Arial"/>
          <w:sz w:val="16"/>
          <w:szCs w:val="16"/>
          <w:b w:val="1"/>
          <w:bCs w:val="1"/>
          <w:color w:val="626365"/>
        </w:rPr>
      </w:pPr>
      <w:r>
        <w:rPr>
          <w:rFonts w:ascii="Arial" w:cs="Arial" w:eastAsia="Arial" w:hAnsi="Arial"/>
          <w:sz w:val="16"/>
          <w:szCs w:val="16"/>
          <w:b w:val="1"/>
          <w:bCs w:val="1"/>
          <w:color w:val="626365"/>
        </w:rPr>
        <w:t>ADDITIONAL OPTIONS</w:t>
      </w:r>
    </w:p>
    <w:p>
      <w:pPr>
        <w:spacing w:after="0" w:line="63" w:lineRule="exact"/>
        <w:rPr>
          <w:rFonts w:ascii="Arial" w:cs="Arial" w:eastAsia="Arial" w:hAnsi="Arial"/>
          <w:sz w:val="16"/>
          <w:szCs w:val="16"/>
          <w:b w:val="1"/>
          <w:bCs w:val="1"/>
          <w:color w:val="626365"/>
        </w:rPr>
      </w:pPr>
    </w:p>
    <w:p>
      <w:pPr>
        <w:ind w:left="318" w:right="160"/>
        <w:spacing w:after="0" w:line="256" w:lineRule="auto"/>
        <w:rPr>
          <w:rFonts w:ascii="Arial" w:cs="Arial" w:eastAsia="Arial" w:hAnsi="Arial"/>
          <w:sz w:val="16"/>
          <w:szCs w:val="16"/>
          <w:b w:val="1"/>
          <w:bCs w:val="1"/>
          <w:color w:val="626365"/>
        </w:rPr>
      </w:pPr>
      <w:r>
        <w:rPr>
          <w:rFonts w:ascii="Arial" w:cs="Arial" w:eastAsia="Arial" w:hAnsi="Arial"/>
          <w:sz w:val="16"/>
          <w:szCs w:val="16"/>
          <w:color w:val="626365"/>
        </w:rPr>
        <w:t>The Compensation Committee may or may not grant the Optionee additional Options in the future. Nothing in this Option or any future grant should be construed as suggesting that additional grants to the Optionee will be forthcoming.</w:t>
      </w:r>
    </w:p>
    <w:p>
      <w:pPr>
        <w:spacing w:after="0" w:line="169"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5"/>
        </w:numPr>
        <w:rPr>
          <w:rFonts w:ascii="Arial" w:cs="Arial" w:eastAsia="Arial" w:hAnsi="Arial"/>
          <w:sz w:val="16"/>
          <w:szCs w:val="16"/>
          <w:b w:val="1"/>
          <w:bCs w:val="1"/>
          <w:color w:val="626365"/>
        </w:rPr>
      </w:pPr>
      <w:r>
        <w:rPr>
          <w:rFonts w:ascii="Arial" w:cs="Arial" w:eastAsia="Arial" w:hAnsi="Arial"/>
          <w:sz w:val="16"/>
          <w:szCs w:val="16"/>
          <w:b w:val="1"/>
          <w:bCs w:val="1"/>
          <w:color w:val="626365"/>
        </w:rPr>
        <w:t>LEAVES OF ABSENCE</w:t>
      </w:r>
    </w:p>
    <w:p>
      <w:pPr>
        <w:spacing w:after="0" w:line="63" w:lineRule="exact"/>
        <w:rPr>
          <w:rFonts w:ascii="Arial" w:cs="Arial" w:eastAsia="Arial" w:hAnsi="Arial"/>
          <w:sz w:val="16"/>
          <w:szCs w:val="16"/>
          <w:b w:val="1"/>
          <w:bCs w:val="1"/>
          <w:color w:val="626365"/>
        </w:rPr>
      </w:pPr>
    </w:p>
    <w:p>
      <w:pPr>
        <w:ind w:left="318" w:right="40"/>
        <w:spacing w:after="0" w:line="252" w:lineRule="auto"/>
        <w:rPr>
          <w:rFonts w:ascii="Arial" w:cs="Arial" w:eastAsia="Arial" w:hAnsi="Arial"/>
          <w:sz w:val="16"/>
          <w:szCs w:val="16"/>
          <w:b w:val="1"/>
          <w:bCs w:val="1"/>
          <w:color w:val="626365"/>
        </w:rPr>
      </w:pPr>
      <w:r>
        <w:rPr>
          <w:rFonts w:ascii="Arial" w:cs="Arial" w:eastAsia="Arial" w:hAnsi="Arial"/>
          <w:sz w:val="16"/>
          <w:szCs w:val="16"/>
          <w:color w:val="626365"/>
        </w:rPr>
        <w:t>For purposes of this Agreement, the Optionee’s service does not terminate due to a military leave, a medical leave or another bona fide leave of absence if the leave was approved by the Company in writing and if continued crediting of service is required by the terms of the leave or by applicable law. But, service terminates when the approved leave ends unless the Optionee immediately returns to active work.</w:t>
      </w:r>
    </w:p>
    <w:p>
      <w:pPr>
        <w:spacing w:after="0" w:line="29" w:lineRule="exact"/>
        <w:rPr>
          <w:rFonts w:ascii="Arial" w:cs="Arial" w:eastAsia="Arial" w:hAnsi="Arial"/>
          <w:sz w:val="16"/>
          <w:szCs w:val="16"/>
          <w:b w:val="1"/>
          <w:bCs w:val="1"/>
          <w:color w:val="626365"/>
        </w:rPr>
      </w:pPr>
    </w:p>
    <w:p>
      <w:pPr>
        <w:ind w:left="318" w:right="60"/>
        <w:spacing w:after="0" w:line="286" w:lineRule="auto"/>
        <w:rPr>
          <w:rFonts w:ascii="Arial" w:cs="Arial" w:eastAsia="Arial" w:hAnsi="Arial"/>
          <w:sz w:val="16"/>
          <w:szCs w:val="16"/>
          <w:b w:val="1"/>
          <w:bCs w:val="1"/>
          <w:color w:val="626365"/>
        </w:rPr>
      </w:pPr>
      <w:r>
        <w:rPr>
          <w:rFonts w:ascii="Arial" w:cs="Arial" w:eastAsia="Arial" w:hAnsi="Arial"/>
          <w:sz w:val="15"/>
          <w:szCs w:val="15"/>
          <w:color w:val="626365"/>
        </w:rPr>
        <w:t>If the Optionee goes on a leave of absence approved by the Company, then the vesting schedule specified in the Notice may be adjusted in accordance with the Company’s leave of absence policy or the terms of the leave.</w:t>
      </w:r>
    </w:p>
    <w:p>
      <w:pPr>
        <w:spacing w:after="0" w:line="149"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5"/>
        </w:numPr>
        <w:rPr>
          <w:rFonts w:ascii="Arial" w:cs="Arial" w:eastAsia="Arial" w:hAnsi="Arial"/>
          <w:sz w:val="16"/>
          <w:szCs w:val="16"/>
          <w:b w:val="1"/>
          <w:bCs w:val="1"/>
          <w:color w:val="626365"/>
        </w:rPr>
      </w:pPr>
      <w:r>
        <w:rPr>
          <w:rFonts w:ascii="Arial" w:cs="Arial" w:eastAsia="Arial" w:hAnsi="Arial"/>
          <w:sz w:val="16"/>
          <w:szCs w:val="16"/>
          <w:b w:val="1"/>
          <w:bCs w:val="1"/>
          <w:color w:val="626365"/>
        </w:rPr>
        <w:t>TAX WITHHOLDING</w:t>
      </w:r>
    </w:p>
    <w:p>
      <w:pPr>
        <w:spacing w:after="0" w:line="63" w:lineRule="exact"/>
        <w:rPr>
          <w:rFonts w:ascii="Arial" w:cs="Arial" w:eastAsia="Arial" w:hAnsi="Arial"/>
          <w:sz w:val="16"/>
          <w:szCs w:val="16"/>
          <w:b w:val="1"/>
          <w:bCs w:val="1"/>
          <w:color w:val="626365"/>
        </w:rPr>
      </w:pPr>
    </w:p>
    <w:p>
      <w:pPr>
        <w:ind w:left="318"/>
        <w:spacing w:after="0" w:line="278" w:lineRule="auto"/>
        <w:rPr>
          <w:rFonts w:ascii="Arial" w:cs="Arial" w:eastAsia="Arial" w:hAnsi="Arial"/>
          <w:sz w:val="16"/>
          <w:szCs w:val="16"/>
          <w:b w:val="1"/>
          <w:bCs w:val="1"/>
          <w:color w:val="626365"/>
        </w:rPr>
      </w:pPr>
      <w:r>
        <w:rPr>
          <w:rFonts w:ascii="Arial" w:cs="Arial" w:eastAsia="Arial" w:hAnsi="Arial"/>
          <w:sz w:val="15"/>
          <w:szCs w:val="15"/>
          <w:color w:val="626365"/>
        </w:rPr>
        <w:t>In the event that the Company determines that it is required to withhold any tax as a result of the exercise of the Option, the Optionee, as a condition to the exercise of their Option, shall make arrangements satisfactory to the Company to enable it to satisfy all withholding requirements.</w:t>
      </w:r>
    </w:p>
    <w:p>
      <w:pPr>
        <w:spacing w:after="0" w:line="155"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5"/>
        </w:numPr>
        <w:rPr>
          <w:rFonts w:ascii="Arial" w:cs="Arial" w:eastAsia="Arial" w:hAnsi="Arial"/>
          <w:sz w:val="16"/>
          <w:szCs w:val="16"/>
          <w:b w:val="1"/>
          <w:bCs w:val="1"/>
          <w:color w:val="626365"/>
        </w:rPr>
      </w:pPr>
      <w:r>
        <w:rPr>
          <w:rFonts w:ascii="Arial" w:cs="Arial" w:eastAsia="Arial" w:hAnsi="Arial"/>
          <w:sz w:val="16"/>
          <w:szCs w:val="16"/>
          <w:b w:val="1"/>
          <w:bCs w:val="1"/>
          <w:color w:val="626365"/>
        </w:rPr>
        <w:t>RIGHTS AS A SHAREHOLDER</w:t>
      </w:r>
    </w:p>
    <w:p>
      <w:pPr>
        <w:spacing w:after="0" w:line="63" w:lineRule="exact"/>
        <w:rPr>
          <w:rFonts w:ascii="Arial" w:cs="Arial" w:eastAsia="Arial" w:hAnsi="Arial"/>
          <w:sz w:val="16"/>
          <w:szCs w:val="16"/>
          <w:b w:val="1"/>
          <w:bCs w:val="1"/>
          <w:color w:val="626365"/>
        </w:rPr>
      </w:pPr>
    </w:p>
    <w:p>
      <w:pPr>
        <w:ind w:left="318" w:right="80"/>
        <w:spacing w:after="0" w:line="270" w:lineRule="auto"/>
        <w:rPr>
          <w:rFonts w:ascii="Arial" w:cs="Arial" w:eastAsia="Arial" w:hAnsi="Arial"/>
          <w:sz w:val="16"/>
          <w:szCs w:val="16"/>
          <w:b w:val="1"/>
          <w:bCs w:val="1"/>
          <w:color w:val="626365"/>
        </w:rPr>
      </w:pPr>
      <w:r>
        <w:rPr>
          <w:rFonts w:ascii="Arial" w:cs="Arial" w:eastAsia="Arial" w:hAnsi="Arial"/>
          <w:sz w:val="15"/>
          <w:szCs w:val="15"/>
          <w:color w:val="626365"/>
        </w:rPr>
        <w:t>Neither the Optionee nor the Optionee’s beneficiary or representative shall have any rights as a shareholder with respect to any Common Stock subject to the Option, unless and until (i) the Optionee or the Optionee’s beneficiary or representative becomes entitled to receive such Common Stock by filing a notice of exercise and paying the option exercise price pursuant to the Option, and (ii) the Optionee or Optionee’s beneficiary or representative has satisfied any other requirement imposed by applicable law or the Plan.</w:t>
      </w:r>
    </w:p>
    <w:p>
      <w:pPr>
        <w:spacing w:after="0" w:line="163"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5"/>
        </w:numPr>
        <w:rPr>
          <w:rFonts w:ascii="Arial" w:cs="Arial" w:eastAsia="Arial" w:hAnsi="Arial"/>
          <w:sz w:val="16"/>
          <w:szCs w:val="16"/>
          <w:b w:val="1"/>
          <w:bCs w:val="1"/>
          <w:color w:val="626365"/>
        </w:rPr>
      </w:pPr>
      <w:r>
        <w:rPr>
          <w:rFonts w:ascii="Arial" w:cs="Arial" w:eastAsia="Arial" w:hAnsi="Arial"/>
          <w:sz w:val="16"/>
          <w:szCs w:val="16"/>
          <w:b w:val="1"/>
          <w:bCs w:val="1"/>
          <w:color w:val="626365"/>
        </w:rPr>
        <w:t>NO RETENTION RIGHTS</w:t>
      </w:r>
    </w:p>
    <w:p>
      <w:pPr>
        <w:spacing w:after="0" w:line="63" w:lineRule="exact"/>
        <w:rPr>
          <w:rFonts w:ascii="Arial" w:cs="Arial" w:eastAsia="Arial" w:hAnsi="Arial"/>
          <w:sz w:val="16"/>
          <w:szCs w:val="16"/>
          <w:b w:val="1"/>
          <w:bCs w:val="1"/>
          <w:color w:val="626365"/>
        </w:rPr>
      </w:pPr>
    </w:p>
    <w:p>
      <w:pPr>
        <w:ind w:left="318" w:right="20"/>
        <w:spacing w:after="0" w:line="278" w:lineRule="auto"/>
        <w:rPr>
          <w:rFonts w:ascii="Arial" w:cs="Arial" w:eastAsia="Arial" w:hAnsi="Arial"/>
          <w:sz w:val="16"/>
          <w:szCs w:val="16"/>
          <w:b w:val="1"/>
          <w:bCs w:val="1"/>
          <w:color w:val="626365"/>
        </w:rPr>
      </w:pPr>
      <w:r>
        <w:rPr>
          <w:rFonts w:ascii="Arial" w:cs="Arial" w:eastAsia="Arial" w:hAnsi="Arial"/>
          <w:sz w:val="15"/>
          <w:szCs w:val="15"/>
          <w:color w:val="626365"/>
        </w:rPr>
        <w:t>Nothing in this Agreement or in the Plan shall give the Optionee the right to be retained by the Company (or a subsidiary of the Company) as an employee or in any capacity. The Company and its subsidiaries reserve the right to terminate the Optionee’s service at any time, with or without cause.</w:t>
      </w:r>
    </w:p>
    <w:p>
      <w:pPr>
        <w:sectPr>
          <w:pgSz w:w="11900" w:h="16838" w:orient="portrait"/>
          <w:cols w:equalWidth="0" w:num="2">
            <w:col w:w="5148" w:space="462"/>
            <w:col w:w="5478"/>
          </w:cols>
          <w:pgMar w:left="572" w:top="571" w:right="239" w:bottom="1440" w:gutter="0" w:footer="0" w:header="0"/>
        </w:sectPr>
      </w:pPr>
    </w:p>
    <w:bookmarkStart w:id="33" w:name="page34"/>
    <w:bookmarkEnd w:id="33"/>
    <w:p>
      <w:pPr>
        <w:ind w:left="332" w:hanging="332"/>
        <w:spacing w:after="0"/>
        <w:tabs>
          <w:tab w:leader="none" w:pos="332" w:val="left"/>
        </w:tabs>
        <w:numPr>
          <w:ilvl w:val="0"/>
          <w:numId w:val="26"/>
        </w:numPr>
        <w:rPr>
          <w:rFonts w:ascii="Arial" w:cs="Arial" w:eastAsia="Arial" w:hAnsi="Arial"/>
          <w:sz w:val="16"/>
          <w:szCs w:val="16"/>
          <w:b w:val="1"/>
          <w:bCs w:val="1"/>
          <w:color w:val="626365"/>
        </w:rPr>
      </w:pPr>
      <w:r>
        <w:rPr>
          <w:rFonts w:ascii="Arial" w:cs="Arial" w:eastAsia="Arial" w:hAnsi="Arial"/>
          <w:sz w:val="16"/>
          <w:szCs w:val="16"/>
          <w:b w:val="1"/>
          <w:bCs w:val="1"/>
          <w:color w:val="626365"/>
        </w:rPr>
        <w:t>CLAWBACK POLICY</w:t>
      </w:r>
    </w:p>
    <w:p>
      <w:pPr>
        <w:spacing w:after="0" w:line="63" w:lineRule="exact"/>
        <w:rPr>
          <w:rFonts w:ascii="Arial" w:cs="Arial" w:eastAsia="Arial" w:hAnsi="Arial"/>
          <w:sz w:val="16"/>
          <w:szCs w:val="16"/>
          <w:b w:val="1"/>
          <w:bCs w:val="1"/>
          <w:color w:val="626365"/>
        </w:rPr>
      </w:pPr>
    </w:p>
    <w:p>
      <w:pPr>
        <w:ind w:left="332" w:right="20"/>
        <w:spacing w:after="0" w:line="256" w:lineRule="auto"/>
        <w:rPr>
          <w:rFonts w:ascii="Arial" w:cs="Arial" w:eastAsia="Arial" w:hAnsi="Arial"/>
          <w:sz w:val="16"/>
          <w:szCs w:val="16"/>
          <w:b w:val="1"/>
          <w:bCs w:val="1"/>
          <w:color w:val="626365"/>
        </w:rPr>
      </w:pPr>
      <w:r>
        <w:rPr>
          <w:rFonts w:ascii="Arial" w:cs="Arial" w:eastAsia="Arial" w:hAnsi="Arial"/>
          <w:sz w:val="16"/>
          <w:szCs w:val="16"/>
          <w:color w:val="595B65"/>
        </w:rPr>
        <w:t>The Option, and any proceeds (Common Stock or cash) received in connection with the exercise of the Option or subsequent sale of such issued Common Stock, shall be subject to the Clawback Policy adopted by the Company’s Board, as amended from time to time.</w:t>
      </w:r>
    </w:p>
    <w:p>
      <w:pPr>
        <w:spacing w:after="0" w:line="25" w:lineRule="exact"/>
        <w:rPr>
          <w:rFonts w:ascii="Arial" w:cs="Arial" w:eastAsia="Arial" w:hAnsi="Arial"/>
          <w:sz w:val="16"/>
          <w:szCs w:val="16"/>
          <w:b w:val="1"/>
          <w:bCs w:val="1"/>
          <w:color w:val="626365"/>
        </w:rPr>
      </w:pPr>
    </w:p>
    <w:p>
      <w:pPr>
        <w:ind w:left="332" w:right="40"/>
        <w:spacing w:after="0" w:line="274" w:lineRule="auto"/>
        <w:rPr>
          <w:rFonts w:ascii="Arial" w:cs="Arial" w:eastAsia="Arial" w:hAnsi="Arial"/>
          <w:sz w:val="16"/>
          <w:szCs w:val="16"/>
          <w:b w:val="1"/>
          <w:bCs w:val="1"/>
          <w:color w:val="626365"/>
        </w:rPr>
      </w:pPr>
      <w:r>
        <w:rPr>
          <w:rFonts w:ascii="Arial" w:cs="Arial" w:eastAsia="Arial" w:hAnsi="Arial"/>
          <w:sz w:val="15"/>
          <w:szCs w:val="15"/>
          <w:color w:val="626365"/>
        </w:rPr>
        <w:t>In the event the Clawback Policy is deemed unenforceable with respect to the Option, or with respect to the proceeds received in connection with the exercise of the Option or subsequent sale of Common Stock issued pursuant to the Option, then the Option grant subject to this Agreement shall be deemed unenforceable due to lack of adequate consideration.</w:t>
      </w:r>
    </w:p>
    <w:p>
      <w:pPr>
        <w:spacing w:after="0" w:line="159" w:lineRule="exact"/>
        <w:rPr>
          <w:rFonts w:ascii="Arial" w:cs="Arial" w:eastAsia="Arial" w:hAnsi="Arial"/>
          <w:sz w:val="16"/>
          <w:szCs w:val="16"/>
          <w:b w:val="1"/>
          <w:bCs w:val="1"/>
          <w:color w:val="626365"/>
        </w:rPr>
      </w:pPr>
    </w:p>
    <w:p>
      <w:pPr>
        <w:ind w:left="332" w:hanging="332"/>
        <w:spacing w:after="0"/>
        <w:tabs>
          <w:tab w:leader="none" w:pos="332" w:val="left"/>
        </w:tabs>
        <w:numPr>
          <w:ilvl w:val="0"/>
          <w:numId w:val="26"/>
        </w:numPr>
        <w:rPr>
          <w:rFonts w:ascii="Arial" w:cs="Arial" w:eastAsia="Arial" w:hAnsi="Arial"/>
          <w:sz w:val="16"/>
          <w:szCs w:val="16"/>
          <w:b w:val="1"/>
          <w:bCs w:val="1"/>
          <w:color w:val="626365"/>
        </w:rPr>
      </w:pPr>
      <w:r>
        <w:rPr>
          <w:rFonts w:ascii="Arial" w:cs="Arial" w:eastAsia="Arial" w:hAnsi="Arial"/>
          <w:sz w:val="16"/>
          <w:szCs w:val="16"/>
          <w:b w:val="1"/>
          <w:bCs w:val="1"/>
          <w:color w:val="626365"/>
        </w:rPr>
        <w:t>ENTIRE AGREEMENT</w:t>
      </w:r>
    </w:p>
    <w:p>
      <w:pPr>
        <w:spacing w:after="0" w:line="63" w:lineRule="exact"/>
        <w:rPr>
          <w:rFonts w:ascii="Arial" w:cs="Arial" w:eastAsia="Arial" w:hAnsi="Arial"/>
          <w:sz w:val="16"/>
          <w:szCs w:val="16"/>
          <w:b w:val="1"/>
          <w:bCs w:val="1"/>
          <w:color w:val="626365"/>
        </w:rPr>
      </w:pPr>
    </w:p>
    <w:p>
      <w:pPr>
        <w:ind w:left="332" w:right="40"/>
        <w:spacing w:after="0" w:line="301" w:lineRule="auto"/>
        <w:rPr>
          <w:rFonts w:ascii="Arial" w:cs="Arial" w:eastAsia="Arial" w:hAnsi="Arial"/>
          <w:sz w:val="16"/>
          <w:szCs w:val="16"/>
          <w:b w:val="1"/>
          <w:bCs w:val="1"/>
          <w:color w:val="626365"/>
        </w:rPr>
      </w:pPr>
      <w:r>
        <w:rPr>
          <w:rFonts w:ascii="Arial" w:cs="Arial" w:eastAsia="Arial" w:hAnsi="Arial"/>
          <w:sz w:val="14"/>
          <w:szCs w:val="14"/>
          <w:color w:val="626365"/>
        </w:rPr>
        <w:t>The Notice,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2" w:lineRule="exact"/>
        <w:rPr>
          <w:rFonts w:ascii="Arial" w:cs="Arial" w:eastAsia="Arial" w:hAnsi="Arial"/>
          <w:sz w:val="16"/>
          <w:szCs w:val="16"/>
          <w:b w:val="1"/>
          <w:bCs w:val="1"/>
          <w:color w:val="626365"/>
        </w:rPr>
      </w:pPr>
    </w:p>
    <w:p>
      <w:pPr>
        <w:ind w:left="332"/>
        <w:spacing w:after="0" w:line="270" w:lineRule="auto"/>
        <w:rPr>
          <w:rFonts w:ascii="Arial" w:cs="Arial" w:eastAsia="Arial" w:hAnsi="Arial"/>
          <w:sz w:val="16"/>
          <w:szCs w:val="16"/>
          <w:b w:val="1"/>
          <w:bCs w:val="1"/>
          <w:color w:val="626365"/>
        </w:rPr>
      </w:pPr>
      <w:r>
        <w:rPr>
          <w:rFonts w:ascii="Arial" w:cs="Arial" w:eastAsia="Arial" w:hAnsi="Arial"/>
          <w:sz w:val="15"/>
          <w:szCs w:val="15"/>
          <w:color w:val="626365"/>
        </w:rPr>
        <w:t>This Agreement may not be modified or amended, except for a unilateral amendment by the Company that does not materially adversely affect the rights of the Optionee under this Agreement. No party to this Agreement may unilaterally waive any provision hereof, except in writing. Any such modification, amendment or waiver signed by, or binding upon, the Optionee, shall be valid and binding upon any and all persons or entities who may, at any time, have or claim any rights under or pursuant to this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left="318" w:hanging="318"/>
        <w:spacing w:after="0"/>
        <w:tabs>
          <w:tab w:leader="none" w:pos="318" w:val="left"/>
        </w:tabs>
        <w:numPr>
          <w:ilvl w:val="0"/>
          <w:numId w:val="27"/>
        </w:numPr>
        <w:rPr>
          <w:rFonts w:ascii="Arial" w:cs="Arial" w:eastAsia="Arial" w:hAnsi="Arial"/>
          <w:sz w:val="16"/>
          <w:szCs w:val="16"/>
          <w:b w:val="1"/>
          <w:bCs w:val="1"/>
          <w:color w:val="626365"/>
        </w:rPr>
      </w:pPr>
      <w:r>
        <w:rPr>
          <w:rFonts w:ascii="Arial" w:cs="Arial" w:eastAsia="Arial" w:hAnsi="Arial"/>
          <w:sz w:val="16"/>
          <w:szCs w:val="16"/>
          <w:b w:val="1"/>
          <w:bCs w:val="1"/>
          <w:color w:val="626365"/>
        </w:rPr>
        <w:t>CHOICE OF LAW</w:t>
      </w:r>
    </w:p>
    <w:p>
      <w:pPr>
        <w:spacing w:after="0" w:line="63" w:lineRule="exact"/>
        <w:rPr>
          <w:rFonts w:ascii="Arial" w:cs="Arial" w:eastAsia="Arial" w:hAnsi="Arial"/>
          <w:sz w:val="16"/>
          <w:szCs w:val="16"/>
          <w:b w:val="1"/>
          <w:bCs w:val="1"/>
          <w:color w:val="626365"/>
        </w:rPr>
      </w:pPr>
    </w:p>
    <w:p>
      <w:pPr>
        <w:ind w:left="318" w:right="80"/>
        <w:spacing w:after="0" w:line="256" w:lineRule="auto"/>
        <w:rPr>
          <w:rFonts w:ascii="Arial" w:cs="Arial" w:eastAsia="Arial" w:hAnsi="Arial"/>
          <w:sz w:val="16"/>
          <w:szCs w:val="16"/>
          <w:b w:val="1"/>
          <w:bCs w:val="1"/>
          <w:color w:val="626365"/>
        </w:rPr>
      </w:pPr>
      <w:r>
        <w:rPr>
          <w:rFonts w:ascii="Arial" w:cs="Arial" w:eastAsia="Arial" w:hAnsi="Arial"/>
          <w:sz w:val="16"/>
          <w:szCs w:val="16"/>
          <w:color w:val="626365"/>
        </w:rPr>
        <w:t>This Agreement shall be governed by, and construed in accordance with, the laws of the State of Washington, without regard to principles of conflicts of laws, as such laws are applied to contracts entered into and performed in such State.</w:t>
      </w:r>
    </w:p>
    <w:p>
      <w:pPr>
        <w:spacing w:after="0" w:line="223"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7"/>
        </w:numPr>
        <w:rPr>
          <w:rFonts w:ascii="Arial" w:cs="Arial" w:eastAsia="Arial" w:hAnsi="Arial"/>
          <w:sz w:val="16"/>
          <w:szCs w:val="16"/>
          <w:b w:val="1"/>
          <w:bCs w:val="1"/>
          <w:color w:val="626365"/>
        </w:rPr>
      </w:pPr>
      <w:r>
        <w:rPr>
          <w:rFonts w:ascii="Arial" w:cs="Arial" w:eastAsia="Arial" w:hAnsi="Arial"/>
          <w:sz w:val="16"/>
          <w:szCs w:val="16"/>
          <w:b w:val="1"/>
          <w:bCs w:val="1"/>
          <w:color w:val="626365"/>
        </w:rPr>
        <w:t>SEVERABILITY</w:t>
      </w:r>
    </w:p>
    <w:p>
      <w:pPr>
        <w:spacing w:after="0" w:line="63" w:lineRule="exact"/>
        <w:rPr>
          <w:rFonts w:ascii="Arial" w:cs="Arial" w:eastAsia="Arial" w:hAnsi="Arial"/>
          <w:sz w:val="16"/>
          <w:szCs w:val="16"/>
          <w:b w:val="1"/>
          <w:bCs w:val="1"/>
          <w:color w:val="626365"/>
        </w:rPr>
      </w:pPr>
    </w:p>
    <w:p>
      <w:pPr>
        <w:ind w:left="318"/>
        <w:spacing w:after="0" w:line="274" w:lineRule="auto"/>
        <w:rPr>
          <w:rFonts w:ascii="Arial" w:cs="Arial" w:eastAsia="Arial" w:hAnsi="Arial"/>
          <w:sz w:val="16"/>
          <w:szCs w:val="16"/>
          <w:b w:val="1"/>
          <w:bCs w:val="1"/>
          <w:color w:val="626365"/>
        </w:rPr>
      </w:pPr>
      <w:r>
        <w:rPr>
          <w:rFonts w:ascii="Arial" w:cs="Arial" w:eastAsia="Arial" w:hAnsi="Arial"/>
          <w:sz w:val="15"/>
          <w:szCs w:val="15"/>
          <w:color w:val="626365"/>
        </w:rPr>
        <w:t>If any provision of this Agreement shall be invalid or unenforceable, such invalidity or unenforceability shall attach only to such provision and shall not in any manner affect or render invalid or unenforceable any other severable provision of this Agreement, and this Agreement shall be carried out as if such invalid or unenforceable provision were not contained herein.</w:t>
      </w:r>
    </w:p>
    <w:p>
      <w:pPr>
        <w:spacing w:after="0" w:line="159" w:lineRule="exact"/>
        <w:rPr>
          <w:rFonts w:ascii="Arial" w:cs="Arial" w:eastAsia="Arial" w:hAnsi="Arial"/>
          <w:sz w:val="16"/>
          <w:szCs w:val="16"/>
          <w:b w:val="1"/>
          <w:bCs w:val="1"/>
          <w:color w:val="626365"/>
        </w:rPr>
      </w:pPr>
    </w:p>
    <w:p>
      <w:pPr>
        <w:ind w:left="318" w:hanging="318"/>
        <w:spacing w:after="0"/>
        <w:tabs>
          <w:tab w:leader="none" w:pos="318" w:val="left"/>
        </w:tabs>
        <w:numPr>
          <w:ilvl w:val="0"/>
          <w:numId w:val="27"/>
        </w:numPr>
        <w:rPr>
          <w:rFonts w:ascii="Arial" w:cs="Arial" w:eastAsia="Arial" w:hAnsi="Arial"/>
          <w:sz w:val="16"/>
          <w:szCs w:val="16"/>
          <w:b w:val="1"/>
          <w:bCs w:val="1"/>
          <w:color w:val="626365"/>
        </w:rPr>
      </w:pPr>
      <w:r>
        <w:rPr>
          <w:rFonts w:ascii="Arial" w:cs="Arial" w:eastAsia="Arial" w:hAnsi="Arial"/>
          <w:sz w:val="16"/>
          <w:szCs w:val="16"/>
          <w:b w:val="1"/>
          <w:bCs w:val="1"/>
          <w:color w:val="626365"/>
        </w:rPr>
        <w:t>CODE SECTION 409A</w:t>
      </w:r>
    </w:p>
    <w:p>
      <w:pPr>
        <w:spacing w:after="0" w:line="63" w:lineRule="exact"/>
        <w:rPr>
          <w:rFonts w:ascii="Arial" w:cs="Arial" w:eastAsia="Arial" w:hAnsi="Arial"/>
          <w:sz w:val="16"/>
          <w:szCs w:val="16"/>
          <w:b w:val="1"/>
          <w:bCs w:val="1"/>
          <w:color w:val="626365"/>
        </w:rPr>
      </w:pPr>
    </w:p>
    <w:p>
      <w:pPr>
        <w:ind w:left="318" w:right="60"/>
        <w:spacing w:after="0" w:line="252" w:lineRule="auto"/>
        <w:rPr>
          <w:rFonts w:ascii="Arial" w:cs="Arial" w:eastAsia="Arial" w:hAnsi="Arial"/>
          <w:sz w:val="16"/>
          <w:szCs w:val="16"/>
          <w:b w:val="1"/>
          <w:bCs w:val="1"/>
          <w:color w:val="626365"/>
        </w:rPr>
      </w:pPr>
      <w:r>
        <w:rPr>
          <w:rFonts w:ascii="Arial" w:cs="Arial" w:eastAsia="Arial" w:hAnsi="Arial"/>
          <w:sz w:val="16"/>
          <w:szCs w:val="16"/>
          <w:color w:val="626365"/>
        </w:rPr>
        <w:t>The Company reserves the right, to the extent the Company deems reasonable or necessary in its sole discretion, to unilaterally amend or modify this Agreement as may be necessary to ensure that all vesting or delivery of Common Stock provided under this Agreement is made in a manner that complies with Section 409A of the Code, together with regulatory guidance issued thereunder.</w:t>
      </w:r>
    </w:p>
    <w:p>
      <w:pPr>
        <w:sectPr>
          <w:pgSz w:w="11900" w:h="16838" w:orient="portrait"/>
          <w:cols w:equalWidth="0" w:num="2">
            <w:col w:w="5472" w:space="462"/>
            <w:col w:w="5438"/>
          </w:cols>
          <w:pgMar w:left="248" w:top="369" w:right="2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5591175"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11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626365"/>
        </w:rPr>
        <w:t>A</w:t>
      </w:r>
      <w:r>
        <w:rPr>
          <w:rFonts w:ascii="Arial" w:cs="Arial" w:eastAsia="Arial" w:hAnsi="Arial"/>
          <w:sz w:val="16"/>
          <w:szCs w:val="16"/>
          <w:color w:val="606164"/>
        </w:rPr>
        <w:t>N AWARD (“Award”) OF RESTRICTED STOCK UNITS (“Units”), representing a number of shares of Nordstrom Common Stock (“Common Stock”) as noted in the</w:t>
      </w:r>
      <w:r>
        <w:rPr>
          <w:rFonts w:ascii="Arial" w:cs="Arial" w:eastAsia="Arial" w:hAnsi="Arial"/>
          <w:sz w:val="16"/>
          <w:szCs w:val="16"/>
          <w:color w:val="626365"/>
        </w:rPr>
        <w:t xml:space="preserve"> </w:t>
      </w:r>
      <w:r>
        <w:rPr>
          <w:rFonts w:ascii="Arial" w:cs="Arial" w:eastAsia="Arial" w:hAnsi="Arial"/>
          <w:sz w:val="16"/>
          <w:szCs w:val="16"/>
          <w:color w:val="606164"/>
        </w:rPr>
        <w:t>2016 Notice of Award of Restricted Stock Units (the “Notice”), of Nordstrom, Inc., a Washington Corporation (the “Company”), is hereby granted to the Recipient (“Unit holder”) on the date set forth in the Notice, subject to the terms and conditions of this Agreement. The Units are also subject to the terms, definitions and provisions of the Nordstrom, Inc. 2010 Equity Incentive Plan (the “Plan”), adopted by the Board of Directors of the Company (the “Board”) and approved by the Company’s shareholders, which is incorporated in this Agreement. To the extent inconsistent with this Agreement, the terms of the Plan shall govern. Terms not defined herein shall have the meanings as set forth in the Plan. The Compensation Committee of the Board (the “Compensation Committee”) has the discretionary authority to construe and interpret the Plan and this Agreement. All decisions of the Compensation Committee upon any question arising under the Plan or under this Agreement shall be final and binding on all parties. The Units are subject to the following terms and conditions:</w:t>
      </w:r>
    </w:p>
    <w:p>
      <w:pPr>
        <w:sectPr>
          <w:pgSz w:w="11900" w:h="16838" w:orient="portrait"/>
          <w:cols w:equalWidth="0" w:num="1">
            <w:col w:w="11300"/>
          </w:cols>
          <w:pgMar w:left="360" w:top="449"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1. VESTING AND CONVERSION OF UNITS</w:t>
      </w:r>
    </w:p>
    <w:p>
      <w:pPr>
        <w:spacing w:after="0" w:line="63"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606164"/>
        </w:rPr>
        <w:t>Unless otherwise specified within this Agreement, the Units will vest and automatically convert into Common Stock according to the applicable terms set forth in the Notice. For the avoidance of doubt, only Common Stock shall be deliverable upon the vesting of the Units, not cash. The Company shall not be required to issue fractional shares of Common Stock upon conversion of the Units into Common Stock. The delivery of Common Stock on vesting of the Units is intended to comply with Section 409A of the Internal Revenue Code of 1986, as amended (the “Code”), together with regulatory guidance issued thereunder, and shall occur as soon as practicable after the applicable vesting date.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2. ACCEPTANCE OF UNITS</w:t>
      </w:r>
    </w:p>
    <w:p>
      <w:pPr>
        <w:spacing w:after="0" w:line="63" w:lineRule="exact"/>
        <w:rPr>
          <w:sz w:val="20"/>
          <w:szCs w:val="20"/>
          <w:color w:val="auto"/>
        </w:rPr>
      </w:pPr>
    </w:p>
    <w:p>
      <w:pPr>
        <w:ind w:left="220" w:right="140"/>
        <w:spacing w:after="0" w:line="256" w:lineRule="auto"/>
        <w:rPr>
          <w:sz w:val="20"/>
          <w:szCs w:val="20"/>
          <w:color w:val="auto"/>
        </w:rPr>
      </w:pPr>
      <w:r>
        <w:rPr>
          <w:rFonts w:ascii="Arial" w:cs="Arial" w:eastAsia="Arial" w:hAnsi="Arial"/>
          <w:sz w:val="16"/>
          <w:szCs w:val="16"/>
          <w:color w:val="606164"/>
        </w:rPr>
        <w:t>Whether or not the Company requires the Unit holder to accept the Award, if the Unit holder takes no action to accept the Award, the Unit holder is deemed to have accepted the Award and will be subject to the terms and conditions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3. NONTRANSFERABILITY OF UNITS</w:t>
      </w:r>
    </w:p>
    <w:p>
      <w:pPr>
        <w:spacing w:after="0" w:line="63" w:lineRule="exact"/>
        <w:rPr>
          <w:sz w:val="20"/>
          <w:szCs w:val="20"/>
          <w:color w:val="auto"/>
        </w:rPr>
      </w:pPr>
    </w:p>
    <w:p>
      <w:pPr>
        <w:ind w:left="220" w:right="80"/>
        <w:spacing w:after="0" w:line="267" w:lineRule="auto"/>
        <w:rPr>
          <w:sz w:val="20"/>
          <w:szCs w:val="20"/>
          <w:color w:val="auto"/>
        </w:rPr>
      </w:pPr>
      <w:r>
        <w:rPr>
          <w:rFonts w:ascii="Arial" w:cs="Arial" w:eastAsia="Arial" w:hAnsi="Arial"/>
          <w:sz w:val="15"/>
          <w:szCs w:val="15"/>
          <w:color w:val="606164"/>
        </w:rPr>
        <w:t>The Units may not be sold, pledged, assigned or transferred in any manner except in the event of the Unit holder’s death. In the event of the Unit holder’s death, the Units may be transferred to the person indicated on a valid Nordstrom Beneficiary Designation form, or if no Beneficiary Designation form is on file with the Company, then to the person to whom the Unit holder’s rights have passed by will or the laws of descent and distribution. Except as set forth in Section 4, Common Stock may be delivered in respect of the Units during the lifetime of the Unit holder only to the Unit holder or to the guardian or legal representative of the Unit holder. The terms of the Agreement shall be binding on the executors, administrators, heirs and successors of the Unit holder.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4. SEPARATION OF EMPLOYMENT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606164"/>
        </w:rPr>
        <w:t>Company on the vesting date. If the Unit holder’s employment with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606164"/>
        </w:rPr>
        <w:t>Company is terminated, the Units will vest only as follows:</w:t>
      </w:r>
    </w:p>
    <w:p>
      <w:pPr>
        <w:spacing w:after="0" w:line="45" w:lineRule="exact"/>
        <w:rPr>
          <w:sz w:val="20"/>
          <w:szCs w:val="20"/>
          <w:color w:val="auto"/>
        </w:rPr>
      </w:pPr>
    </w:p>
    <w:p>
      <w:pPr>
        <w:ind w:left="240" w:hanging="234"/>
        <w:spacing w:after="0" w:line="267" w:lineRule="auto"/>
        <w:tabs>
          <w:tab w:leader="none" w:pos="217" w:val="left"/>
        </w:tabs>
        <w:numPr>
          <w:ilvl w:val="0"/>
          <w:numId w:val="28"/>
        </w:numPr>
        <w:rPr>
          <w:rFonts w:ascii="Arial" w:cs="Arial" w:eastAsia="Arial" w:hAnsi="Arial"/>
          <w:sz w:val="15"/>
          <w:szCs w:val="15"/>
          <w:color w:val="606164"/>
        </w:rPr>
      </w:pPr>
      <w:r>
        <w:rPr>
          <w:rFonts w:ascii="Arial" w:cs="Arial" w:eastAsia="Arial" w:hAnsi="Arial"/>
          <w:sz w:val="15"/>
          <w:szCs w:val="15"/>
          <w:color w:val="606164"/>
        </w:rPr>
        <w:t>If the Unit holder dies while employed by the Company and the Units were granted at least six months prior to the date of the Unit holder’s death, any Units represented by the Award shall immediately vest as of the date of the Unit holder’s death and be delivered as Common Stock promptly thereafter. Shares shall be issued in the name of the person identified on the Unit holder’s Beneficiary Designation form on file with the Company. If no valid Beneficiary Designation form is on file with the Company, then the Common Stock delivered pursuant to the preceding sentence shall be issued in the name of the person to whom the Unit holder’s rights under this Agreement have passed by will or the laws of descent and distribution. If the Units were granted less than six months prior to death, the Units shall be forfeited as of the date of death.</w:t>
      </w:r>
    </w:p>
    <w:p>
      <w:pPr>
        <w:spacing w:after="0" w:line="20" w:lineRule="exact"/>
        <w:rPr>
          <w:rFonts w:ascii="Arial" w:cs="Arial" w:eastAsia="Arial" w:hAnsi="Arial"/>
          <w:sz w:val="15"/>
          <w:szCs w:val="15"/>
          <w:color w:val="606164"/>
        </w:rPr>
      </w:pPr>
    </w:p>
    <w:p>
      <w:pPr>
        <w:ind w:left="240" w:right="40" w:hanging="234"/>
        <w:spacing w:after="0" w:line="250" w:lineRule="auto"/>
        <w:tabs>
          <w:tab w:leader="none" w:pos="226" w:val="left"/>
        </w:tabs>
        <w:numPr>
          <w:ilvl w:val="0"/>
          <w:numId w:val="28"/>
        </w:numPr>
        <w:rPr>
          <w:rFonts w:ascii="Arial" w:cs="Arial" w:eastAsia="Arial" w:hAnsi="Arial"/>
          <w:sz w:val="16"/>
          <w:szCs w:val="16"/>
          <w:color w:val="606164"/>
        </w:rPr>
      </w:pPr>
      <w:r>
        <w:rPr>
          <w:rFonts w:ascii="Arial" w:cs="Arial" w:eastAsia="Arial" w:hAnsi="Arial"/>
          <w:sz w:val="16"/>
          <w:szCs w:val="16"/>
          <w:color w:val="606164"/>
        </w:rPr>
        <w:t>If the Unit holder is separated due to his or her disability, as defined in Section 22(e)(3) of the Code, the Units were granted at least six months prior to such separation and the Unit holder provides Nordstrom Leadership Benefits with reasonable documentation of his or her disability, any Units represented by this Award shall immediately vest as of the date of such separation and be delivered as Common Stock promptly thereafter. If the Units were granted less than six months prior to separation due to the Unit holder’s disability, the Units shall be forfeited as of the date of separation.</w:t>
      </w:r>
    </w:p>
    <w:p>
      <w:pPr>
        <w:spacing w:after="0" w:line="30" w:lineRule="exact"/>
        <w:rPr>
          <w:rFonts w:ascii="Arial" w:cs="Arial" w:eastAsia="Arial" w:hAnsi="Arial"/>
          <w:sz w:val="16"/>
          <w:szCs w:val="16"/>
          <w:color w:val="606164"/>
        </w:rPr>
      </w:pPr>
    </w:p>
    <w:p>
      <w:pPr>
        <w:ind w:left="240" w:right="40" w:hanging="234"/>
        <w:spacing w:after="0" w:line="252" w:lineRule="auto"/>
        <w:tabs>
          <w:tab w:leader="none" w:pos="217" w:val="left"/>
        </w:tabs>
        <w:numPr>
          <w:ilvl w:val="0"/>
          <w:numId w:val="28"/>
        </w:numPr>
        <w:rPr>
          <w:rFonts w:ascii="Arial" w:cs="Arial" w:eastAsia="Arial" w:hAnsi="Arial"/>
          <w:sz w:val="16"/>
          <w:szCs w:val="16"/>
          <w:color w:val="606164"/>
        </w:rPr>
      </w:pPr>
      <w:r>
        <w:rPr>
          <w:rFonts w:ascii="Arial" w:cs="Arial" w:eastAsia="Arial" w:hAnsi="Arial"/>
          <w:sz w:val="16"/>
          <w:szCs w:val="16"/>
          <w:color w:val="606164"/>
        </w:rPr>
        <w:t>N</w:t>
      </w:r>
      <w:r>
        <w:rPr>
          <w:rFonts w:ascii="Arial" w:cs="Arial" w:eastAsia="Arial" w:hAnsi="Arial"/>
          <w:sz w:val="16"/>
          <w:szCs w:val="16"/>
          <w:color w:val="616264"/>
        </w:rPr>
        <w:t>otwithstanding subparagraphs (a) and (b) of this Section, if the Unit</w:t>
      </w:r>
      <w:r>
        <w:rPr>
          <w:rFonts w:ascii="Arial" w:cs="Arial" w:eastAsia="Arial" w:hAnsi="Arial"/>
          <w:sz w:val="16"/>
          <w:szCs w:val="16"/>
          <w:color w:val="606164"/>
        </w:rPr>
        <w:t xml:space="preserve"> </w:t>
      </w:r>
      <w:r>
        <w:rPr>
          <w:rFonts w:ascii="Arial" w:cs="Arial" w:eastAsia="Arial" w:hAnsi="Arial"/>
          <w:sz w:val="16"/>
          <w:szCs w:val="16"/>
          <w:color w:val="616264"/>
        </w:rPr>
        <w:t>holder’s employment is terminated due to his or her embezzlement or theft of Company funds, defraudation of the Company, violation of Company rules, regulations or policies, or any intentional act that harms the Company, such Units, to the extent not vested as of the date of termination, shall be forfeited as of that date.</w:t>
      </w:r>
    </w:p>
    <w:p>
      <w:pPr>
        <w:spacing w:after="0" w:line="609" w:lineRule="exact"/>
        <w:rPr>
          <w:sz w:val="20"/>
          <w:szCs w:val="20"/>
          <w:color w:val="auto"/>
        </w:rPr>
      </w:pPr>
    </w:p>
    <w:p>
      <w:pPr>
        <w:sectPr>
          <w:pgSz w:w="11900" w:h="16838" w:orient="portrait"/>
          <w:cols w:equalWidth="0" w:num="2">
            <w:col w:w="5420" w:space="720"/>
            <w:col w:w="5160"/>
          </w:cols>
          <w:pgMar w:left="360" w:top="449" w:right="239" w:bottom="1440" w:gutter="0" w:footer="0" w:header="0"/>
          <w:type w:val="continuous"/>
        </w:sectPr>
      </w:pPr>
    </w:p>
    <w:p>
      <w:pPr>
        <w:ind w:left="220"/>
        <w:spacing w:after="0"/>
        <w:rPr>
          <w:sz w:val="20"/>
          <w:szCs w:val="20"/>
          <w:color w:val="auto"/>
        </w:rPr>
      </w:pPr>
      <w:r>
        <w:rPr>
          <w:rFonts w:ascii="Arial" w:cs="Arial" w:eastAsia="Arial" w:hAnsi="Arial"/>
          <w:sz w:val="14"/>
          <w:szCs w:val="14"/>
          <w:color w:val="606164"/>
        </w:rPr>
        <w:t>Except as set forth in this section, the Units will vest, and shares of Common</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5"/>
          <w:szCs w:val="15"/>
          <w:color w:val="606164"/>
        </w:rPr>
        <w:t>Stock will be delivered in respect of the Units, only if the Unit holder is an</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606164"/>
        </w:rPr>
        <w:t>employee of the</w:t>
      </w:r>
    </w:p>
    <w:p>
      <w:pPr>
        <w:sectPr>
          <w:pgSz w:w="11900" w:h="16838" w:orient="portrait"/>
          <w:cols w:equalWidth="0" w:num="1">
            <w:col w:w="11300"/>
          </w:cols>
          <w:pgMar w:left="360" w:top="449" w:right="239" w:bottom="1440" w:gutter="0" w:footer="0" w:header="0"/>
          <w:type w:val="continuous"/>
        </w:sectPr>
      </w:pPr>
    </w:p>
    <w:bookmarkStart w:id="35" w:name="page36"/>
    <w:bookmarkEnd w:id="35"/>
    <w:p>
      <w:pPr>
        <w:ind w:left="500" w:right="200" w:hanging="248"/>
        <w:spacing w:after="0" w:line="308" w:lineRule="auto"/>
        <w:tabs>
          <w:tab w:leader="none" w:pos="486" w:val="left"/>
        </w:tabs>
        <w:numPr>
          <w:ilvl w:val="0"/>
          <w:numId w:val="29"/>
        </w:numPr>
        <w:rPr>
          <w:rFonts w:ascii="Arial" w:cs="Arial" w:eastAsia="Arial" w:hAnsi="Arial"/>
          <w:sz w:val="14"/>
          <w:szCs w:val="14"/>
          <w:color w:val="606164"/>
        </w:rPr>
      </w:pPr>
      <w:r>
        <w:rPr>
          <w:rFonts w:ascii="Arial" w:cs="Arial" w:eastAsia="Arial" w:hAnsi="Arial"/>
          <w:sz w:val="14"/>
          <w:szCs w:val="14"/>
          <w:color w:val="606164"/>
        </w:rPr>
        <w:t>If the Unit holder is separated for any reason other than those set forth in subparagraphs (a), (b) and (c) above, then all Units represented by this Award shall be forfeited as of the date of the Unit holder’s separation.</w:t>
      </w:r>
    </w:p>
    <w:p>
      <w:pPr>
        <w:spacing w:after="0" w:line="1" w:lineRule="exact"/>
        <w:rPr>
          <w:sz w:val="20"/>
          <w:szCs w:val="20"/>
          <w:color w:val="auto"/>
        </w:rPr>
      </w:pPr>
    </w:p>
    <w:p>
      <w:pPr>
        <w:ind w:left="260"/>
        <w:spacing w:after="0" w:line="249" w:lineRule="auto"/>
        <w:rPr>
          <w:sz w:val="20"/>
          <w:szCs w:val="20"/>
          <w:color w:val="auto"/>
        </w:rPr>
      </w:pPr>
      <w:r>
        <w:rPr>
          <w:rFonts w:ascii="Arial" w:cs="Arial" w:eastAsia="Arial" w:hAnsi="Arial"/>
          <w:sz w:val="16"/>
          <w:szCs w:val="16"/>
          <w:color w:val="606164"/>
        </w:rPr>
        <w:t>Notwithstanding anything above to the contrary, if at any time during the term of the Unit holder’s employment with the Company, the Unit holder directly or indirectly, either as an employee, employer, consultant, agent, principal, partner, shareholder, corporate officer, director or in any other capacity, engages, or assists any third party in engaging, in any business competitive with the Company, divulges any confidential or proprietary information of the Company to a third party who is not authorized by the Company to receive the confidential information; or improperly uses any confidential or proprietary information of the Company, then any Units represented by this Award and any Common Stock delivered on vesting of such Units shall be immediately forfeited.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5. ADJUSTMENTS UPON CHANGES IN CAPITALIZATION</w:t>
      </w:r>
    </w:p>
    <w:p>
      <w:pPr>
        <w:spacing w:after="0" w:line="63" w:lineRule="exact"/>
        <w:rPr>
          <w:sz w:val="20"/>
          <w:szCs w:val="20"/>
          <w:color w:val="auto"/>
        </w:rPr>
      </w:pPr>
    </w:p>
    <w:p>
      <w:pPr>
        <w:ind w:left="260"/>
        <w:spacing w:after="0" w:line="253" w:lineRule="auto"/>
        <w:rPr>
          <w:sz w:val="20"/>
          <w:szCs w:val="20"/>
          <w:color w:val="auto"/>
        </w:rPr>
      </w:pPr>
      <w:r>
        <w:rPr>
          <w:rFonts w:ascii="Arial" w:cs="Arial" w:eastAsia="Arial" w:hAnsi="Arial"/>
          <w:sz w:val="16"/>
          <w:szCs w:val="16"/>
          <w:color w:val="606164"/>
        </w:rPr>
        <w:t>The Units shall be adjusted pursuant to the Plan, in such manner, to such extent (if any) and at such time as the Compensation Committee deems appropriate and equitable in the circumstances, to reflect any stock dividend, stock split, split up, extraordinary cash dividend, any combination or exchange of shares or other Strategic Transaction.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06164"/>
        </w:rPr>
        <w:t>6. NO DIVIDEND RIGHTS</w:t>
      </w:r>
    </w:p>
    <w:p>
      <w:pPr>
        <w:spacing w:after="0" w:line="63" w:lineRule="exact"/>
        <w:rPr>
          <w:sz w:val="20"/>
          <w:szCs w:val="20"/>
          <w:color w:val="auto"/>
        </w:rPr>
      </w:pPr>
    </w:p>
    <w:p>
      <w:pPr>
        <w:ind w:left="260" w:right="220"/>
        <w:spacing w:after="0" w:line="261" w:lineRule="auto"/>
        <w:rPr>
          <w:sz w:val="20"/>
          <w:szCs w:val="20"/>
          <w:color w:val="auto"/>
        </w:rPr>
      </w:pPr>
      <w:r>
        <w:rPr>
          <w:rFonts w:ascii="Arial" w:cs="Arial" w:eastAsia="Arial" w:hAnsi="Arial"/>
          <w:sz w:val="16"/>
          <w:szCs w:val="16"/>
          <w:color w:val="606164"/>
        </w:rPr>
        <w:t>Except to the extent required pursuant to Section 5 of this Agreement, ownership of Units shall not entitle the Unit holder to receive any dividends declared with respect to Common Stock.</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06164"/>
        </w:rPr>
        <w:t>7. ADDITIONAL UNITS</w:t>
      </w:r>
    </w:p>
    <w:p>
      <w:pPr>
        <w:spacing w:after="0" w:line="63" w:lineRule="exact"/>
        <w:rPr>
          <w:sz w:val="20"/>
          <w:szCs w:val="20"/>
          <w:color w:val="auto"/>
        </w:rPr>
      </w:pPr>
    </w:p>
    <w:p>
      <w:pPr>
        <w:ind w:left="260" w:right="20"/>
        <w:spacing w:after="0" w:line="256" w:lineRule="auto"/>
        <w:rPr>
          <w:sz w:val="20"/>
          <w:szCs w:val="20"/>
          <w:color w:val="auto"/>
        </w:rPr>
      </w:pPr>
      <w:r>
        <w:rPr>
          <w:rFonts w:ascii="Arial" w:cs="Arial" w:eastAsia="Arial" w:hAnsi="Arial"/>
          <w:sz w:val="16"/>
          <w:szCs w:val="16"/>
          <w:color w:val="606164"/>
        </w:rPr>
        <w:t>The Compensation Committee may or may not grant the Unit holder additional Units in the future. Nothing in this Agreement or any future agreement should be construed as suggesting that additional awards to the Unit holder will be forthcoming.</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06164"/>
        </w:rPr>
        <w:t>8. LEAVES OF ABSENCE</w:t>
      </w:r>
    </w:p>
    <w:p>
      <w:pPr>
        <w:spacing w:after="0" w:line="63" w:lineRule="exact"/>
        <w:rPr>
          <w:sz w:val="20"/>
          <w:szCs w:val="20"/>
          <w:color w:val="auto"/>
        </w:rPr>
      </w:pPr>
    </w:p>
    <w:p>
      <w:pPr>
        <w:ind w:left="260"/>
        <w:spacing w:after="0" w:line="252" w:lineRule="auto"/>
        <w:rPr>
          <w:sz w:val="20"/>
          <w:szCs w:val="20"/>
          <w:color w:val="auto"/>
        </w:rPr>
      </w:pPr>
      <w:r>
        <w:rPr>
          <w:rFonts w:ascii="Arial" w:cs="Arial" w:eastAsia="Arial" w:hAnsi="Arial"/>
          <w:sz w:val="16"/>
          <w:szCs w:val="16"/>
          <w:color w:val="606164"/>
        </w:rPr>
        <w:t>For purposes of this Agreement, the Unit holder’s service does not terminate due to a military leave, a medical leave or another bona fide leave of absence if the leave was approved by the Company in writing and if continued crediting of service is required by the terms of the leave or by applicable law. But, service terminates when the approved leave ends, unless the Unit holder immediately returns to active work.</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06164"/>
        </w:rPr>
        <w:t>9. TAX WITHHOLDING</w:t>
      </w:r>
    </w:p>
    <w:p>
      <w:pPr>
        <w:spacing w:after="0" w:line="63" w:lineRule="exact"/>
        <w:rPr>
          <w:sz w:val="20"/>
          <w:szCs w:val="20"/>
          <w:color w:val="auto"/>
        </w:rPr>
      </w:pPr>
    </w:p>
    <w:p>
      <w:pPr>
        <w:ind w:left="260" w:right="260"/>
        <w:spacing w:after="0" w:line="272" w:lineRule="auto"/>
        <w:rPr>
          <w:sz w:val="20"/>
          <w:szCs w:val="20"/>
          <w:color w:val="auto"/>
        </w:rPr>
      </w:pPr>
      <w:r>
        <w:rPr>
          <w:rFonts w:ascii="Arial" w:cs="Arial" w:eastAsia="Arial" w:hAnsi="Arial"/>
          <w:sz w:val="15"/>
          <w:szCs w:val="15"/>
          <w:color w:val="606164"/>
        </w:rPr>
        <w:t>No stock certificates will be distributed to the Unit holder unless the Unit holder has made acceptable arrangements to pay any withholding taxes that may be due as a result of the settlement of this Award. These arrangements may include withholding shares of Common Stock that otherwise would be distributed when the Units are settled. The fair market value of the shares required to cover withholding will be</w:t>
      </w:r>
    </w:p>
    <w:p>
      <w:pPr>
        <w:spacing w:after="0" w:line="20" w:lineRule="exact"/>
        <w:rPr>
          <w:sz w:val="20"/>
          <w:szCs w:val="20"/>
          <w:color w:val="auto"/>
        </w:rPr>
      </w:pPr>
      <w:r>
        <w:rPr>
          <w:sz w:val="20"/>
          <w:szCs w:val="20"/>
          <w:color w:val="auto"/>
        </w:rPr>
        <w:br w:type="column"/>
      </w:r>
    </w:p>
    <w:p>
      <w:pPr>
        <w:ind w:left="320" w:right="480"/>
        <w:spacing w:after="0" w:line="275" w:lineRule="auto"/>
        <w:rPr>
          <w:sz w:val="20"/>
          <w:szCs w:val="20"/>
          <w:color w:val="auto"/>
        </w:rPr>
      </w:pPr>
      <w:r>
        <w:rPr>
          <w:rFonts w:ascii="Arial" w:cs="Arial" w:eastAsia="Arial" w:hAnsi="Arial"/>
          <w:sz w:val="16"/>
          <w:szCs w:val="16"/>
          <w:color w:val="606164"/>
        </w:rPr>
        <w:t>applied to the withholding of taxes prior to the Unit holder receiving the remaining shares.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06164"/>
        </w:rPr>
        <w:t>10.RIGHTS AS A SHAREHOLDER</w:t>
      </w:r>
    </w:p>
    <w:p>
      <w:pPr>
        <w:spacing w:after="0" w:line="63" w:lineRule="exact"/>
        <w:rPr>
          <w:sz w:val="20"/>
          <w:szCs w:val="20"/>
          <w:color w:val="auto"/>
        </w:rPr>
      </w:pPr>
    </w:p>
    <w:p>
      <w:pPr>
        <w:ind w:left="320"/>
        <w:spacing w:after="0" w:line="274" w:lineRule="auto"/>
        <w:rPr>
          <w:sz w:val="20"/>
          <w:szCs w:val="20"/>
          <w:color w:val="auto"/>
        </w:rPr>
      </w:pPr>
      <w:r>
        <w:rPr>
          <w:rFonts w:ascii="Arial" w:cs="Arial" w:eastAsia="Arial" w:hAnsi="Arial"/>
          <w:sz w:val="15"/>
          <w:szCs w:val="15"/>
          <w:color w:val="606164"/>
        </w:rPr>
        <w:t>Neither the Unit holder nor the Unit holder’s beneficiary or representative shall have any rights as a shareholder with respect to any Common Stock which may be issuable upon vesting and conversion of the Units, unless and until the Units vest and Common Stock has been issued and any other requirements imposed by applicable law or the Plan have been satisfied.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11. NO RETENTION RIGHTS</w:t>
      </w:r>
    </w:p>
    <w:p>
      <w:pPr>
        <w:spacing w:after="0" w:line="63" w:lineRule="exact"/>
        <w:rPr>
          <w:sz w:val="20"/>
          <w:szCs w:val="20"/>
          <w:color w:val="auto"/>
        </w:rPr>
      </w:pPr>
    </w:p>
    <w:p>
      <w:pPr>
        <w:jc w:val="both"/>
        <w:ind w:left="320" w:right="80"/>
        <w:spacing w:after="0" w:line="288" w:lineRule="auto"/>
        <w:rPr>
          <w:sz w:val="20"/>
          <w:szCs w:val="20"/>
          <w:color w:val="auto"/>
        </w:rPr>
      </w:pPr>
      <w:r>
        <w:rPr>
          <w:rFonts w:ascii="Arial" w:cs="Arial" w:eastAsia="Arial" w:hAnsi="Arial"/>
          <w:sz w:val="14"/>
          <w:szCs w:val="14"/>
          <w:color w:val="606164"/>
        </w:rPr>
        <w:t>Nothing in this Agreement or in the Plan shall give the Unit holder the right to be retained by the Company (or a subsidiary of the Company) as an employee or in any other capacity. The Company and its subsidiaries reserve</w:t>
      </w:r>
    </w:p>
    <w:p>
      <w:pPr>
        <w:spacing w:after="0" w:line="2" w:lineRule="exact"/>
        <w:rPr>
          <w:sz w:val="20"/>
          <w:szCs w:val="20"/>
          <w:color w:val="auto"/>
        </w:rPr>
      </w:pPr>
    </w:p>
    <w:p>
      <w:pPr>
        <w:ind w:left="320" w:right="320"/>
        <w:spacing w:after="0" w:line="257" w:lineRule="auto"/>
        <w:rPr>
          <w:sz w:val="20"/>
          <w:szCs w:val="20"/>
          <w:color w:val="auto"/>
        </w:rPr>
      </w:pPr>
      <w:r>
        <w:rPr>
          <w:rFonts w:ascii="Arial" w:cs="Arial" w:eastAsia="Arial" w:hAnsi="Arial"/>
          <w:sz w:val="16"/>
          <w:szCs w:val="16"/>
          <w:color w:val="606164"/>
        </w:rPr>
        <w:t>the right to terminate the Unit holder’s service at any time, with or without cause.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12. CLAWBACK POLICY</w:t>
      </w:r>
    </w:p>
    <w:p>
      <w:pPr>
        <w:spacing w:after="0" w:line="63" w:lineRule="exact"/>
        <w:rPr>
          <w:sz w:val="20"/>
          <w:szCs w:val="20"/>
          <w:color w:val="auto"/>
        </w:rPr>
      </w:pPr>
    </w:p>
    <w:p>
      <w:pPr>
        <w:ind w:left="320" w:right="40"/>
        <w:spacing w:after="0" w:line="286" w:lineRule="auto"/>
        <w:rPr>
          <w:sz w:val="20"/>
          <w:szCs w:val="20"/>
          <w:color w:val="auto"/>
        </w:rPr>
      </w:pPr>
      <w:r>
        <w:rPr>
          <w:rFonts w:ascii="Arial" w:cs="Arial" w:eastAsia="Arial" w:hAnsi="Arial"/>
          <w:sz w:val="15"/>
          <w:szCs w:val="15"/>
          <w:color w:val="606164"/>
        </w:rPr>
        <w:t>The Units, and any Common Stock delivered upon vesting of the Units and the proceeds from any sale of such Common Stock, shall be subject to the Clawback Policy adopted by the Board, as amended from time to time.</w:t>
      </w:r>
    </w:p>
    <w:p>
      <w:pPr>
        <w:spacing w:after="0" w:line="5" w:lineRule="exact"/>
        <w:rPr>
          <w:sz w:val="20"/>
          <w:szCs w:val="20"/>
          <w:color w:val="auto"/>
        </w:rPr>
      </w:pPr>
    </w:p>
    <w:p>
      <w:pPr>
        <w:ind w:left="320"/>
        <w:spacing w:after="0" w:line="278" w:lineRule="auto"/>
        <w:rPr>
          <w:sz w:val="20"/>
          <w:szCs w:val="20"/>
          <w:color w:val="auto"/>
        </w:rPr>
      </w:pPr>
      <w:r>
        <w:rPr>
          <w:rFonts w:ascii="Arial" w:cs="Arial" w:eastAsia="Arial" w:hAnsi="Arial"/>
          <w:sz w:val="15"/>
          <w:szCs w:val="15"/>
          <w:color w:val="606164"/>
        </w:rPr>
        <w:t>In the event the Clawback Policy is deemed unenforceable with respect to the Units or with respect to the Common Stock deliverable or delivered upon vesting of the Units, then the Award of Units subject to this Agreement shall be deemed unenforceable due to lack of adequate consideration.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13. ENTIRE AGREEMENT</w:t>
      </w:r>
    </w:p>
    <w:p>
      <w:pPr>
        <w:spacing w:after="0" w:line="63" w:lineRule="exact"/>
        <w:rPr>
          <w:sz w:val="20"/>
          <w:szCs w:val="20"/>
          <w:color w:val="auto"/>
        </w:rPr>
      </w:pPr>
    </w:p>
    <w:p>
      <w:pPr>
        <w:ind w:left="320" w:right="40"/>
        <w:spacing w:after="0" w:line="301" w:lineRule="auto"/>
        <w:rPr>
          <w:sz w:val="20"/>
          <w:szCs w:val="20"/>
          <w:color w:val="auto"/>
        </w:rPr>
      </w:pPr>
      <w:r>
        <w:rPr>
          <w:rFonts w:ascii="Arial" w:cs="Arial" w:eastAsia="Arial" w:hAnsi="Arial"/>
          <w:sz w:val="14"/>
          <w:szCs w:val="14"/>
          <w:color w:val="606164"/>
        </w:rPr>
        <w:t>The Notice,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w:t>
      </w:r>
    </w:p>
    <w:p>
      <w:pPr>
        <w:spacing w:after="0" w:line="3" w:lineRule="exact"/>
        <w:rPr>
          <w:sz w:val="20"/>
          <w:szCs w:val="20"/>
          <w:color w:val="auto"/>
        </w:rPr>
      </w:pPr>
    </w:p>
    <w:p>
      <w:pPr>
        <w:ind w:left="320"/>
        <w:spacing w:after="0" w:line="293" w:lineRule="auto"/>
        <w:rPr>
          <w:sz w:val="20"/>
          <w:szCs w:val="20"/>
          <w:color w:val="auto"/>
        </w:rPr>
      </w:pPr>
      <w:r>
        <w:rPr>
          <w:rFonts w:ascii="Arial" w:cs="Arial" w:eastAsia="Arial" w:hAnsi="Arial"/>
          <w:sz w:val="14"/>
          <w:szCs w:val="14"/>
          <w:color w:val="606164"/>
        </w:rPr>
        <w:t>This Agreement may not be modified or amended, except for a unilateral amendment by the Company that does not materially adversely affect the rights of the Unit holder under this Agreement. No party to this Agreement may unilaterally waive any provision hereof, except in writing. Any such modification, amendment or waiver signed by, or binding upon, the Unit holder, shall be valid and binding upon any and all persons or entities who may, at any time, have or claim any rights under or pursuant to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14. CHOICE OF LAW</w:t>
      </w:r>
    </w:p>
    <w:p>
      <w:pPr>
        <w:spacing w:after="0" w:line="63" w:lineRule="exact"/>
        <w:rPr>
          <w:sz w:val="20"/>
          <w:szCs w:val="20"/>
          <w:color w:val="auto"/>
        </w:rPr>
      </w:pPr>
    </w:p>
    <w:p>
      <w:pPr>
        <w:ind w:left="320" w:right="120"/>
        <w:spacing w:after="0" w:line="256" w:lineRule="auto"/>
        <w:rPr>
          <w:sz w:val="20"/>
          <w:szCs w:val="20"/>
          <w:color w:val="auto"/>
        </w:rPr>
      </w:pPr>
      <w:r>
        <w:rPr>
          <w:rFonts w:ascii="Arial" w:cs="Arial" w:eastAsia="Arial" w:hAnsi="Arial"/>
          <w:sz w:val="16"/>
          <w:szCs w:val="16"/>
          <w:color w:val="606164"/>
        </w:rPr>
        <w:t>This Agreement shall be governed by, and construed in accordance with, the laws of the State of Washington without regard to principles of conflicts of laws, as such laws are applied to contracts entered into and performed in such State.</w:t>
      </w:r>
    </w:p>
    <w:p>
      <w:pPr>
        <w:sectPr>
          <w:pgSz w:w="11900" w:h="16838" w:orient="portrait"/>
          <w:cols w:equalWidth="0" w:num="2">
            <w:col w:w="5400" w:space="460"/>
            <w:col w:w="5480"/>
          </w:cols>
          <w:pgMar w:left="320" w:top="670"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606164"/>
        </w:rPr>
        <w:t>15. SEVERABILITY</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5"/>
          <w:szCs w:val="15"/>
          <w:color w:val="606164"/>
        </w:rPr>
        <w:t>If any provision of this Agreement shall be invalid or unenforceable, such</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5"/>
          <w:szCs w:val="15"/>
          <w:color w:val="606164"/>
        </w:rPr>
        <w:t>invalidity or unenforceability shall attach only to such provision and shall not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color w:val="606164"/>
        </w:rPr>
        <w:t>in any manner affect or render invalid or unenforceable any other severable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4"/>
          <w:szCs w:val="14"/>
          <w:color w:val="606164"/>
        </w:rPr>
        <w:t>provision of this Agreement, and this Agreement shall be carried out as if such</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6"/>
          <w:szCs w:val="16"/>
          <w:color w:val="606164"/>
        </w:rPr>
        <w:t>invalid or unenforceable provision were not contained herein.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606164"/>
        </w:rPr>
        <w:t>16. CODE SECTION 409A</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4"/>
          <w:szCs w:val="14"/>
          <w:color w:val="606164"/>
        </w:rPr>
        <w:t>The Company reserves the right, to the extent the Company deems reasonable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6"/>
          <w:szCs w:val="16"/>
          <w:color w:val="606164"/>
        </w:rPr>
        <w:t>or necessary in its sole discretion, to unilaterally amend or modify this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606164"/>
        </w:rPr>
        <w:t>Agreement as may be necessary to ensure that all vesting or delivery of</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5"/>
          <w:szCs w:val="15"/>
          <w:color w:val="606164"/>
        </w:rPr>
        <w:t>Common Stock provided under this Agreement is made in a manner that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color w:val="606164"/>
        </w:rPr>
        <w:t>complies with Section 409A of the Code, together with regulatory guidance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6"/>
          <w:szCs w:val="16"/>
          <w:color w:val="606164"/>
        </w:rPr>
        <w:t>issued thereunder.</w:t>
      </w:r>
    </w:p>
    <w:p>
      <w:pPr>
        <w:sectPr>
          <w:pgSz w:w="11900" w:h="16838" w:orient="portrait"/>
          <w:cols w:equalWidth="0" w:num="1">
            <w:col w:w="10219"/>
          </w:cols>
          <w:pgMar w:left="240" w:top="571"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pacing w:after="0" w:line="332"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30, 2016</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 Koppel, certify that:</w:t>
      </w:r>
    </w:p>
    <w:p>
      <w:pPr>
        <w:spacing w:after="0" w:line="171"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G. Koppel</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pacing w:after="0" w:line="319"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August 30, 2016</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July 30, 2016, as filed with the Securities and Exchange Commission on the date hereof (the “Report”), we, Blake W. Nordstrom, Co-President (Principal Executive Officer), and Michael G. Koppel, Executive Vice President and Chief Financial Officer (Principal Financial Officer), of the Company, certify, pursuant to 18 U.S.C. Section 1350, as adopted pursuant to Section 906 of the Sarbanes-Oxley Act of 2002, that:</w:t>
      </w:r>
    </w:p>
    <w:p>
      <w:pPr>
        <w:spacing w:after="0" w:line="214"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pacing w:after="0" w:line="360"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G. Koppel</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of Nordstrom, Inc.</w:t>
      </w:r>
    </w:p>
    <w:p>
      <w:pPr>
        <w:spacing w:after="0" w:line="36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August 30, 2016</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1"/>
      <w:numFmt w:val="bullet"/>
      <w:start w:val="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2"/>
      <w:numFmt w:val="bullet"/>
      <w:start w:val="1"/>
    </w:lvl>
  </w:abstractNum>
  <w:abstractNum w:abstractNumId="15">
    <w:nsid w:val="75A2A8D4"/>
    <w:multiLevelType w:val="hybridMultilevel"/>
    <w:lvl w:ilvl="0">
      <w:lvlJc w:val="left"/>
      <w:lvlText w:val="1"/>
      <w:numFmt w:val="bullet"/>
      <w:start w:val="1"/>
    </w:lvl>
  </w:abstractNum>
  <w:abstractNum w:abstractNumId="16">
    <w:nsid w:val="8EDBDAB"/>
    <w:multiLevelType w:val="hybridMultilevel"/>
    <w:lvl w:ilvl="0">
      <w:lvlJc w:val="left"/>
      <w:lvlText w:val="2"/>
      <w:numFmt w:val="bullet"/>
      <w:start w:val="1"/>
    </w:lvl>
  </w:abstractNum>
  <w:abstractNum w:abstractNumId="17">
    <w:nsid w:val="79838CB2"/>
    <w:multiLevelType w:val="hybridMultilevel"/>
    <w:lvl w:ilvl="0">
      <w:lvlJc w:val="left"/>
      <w:lvlText w:val="1"/>
      <w:numFmt w:val="bullet"/>
      <w:start w:val="1"/>
    </w:lvl>
  </w:abstractNum>
  <w:abstractNum w:abstractNumId="18">
    <w:nsid w:val="4353D0CD"/>
    <w:multiLevelType w:val="hybridMultilevel"/>
    <w:lvl w:ilvl="0">
      <w:lvlJc w:val="left"/>
      <w:lvlText w:val="%1."/>
      <w:numFmt w:val="decimal"/>
      <w:start w:val="1"/>
    </w:lvl>
    <w:lvl w:ilvl="1">
      <w:lvlJc w:val="left"/>
      <w:lvlText w:val="(%2)"/>
      <w:numFmt w:val="lowerLetter"/>
      <w:start w:val="3"/>
    </w:lvl>
  </w:abstractNum>
  <w:abstractNum w:abstractNumId="19">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189A769B"/>
    <w:multiLevelType w:val="hybridMultilevel"/>
    <w:lvl w:ilvl="0">
      <w:lvlJc w:val="left"/>
      <w:lvlText w:val="%1"/>
      <w:numFmt w:val="decimal"/>
      <w:start w:val="1"/>
    </w:lvl>
    <w:lvl w:ilvl="1">
      <w:lvlJc w:val="left"/>
      <w:lvlText w:val="(%2)"/>
      <w:numFmt w:val="lowerLetter"/>
      <w:start w:val="3"/>
    </w:lvl>
  </w:abstractNum>
  <w:abstractNum w:abstractNumId="21">
    <w:nsid w:val="54E49EB4"/>
    <w:multiLevelType w:val="hybridMultilevel"/>
    <w:lvl w:ilvl="0">
      <w:lvlJc w:val="left"/>
      <w:lvlText w:val="%1."/>
      <w:numFmt w:val="decimal"/>
      <w:start w:val="3"/>
    </w:lvl>
    <w:lvl w:ilvl="1">
      <w:lvlJc w:val="left"/>
      <w:lvlText w:val="%2"/>
      <w:numFmt w:val="lowerLetter"/>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decimal"/>
      <w:start w:val="6"/>
    </w:lvl>
  </w:abstractNum>
  <w:abstractNum w:abstractNumId="25">
    <w:nsid w:val="2901D82"/>
    <w:multiLevelType w:val="hybridMultilevel"/>
    <w:lvl w:ilvl="0">
      <w:lvlJc w:val="left"/>
      <w:lvlText w:val="%1."/>
      <w:numFmt w:val="decimal"/>
      <w:start w:val="13"/>
    </w:lvl>
  </w:abstractNum>
  <w:abstractNum w:abstractNumId="26">
    <w:nsid w:val="3A95F874"/>
    <w:multiLevelType w:val="hybridMultilevel"/>
    <w:lvl w:ilvl="0">
      <w:lvlJc w:val="left"/>
      <w:lvlText w:val="%1."/>
      <w:numFmt w:val="decimal"/>
      <w:start w:val="15"/>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4"/>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2019-12-29T10:54:15Z</dcterms:created>
  <dcterms:modified xsi:type="dcterms:W3CDTF">2019-12-29T10:54:15Z</dcterms:modified>
</cp:coreProperties>
</file>