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520" w:hanging="48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August 3, 2019</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520" w:hanging="485"/>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5"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For the transition period from ___________ to___________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001-15059</w:t>
      </w:r>
    </w:p>
    <w:p>
      <w:pPr>
        <w:spacing w:after="0" w:line="16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p>
      <w:pPr>
        <w:ind w:left="2280"/>
        <w:spacing w:after="0"/>
        <w:tabs>
          <w:tab w:leader="none" w:pos="8240" w:val="left"/>
        </w:tabs>
        <w:rPr>
          <w:sz w:val="20"/>
          <w:szCs w:val="20"/>
          <w:color w:val="auto"/>
        </w:rPr>
      </w:pPr>
      <w:r>
        <w:rPr>
          <w:rFonts w:ascii="Arial" w:cs="Arial" w:eastAsia="Arial" w:hAnsi="Arial"/>
          <w:sz w:val="18"/>
          <w:szCs w:val="18"/>
          <w:b w:val="1"/>
          <w:bCs w:val="1"/>
          <w:color w:val="auto"/>
        </w:rPr>
        <w:t>Washington</w:t>
      </w:r>
      <w:r>
        <w:rPr>
          <w:sz w:val="20"/>
          <w:szCs w:val="20"/>
          <w:color w:val="auto"/>
        </w:rPr>
        <w:tab/>
      </w:r>
      <w:r>
        <w:rPr>
          <w:rFonts w:ascii="Arial" w:cs="Arial" w:eastAsia="Arial" w:hAnsi="Arial"/>
          <w:sz w:val="18"/>
          <w:szCs w:val="18"/>
          <w:b w:val="1"/>
          <w:bCs w:val="1"/>
          <w:color w:val="auto"/>
        </w:rPr>
        <w:t>91-0515058</w:t>
      </w:r>
    </w:p>
    <w:p>
      <w:pPr>
        <w:spacing w:after="0" w:line="67" w:lineRule="exact"/>
        <w:rPr>
          <w:sz w:val="24"/>
          <w:szCs w:val="24"/>
          <w:color w:val="auto"/>
        </w:rPr>
      </w:pPr>
    </w:p>
    <w:p>
      <w:pPr>
        <w:ind w:left="1700"/>
        <w:spacing w:after="0"/>
        <w:tabs>
          <w:tab w:leader="none" w:pos="806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w:t>
      </w:r>
    </w:p>
    <w:p>
      <w:pPr>
        <w:spacing w:after="0" w:line="23" w:lineRule="exact"/>
        <w:rPr>
          <w:sz w:val="24"/>
          <w:szCs w:val="24"/>
          <w:color w:val="auto"/>
        </w:rPr>
      </w:pPr>
    </w:p>
    <w:p>
      <w:pPr>
        <w:ind w:left="1660"/>
        <w:spacing w:after="0"/>
        <w:tabs>
          <w:tab w:leader="none" w:pos="8000" w:val="left"/>
        </w:tabs>
        <w:rPr>
          <w:sz w:val="20"/>
          <w:szCs w:val="20"/>
          <w:color w:val="auto"/>
        </w:rPr>
      </w:pPr>
      <w:r>
        <w:rPr>
          <w:rFonts w:ascii="Arial" w:cs="Arial" w:eastAsia="Arial" w:hAnsi="Arial"/>
          <w:sz w:val="18"/>
          <w:szCs w:val="18"/>
          <w:color w:val="auto"/>
        </w:rPr>
        <w:t>incorporation or organization)</w:t>
      </w:r>
      <w:r>
        <w:rPr>
          <w:sz w:val="20"/>
          <w:szCs w:val="20"/>
          <w:color w:val="auto"/>
        </w:rPr>
        <w:tab/>
      </w:r>
      <w:r>
        <w:rPr>
          <w:rFonts w:ascii="Arial" w:cs="Arial" w:eastAsia="Arial" w:hAnsi="Arial"/>
          <w:sz w:val="17"/>
          <w:szCs w:val="17"/>
          <w:color w:val="auto"/>
        </w:rPr>
        <w:t>Identification No.)</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1617 Sixth Avenue, Seattle, Washington 98101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206-628-2111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ind w:right="5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180"/>
        <w:spacing w:after="0" w:line="207" w:lineRule="exact"/>
        <w:tabs>
          <w:tab w:leader="none" w:pos="58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p>
    <w:p>
      <w:pPr>
        <w:spacing w:after="0" w:line="76" w:lineRule="exact"/>
        <w:rPr>
          <w:sz w:val="24"/>
          <w:szCs w:val="24"/>
          <w:color w:val="auto"/>
        </w:rPr>
      </w:pPr>
    </w:p>
    <w:p>
      <w:pPr>
        <w:ind w:left="180"/>
        <w:spacing w:after="0" w:line="207" w:lineRule="exact"/>
        <w:tabs>
          <w:tab w:leader="none" w:pos="58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p>
    <w:p>
      <w:pPr>
        <w:spacing w:after="0" w:line="63" w:lineRule="exact"/>
        <w:rPr>
          <w:sz w:val="24"/>
          <w:szCs w:val="24"/>
          <w:color w:val="auto"/>
        </w:rPr>
      </w:pPr>
    </w:p>
    <w:p>
      <w:pPr>
        <w:ind w:left="5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11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17"/>
        </w:trPr>
        <w:tc>
          <w:tcPr>
            <w:tcW w:w="4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Common stock, without par value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JWN</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August 29, 2019: 154,914,812 shares</w:t>
      </w:r>
    </w:p>
    <w:p>
      <w:pPr>
        <w:sectPr>
          <w:pgSz w:w="11900" w:h="16838" w:orient="portrait"/>
          <w:cols w:equalWidth="0" w:num="1">
            <w:col w:w="11440"/>
          </w:cols>
          <w:pgMar w:left="240" w:top="387" w:right="219" w:bottom="1440" w:gutter="0" w:footer="0" w:header="0"/>
        </w:sectPr>
      </w:pPr>
    </w:p>
    <w:p>
      <w:pPr>
        <w:spacing w:after="0" w:line="200" w:lineRule="exact"/>
        <w:rPr>
          <w:sz w:val="24"/>
          <w:szCs w:val="24"/>
          <w:color w:val="auto"/>
        </w:rPr>
      </w:pP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1 of 28</w:t>
      </w:r>
    </w:p>
    <w:p>
      <w:pPr>
        <w:sectPr>
          <w:pgSz w:w="11900" w:h="16838" w:orient="portrait"/>
          <w:cols w:equalWidth="0" w:num="1">
            <w:col w:w="11440"/>
          </w:cols>
          <w:pgMar w:left="240" w:top="387" w:right="21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20" w:type="dxa"/>
            <w:vAlign w:val="bottom"/>
            <w:gridSpan w:val="11"/>
          </w:tcPr>
          <w:p>
            <w:pPr>
              <w:jc w:val="center"/>
              <w:ind w:right="1840"/>
              <w:spacing w:after="0"/>
              <w:rPr>
                <w:sz w:val="20"/>
                <w:szCs w:val="20"/>
                <w:color w:val="auto"/>
              </w:rPr>
            </w:pPr>
            <w:r>
              <w:rPr>
                <w:rFonts w:ascii="Arial" w:cs="Arial" w:eastAsia="Arial" w:hAnsi="Arial"/>
                <w:sz w:val="22"/>
                <w:szCs w:val="22"/>
                <w:b w:val="1"/>
                <w:bCs w:val="1"/>
                <w:color w:val="auto"/>
                <w:w w:val="97"/>
              </w:rPr>
              <w:t>TABLE OF CONTENTS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30"/>
        </w:trPr>
        <w:tc>
          <w:tcPr>
            <w:tcW w:w="9360" w:type="dxa"/>
            <w:vAlign w:val="bottom"/>
            <w:gridSpan w:val="2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FORWARD-LOOKING STATEMENTS</w:t>
              </w:r>
            </w:hyperlink>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8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DEFINITIONS</w:t>
              </w:r>
            </w:hyperlink>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6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 – FINANCIAL INFORMATION</w:t>
              </w:r>
            </w:hyperlink>
          </w:p>
        </w:tc>
        <w:tc>
          <w:tcPr>
            <w:tcW w:w="6200" w:type="dxa"/>
            <w:vAlign w:val="bottom"/>
            <w:gridSpan w:val="13"/>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24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Financial Statements (Unaudited).</w:t>
              </w:r>
            </w:hyperlink>
          </w:p>
        </w:tc>
        <w:tc>
          <w:tcPr>
            <w:tcW w:w="5520" w:type="dxa"/>
            <w:vAlign w:val="bottom"/>
            <w:gridSpan w:val="11"/>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Earnings</w:t>
              </w:r>
            </w:hyperlink>
          </w:p>
        </w:tc>
        <w:tc>
          <w:tcPr>
            <w:tcW w:w="4080" w:type="dxa"/>
            <w:vAlign w:val="bottom"/>
            <w:gridSpan w:val="9"/>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Quarter and Six Months Ended August 3, 2019 and August 4, 2018</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Earnings</w:t>
              </w:r>
            </w:hyperlink>
          </w:p>
        </w:tc>
        <w:tc>
          <w:tcPr>
            <w:tcW w:w="100" w:type="dxa"/>
            <w:vAlign w:val="bottom"/>
            <w:tcBorders>
              <w:top w:val="single" w:sz="8" w:color="0000EE"/>
            </w:tcBorders>
          </w:tcPr>
          <w:p>
            <w:pPr>
              <w:spacing w:after="0"/>
              <w:rPr>
                <w:sz w:val="24"/>
                <w:szCs w:val="24"/>
                <w:color w:val="auto"/>
              </w:rPr>
            </w:pPr>
          </w:p>
        </w:tc>
        <w:tc>
          <w:tcPr>
            <w:tcW w:w="28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Quarter and Six Months Ended August 3, 2019 and August 4, 2018</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Balance Sheets</w:t>
              </w:r>
            </w:hyperlink>
          </w:p>
        </w:tc>
        <w:tc>
          <w:tcPr>
            <w:tcW w:w="1860" w:type="dxa"/>
            <w:vAlign w:val="bottom"/>
            <w:tcBorders>
              <w:top w:val="single" w:sz="8" w:color="0000EE"/>
            </w:tcBorders>
            <w:gridSpan w:val="8"/>
          </w:tcPr>
          <w:p>
            <w:pPr>
              <w:spacing w:after="0"/>
              <w:rPr>
                <w:sz w:val="24"/>
                <w:szCs w:val="24"/>
                <w:color w:val="auto"/>
              </w:rPr>
            </w:pPr>
          </w:p>
        </w:tc>
        <w:tc>
          <w:tcPr>
            <w:tcW w:w="28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40" w:type="dxa"/>
            <w:vAlign w:val="bottom"/>
            <w:gridSpan w:val="12"/>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August 3, 2019, February 2, 2019, and August 4, 2018</w:t>
              </w:r>
            </w:hyperlink>
          </w:p>
        </w:tc>
        <w:tc>
          <w:tcPr>
            <w:tcW w:w="370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Condensed Consolidated Statements of Shareholders’ Equity</w:t>
              </w:r>
            </w:hyperlink>
          </w:p>
        </w:tc>
        <w:tc>
          <w:tcPr>
            <w:tcW w:w="3200" w:type="dxa"/>
            <w:vAlign w:val="bottom"/>
            <w:gridSpan w:val="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Quarter and Six Months Ended August 3, 2019 and August 4, 2018</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w:t>
              </w:r>
            </w:hyperlink>
          </w:p>
        </w:tc>
        <w:tc>
          <w:tcPr>
            <w:tcW w:w="1080" w:type="dxa"/>
            <w:vAlign w:val="bottom"/>
            <w:tcBorders>
              <w:top w:val="single" w:sz="8" w:color="0000EE"/>
            </w:tcBorders>
            <w:gridSpan w:val="6"/>
          </w:tcPr>
          <w:p>
            <w:pPr>
              <w:spacing w:after="0"/>
              <w:rPr>
                <w:sz w:val="24"/>
                <w:szCs w:val="24"/>
                <w:color w:val="auto"/>
              </w:rPr>
            </w:pPr>
          </w:p>
        </w:tc>
        <w:tc>
          <w:tcPr>
            <w:tcW w:w="28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Six Months Ended August 3, 2019 and August 4, 2018</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3"/>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Notes to Condensed Consolidated Financial Statements</w:t>
              </w:r>
            </w:hyperlink>
          </w:p>
        </w:tc>
        <w:tc>
          <w:tcPr>
            <w:tcW w:w="3640" w:type="dxa"/>
            <w:vAlign w:val="bottom"/>
            <w:gridSpan w:val="6"/>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10</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4"/>
                <w:szCs w:val="24"/>
                <w:color w:val="auto"/>
              </w:rPr>
            </w:pPr>
          </w:p>
        </w:tc>
        <w:tc>
          <w:tcPr>
            <w:tcW w:w="6500" w:type="dxa"/>
            <w:vAlign w:val="bottom"/>
            <w:gridSpan w:val="19"/>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24"/>
                <w:szCs w:val="24"/>
                <w:color w:val="auto"/>
              </w:rPr>
            </w:pPr>
          </w:p>
        </w:tc>
        <w:tc>
          <w:tcPr>
            <w:tcW w:w="4380" w:type="dxa"/>
            <w:vAlign w:val="bottom"/>
            <w:gridSpan w:val="15"/>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3600" w:type="dxa"/>
            <w:vAlign w:val="bottom"/>
            <w:tcBorders>
              <w:left w:val="single" w:sz="8" w:color="0000EE"/>
            </w:tcBorders>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24"/>
                <w:szCs w:val="24"/>
                <w:color w:val="auto"/>
              </w:rPr>
            </w:pPr>
          </w:p>
        </w:tc>
        <w:tc>
          <w:tcPr>
            <w:tcW w:w="438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3600" w:type="dxa"/>
            <w:vAlign w:val="bottom"/>
            <w:gridSpan w:val="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6500" w:type="dxa"/>
            <w:vAlign w:val="bottom"/>
            <w:gridSpan w:val="15"/>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6600" w:type="dxa"/>
            <w:vAlign w:val="bottom"/>
            <w:gridSpan w:val="16"/>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11"/>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1A.</w:t>
            </w:r>
          </w:p>
        </w:tc>
        <w:tc>
          <w:tcPr>
            <w:tcW w:w="20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6600" w:type="dxa"/>
            <w:vAlign w:val="bottom"/>
            <w:gridSpan w:val="16"/>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24"/>
                <w:szCs w:val="24"/>
                <w:color w:val="auto"/>
              </w:rPr>
            </w:pPr>
          </w:p>
        </w:tc>
        <w:tc>
          <w:tcPr>
            <w:tcW w:w="79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3"/>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2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Exhibits.</w:t>
              </w:r>
            </w:hyperlink>
          </w:p>
        </w:tc>
        <w:tc>
          <w:tcPr>
            <w:tcW w:w="3740" w:type="dxa"/>
            <w:vAlign w:val="bottom"/>
            <w:gridSpan w:val="13"/>
          </w:tcPr>
          <w:p>
            <w:pPr>
              <w:spacing w:after="0"/>
              <w:rPr>
                <w:sz w:val="24"/>
                <w:szCs w:val="24"/>
                <w:color w:val="auto"/>
              </w:rPr>
            </w:pPr>
          </w:p>
        </w:tc>
        <w:tc>
          <w:tcPr>
            <w:tcW w:w="3600" w:type="dxa"/>
            <w:vAlign w:val="bottom"/>
            <w:gridSpan w:val="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rFonts w:ascii="Arial" w:cs="Arial" w:eastAsia="Arial" w:hAnsi="Arial"/>
                <w:sz w:val="18"/>
                <w:szCs w:val="18"/>
                <w:b w:val="1"/>
                <w:bCs w:val="1"/>
                <w:color w:val="0000EE"/>
                <w:w w:val="92"/>
              </w:rPr>
            </w:pPr>
            <w:hyperlink w:anchor="page29">
              <w:r>
                <w:rPr>
                  <w:rFonts w:ascii="Arial" w:cs="Arial" w:eastAsia="Arial" w:hAnsi="Arial"/>
                  <w:sz w:val="18"/>
                  <w:szCs w:val="18"/>
                  <w:b w:val="1"/>
                  <w:bCs w:val="1"/>
                  <w:color w:val="0000EE"/>
                  <w:w w:val="92"/>
                </w:rPr>
                <w:t>Exhibit Index</w:t>
              </w:r>
            </w:hyperlink>
          </w:p>
        </w:tc>
        <w:tc>
          <w:tcPr>
            <w:tcW w:w="1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8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9"/>
          </w:tcPr>
          <w:p>
            <w:pPr>
              <w:jc w:val="center"/>
              <w:ind w:right="3300"/>
              <w:spacing w:after="0"/>
              <w:rPr>
                <w:sz w:val="20"/>
                <w:szCs w:val="20"/>
                <w:color w:val="auto"/>
              </w:rPr>
            </w:pPr>
            <w:r>
              <w:rPr>
                <w:rFonts w:ascii="Arial" w:cs="Arial" w:eastAsia="Arial" w:hAnsi="Arial"/>
                <w:sz w:val="18"/>
                <w:szCs w:val="18"/>
                <w:color w:val="auto"/>
                <w:w w:val="90"/>
              </w:rPr>
              <w:t>2 of 28</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79"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“goal,” “would,” “expect,” “plan,” “anticipate,” “believe,” “estimate,” “project,” “predict,” “potential,” “pursue,” “going forward,”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risks, uncertainties and other factors include, but are not limited to, our anticipated financial outlook for the fiscal year ending February 1, 2020, our anticipated annual total sales rates, our anticipated new store openings in existing, new and international markets, our anticipated Adjusted Return on Invested Capital, trends in our operations and the following: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340" w:right="30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effective implementation of evolving our business model and successful execution of our customer strategy to provide a differentiated and seamless experience across all Nordstrom channels,</w:t>
      </w:r>
    </w:p>
    <w:p>
      <w:pPr>
        <w:ind w:left="340" w:right="2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and manage the costs of our evolving business model, including the execution of new supply chain capabilities and enhancement of existing ones, development of applications for electronic devices, improvement of customer-facing technologies, timely delivery of products purchased digitally, enhancement of inventory management systems, more fluid inventory availability between our digital channels and retail stores through our local market strategy, and greater consistency in marketing strategies,</w:t>
      </w:r>
    </w:p>
    <w:p>
      <w:pPr>
        <w:spacing w:after="0" w:line="1" w:lineRule="exact"/>
        <w:rPr>
          <w:rFonts w:ascii="Arial" w:cs="Arial" w:eastAsia="Arial" w:hAnsi="Arial"/>
          <w:sz w:val="18"/>
          <w:szCs w:val="18"/>
          <w:color w:val="auto"/>
        </w:rPr>
      </w:pPr>
    </w:p>
    <w:p>
      <w:pPr>
        <w:ind w:left="340" w:right="36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the business and retail environment, as well as fashion trends and consumer preferences, including changing expectations of service and experience in stores and online,</w:t>
      </w:r>
    </w:p>
    <w:p>
      <w:pPr>
        <w:ind w:left="340" w:right="16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existing and new store locations, technology and supply chain facilities, especially our investments in our Nordstrom NYC and our Los Angeles market integration,</w:t>
      </w: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 including engagement with third-party service providers,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utilize internal and third-party data in strategic planning and decision making,</w:t>
      </w:r>
    </w:p>
    <w:p>
      <w:pPr>
        <w:spacing w:after="0" w:line="9" w:lineRule="exact"/>
        <w:rPr>
          <w:rFonts w:ascii="Arial" w:cs="Arial" w:eastAsia="Arial" w:hAnsi="Arial"/>
          <w:sz w:val="18"/>
          <w:szCs w:val="18"/>
          <w:color w:val="auto"/>
        </w:rPr>
      </w:pPr>
    </w:p>
    <w:p>
      <w:pPr>
        <w:ind w:left="340" w:right="320" w:hanging="170"/>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or expand our presence, including timely completion of construction associated with new, relocated and remodeled stores, and Supply Chain Network facilities, all of which may be impacted by third parties, consumer demand and other natural or man-made disruptions,</w:t>
      </w:r>
    </w:p>
    <w:p>
      <w:pPr>
        <w:spacing w:after="0" w:line="1" w:lineRule="exact"/>
        <w:rPr>
          <w:rFonts w:ascii="Arial" w:cs="Arial" w:eastAsia="Arial" w:hAnsi="Arial"/>
          <w:sz w:val="16"/>
          <w:szCs w:val="16"/>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340" w:right="40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and supply chain processes and systems, disruptions in our supply chain and our ability to control costs,</w:t>
      </w:r>
    </w:p>
    <w:p>
      <w:pPr>
        <w:ind w:left="340" w:right="24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relationships with our vendors and third-party service providers,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relationships with and motivate our employees and to effectively attract, develop and retain our future leaders,</w:t>
      </w:r>
    </w:p>
    <w:p>
      <w:pPr>
        <w:spacing w:after="0" w:line="9" w:lineRule="exact"/>
        <w:rPr>
          <w:rFonts w:ascii="Arial" w:cs="Arial" w:eastAsia="Arial" w:hAnsi="Arial"/>
          <w:sz w:val="18"/>
          <w:szCs w:val="18"/>
          <w:color w:val="auto"/>
        </w:rPr>
      </w:pPr>
    </w:p>
    <w:p>
      <w:pPr>
        <w:ind w:left="340" w:right="30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expected benefits, respond to potential risks and appropriately manage costs associated with our program agreement with TD Bank, N.A.,</w:t>
      </w:r>
    </w:p>
    <w:p>
      <w:pPr>
        <w:ind w:left="340" w:right="18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loyalty program, including the implementation of any changes in our program, planned advertising, marketing and promotional campaigns in the highly competitive and promotional retail industry,</w:t>
      </w:r>
    </w:p>
    <w:p>
      <w:pPr>
        <w:ind w:left="340" w:hanging="170"/>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fluctuations, increases in operating costs, exit costs and overall liabilities and losses associated with owning and leasing real estate,</w:t>
      </w:r>
    </w:p>
    <w:p>
      <w:pPr>
        <w:spacing w:after="0" w:line="20" w:lineRule="exact"/>
        <w:rPr>
          <w:rFonts w:ascii="Arial" w:cs="Arial" w:eastAsia="Arial" w:hAnsi="Arial"/>
          <w:sz w:val="17"/>
          <w:szCs w:val="17"/>
          <w:color w:val="auto"/>
        </w:rPr>
      </w:pPr>
    </w:p>
    <w:p>
      <w:pPr>
        <w:ind w:left="340" w:right="100" w:hanging="170"/>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and fluctuations in the fair values of reporting units or of assets in the event projected financial results are not achieved within expected time frames,</w:t>
      </w: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debt and operating covenants, availability and cost of credit, changes in our credit rating and changes in interest rates,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price, manner and amounts of future share repurchases by us, if any, or any share issuances by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and credit patterns,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 in the U.S. and countries where our third-party vendors operate,</w:t>
      </w:r>
    </w:p>
    <w:p>
      <w:pPr>
        <w:spacing w:after="0" w:line="9" w:lineRule="exact"/>
        <w:rPr>
          <w:rFonts w:ascii="Arial" w:cs="Arial" w:eastAsia="Arial" w:hAnsi="Arial"/>
          <w:sz w:val="18"/>
          <w:szCs w:val="18"/>
          <w:color w:val="auto"/>
        </w:rPr>
      </w:pPr>
    </w:p>
    <w:p>
      <w:pPr>
        <w:ind w:left="340" w:right="40" w:hanging="170"/>
        <w:spacing w:after="0" w:line="29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weather conditions, natural disasters, health hazards, national security or other market and supply chain disruptions, including the effects of tariffs, or the prospects of these events and the resulting impact on consumer spending patterns or information technology systems and communications,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 of 28</w:t>
      </w:r>
    </w:p>
    <w:p>
      <w:pPr>
        <w:sectPr>
          <w:pgSz w:w="11900" w:h="16838" w:orient="portrait"/>
          <w:cols w:equalWidth="0" w:num="1">
            <w:col w:w="11400"/>
          </w:cols>
          <w:pgMar w:left="240" w:top="279" w:right="2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340" w:right="540" w:hanging="170"/>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compliance with applicable domestic and international laws, regulations and ethical standards, including those related to employment and tax, information security and privacy, consumer credit and the outcome of any claims and litigation and resolution of such matters,</w:t>
      </w: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health care and tax reforms,</w:t>
      </w:r>
    </w:p>
    <w:p>
      <w:pPr>
        <w:spacing w:after="0" w:line="9" w:lineRule="exact"/>
        <w:rPr>
          <w:rFonts w:ascii="Arial" w:cs="Arial" w:eastAsia="Arial" w:hAnsi="Arial"/>
          <w:sz w:val="18"/>
          <w:szCs w:val="18"/>
          <w:color w:val="auto"/>
        </w:rPr>
      </w:pPr>
    </w:p>
    <w:p>
      <w:pPr>
        <w:ind w:left="340" w:hanging="170"/>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changes in our interpretation of the rules or regulations, or changes in underlying assumptions, estimates or judgments,</w:t>
      </w: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claims, litigation and regulatory investigations, including those related to information security, privacy and consumer credit.</w:t>
      </w:r>
    </w:p>
    <w:p>
      <w:pPr>
        <w:spacing w:after="0" w:line="1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Given these risks, uncertainties and other factors, you should not place undue reliance on these forward-looking statements. Also, these forward-looking statements represent our estimates and assumptions only as of the date of this filing. You should read this Quarterly Report on Form 10-Q completely and with the understanding that our actual future results may be materially different from what we expect. We hereby qualify our forward-looking statements by these cautionary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“Nordstrom,” “we,” “us,” “our,” or the “Company” mean Nordstrom, Inc. and its subsidiaries.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 of 28</w:t>
      </w:r>
    </w:p>
    <w:p>
      <w:pPr>
        <w:sectPr>
          <w:pgSz w:w="11900" w:h="16838" w:orient="portrait"/>
          <w:cols w:equalWidth="0" w:num="1">
            <w:col w:w="11380"/>
          </w:cols>
          <w:pgMar w:left="240" w:top="279" w:right="27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definitions of Nordstrom commonly used terms: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ind w:left="40"/>
              <w:spacing w:after="0"/>
              <w:rPr>
                <w:sz w:val="20"/>
                <w:szCs w:val="20"/>
                <w:color w:val="auto"/>
              </w:rPr>
            </w:pPr>
            <w:r>
              <w:rPr>
                <w:rFonts w:ascii="Arial" w:cs="Arial" w:eastAsia="Arial" w:hAnsi="Arial"/>
                <w:sz w:val="16"/>
                <w:szCs w:val="16"/>
                <w:b w:val="1"/>
                <w:bCs w:val="1"/>
                <w:color w:val="auto"/>
              </w:rPr>
              <w:t>Term</w:t>
            </w:r>
          </w:p>
        </w:tc>
        <w:tc>
          <w:tcPr>
            <w:tcW w:w="9060" w:type="dxa"/>
            <w:vAlign w:val="bottom"/>
          </w:tcPr>
          <w:p>
            <w:pPr>
              <w:ind w:left="180"/>
              <w:spacing w:after="0"/>
              <w:rPr>
                <w:sz w:val="20"/>
                <w:szCs w:val="20"/>
                <w:color w:val="auto"/>
              </w:rPr>
            </w:pPr>
            <w:r>
              <w:rPr>
                <w:rFonts w:ascii="Arial" w:cs="Arial" w:eastAsia="Arial" w:hAnsi="Arial"/>
                <w:sz w:val="16"/>
                <w:szCs w:val="16"/>
                <w:b w:val="1"/>
                <w:bCs w:val="1"/>
                <w:color w:val="auto"/>
              </w:rPr>
              <w:t>Definition</w:t>
            </w:r>
          </w:p>
        </w:tc>
      </w:tr>
      <w:tr>
        <w:trPr>
          <w:trHeight w:val="33"/>
        </w:trPr>
        <w:tc>
          <w:tcPr>
            <w:tcW w:w="236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r>
      <w:tr>
        <w:trPr>
          <w:trHeight w:val="23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2002 Plan</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2002 Nonemployee Director Stock Incentive Plan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2010 Plan</w:t>
            </w:r>
          </w:p>
        </w:tc>
        <w:tc>
          <w:tcPr>
            <w:tcW w:w="9060" w:type="dxa"/>
            <w:vAlign w:val="bottom"/>
          </w:tcPr>
          <w:p>
            <w:pPr>
              <w:ind w:left="180"/>
              <w:spacing w:after="0"/>
              <w:rPr>
                <w:sz w:val="20"/>
                <w:szCs w:val="20"/>
                <w:color w:val="auto"/>
              </w:rPr>
            </w:pPr>
            <w:r>
              <w:rPr>
                <w:rFonts w:ascii="Arial" w:cs="Arial" w:eastAsia="Arial" w:hAnsi="Arial"/>
                <w:sz w:val="16"/>
                <w:szCs w:val="16"/>
                <w:color w:val="auto"/>
              </w:rPr>
              <w:t>2010 Equity Incentive Plan</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Plan</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2019 Equity Incentive Plan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2018 Annual Report</w:t>
            </w:r>
          </w:p>
        </w:tc>
        <w:tc>
          <w:tcPr>
            <w:tcW w:w="9060" w:type="dxa"/>
            <w:vAlign w:val="bottom"/>
          </w:tcPr>
          <w:p>
            <w:pPr>
              <w:ind w:left="180"/>
              <w:spacing w:after="0"/>
              <w:rPr>
                <w:sz w:val="20"/>
                <w:szCs w:val="20"/>
                <w:color w:val="auto"/>
              </w:rPr>
            </w:pPr>
            <w:r>
              <w:rPr>
                <w:rFonts w:ascii="Arial" w:cs="Arial" w:eastAsia="Arial" w:hAnsi="Arial"/>
                <w:sz w:val="16"/>
                <w:szCs w:val="16"/>
                <w:color w:val="auto"/>
              </w:rPr>
              <w:t>Annual Report on Form 10-K filed on March 18, 2019</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 before interest, income taxes, depreciation and amortization (a non-GAAP financial measure)</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Adjusted EBITDAR</w:t>
            </w:r>
          </w:p>
        </w:tc>
        <w:tc>
          <w:tcPr>
            <w:tcW w:w="9060" w:type="dxa"/>
            <w:vAlign w:val="bottom"/>
          </w:tcPr>
          <w:p>
            <w:pPr>
              <w:ind w:left="180"/>
              <w:spacing w:after="0"/>
              <w:rPr>
                <w:sz w:val="20"/>
                <w:szCs w:val="20"/>
                <w:color w:val="auto"/>
              </w:rPr>
            </w:pPr>
            <w:r>
              <w:rPr>
                <w:rFonts w:ascii="Arial" w:cs="Arial" w:eastAsia="Arial" w:hAnsi="Arial"/>
                <w:sz w:val="16"/>
                <w:szCs w:val="16"/>
                <w:color w:val="auto"/>
              </w:rPr>
              <w:t>Adjusted earnings before interest, income taxes, depreciation, amortization and rent (a non-GAAP financial measure)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ROIC</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return on invested capital (a non-GAAP financial measure)</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ASC</w:t>
            </w:r>
          </w:p>
        </w:tc>
        <w:tc>
          <w:tcPr>
            <w:tcW w:w="9060" w:type="dxa"/>
            <w:vAlign w:val="bottom"/>
          </w:tcPr>
          <w:p>
            <w:pPr>
              <w:ind w:left="180"/>
              <w:spacing w:after="0"/>
              <w:rPr>
                <w:sz w:val="20"/>
                <w:szCs w:val="20"/>
                <w:color w:val="auto"/>
              </w:rPr>
            </w:pPr>
            <w:r>
              <w:rPr>
                <w:rFonts w:ascii="Arial" w:cs="Arial" w:eastAsia="Arial" w:hAnsi="Arial"/>
                <w:sz w:val="16"/>
                <w:szCs w:val="16"/>
                <w:color w:val="auto"/>
              </w:rPr>
              <w:t>Accounting Standards Codification</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Accounting Standards Update</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BOPUS</w:t>
            </w:r>
          </w:p>
        </w:tc>
        <w:tc>
          <w:tcPr>
            <w:tcW w:w="9060" w:type="dxa"/>
            <w:vAlign w:val="bottom"/>
          </w:tcPr>
          <w:p>
            <w:pPr>
              <w:ind w:left="180"/>
              <w:spacing w:after="0"/>
              <w:rPr>
                <w:sz w:val="20"/>
                <w:szCs w:val="20"/>
                <w:color w:val="auto"/>
              </w:rPr>
            </w:pPr>
            <w:r>
              <w:rPr>
                <w:rFonts w:ascii="Arial" w:cs="Arial" w:eastAsia="Arial" w:hAnsi="Arial"/>
                <w:sz w:val="16"/>
                <w:szCs w:val="16"/>
                <w:color w:val="auto"/>
              </w:rPr>
              <w:t>Buy Online, Pickup in Store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CDOR</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Canadian Dollar Offered Rate</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CODM</w:t>
            </w:r>
          </w:p>
        </w:tc>
        <w:tc>
          <w:tcPr>
            <w:tcW w:w="9060" w:type="dxa"/>
            <w:vAlign w:val="bottom"/>
          </w:tcPr>
          <w:p>
            <w:pPr>
              <w:ind w:left="180"/>
              <w:spacing w:after="0"/>
              <w:rPr>
                <w:sz w:val="20"/>
                <w:szCs w:val="20"/>
                <w:color w:val="auto"/>
              </w:rPr>
            </w:pPr>
            <w:r>
              <w:rPr>
                <w:rFonts w:ascii="Arial" w:cs="Arial" w:eastAsia="Arial" w:hAnsi="Arial"/>
                <w:sz w:val="16"/>
                <w:szCs w:val="16"/>
                <w:color w:val="auto"/>
              </w:rPr>
              <w:t>Chief operating decision maker</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Estimated Non-recurring Charge</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non-recurring credit-related charge recognized during the third quarter of 2018</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Digital sales</w:t>
            </w:r>
          </w:p>
        </w:tc>
        <w:tc>
          <w:tcPr>
            <w:tcW w:w="9060" w:type="dxa"/>
            <w:vAlign w:val="bottom"/>
          </w:tcPr>
          <w:p>
            <w:pPr>
              <w:ind w:left="180"/>
              <w:spacing w:after="0"/>
              <w:rPr>
                <w:sz w:val="20"/>
                <w:szCs w:val="20"/>
                <w:color w:val="auto"/>
              </w:rPr>
            </w:pPr>
            <w:r>
              <w:rPr>
                <w:rFonts w:ascii="Arial" w:cs="Arial" w:eastAsia="Arial" w:hAnsi="Arial"/>
                <w:sz w:val="16"/>
                <w:szCs w:val="16"/>
                <w:color w:val="auto"/>
              </w:rPr>
              <w:t>Online and digitally-assisted store sales, which include BOPUS, Ship to Store and Style Board, a digital selling tool</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interest and income taxes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EPS</w:t>
            </w:r>
          </w:p>
        </w:tc>
        <w:tc>
          <w:tcPr>
            <w:tcW w:w="9060" w:type="dxa"/>
            <w:vAlign w:val="bottom"/>
          </w:tcPr>
          <w:p>
            <w:pPr>
              <w:ind w:left="180"/>
              <w:spacing w:after="0"/>
              <w:rPr>
                <w:sz w:val="20"/>
                <w:szCs w:val="20"/>
                <w:color w:val="auto"/>
              </w:rPr>
            </w:pPr>
            <w:r>
              <w:rPr>
                <w:rFonts w:ascii="Arial" w:cs="Arial" w:eastAsia="Arial" w:hAnsi="Arial"/>
                <w:sz w:val="16"/>
                <w:szCs w:val="16"/>
                <w:color w:val="auto"/>
              </w:rPr>
              <w:t>Earnings per share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ESPP</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Exchange Act</w:t>
            </w:r>
          </w:p>
        </w:tc>
        <w:tc>
          <w:tcPr>
            <w:tcW w:w="9060" w:type="dxa"/>
            <w:vAlign w:val="bottom"/>
          </w:tcPr>
          <w:p>
            <w:pPr>
              <w:ind w:left="180"/>
              <w:spacing w:after="0"/>
              <w:rPr>
                <w:sz w:val="20"/>
                <w:szCs w:val="20"/>
                <w:color w:val="auto"/>
              </w:rPr>
            </w:pPr>
            <w:r>
              <w:rPr>
                <w:rFonts w:ascii="Arial" w:cs="Arial" w:eastAsia="Arial" w:hAnsi="Arial"/>
                <w:sz w:val="16"/>
                <w:szCs w:val="16"/>
                <w:color w:val="auto"/>
              </w:rPr>
              <w:t>Securities Exchange Act of 1934, as amended</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Financial Accounting Standards Board</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Second quarter of 2019</w:t>
            </w:r>
          </w:p>
        </w:tc>
        <w:tc>
          <w:tcPr>
            <w:tcW w:w="9060" w:type="dxa"/>
            <w:vAlign w:val="bottom"/>
          </w:tcPr>
          <w:p>
            <w:pPr>
              <w:ind w:left="180"/>
              <w:spacing w:after="0"/>
              <w:rPr>
                <w:sz w:val="20"/>
                <w:szCs w:val="20"/>
                <w:color w:val="auto"/>
              </w:rPr>
            </w:pPr>
            <w:r>
              <w:rPr>
                <w:rFonts w:ascii="Arial" w:cs="Arial" w:eastAsia="Arial" w:hAnsi="Arial"/>
                <w:sz w:val="16"/>
                <w:szCs w:val="16"/>
                <w:color w:val="auto"/>
              </w:rPr>
              <w:t>13 fiscal weeks ending August 3, 2019</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quarter of 2018</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13 fiscal weeks ending August 4, 2018</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Fiscal year 2019</w:t>
            </w:r>
          </w:p>
        </w:tc>
        <w:tc>
          <w:tcPr>
            <w:tcW w:w="9060" w:type="dxa"/>
            <w:vAlign w:val="bottom"/>
          </w:tcPr>
          <w:p>
            <w:pPr>
              <w:ind w:left="180"/>
              <w:spacing w:after="0"/>
              <w:rPr>
                <w:sz w:val="20"/>
                <w:szCs w:val="20"/>
                <w:color w:val="auto"/>
              </w:rPr>
            </w:pPr>
            <w:r>
              <w:rPr>
                <w:rFonts w:ascii="Arial" w:cs="Arial" w:eastAsia="Arial" w:hAnsi="Arial"/>
                <w:sz w:val="16"/>
                <w:szCs w:val="16"/>
                <w:color w:val="auto"/>
              </w:rPr>
              <w:t>52 fiscal weeks ending February 1, 2020</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2018</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52 fiscal weeks ending February 2, 2019</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FLS</w:t>
            </w:r>
          </w:p>
        </w:tc>
        <w:tc>
          <w:tcPr>
            <w:tcW w:w="9060" w:type="dxa"/>
            <w:vAlign w:val="bottom"/>
          </w:tcPr>
          <w:p>
            <w:pPr>
              <w:ind w:left="180"/>
              <w:spacing w:after="0"/>
              <w:rPr>
                <w:sz w:val="20"/>
                <w:szCs w:val="20"/>
                <w:color w:val="auto"/>
              </w:rPr>
            </w:pPr>
            <w:r>
              <w:rPr>
                <w:rFonts w:ascii="Arial" w:cs="Arial" w:eastAsia="Arial" w:hAnsi="Arial"/>
                <w:sz w:val="16"/>
                <w:szCs w:val="16"/>
                <w:color w:val="auto"/>
              </w:rPr>
              <w:t>Full-line stores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Full-Price</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 U.S. FLS, Nordstrom.com, Canada, Trunk Club, Jeffrey and Nordstrom Local</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GAAP</w:t>
            </w:r>
          </w:p>
        </w:tc>
        <w:tc>
          <w:tcPr>
            <w:tcW w:w="9060" w:type="dxa"/>
            <w:vAlign w:val="bottom"/>
          </w:tcPr>
          <w:p>
            <w:pPr>
              <w:ind w:left="180"/>
              <w:spacing w:after="0"/>
              <w:rPr>
                <w:sz w:val="20"/>
                <w:szCs w:val="20"/>
                <w:color w:val="auto"/>
              </w:rPr>
            </w:pPr>
            <w:r>
              <w:rPr>
                <w:rFonts w:ascii="Arial" w:cs="Arial" w:eastAsia="Arial" w:hAnsi="Arial"/>
                <w:sz w:val="16"/>
                <w:szCs w:val="16"/>
                <w:color w:val="auto"/>
              </w:rPr>
              <w:t>Generally accepted accounting principles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Generational Investments</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NRHL, Canada, Trunk Club and Nordstrom NYC</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9060" w:type="dxa"/>
            <w:vAlign w:val="bottom"/>
          </w:tcPr>
          <w:p>
            <w:pPr>
              <w:ind w:left="180"/>
              <w:spacing w:after="0"/>
              <w:rPr>
                <w:sz w:val="20"/>
                <w:szCs w:val="20"/>
                <w:color w:val="auto"/>
              </w:rPr>
            </w:pPr>
            <w:r>
              <w:rPr>
                <w:rFonts w:ascii="Arial" w:cs="Arial" w:eastAsia="Arial" w:hAnsi="Arial"/>
                <w:sz w:val="16"/>
                <w:szCs w:val="16"/>
                <w:color w:val="auto"/>
              </w:rPr>
              <w:t>Net sales less cost of sales and related buying and occupancy costs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turnover rate</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Trailing 4-quarter cost of sales and related buying and occupancy costs divided by the trailing 4-quarter average inventory</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IRS</w:t>
            </w:r>
          </w:p>
        </w:tc>
        <w:tc>
          <w:tcPr>
            <w:tcW w:w="9060" w:type="dxa"/>
            <w:vAlign w:val="bottom"/>
          </w:tcPr>
          <w:p>
            <w:pPr>
              <w:ind w:left="180"/>
              <w:spacing w:after="0"/>
              <w:rPr>
                <w:sz w:val="20"/>
                <w:szCs w:val="20"/>
                <w:color w:val="auto"/>
              </w:rPr>
            </w:pPr>
            <w:r>
              <w:rPr>
                <w:rFonts w:ascii="Arial" w:cs="Arial" w:eastAsia="Arial" w:hAnsi="Arial"/>
                <w:sz w:val="16"/>
                <w:szCs w:val="16"/>
                <w:color w:val="auto"/>
              </w:rPr>
              <w:t>Internal Revenue Service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Standard</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ASU No. 2016-02, Leases, and all related amendments (ASC 842)</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LIBOR</w:t>
            </w:r>
          </w:p>
        </w:tc>
        <w:tc>
          <w:tcPr>
            <w:tcW w:w="9060" w:type="dxa"/>
            <w:vAlign w:val="bottom"/>
          </w:tcPr>
          <w:p>
            <w:pPr>
              <w:ind w:left="180"/>
              <w:spacing w:after="0"/>
              <w:rPr>
                <w:sz w:val="20"/>
                <w:szCs w:val="20"/>
                <w:color w:val="auto"/>
              </w:rPr>
            </w:pPr>
            <w:r>
              <w:rPr>
                <w:rFonts w:ascii="Arial" w:cs="Arial" w:eastAsia="Arial" w:hAnsi="Arial"/>
                <w:sz w:val="16"/>
                <w:szCs w:val="16"/>
                <w:color w:val="auto"/>
              </w:rPr>
              <w:t>London Inter-bank Offered Rate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MD&amp;A</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Nordstrom Local</w:t>
            </w:r>
          </w:p>
        </w:tc>
        <w:tc>
          <w:tcPr>
            <w:tcW w:w="9060" w:type="dxa"/>
            <w:vAlign w:val="bottom"/>
          </w:tcPr>
          <w:p>
            <w:pPr>
              <w:ind w:left="180"/>
              <w:spacing w:after="0"/>
              <w:rPr>
                <w:sz w:val="20"/>
                <w:szCs w:val="20"/>
                <w:color w:val="auto"/>
              </w:rPr>
            </w:pPr>
            <w:r>
              <w:rPr>
                <w:rFonts w:ascii="Arial" w:cs="Arial" w:eastAsia="Arial" w:hAnsi="Arial"/>
                <w:sz w:val="16"/>
                <w:szCs w:val="16"/>
                <w:color w:val="auto"/>
              </w:rPr>
              <w:t>Nordstrom Local neighborhood hubs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Nordstrom NYC</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Our Manhattan, New York FLS store, including the existing Men’s store and the Women’s store (upon opening in October 2019)</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The Nordy Club</w:t>
            </w:r>
          </w:p>
        </w:tc>
        <w:tc>
          <w:tcPr>
            <w:tcW w:w="9060" w:type="dxa"/>
            <w:vAlign w:val="bottom"/>
          </w:tcPr>
          <w:p>
            <w:pPr>
              <w:ind w:left="180"/>
              <w:spacing w:after="0"/>
              <w:rPr>
                <w:sz w:val="20"/>
                <w:szCs w:val="20"/>
                <w:color w:val="auto"/>
              </w:rPr>
            </w:pPr>
            <w:r>
              <w:rPr>
                <w:rFonts w:ascii="Arial" w:cs="Arial" w:eastAsia="Arial" w:hAnsi="Arial"/>
                <w:sz w:val="16"/>
                <w:szCs w:val="16"/>
                <w:color w:val="auto"/>
              </w:rPr>
              <w:t>Our evolved customer loyalty program launched in October 2018</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NRHL</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Nordstromrack.com/HauteLook</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NYSE</w:t>
            </w:r>
          </w:p>
        </w:tc>
        <w:tc>
          <w:tcPr>
            <w:tcW w:w="9060" w:type="dxa"/>
            <w:vAlign w:val="bottom"/>
          </w:tcPr>
          <w:p>
            <w:pPr>
              <w:ind w:left="180"/>
              <w:spacing w:after="0"/>
              <w:rPr>
                <w:sz w:val="20"/>
                <w:szCs w:val="20"/>
                <w:color w:val="auto"/>
              </w:rPr>
            </w:pPr>
            <w:r>
              <w:rPr>
                <w:rFonts w:ascii="Arial" w:cs="Arial" w:eastAsia="Arial" w:hAnsi="Arial"/>
                <w:sz w:val="16"/>
                <w:szCs w:val="16"/>
                <w:color w:val="auto"/>
              </w:rPr>
              <w:t>New York Stock Exchange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 U.S. Rack stores, NRHL and Last Chance clearance stores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Operating Lease Cost</w:t>
            </w:r>
          </w:p>
        </w:tc>
        <w:tc>
          <w:tcPr>
            <w:tcW w:w="9060" w:type="dxa"/>
            <w:vAlign w:val="bottom"/>
          </w:tcPr>
          <w:p>
            <w:pPr>
              <w:ind w:left="180"/>
              <w:spacing w:after="0"/>
              <w:rPr>
                <w:sz w:val="20"/>
                <w:szCs w:val="20"/>
                <w:color w:val="auto"/>
              </w:rPr>
            </w:pPr>
            <w:r>
              <w:rPr>
                <w:rFonts w:ascii="Arial" w:cs="Arial" w:eastAsia="Arial" w:hAnsi="Arial"/>
                <w:sz w:val="16"/>
                <w:szCs w:val="16"/>
                <w:color w:val="auto"/>
              </w:rPr>
              <w:t>Fixed rent expense, including fixed common area maintenance expense, net of developer reimbursement amortization</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PCAOB</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Public Company Accounting Oversight Board (United States)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Property incentives</w:t>
            </w:r>
          </w:p>
        </w:tc>
        <w:tc>
          <w:tcPr>
            <w:tcW w:w="9060" w:type="dxa"/>
            <w:vAlign w:val="bottom"/>
          </w:tcPr>
          <w:p>
            <w:pPr>
              <w:ind w:left="180"/>
              <w:spacing w:after="0"/>
              <w:rPr>
                <w:sz w:val="20"/>
                <w:szCs w:val="20"/>
                <w:color w:val="auto"/>
              </w:rPr>
            </w:pPr>
            <w:r>
              <w:rPr>
                <w:rFonts w:ascii="Arial" w:cs="Arial" w:eastAsia="Arial" w:hAnsi="Arial"/>
                <w:sz w:val="16"/>
                <w:szCs w:val="16"/>
                <w:color w:val="auto"/>
              </w:rPr>
              <w:t>Developer and vendor reimbursements</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PSU</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Performance share unit</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Revolver</w:t>
            </w:r>
          </w:p>
        </w:tc>
        <w:tc>
          <w:tcPr>
            <w:tcW w:w="9060" w:type="dxa"/>
            <w:vAlign w:val="bottom"/>
          </w:tcPr>
          <w:p>
            <w:pPr>
              <w:ind w:left="180"/>
              <w:spacing w:after="0"/>
              <w:rPr>
                <w:sz w:val="20"/>
                <w:szCs w:val="20"/>
                <w:color w:val="auto"/>
              </w:rPr>
            </w:pPr>
            <w:r>
              <w:rPr>
                <w:rFonts w:ascii="Arial" w:cs="Arial" w:eastAsia="Arial" w:hAnsi="Arial"/>
                <w:sz w:val="16"/>
                <w:szCs w:val="16"/>
                <w:color w:val="auto"/>
              </w:rPr>
              <w:t>Senior unsecured revolving credit facility</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ROU asset</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right-of-use asset</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RSU</w:t>
            </w:r>
          </w:p>
        </w:tc>
        <w:tc>
          <w:tcPr>
            <w:tcW w:w="9060" w:type="dxa"/>
            <w:vAlign w:val="bottom"/>
          </w:tcPr>
          <w:p>
            <w:pPr>
              <w:ind w:left="180"/>
              <w:spacing w:after="0"/>
              <w:rPr>
                <w:sz w:val="20"/>
                <w:szCs w:val="20"/>
                <w:color w:val="auto"/>
              </w:rPr>
            </w:pPr>
            <w:r>
              <w:rPr>
                <w:rFonts w:ascii="Arial" w:cs="Arial" w:eastAsia="Arial" w:hAnsi="Arial"/>
                <w:sz w:val="16"/>
                <w:szCs w:val="16"/>
                <w:color w:val="auto"/>
              </w:rPr>
              <w:t>Restricted stock unit</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Securities and Exchange Commission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Securities Act</w:t>
            </w:r>
          </w:p>
        </w:tc>
        <w:tc>
          <w:tcPr>
            <w:tcW w:w="9060" w:type="dxa"/>
            <w:vAlign w:val="bottom"/>
          </w:tcPr>
          <w:p>
            <w:pPr>
              <w:ind w:left="180"/>
              <w:spacing w:after="0"/>
              <w:rPr>
                <w:sz w:val="20"/>
                <w:szCs w:val="20"/>
                <w:color w:val="auto"/>
              </w:rPr>
            </w:pPr>
            <w:r>
              <w:rPr>
                <w:rFonts w:ascii="Arial" w:cs="Arial" w:eastAsia="Arial" w:hAnsi="Arial"/>
                <w:sz w:val="16"/>
                <w:szCs w:val="16"/>
                <w:color w:val="auto"/>
              </w:rPr>
              <w:t>Securities Act of 1933, as amended</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3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Unfunded defined benefit Supplemental Executive Retirement Plan</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SG&amp;A</w:t>
            </w:r>
          </w:p>
        </w:tc>
        <w:tc>
          <w:tcPr>
            <w:tcW w:w="906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r>
      <w:tr>
        <w:trPr>
          <w:trHeight w:val="33"/>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r>
      <w:tr>
        <w:trPr>
          <w:trHeight w:val="220"/>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Supply Chain Network</w:t>
            </w:r>
          </w:p>
        </w:tc>
        <w:tc>
          <w:tcPr>
            <w:tcW w:w="90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Fulfillment centers that process and ship orders to our customers, distribution centers that process and ship merchandise to our stores</w:t>
            </w:r>
          </w:p>
        </w:tc>
      </w:tr>
      <w:tr>
        <w:trPr>
          <w:trHeight w:val="219"/>
        </w:trPr>
        <w:tc>
          <w:tcPr>
            <w:tcW w:w="2360" w:type="dxa"/>
            <w:vAlign w:val="bottom"/>
            <w:tcBorders>
              <w:bottom w:val="single" w:sz="8" w:color="CCEEFF"/>
            </w:tcBorders>
            <w:shd w:val="clear" w:color="auto" w:fill="CCEEFF"/>
          </w:tcPr>
          <w:p>
            <w:pPr>
              <w:spacing w:after="0"/>
              <w:rPr>
                <w:sz w:val="19"/>
                <w:szCs w:val="19"/>
                <w:color w:val="auto"/>
              </w:rPr>
            </w:pPr>
          </w:p>
        </w:tc>
        <w:tc>
          <w:tcPr>
            <w:tcW w:w="9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other facilities and Omni-channel centers that both fulfill customer orders and ship merchandise to our stores</w:t>
            </w: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TD</w:t>
            </w:r>
          </w:p>
        </w:tc>
        <w:tc>
          <w:tcPr>
            <w:tcW w:w="9060" w:type="dxa"/>
            <w:vAlign w:val="bottom"/>
          </w:tcPr>
          <w:p>
            <w:pPr>
              <w:ind w:left="180"/>
              <w:spacing w:after="0"/>
              <w:rPr>
                <w:sz w:val="20"/>
                <w:szCs w:val="20"/>
                <w:color w:val="auto"/>
              </w:rPr>
            </w:pPr>
            <w:r>
              <w:rPr>
                <w:rFonts w:ascii="Arial" w:cs="Arial" w:eastAsia="Arial" w:hAnsi="Arial"/>
                <w:sz w:val="16"/>
                <w:szCs w:val="16"/>
                <w:color w:val="auto"/>
              </w:rPr>
              <w:t>Toronto-Dominion Bank, N.A.</w:t>
            </w:r>
          </w:p>
        </w:tc>
      </w:tr>
      <w:tr>
        <w:trPr>
          <w:trHeight w:val="33"/>
        </w:trPr>
        <w:tc>
          <w:tcPr>
            <w:tcW w:w="236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 of 28</w:t>
      </w:r>
    </w:p>
    <w:p>
      <w:pPr>
        <w:sectPr>
          <w:pgSz w:w="11900" w:h="16838" w:orient="portrait"/>
          <w:cols w:equalWidth="0" w:num="1">
            <w:col w:w="11420"/>
          </w:cols>
          <w:pgMar w:left="240" w:top="279" w:right="239" w:bottom="0" w:gutter="0" w:footer="0" w:header="0"/>
          <w:type w:val="continuous"/>
        </w:sectPr>
      </w:pPr>
    </w:p>
    <w:bookmarkStart w:id="5" w:name="page6"/>
    <w:bookmarkEnd w:id="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760" w:firstLine="3757"/>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4, 2018</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4, 2018</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$3,778</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$7,127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94</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188</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3,872</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4,067</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7,315</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Cost of sales and related buying and occupancy costs</w:t>
            </w:r>
          </w:p>
        </w:tc>
        <w:tc>
          <w:tcPr>
            <w:tcW w:w="2560" w:type="dxa"/>
            <w:vAlign w:val="bottom"/>
          </w:tcPr>
          <w:p>
            <w:pPr>
              <w:jc w:val="right"/>
              <w:ind w:right="699"/>
              <w:spacing w:after="0"/>
              <w:rPr>
                <w:sz w:val="20"/>
                <w:szCs w:val="20"/>
                <w:color w:val="auto"/>
              </w:rPr>
            </w:pPr>
            <w:r>
              <w:rPr>
                <w:rFonts w:ascii="Arial" w:cs="Arial" w:eastAsia="Arial" w:hAnsi="Arial"/>
                <w:sz w:val="16"/>
                <w:szCs w:val="16"/>
                <w:b w:val="1"/>
                <w:bCs w:val="1"/>
                <w:color w:val="auto"/>
              </w:rPr>
              <w:t>(2,476)</w:t>
            </w:r>
          </w:p>
        </w:tc>
        <w:tc>
          <w:tcPr>
            <w:tcW w:w="1240" w:type="dxa"/>
            <w:vAlign w:val="bottom"/>
          </w:tcPr>
          <w:p>
            <w:pPr>
              <w:jc w:val="right"/>
              <w:spacing w:after="0"/>
              <w:rPr>
                <w:sz w:val="20"/>
                <w:szCs w:val="20"/>
                <w:color w:val="auto"/>
              </w:rPr>
            </w:pPr>
            <w:r>
              <w:rPr>
                <w:rFonts w:ascii="Arial" w:cs="Arial" w:eastAsia="Arial" w:hAnsi="Arial"/>
                <w:sz w:val="16"/>
                <w:szCs w:val="16"/>
                <w:color w:val="auto"/>
              </w:rPr>
              <w:t>(2,589)</w:t>
            </w:r>
          </w:p>
        </w:tc>
        <w:tc>
          <w:tcPr>
            <w:tcW w:w="120" w:type="dxa"/>
            <w:vAlign w:val="bottom"/>
          </w:tcPr>
          <w:p>
            <w:pPr>
              <w:spacing w:after="0"/>
              <w:rPr>
                <w:sz w:val="20"/>
                <w:szCs w:val="20"/>
                <w:color w:val="auto"/>
              </w:rPr>
            </w:pP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(4,704)</w:t>
            </w:r>
          </w:p>
        </w:tc>
        <w:tc>
          <w:tcPr>
            <w:tcW w:w="1180" w:type="dxa"/>
            <w:vAlign w:val="bottom"/>
          </w:tcPr>
          <w:p>
            <w:pPr>
              <w:jc w:val="right"/>
              <w:spacing w:after="0"/>
              <w:rPr>
                <w:sz w:val="20"/>
                <w:szCs w:val="20"/>
                <w:color w:val="auto"/>
              </w:rPr>
            </w:pPr>
            <w:r>
              <w:rPr>
                <w:rFonts w:ascii="Arial" w:cs="Arial" w:eastAsia="Arial" w:hAnsi="Arial"/>
                <w:sz w:val="16"/>
                <w:szCs w:val="16"/>
                <w:color w:val="auto"/>
              </w:rPr>
              <w:t>(4,877)</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(1,180)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(2,319)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216</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292</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399</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(46)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income taxes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193</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246</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(69)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earnings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$141</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$177</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2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$0.91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$1.14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$0.90</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$1.14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2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155.0</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155.0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155.6</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170.3</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155.9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170.3</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4, 2018</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4, 2018</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$141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7</w:t>
            </w: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540" w:type="dxa"/>
            <w:vAlign w:val="bottom"/>
          </w:tcPr>
          <w:p>
            <w:pPr>
              <w:jc w:val="right"/>
              <w:ind w:right="719"/>
              <w:spacing w:after="0"/>
              <w:rPr>
                <w:sz w:val="20"/>
                <w:szCs w:val="20"/>
                <w:color w:val="auto"/>
              </w:rPr>
            </w:pPr>
            <w:r>
              <w:rPr>
                <w:rFonts w:ascii="Arial" w:cs="Arial" w:eastAsia="Arial" w:hAnsi="Arial"/>
                <w:sz w:val="16"/>
                <w:szCs w:val="16"/>
                <w:b w:val="1"/>
                <w:bCs w:val="1"/>
                <w:color w:val="auto"/>
              </w:rPr>
              <w:t>(2)</w:t>
            </w: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 retirement plan adjustments, net of tax</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net earnings</w:t>
            </w:r>
          </w:p>
        </w:tc>
        <w:tc>
          <w:tcPr>
            <w:tcW w:w="25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$148</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Borders>
              <w:top w:val="single" w:sz="8" w:color="auto"/>
            </w:tcBorders>
          </w:tcPr>
          <w:p>
            <w:pPr>
              <w:spacing w:after="0"/>
              <w:rPr>
                <w:sz w:val="20"/>
                <w:szCs w:val="20"/>
                <w:color w:val="auto"/>
              </w:rPr>
            </w:pPr>
          </w:p>
        </w:tc>
        <w:tc>
          <w:tcPr>
            <w:tcW w:w="25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$175</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28</w:t>
      </w:r>
    </w:p>
    <w:p>
      <w:pPr>
        <w:sectPr>
          <w:pgSz w:w="11900" w:h="16838" w:orient="portrait"/>
          <w:cols w:equalWidth="0" w:num="1">
            <w:col w:w="11420"/>
          </w:cols>
          <w:pgMar w:left="240" w:top="279"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 2019</w:t>
            </w:r>
          </w:p>
        </w:tc>
        <w:tc>
          <w:tcPr>
            <w:tcW w:w="2000" w:type="dxa"/>
            <w:vAlign w:val="bottom"/>
          </w:tcPr>
          <w:p>
            <w:pPr>
              <w:jc w:val="right"/>
              <w:ind w:right="379"/>
              <w:spacing w:after="0"/>
              <w:rPr>
                <w:sz w:val="20"/>
                <w:szCs w:val="20"/>
                <w:color w:val="auto"/>
              </w:rPr>
            </w:pPr>
            <w:r>
              <w:rPr>
                <w:rFonts w:ascii="Arial" w:cs="Arial" w:eastAsia="Arial" w:hAnsi="Arial"/>
                <w:sz w:val="16"/>
                <w:szCs w:val="16"/>
                <w:b w:val="1"/>
                <w:bCs w:val="1"/>
                <w:color w:val="auto"/>
              </w:rPr>
              <w:t>February 2, 2019</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August 4, 2018</w:t>
            </w:r>
          </w:p>
        </w:tc>
        <w:tc>
          <w:tcPr>
            <w:tcW w:w="0" w:type="dxa"/>
            <w:vAlign w:val="bottom"/>
          </w:tcPr>
          <w:p>
            <w:pPr>
              <w:spacing w:after="0"/>
              <w:rPr>
                <w:sz w:val="1"/>
                <w:szCs w:val="1"/>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$956</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$957</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211</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148</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1,932</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1,978</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384</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291</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3,483</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3,374</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4,047</w:t>
            </w:r>
          </w:p>
        </w:tc>
        <w:tc>
          <w:tcPr>
            <w:tcW w:w="0" w:type="dxa"/>
            <w:vAlign w:val="bottom"/>
          </w:tcPr>
          <w:p>
            <w:pPr>
              <w:spacing w:after="0"/>
              <w:rPr>
                <w:sz w:val="1"/>
                <w:szCs w:val="1"/>
                <w:color w:val="auto"/>
              </w:rPr>
            </w:pPr>
          </w:p>
        </w:tc>
      </w:tr>
      <w:tr>
        <w:trPr>
          <w:trHeight w:val="297"/>
        </w:trPr>
        <w:tc>
          <w:tcPr>
            <w:tcW w:w="6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Land, property and equipment (net of accumulated depreciation of $6,813, $6,647 and</w:t>
            </w:r>
          </w:p>
        </w:tc>
        <w:tc>
          <w:tcPr>
            <w:tcW w:w="18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4,036</w:t>
            </w:r>
          </w:p>
        </w:tc>
        <w:tc>
          <w:tcPr>
            <w:tcW w:w="20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$6,393)</w:t>
            </w:r>
          </w:p>
        </w:tc>
        <w:tc>
          <w:tcPr>
            <w:tcW w:w="1840" w:type="dxa"/>
            <w:vAlign w:val="bottom"/>
            <w:tcBorders>
              <w:bottom w:val="single" w:sz="8" w:color="CCEEFF"/>
            </w:tcBorders>
            <w:vMerge w:val="continue"/>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3,921</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3,860</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1,801</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249</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249</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366</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342</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$9,935</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$7,886</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$8,490</w:t>
            </w:r>
          </w:p>
        </w:tc>
        <w:tc>
          <w:tcPr>
            <w:tcW w:w="0" w:type="dxa"/>
            <w:vAlign w:val="bottom"/>
          </w:tcPr>
          <w:p>
            <w:pPr>
              <w:spacing w:after="0"/>
              <w:rPr>
                <w:sz w:val="1"/>
                <w:szCs w:val="1"/>
                <w:color w:val="auto"/>
              </w:rPr>
            </w:pPr>
          </w:p>
        </w:tc>
      </w:tr>
      <w:tr>
        <w:trPr>
          <w:trHeight w:val="291"/>
        </w:trPr>
        <w:tc>
          <w:tcPr>
            <w:tcW w:w="60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$1,819</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$1,469</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442</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580</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operating lease liabilities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237</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1,427</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1,324</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8</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1"/>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18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4,425</w:t>
            </w:r>
          </w:p>
        </w:tc>
        <w:tc>
          <w:tcPr>
            <w:tcW w:w="20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3,381</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2,178</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2,677</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property incentives, net</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457</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Non-current operating lease liabilities</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1,912</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656</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498</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97"/>
        </w:trPr>
        <w:tc>
          <w:tcPr>
            <w:tcW w:w="6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7)</w:t>
            </w:r>
          </w:p>
        </w:tc>
        <w:tc>
          <w:tcPr>
            <w:tcW w:w="1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1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020" w:type="dxa"/>
            <w:vAlign w:val="bottom"/>
          </w:tcPr>
          <w:p>
            <w:pPr>
              <w:ind w:left="280"/>
              <w:spacing w:after="0"/>
              <w:rPr>
                <w:sz w:val="20"/>
                <w:szCs w:val="20"/>
                <w:color w:val="auto"/>
              </w:rPr>
            </w:pPr>
            <w:r>
              <w:rPr>
                <w:rFonts w:ascii="Arial" w:cs="Arial" w:eastAsia="Arial" w:hAnsi="Arial"/>
                <w:sz w:val="16"/>
                <w:szCs w:val="16"/>
                <w:color w:val="auto"/>
              </w:rPr>
              <w:t>Common stock, no par value: 1,000 shares authorized; 154.9, 157.6 and 167.5</w:t>
            </w:r>
          </w:p>
        </w:tc>
        <w:tc>
          <w:tcPr>
            <w:tcW w:w="18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3,084</w:t>
            </w:r>
          </w:p>
        </w:tc>
        <w:tc>
          <w:tcPr>
            <w:tcW w:w="20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020" w:type="dxa"/>
            <w:vAlign w:val="bottom"/>
          </w:tcPr>
          <w:p>
            <w:pPr>
              <w:ind w:left="520"/>
              <w:spacing w:after="0"/>
              <w:rPr>
                <w:sz w:val="20"/>
                <w:szCs w:val="20"/>
                <w:color w:val="auto"/>
              </w:rPr>
            </w:pPr>
            <w:r>
              <w:rPr>
                <w:rFonts w:ascii="Arial" w:cs="Arial" w:eastAsia="Arial" w:hAnsi="Arial"/>
                <w:sz w:val="16"/>
                <w:szCs w:val="16"/>
                <w:color w:val="auto"/>
              </w:rPr>
              <w:t>shares issued and outstanding</w:t>
            </w:r>
          </w:p>
        </w:tc>
        <w:tc>
          <w:tcPr>
            <w:tcW w:w="1840" w:type="dxa"/>
            <w:vAlign w:val="bottom"/>
            <w:vMerge w:val="continue"/>
          </w:tcPr>
          <w:p>
            <w:pPr>
              <w:spacing w:after="0"/>
              <w:rPr>
                <w:sz w:val="17"/>
                <w:szCs w:val="17"/>
                <w:color w:val="auto"/>
              </w:rPr>
            </w:pP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3,048</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2,899</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8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(2,286)</w:t>
            </w:r>
          </w:p>
        </w:tc>
        <w:tc>
          <w:tcPr>
            <w:tcW w:w="2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(2,138)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40" w:type="dxa"/>
            <w:vAlign w:val="bottom"/>
          </w:tcPr>
          <w:p>
            <w:pPr>
              <w:jc w:val="right"/>
              <w:ind w:right="279"/>
              <w:spacing w:after="0"/>
              <w:rPr>
                <w:sz w:val="20"/>
                <w:szCs w:val="20"/>
                <w:color w:val="auto"/>
              </w:rPr>
            </w:pPr>
            <w:r>
              <w:rPr>
                <w:rFonts w:ascii="Arial" w:cs="Arial" w:eastAsia="Arial" w:hAnsi="Arial"/>
                <w:sz w:val="16"/>
                <w:szCs w:val="16"/>
                <w:b w:val="1"/>
                <w:bCs w:val="1"/>
                <w:color w:val="auto"/>
              </w:rPr>
              <w:t>(39)</w:t>
            </w:r>
          </w:p>
        </w:tc>
        <w:tc>
          <w:tcPr>
            <w:tcW w:w="2000" w:type="dxa"/>
            <w:vAlign w:val="bottom"/>
          </w:tcPr>
          <w:p>
            <w:pPr>
              <w:jc w:val="right"/>
              <w:ind w:right="339"/>
              <w:spacing w:after="0"/>
              <w:rPr>
                <w:sz w:val="20"/>
                <w:szCs w:val="20"/>
                <w:color w:val="auto"/>
              </w:rPr>
            </w:pPr>
            <w:r>
              <w:rPr>
                <w:rFonts w:ascii="Arial" w:cs="Arial" w:eastAsia="Arial" w:hAnsi="Arial"/>
                <w:sz w:val="16"/>
                <w:szCs w:val="16"/>
                <w:color w:val="auto"/>
              </w:rPr>
              <w:t>(37)</w:t>
            </w:r>
          </w:p>
        </w:tc>
        <w:tc>
          <w:tcPr>
            <w:tcW w:w="15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759</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873</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31"/>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8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$9,935</w:t>
            </w:r>
          </w:p>
        </w:tc>
        <w:tc>
          <w:tcPr>
            <w:tcW w:w="20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$7,886</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$8,490</w:t>
            </w:r>
          </w:p>
        </w:tc>
        <w:tc>
          <w:tcPr>
            <w:tcW w:w="0" w:type="dxa"/>
            <w:vAlign w:val="bottom"/>
          </w:tcPr>
          <w:p>
            <w:pPr>
              <w:spacing w:after="0"/>
              <w:rPr>
                <w:sz w:val="1"/>
                <w:szCs w:val="1"/>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 of 28</w:t>
      </w:r>
    </w:p>
    <w:p>
      <w:pPr>
        <w:sectPr>
          <w:pgSz w:w="11900" w:h="16838" w:orient="portrait"/>
          <w:cols w:equalWidth="0" w:num="1">
            <w:col w:w="11420"/>
          </w:cols>
          <w:pgMar w:left="240" w:top="279" w:right="23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80" w:type="dxa"/>
            <w:vAlign w:val="bottom"/>
          </w:tcPr>
          <w:p>
            <w:pPr>
              <w:jc w:val="right"/>
              <w:ind w:right="59"/>
              <w:spacing w:after="0"/>
              <w:rPr>
                <w:sz w:val="20"/>
                <w:szCs w:val="20"/>
                <w:color w:val="auto"/>
              </w:rPr>
            </w:pPr>
            <w:r>
              <w:rPr>
                <w:rFonts w:ascii="Arial" w:cs="Arial" w:eastAsia="Arial" w:hAnsi="Arial"/>
                <w:sz w:val="16"/>
                <w:szCs w:val="16"/>
                <w:b w:val="1"/>
                <w:bCs w:val="1"/>
                <w:color w:val="auto"/>
              </w:rPr>
              <w:t>Quarter Ended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August 3, 2019</w:t>
            </w:r>
          </w:p>
        </w:tc>
        <w:tc>
          <w:tcPr>
            <w:tcW w:w="1340" w:type="dxa"/>
            <w:vAlign w:val="bottom"/>
            <w:gridSpan w:val="2"/>
          </w:tcPr>
          <w:p>
            <w:pPr>
              <w:ind w:left="120"/>
              <w:spacing w:after="0"/>
              <w:rPr>
                <w:sz w:val="20"/>
                <w:szCs w:val="20"/>
                <w:color w:val="auto"/>
              </w:rPr>
            </w:pPr>
            <w:r>
              <w:rPr>
                <w:rFonts w:ascii="Arial" w:cs="Arial" w:eastAsia="Arial" w:hAnsi="Arial"/>
                <w:sz w:val="16"/>
                <w:szCs w:val="16"/>
                <w:color w:val="auto"/>
              </w:rPr>
              <w:t>August 4, 2018</w:t>
            </w:r>
          </w:p>
        </w:tc>
        <w:tc>
          <w:tcPr>
            <w:tcW w:w="2560" w:type="dxa"/>
            <w:vAlign w:val="bottom"/>
          </w:tcPr>
          <w:p>
            <w:pPr>
              <w:jc w:val="right"/>
              <w:ind w:right="779"/>
              <w:spacing w:after="0"/>
              <w:rPr>
                <w:sz w:val="20"/>
                <w:szCs w:val="20"/>
                <w:color w:val="auto"/>
              </w:rPr>
            </w:pPr>
            <w:r>
              <w:rPr>
                <w:rFonts w:ascii="Arial" w:cs="Arial" w:eastAsia="Arial" w:hAnsi="Arial"/>
                <w:sz w:val="16"/>
                <w:szCs w:val="16"/>
                <w:b w:val="1"/>
                <w:bCs w:val="1"/>
                <w:color w:val="auto"/>
              </w:rPr>
              <w:t>August 3, 2019</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w w:val="96"/>
              </w:rPr>
              <w:t>August 4, 2018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2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Balance, beginning of period</w:t>
            </w: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$3,067</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$2,852</w:t>
            </w:r>
          </w:p>
        </w:tc>
        <w:tc>
          <w:tcPr>
            <w:tcW w:w="120" w:type="dxa"/>
            <w:vAlign w:val="bottom"/>
          </w:tcPr>
          <w:p>
            <w:pPr>
              <w:spacing w:after="0"/>
              <w:rPr>
                <w:sz w:val="20"/>
                <w:szCs w:val="20"/>
                <w:color w:val="auto"/>
              </w:rPr>
            </w:pPr>
          </w:p>
        </w:tc>
        <w:tc>
          <w:tcPr>
            <w:tcW w:w="2560" w:type="dxa"/>
            <w:vAlign w:val="bottom"/>
          </w:tcPr>
          <w:p>
            <w:pPr>
              <w:jc w:val="right"/>
              <w:ind w:right="779"/>
              <w:spacing w:after="0"/>
              <w:rPr>
                <w:sz w:val="20"/>
                <w:szCs w:val="20"/>
                <w:color w:val="auto"/>
              </w:rPr>
            </w:pPr>
            <w:r>
              <w:rPr>
                <w:rFonts w:ascii="Arial" w:cs="Arial" w:eastAsia="Arial" w:hAnsi="Arial"/>
                <w:sz w:val="16"/>
                <w:szCs w:val="16"/>
                <w:b w:val="1"/>
                <w:bCs w:val="1"/>
                <w:color w:val="auto"/>
              </w:rPr>
              <w:t>$3,048</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$2,816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Issuance of common stock under stock compensation</w:t>
            </w:r>
          </w:p>
        </w:tc>
        <w:tc>
          <w:tcPr>
            <w:tcW w:w="2580" w:type="dxa"/>
            <w:vAlign w:val="bottom"/>
            <w:vMerge w:val="restart"/>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60" w:type="dxa"/>
            <w:vAlign w:val="bottom"/>
            <w:vMerge w:val="restart"/>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11</w:t>
            </w: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plans</w:t>
            </w:r>
          </w:p>
        </w:tc>
        <w:tc>
          <w:tcPr>
            <w:tcW w:w="2580" w:type="dxa"/>
            <w:vAlign w:val="bottom"/>
            <w:tcBorders>
              <w:bottom w:val="single" w:sz="8" w:color="CCEEFF"/>
            </w:tcBorders>
            <w:vMerge w:val="continue"/>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vMerge w:val="continue"/>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17</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560" w:type="dxa"/>
            <w:vAlign w:val="bottom"/>
          </w:tcPr>
          <w:p>
            <w:pPr>
              <w:jc w:val="right"/>
              <w:ind w:right="779"/>
              <w:spacing w:after="0"/>
              <w:rPr>
                <w:sz w:val="20"/>
                <w:szCs w:val="20"/>
                <w:color w:val="auto"/>
              </w:rPr>
            </w:pPr>
            <w:r>
              <w:rPr>
                <w:rFonts w:ascii="Arial" w:cs="Arial" w:eastAsia="Arial" w:hAnsi="Arial"/>
                <w:sz w:val="16"/>
                <w:szCs w:val="16"/>
                <w:b w:val="1"/>
                <w:bCs w:val="1"/>
                <w:color w:val="auto"/>
              </w:rPr>
              <w:t>25</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5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$3,084</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$2,899</w:t>
            </w:r>
          </w:p>
        </w:tc>
        <w:tc>
          <w:tcPr>
            <w:tcW w:w="1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$3,084</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$2,899</w:t>
            </w:r>
          </w:p>
        </w:tc>
        <w:tc>
          <w:tcPr>
            <w:tcW w:w="0" w:type="dxa"/>
            <w:vAlign w:val="bottom"/>
          </w:tcPr>
          <w:p>
            <w:pPr>
              <w:spacing w:after="0"/>
              <w:rPr>
                <w:sz w:val="1"/>
                <w:szCs w:val="1"/>
                <w:color w:val="auto"/>
              </w:rPr>
            </w:pPr>
          </w:p>
        </w:tc>
      </w:tr>
      <w:tr>
        <w:trPr>
          <w:trHeight w:val="291"/>
        </w:trPr>
        <w:tc>
          <w:tcPr>
            <w:tcW w:w="37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deficit</w:t>
            </w:r>
          </w:p>
        </w:tc>
        <w:tc>
          <w:tcPr>
            <w:tcW w:w="2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Balance, beginning of period</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($2,370)</w:t>
            </w:r>
          </w:p>
        </w:tc>
        <w:tc>
          <w:tcPr>
            <w:tcW w:w="1220" w:type="dxa"/>
            <w:vAlign w:val="bottom"/>
          </w:tcPr>
          <w:p>
            <w:pPr>
              <w:jc w:val="right"/>
              <w:spacing w:after="0"/>
              <w:rPr>
                <w:sz w:val="20"/>
                <w:szCs w:val="20"/>
                <w:color w:val="auto"/>
              </w:rPr>
            </w:pPr>
            <w:r>
              <w:rPr>
                <w:rFonts w:ascii="Arial" w:cs="Arial" w:eastAsia="Arial" w:hAnsi="Arial"/>
                <w:sz w:val="16"/>
                <w:szCs w:val="16"/>
                <w:color w:val="auto"/>
              </w:rPr>
              <w:t>($1,738)</w:t>
            </w:r>
          </w:p>
        </w:tc>
        <w:tc>
          <w:tcPr>
            <w:tcW w:w="12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($2,138)</w:t>
            </w:r>
          </w:p>
        </w:tc>
        <w:tc>
          <w:tcPr>
            <w:tcW w:w="1160" w:type="dxa"/>
            <w:vAlign w:val="bottom"/>
          </w:tcPr>
          <w:p>
            <w:pPr>
              <w:jc w:val="right"/>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effect of adopted accounting standards</w:t>
            </w:r>
          </w:p>
        </w:tc>
        <w:tc>
          <w:tcPr>
            <w:tcW w:w="25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(25)</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141</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2560" w:type="dxa"/>
            <w:vAlign w:val="bottom"/>
          </w:tcPr>
          <w:p>
            <w:pPr>
              <w:jc w:val="right"/>
              <w:ind w:right="779"/>
              <w:spacing w:after="0"/>
              <w:rPr>
                <w:sz w:val="20"/>
                <w:szCs w:val="20"/>
                <w:color w:val="auto"/>
              </w:rPr>
            </w:pPr>
            <w:r>
              <w:rPr>
                <w:rFonts w:ascii="Arial" w:cs="Arial" w:eastAsia="Arial" w:hAnsi="Arial"/>
                <w:sz w:val="16"/>
                <w:szCs w:val="16"/>
                <w:b w:val="1"/>
                <w:bCs w:val="1"/>
                <w:color w:val="auto"/>
              </w:rPr>
              <w:t>177</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(57)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(114)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(186)</w:t>
            </w:r>
          </w:p>
        </w:tc>
        <w:tc>
          <w:tcPr>
            <w:tcW w:w="11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($2,286)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1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($2,286)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91"/>
        </w:trPr>
        <w:tc>
          <w:tcPr>
            <w:tcW w:w="37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loss</w:t>
            </w:r>
          </w:p>
        </w:tc>
        <w:tc>
          <w:tcPr>
            <w:tcW w:w="2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Balance, beginning of period</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($46)</w:t>
            </w: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($37)</w:t>
            </w: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effect of adopted accounting standards</w:t>
            </w:r>
          </w:p>
        </w:tc>
        <w:tc>
          <w:tcPr>
            <w:tcW w:w="25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5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7</w:t>
            </w: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560" w:type="dxa"/>
            <w:vAlign w:val="bottom"/>
          </w:tcPr>
          <w:p>
            <w:pPr>
              <w:jc w:val="right"/>
              <w:ind w:right="739"/>
              <w:spacing w:after="0"/>
              <w:rPr>
                <w:sz w:val="20"/>
                <w:szCs w:val="20"/>
                <w:color w:val="auto"/>
              </w:rPr>
            </w:pPr>
            <w:r>
              <w:rPr>
                <w:rFonts w:ascii="Arial" w:cs="Arial" w:eastAsia="Arial" w:hAnsi="Arial"/>
                <w:sz w:val="16"/>
                <w:szCs w:val="16"/>
                <w:b w:val="1"/>
                <w:bCs w:val="1"/>
                <w:color w:val="auto"/>
              </w:rPr>
              <w:t>(2)</w:t>
            </w: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($39)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91"/>
        </w:trPr>
        <w:tc>
          <w:tcPr>
            <w:tcW w:w="3780" w:type="dxa"/>
            <w:vAlign w:val="bottom"/>
            <w:tcBorders>
              <w:top w:val="single" w:sz="8" w:color="auto"/>
              <w:bottom w:val="single" w:sz="8" w:color="auto"/>
            </w:tcBorders>
          </w:tcPr>
          <w:p>
            <w:pPr>
              <w:spacing w:after="0"/>
              <w:rPr>
                <w:sz w:val="24"/>
                <w:szCs w:val="24"/>
                <w:color w:val="auto"/>
              </w:rPr>
            </w:pPr>
          </w:p>
        </w:tc>
        <w:tc>
          <w:tcPr>
            <w:tcW w:w="25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5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5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$759</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w:t>
            </w:r>
          </w:p>
        </w:tc>
        <w:tc>
          <w:tcPr>
            <w:tcW w:w="1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$759</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91"/>
        </w:trPr>
        <w:tc>
          <w:tcPr>
            <w:tcW w:w="378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Dividends per share</w:t>
            </w:r>
          </w:p>
        </w:tc>
        <w:tc>
          <w:tcPr>
            <w:tcW w:w="258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$0.37</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20"/>
                <w:szCs w:val="20"/>
                <w:color w:val="auto"/>
              </w:rPr>
            </w:pPr>
          </w:p>
        </w:tc>
        <w:tc>
          <w:tcPr>
            <w:tcW w:w="2560" w:type="dxa"/>
            <w:vAlign w:val="bottom"/>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$0.74</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33"/>
        </w:trPr>
        <w:tc>
          <w:tcPr>
            <w:tcW w:w="378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28</w:t>
      </w:r>
    </w:p>
    <w:p>
      <w:pPr>
        <w:sectPr>
          <w:pgSz w:w="11900" w:h="16838" w:orient="portrait"/>
          <w:cols w:equalWidth="0" w:num="1">
            <w:col w:w="11420"/>
          </w:cols>
          <w:pgMar w:left="240" w:top="279"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4, 2018</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$177</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$249</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 expenses and other, net</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325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338</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property incentives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Right-of-use asset amortization</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89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40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21</w:t>
            </w:r>
          </w:p>
        </w:tc>
        <w:tc>
          <w:tcPr>
            <w:tcW w:w="11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Merchandise inventories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(140)</w:t>
            </w:r>
          </w:p>
        </w:tc>
        <w:tc>
          <w:tcPr>
            <w:tcW w:w="118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322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(137)</w:t>
            </w:r>
          </w:p>
        </w:tc>
        <w:tc>
          <w:tcPr>
            <w:tcW w:w="118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128</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Deferred property incentives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liabilities</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(125)</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8</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692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r>
      <w:tr>
        <w:trPr>
          <w:trHeight w:val="264"/>
        </w:trPr>
        <w:tc>
          <w:tcPr>
            <w:tcW w:w="766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(480)</w:t>
            </w:r>
          </w:p>
        </w:tc>
        <w:tc>
          <w:tcPr>
            <w:tcW w:w="118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58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(454)</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Increase in cash book overdrafts</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92</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dividends paid</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(114)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(210)</w:t>
            </w: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11</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Tax withholding on share-based awards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(18)</w:t>
            </w: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financing activities</w:t>
            </w:r>
          </w:p>
        </w:tc>
        <w:tc>
          <w:tcPr>
            <w:tcW w:w="2580" w:type="dxa"/>
            <w:vAlign w:val="bottom"/>
            <w:tcBorders>
              <w:top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(239)</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spacing w:after="0"/>
              <w:rPr>
                <w:sz w:val="22"/>
                <w:szCs w:val="22"/>
                <w:color w:val="auto"/>
              </w:rPr>
            </w:pPr>
          </w:p>
        </w:tc>
        <w:tc>
          <w:tcPr>
            <w:tcW w:w="25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162</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957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5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$956</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$1,343</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25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during the period for:</w:t>
            </w:r>
          </w:p>
        </w:tc>
        <w:tc>
          <w:tcPr>
            <w:tcW w:w="2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Income taxes, net</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$62</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$181</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net of capitalized interest</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50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r>
      <w:tr>
        <w:trPr>
          <w:trHeight w:val="20"/>
        </w:trPr>
        <w:tc>
          <w:tcPr>
            <w:tcW w:w="76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ectPr>
          <w:pgSz w:w="11900" w:h="16838" w:orient="portrait"/>
          <w:cols w:equalWidth="0" w:num="1">
            <w:col w:w="11420"/>
          </w:cols>
          <w:pgMar w:left="240" w:top="279" w:right="239" w:bottom="42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 of 28</w:t>
      </w:r>
    </w:p>
    <w:p>
      <w:pPr>
        <w:sectPr>
          <w:pgSz w:w="11900" w:h="16838" w:orient="portrait"/>
          <w:cols w:equalWidth="0" w:num="1">
            <w:col w:w="11420"/>
          </w:cols>
          <w:pgMar w:left="240" w:top="279" w:right="239" w:bottom="420" w:gutter="0" w:footer="0" w:header="0"/>
          <w:type w:val="continuous"/>
        </w:sectPr>
      </w:pPr>
    </w:p>
    <w:bookmarkStart w:id="10" w:name="page11"/>
    <w:bookmarkEnd w:id="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balances of Nordstrom, Inc. and its subsidiaries. All intercompany transactions and balances are eliminated in consolidation. The interim Condensed Consolidated Financial Statements have been prepared on a basis consistent in all material respects with the accounting policies described and applied in our 2018 Annual Report, except as described in Note 2: Leases, and reflect all adjustments of a normal recurring nature that are, in management’s opinion, necessary for the fair presentation of the results of operations, financial position and cash flows for the periods presented.</w:t>
      </w:r>
    </w:p>
    <w:p>
      <w:pPr>
        <w:spacing w:after="0" w:line="1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Condensed Consolidated Financial Statements as of and for the periods ended August 3, 2019 and August 4, 2018 are unaudited. The Condensed Consolidated Balance Sheet as of February 2, 2019 has been derived from the audited Consolidated Financial Statements included in our 2018 Annual Report. The interim Condensed Consolidated Financial Statements should be read together with the Consolidated Financial Statements and related footnote disclosures contained in our 2018 Annual Report.</w:t>
      </w:r>
    </w:p>
    <w:p>
      <w:pPr>
        <w:spacing w:after="0" w:line="13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business, like that of other retailers, is subject to seasonal fluctuations. Our sales are typically higher during our Anniversary Sale in July and the holidays in the fourth quarter. Results for any one quarter are not indicative of the results that may be achieved for a full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LEASES</w:t>
      </w:r>
    </w:p>
    <w:p>
      <w:pPr>
        <w:spacing w:after="0" w:line="2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During the first quarter of fiscal 2019, we adopted the Lease Standard using the transition method provided in ASU 2018-11. As a result, reporting periods beginning in the first quarter of 2019 are presented under the Lease Standard while prior period amounts are not adjusted and continue to be reported in accordance with our historic accounting under ASC 840 —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3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Adoption of the Lease Standard did not have a material impact on our Condensed Consolidated Statement of Earnings, Condensed Consolidated Statement of Comprehensive Earnings, Condensed Consolidated Statement of Cash Flows or Condensed Consolidated Statement of Shareholders’ Equity. The impact of adopting the Lease Standard resulted in the following on February 3, 2019:</w:t>
      </w:r>
    </w:p>
    <w:p>
      <w:pPr>
        <w:spacing w:after="0" w:line="127" w:lineRule="exact"/>
        <w:rPr>
          <w:sz w:val="20"/>
          <w:szCs w:val="20"/>
          <w:color w:val="auto"/>
        </w:rPr>
      </w:pPr>
    </w:p>
    <w:p>
      <w:pPr>
        <w:ind w:left="340" w:right="260" w:hanging="170"/>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total assets and total liabilities of $1,849 primarily due to recognizing ROU assets and operating lease liabilities for most leases previously classified as operating leases.</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Reclassification of deferred property incentives, net of $568 to ROU assets on the Condensed Consolidated Balance Sheet.</w:t>
      </w:r>
    </w:p>
    <w:p>
      <w:pPr>
        <w:spacing w:after="0" w:line="63" w:lineRule="exact"/>
        <w:rPr>
          <w:rFonts w:ascii="Arial" w:cs="Arial" w:eastAsia="Arial" w:hAnsi="Arial"/>
          <w:sz w:val="18"/>
          <w:szCs w:val="18"/>
          <w:color w:val="auto"/>
        </w:rPr>
      </w:pPr>
    </w:p>
    <w:p>
      <w:pPr>
        <w:ind w:left="340" w:right="160" w:hanging="170"/>
        <w:spacing w:after="0" w:line="286"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Reclassification of deferred property incentives, net of $339 from ROU assets to other current liabilities and other liabilities on the Condensed Consolidated Balance Sheet for property incentives that exceed the associated ROU asset. Property incentives that exceed the associated ROU asset are primarily due to leases with low fixed lease costs that may also have variable lease costs that are excluded from the ROU asset.</w:t>
      </w:r>
    </w:p>
    <w:p>
      <w:pPr>
        <w:spacing w:after="0" w:line="3" w:lineRule="exact"/>
        <w:rPr>
          <w:rFonts w:ascii="Arial" w:cs="Arial" w:eastAsia="Arial" w:hAnsi="Arial"/>
          <w:sz w:val="17"/>
          <w:szCs w:val="17"/>
          <w:color w:val="auto"/>
        </w:rPr>
      </w:pPr>
    </w:p>
    <w:p>
      <w:pPr>
        <w:ind w:left="340" w:right="240" w:hanging="170"/>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 in beginning accumulated deficit of $25 primarily due to the net impact of removing a building and associated financial obligation from land, property and equipment and long-term debt, net on the Condensed Consolidated Balance Sheet related to a failed sale-leaseback transaction.</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Upon adoption of the Lease Standard, we record leases, which consist primarily of operating leases, on the Condensed Consolidated Balance Sheet as operating lease ROU assets, current portion of operating lease liabilities and non-current operating lease liabilities. Operating lease liabilities are initially recognized based on the net present value of the fixed portion of our lease and common area maintenance payments from lease commencement through the lease term. To calculate the net present value, we apply an incremental borrowing rate. The incremental borrowing rate is determined using a portfolio approach based on the rate of interest we would pay to borrow an amount equal to the lease payments on a collateralized basis over a similar term. We use quoted interest rates obtained from financial institutions as an input to derive our incremental borrowing rate as the discount rate for the lease. We recognize ROU assets based on operating lease liabilities reduced by property incentives. ROU assets are tested for impairment in the same manner as long-lived assets.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 of 28</w:t>
      </w:r>
    </w:p>
    <w:p>
      <w:pPr>
        <w:sectPr>
          <w:pgSz w:w="11900" w:h="16838" w:orient="portrait"/>
          <w:cols w:equalWidth="0" w:num="1">
            <w:col w:w="11400"/>
          </w:cols>
          <w:pgMar w:left="240" w:top="279" w:right="2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We elected the following practical expedients permitted under the Lease Standard:</w:t>
      </w:r>
    </w:p>
    <w:p>
      <w:pPr>
        <w:spacing w:after="0" w:line="63" w:lineRule="exact"/>
        <w:rPr>
          <w:sz w:val="20"/>
          <w:szCs w:val="20"/>
          <w:color w:val="auto"/>
        </w:rPr>
      </w:pPr>
    </w:p>
    <w:p>
      <w:pPr>
        <w:ind w:left="340" w:right="700" w:hanging="170"/>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adoption, we did not reassess our prior conclusions about lease identification, lease classification or initial direct costs, and we did not use hindsight for leases existing at adoption date.</w:t>
      </w:r>
    </w:p>
    <w:p>
      <w:pPr>
        <w:spacing w:after="0" w:line="8" w:lineRule="exact"/>
        <w:rPr>
          <w:rFonts w:ascii="Arial" w:cs="Arial" w:eastAsia="Arial" w:hAnsi="Arial"/>
          <w:sz w:val="18"/>
          <w:szCs w:val="18"/>
          <w:color w:val="auto"/>
        </w:rPr>
      </w:pPr>
    </w:p>
    <w:p>
      <w:pPr>
        <w:ind w:left="340" w:right="100" w:hanging="170"/>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record leases with an initial term of 12 months or less on the balance sheet but continue to expense them on a straight-line basis over the lease term.</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combine lease and non-lease components.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lease the land, buildings, or land and buildings for many of our stores, office facilities and Supply Chain Network facilities. We also lease equipment and have service contracts including transportation agreements and warehouse agreements where we control identified assets such as vehicles, warehouse space and equipment and therefore represent embedded leases under the Lease Standard.</w:t>
      </w:r>
    </w:p>
    <w:p>
      <w:pPr>
        <w:spacing w:after="0" w:line="12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majority of our fixed, non-cancellable lease terms are 15 to 30 years for Nordstrom FLS, approximately 10 years for Nordstrom Rack stores and 5 to 20 years for office facilities and Supply Chain Network facilities. Many of our leases include options that allow us to extend the lease term beyond the initial commitment period. At the commencement of a lease, we generally include only the initial lease term as we have determined that options to extend are not reasonably certain to occur. The exercise of lease renewal options is generally at our sole discretion. At the renewal of an expiring lease, we reassess our options in the agreement and include all reasonably certain extensions in the measurement of our lease term.</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Most of our leases also require we pay certain expenses, such as common area maintenance charges, real estate taxes and other executory costs, the fixed portion of which is included in Operating Lease Cost. We recognize Operating Lease Cost, which is primarily included in occupancy costs, on a straight-line basis over the lease term. Variable lease cost includes payments for variable common area maintenance charges and additional payments based on a percentage of sales, which are recognized when probable. Our lease agreements do not contain any material residual value guarantees or material restrictive covenants.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lease cost: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August 3, 2019</w:t>
            </w:r>
          </w:p>
        </w:tc>
      </w:tr>
      <w:tr>
        <w:trPr>
          <w:trHeight w:val="47"/>
        </w:trPr>
        <w:tc>
          <w:tcPr>
            <w:tcW w:w="7660" w:type="dxa"/>
            <w:vAlign w:val="bottom"/>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31"/>
        </w:trPr>
        <w:tc>
          <w:tcPr>
            <w:tcW w:w="7660" w:type="dxa"/>
            <w:vAlign w:val="bottom"/>
          </w:tcPr>
          <w:p>
            <w:pPr>
              <w:spacing w:after="0"/>
              <w:rPr>
                <w:sz w:val="20"/>
                <w:szCs w:val="20"/>
                <w:color w:val="auto"/>
              </w:rPr>
            </w:pP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Quarter Ended</w:t>
            </w: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2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$68</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$138</w:t>
            </w:r>
          </w:p>
        </w:tc>
      </w:tr>
      <w:tr>
        <w:trPr>
          <w:trHeight w:val="269"/>
        </w:trPr>
        <w:tc>
          <w:tcPr>
            <w:tcW w:w="7660" w:type="dxa"/>
            <w:vAlign w:val="bottom"/>
          </w:tcPr>
          <w:p>
            <w:pPr>
              <w:ind w:left="40"/>
              <w:spacing w:after="0"/>
              <w:rPr>
                <w:sz w:val="20"/>
                <w:szCs w:val="20"/>
                <w:color w:val="auto"/>
              </w:rPr>
            </w:pPr>
            <w:r>
              <w:rPr>
                <w:rFonts w:ascii="Arial" w:cs="Arial" w:eastAsia="Arial" w:hAnsi="Arial"/>
                <w:sz w:val="16"/>
                <w:szCs w:val="16"/>
                <w:color w:val="auto"/>
              </w:rPr>
              <w:t>Variable lease cost</w:t>
            </w:r>
            <w:r>
              <w:rPr>
                <w:rFonts w:ascii="Arial" w:cs="Arial" w:eastAsia="Arial" w:hAnsi="Arial"/>
                <w:sz w:val="17"/>
                <w:szCs w:val="17"/>
                <w:color w:val="auto"/>
                <w:vertAlign w:val="superscript"/>
              </w:rPr>
              <w:t>1</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13</w:t>
            </w: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25</w:t>
            </w: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Sublease income</w:t>
            </w:r>
          </w:p>
        </w:tc>
        <w:tc>
          <w:tcPr>
            <w:tcW w:w="2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lease cost</w:t>
            </w:r>
          </w:p>
        </w:tc>
        <w:tc>
          <w:tcPr>
            <w:tcW w:w="20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$79</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$159</w:t>
            </w:r>
          </w:p>
        </w:tc>
      </w:tr>
      <w:tr>
        <w:trPr>
          <w:trHeight w:val="33"/>
        </w:trPr>
        <w:tc>
          <w:tcPr>
            <w:tcW w:w="7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373"/>
        </w:trPr>
        <w:tc>
          <w:tcPr>
            <w:tcW w:w="7660" w:type="dxa"/>
            <w:vAlign w:val="bottom"/>
          </w:tcPr>
          <w:p>
            <w:pPr>
              <w:spacing w:after="0"/>
              <w:rPr>
                <w:sz w:val="20"/>
                <w:szCs w:val="20"/>
                <w:color w:val="auto"/>
              </w:rPr>
            </w:pPr>
            <w:r>
              <w:rPr>
                <w:rFonts w:ascii="Arial" w:cs="Arial" w:eastAsia="Arial" w:hAnsi="Arial"/>
                <w:sz w:val="9"/>
                <w:szCs w:val="9"/>
                <w:color w:val="auto"/>
                <w:w w:val="96"/>
              </w:rPr>
              <w:t xml:space="preserve">1 </w:t>
            </w:r>
            <w:r>
              <w:rPr>
                <w:rFonts w:ascii="Arial" w:cs="Arial" w:eastAsia="Arial" w:hAnsi="Arial"/>
                <w:sz w:val="14"/>
                <w:szCs w:val="14"/>
                <w:color w:val="auto"/>
                <w:w w:val="96"/>
              </w:rPr>
              <w:t>Variable lease cost includes short-term lease cost, which was immaterial for the quarter and six months ended August 3, 2019.</w:t>
            </w: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7"/>
        </w:trPr>
        <w:tc>
          <w:tcPr>
            <w:tcW w:w="7660" w:type="dxa"/>
            <w:vAlign w:val="bottom"/>
          </w:tcPr>
          <w:p>
            <w:pPr>
              <w:spacing w:after="0"/>
              <w:rPr>
                <w:sz w:val="20"/>
                <w:szCs w:val="20"/>
                <w:color w:val="auto"/>
              </w:rPr>
            </w:pPr>
            <w:r>
              <w:rPr>
                <w:rFonts w:ascii="Arial" w:cs="Arial" w:eastAsia="Arial" w:hAnsi="Arial"/>
                <w:sz w:val="18"/>
                <w:szCs w:val="18"/>
                <w:color w:val="auto"/>
              </w:rPr>
              <w:t>The following table summarizes future lease payments as of August 3, 2019:</w:t>
            </w:r>
          </w:p>
        </w:tc>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59"/>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080" w:type="dxa"/>
            <w:vAlign w:val="bottom"/>
          </w:tcPr>
          <w:p>
            <w:pPr>
              <w:spacing w:after="0"/>
              <w:rPr>
                <w:sz w:val="24"/>
                <w:szCs w:val="24"/>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7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 (excluding the six months ended August 3, 2019)</w:t>
            </w:r>
          </w:p>
        </w:tc>
        <w:tc>
          <w:tcPr>
            <w:tcW w:w="20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$154</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2020</w:t>
            </w:r>
          </w:p>
        </w:tc>
        <w:tc>
          <w:tcPr>
            <w:tcW w:w="208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354</w:t>
            </w:r>
          </w:p>
        </w:tc>
      </w:tr>
      <w:tr>
        <w:trPr>
          <w:trHeight w:val="33"/>
        </w:trPr>
        <w:tc>
          <w:tcPr>
            <w:tcW w:w="7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0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339</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2022</w:t>
            </w:r>
          </w:p>
        </w:tc>
        <w:tc>
          <w:tcPr>
            <w:tcW w:w="208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314</w:t>
            </w:r>
          </w:p>
        </w:tc>
      </w:tr>
      <w:tr>
        <w:trPr>
          <w:trHeight w:val="33"/>
        </w:trPr>
        <w:tc>
          <w:tcPr>
            <w:tcW w:w="7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0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287</w:t>
            </w: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2024</w:t>
            </w:r>
          </w:p>
        </w:tc>
        <w:tc>
          <w:tcPr>
            <w:tcW w:w="208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242</w:t>
            </w:r>
          </w:p>
        </w:tc>
      </w:tr>
      <w:tr>
        <w:trPr>
          <w:trHeight w:val="33"/>
        </w:trPr>
        <w:tc>
          <w:tcPr>
            <w:tcW w:w="7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2"/>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20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1,065</w:t>
            </w:r>
          </w:p>
        </w:tc>
      </w:tr>
      <w:tr>
        <w:trPr>
          <w:trHeight w:val="21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lease payments</w:t>
            </w:r>
          </w:p>
        </w:tc>
        <w:tc>
          <w:tcPr>
            <w:tcW w:w="20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2,755</w:t>
            </w:r>
          </w:p>
        </w:tc>
      </w:tr>
      <w:tr>
        <w:trPr>
          <w:trHeight w:val="33"/>
        </w:trPr>
        <w:tc>
          <w:tcPr>
            <w:tcW w:w="7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color w:val="auto"/>
              </w:rPr>
              <w:t>Less: amount representing interest</w:t>
            </w:r>
          </w:p>
        </w:tc>
        <w:tc>
          <w:tcPr>
            <w:tcW w:w="20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(606)</w:t>
            </w:r>
          </w:p>
        </w:tc>
      </w:tr>
      <w:tr>
        <w:trPr>
          <w:trHeight w:val="33"/>
        </w:trPr>
        <w:tc>
          <w:tcPr>
            <w:tcW w:w="7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1"/>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Present value of net lease payments</w:t>
            </w:r>
            <w:r>
              <w:rPr>
                <w:rFonts w:ascii="Arial" w:cs="Arial" w:eastAsia="Arial" w:hAnsi="Arial"/>
                <w:sz w:val="17"/>
                <w:szCs w:val="17"/>
                <w:color w:val="auto"/>
                <w:vertAlign w:val="superscript"/>
              </w:rPr>
              <w:t>1</w:t>
            </w:r>
          </w:p>
        </w:tc>
        <w:tc>
          <w:tcPr>
            <w:tcW w:w="20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$2,149</w:t>
            </w:r>
          </w:p>
        </w:tc>
      </w:tr>
      <w:tr>
        <w:trPr>
          <w:trHeight w:val="178"/>
        </w:trPr>
        <w:tc>
          <w:tcPr>
            <w:tcW w:w="7660" w:type="dxa"/>
            <w:vAlign w:val="bottom"/>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Total lease payments exclude $13 of lease payments for operating leases that were signed but have not yet commenced.</w:t>
            </w:r>
          </w:p>
        </w:tc>
        <w:tc>
          <w:tcPr>
            <w:tcW w:w="208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 of 28</w:t>
      </w:r>
    </w:p>
    <w:p>
      <w:pPr>
        <w:sectPr>
          <w:pgSz w:w="11900" w:h="16838" w:orient="portrait"/>
          <w:cols w:equalWidth="0" w:num="1">
            <w:col w:w="11420"/>
          </w:cols>
          <w:pgMar w:left="240" w:top="279"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supplemental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020" w:type="dxa"/>
            <w:vAlign w:val="bottom"/>
          </w:tcPr>
          <w:p>
            <w:pPr>
              <w:jc w:val="right"/>
              <w:ind w:right="99"/>
              <w:spacing w:after="0"/>
              <w:rPr>
                <w:sz w:val="20"/>
                <w:szCs w:val="20"/>
                <w:color w:val="auto"/>
              </w:rPr>
            </w:pPr>
            <w:r>
              <w:rPr>
                <w:rFonts w:ascii="Arial" w:cs="Arial" w:eastAsia="Arial" w:hAnsi="Arial"/>
                <w:sz w:val="16"/>
                <w:szCs w:val="16"/>
                <w:b w:val="1"/>
                <w:bCs w:val="1"/>
                <w:color w:val="auto"/>
              </w:rPr>
              <w:t>Six Months Ended August 3, 2019</w:t>
            </w:r>
          </w:p>
        </w:tc>
      </w:tr>
      <w:tr>
        <w:trPr>
          <w:trHeight w:val="33"/>
        </w:trPr>
        <w:tc>
          <w:tcPr>
            <w:tcW w:w="84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related to operating lease liabilities</w:t>
            </w:r>
          </w:p>
        </w:tc>
        <w:tc>
          <w:tcPr>
            <w:tcW w:w="3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$177</w:t>
            </w:r>
          </w:p>
        </w:tc>
      </w:tr>
      <w:tr>
        <w:trPr>
          <w:trHeight w:val="224"/>
        </w:trPr>
        <w:tc>
          <w:tcPr>
            <w:tcW w:w="8400" w:type="dxa"/>
            <w:vAlign w:val="bottom"/>
          </w:tcPr>
          <w:p>
            <w:pPr>
              <w:ind w:left="40"/>
              <w:spacing w:after="0"/>
              <w:rPr>
                <w:sz w:val="20"/>
                <w:szCs w:val="20"/>
                <w:color w:val="auto"/>
              </w:rPr>
            </w:pPr>
            <w:r>
              <w:rPr>
                <w:rFonts w:ascii="Arial" w:cs="Arial" w:eastAsia="Arial" w:hAnsi="Arial"/>
                <w:sz w:val="16"/>
                <w:szCs w:val="16"/>
                <w:color w:val="auto"/>
              </w:rPr>
              <w:t>Operating lease interest</w:t>
            </w:r>
          </w:p>
        </w:tc>
        <w:tc>
          <w:tcPr>
            <w:tcW w:w="3020" w:type="dxa"/>
            <w:vAlign w:val="bottom"/>
          </w:tcPr>
          <w:p>
            <w:pPr>
              <w:jc w:val="right"/>
              <w:ind w:right="99"/>
              <w:spacing w:after="0"/>
              <w:rPr>
                <w:sz w:val="20"/>
                <w:szCs w:val="20"/>
                <w:color w:val="auto"/>
              </w:rPr>
            </w:pPr>
            <w:r>
              <w:rPr>
                <w:rFonts w:ascii="Arial" w:cs="Arial" w:eastAsia="Arial" w:hAnsi="Arial"/>
                <w:sz w:val="16"/>
                <w:szCs w:val="16"/>
                <w:b w:val="1"/>
                <w:bCs w:val="1"/>
                <w:color w:val="auto"/>
              </w:rPr>
              <w:t>47</w:t>
            </w:r>
          </w:p>
        </w:tc>
      </w:tr>
      <w:tr>
        <w:trPr>
          <w:trHeight w:val="33"/>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 arising from obtaining ROU assets</w:t>
            </w:r>
          </w:p>
        </w:tc>
        <w:tc>
          <w:tcPr>
            <w:tcW w:w="3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2,282</w:t>
            </w:r>
          </w:p>
        </w:tc>
      </w:tr>
      <w:tr>
        <w:trPr>
          <w:trHeight w:val="224"/>
        </w:trPr>
        <w:tc>
          <w:tcPr>
            <w:tcW w:w="8400" w:type="dxa"/>
            <w:vAlign w:val="bottom"/>
          </w:tcPr>
          <w:p>
            <w:pPr>
              <w:ind w:left="40"/>
              <w:spacing w:after="0"/>
              <w:rPr>
                <w:sz w:val="20"/>
                <w:szCs w:val="20"/>
                <w:color w:val="auto"/>
              </w:rPr>
            </w:pPr>
            <w:r>
              <w:rPr>
                <w:rFonts w:ascii="Arial" w:cs="Arial" w:eastAsia="Arial" w:hAnsi="Arial"/>
                <w:sz w:val="16"/>
                <w:szCs w:val="16"/>
                <w:color w:val="auto"/>
              </w:rPr>
              <w:t>Cash received from developer reimbursements</w:t>
            </w:r>
          </w:p>
        </w:tc>
        <w:tc>
          <w:tcPr>
            <w:tcW w:w="3020" w:type="dxa"/>
            <w:vAlign w:val="bottom"/>
          </w:tcPr>
          <w:p>
            <w:pPr>
              <w:jc w:val="right"/>
              <w:ind w:right="99"/>
              <w:spacing w:after="0"/>
              <w:rPr>
                <w:sz w:val="20"/>
                <w:szCs w:val="20"/>
                <w:color w:val="auto"/>
              </w:rPr>
            </w:pPr>
            <w:r>
              <w:rPr>
                <w:rFonts w:ascii="Arial" w:cs="Arial" w:eastAsia="Arial" w:hAnsi="Arial"/>
                <w:sz w:val="16"/>
                <w:szCs w:val="16"/>
                <w:b w:val="1"/>
                <w:bCs w:val="1"/>
                <w:color w:val="auto"/>
              </w:rPr>
              <w:t>35</w:t>
            </w:r>
          </w:p>
        </w:tc>
      </w:tr>
      <w:tr>
        <w:trPr>
          <w:trHeight w:val="33"/>
        </w:trPr>
        <w:tc>
          <w:tcPr>
            <w:tcW w:w="84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developer reimbursements</w:t>
            </w:r>
          </w:p>
        </w:tc>
        <w:tc>
          <w:tcPr>
            <w:tcW w:w="3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38</w:t>
            </w:r>
          </w:p>
        </w:tc>
      </w:tr>
      <w:tr>
        <w:trPr>
          <w:trHeight w:val="521"/>
        </w:trPr>
        <w:tc>
          <w:tcPr>
            <w:tcW w:w="8400" w:type="dxa"/>
            <w:vAlign w:val="bottom"/>
          </w:tcPr>
          <w:p>
            <w:pPr>
              <w:spacing w:after="0"/>
              <w:rPr>
                <w:sz w:val="24"/>
                <w:szCs w:val="24"/>
                <w:color w:val="auto"/>
              </w:rPr>
            </w:pPr>
          </w:p>
        </w:tc>
        <w:tc>
          <w:tcPr>
            <w:tcW w:w="3020" w:type="dxa"/>
            <w:vAlign w:val="bottom"/>
          </w:tcPr>
          <w:p>
            <w:pPr>
              <w:jc w:val="right"/>
              <w:ind w:right="99"/>
              <w:spacing w:after="0"/>
              <w:rPr>
                <w:sz w:val="20"/>
                <w:szCs w:val="20"/>
                <w:color w:val="auto"/>
              </w:rPr>
            </w:pPr>
            <w:r>
              <w:rPr>
                <w:rFonts w:ascii="Arial" w:cs="Arial" w:eastAsia="Arial" w:hAnsi="Arial"/>
                <w:sz w:val="16"/>
                <w:szCs w:val="16"/>
                <w:b w:val="1"/>
                <w:bCs w:val="1"/>
                <w:color w:val="auto"/>
              </w:rPr>
              <w:t>August 3, 2019</w:t>
            </w:r>
          </w:p>
        </w:tc>
      </w:tr>
      <w:tr>
        <w:trPr>
          <w:trHeight w:val="33"/>
        </w:trPr>
        <w:tc>
          <w:tcPr>
            <w:tcW w:w="840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remaining lease term</w:t>
            </w:r>
          </w:p>
        </w:tc>
        <w:tc>
          <w:tcPr>
            <w:tcW w:w="3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 years</w:t>
            </w:r>
          </w:p>
        </w:tc>
      </w:tr>
      <w:tr>
        <w:trPr>
          <w:trHeight w:val="224"/>
        </w:trPr>
        <w:tc>
          <w:tcPr>
            <w:tcW w:w="8400" w:type="dxa"/>
            <w:vAlign w:val="bottom"/>
          </w:tcPr>
          <w:p>
            <w:pPr>
              <w:ind w:left="40"/>
              <w:spacing w:after="0"/>
              <w:rPr>
                <w:sz w:val="20"/>
                <w:szCs w:val="20"/>
                <w:color w:val="auto"/>
              </w:rPr>
            </w:pPr>
            <w:r>
              <w:rPr>
                <w:rFonts w:ascii="Arial" w:cs="Arial" w:eastAsia="Arial" w:hAnsi="Arial"/>
                <w:sz w:val="16"/>
                <w:szCs w:val="16"/>
                <w:color w:val="auto"/>
              </w:rPr>
              <w:t>Weighted-average discount rate</w:t>
            </w:r>
          </w:p>
        </w:tc>
        <w:tc>
          <w:tcPr>
            <w:tcW w:w="302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33"/>
        </w:trPr>
        <w:tc>
          <w:tcPr>
            <w:tcW w:w="84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 Lease Standard Disclosures</w:t>
      </w:r>
    </w:p>
    <w:p>
      <w:pPr>
        <w:spacing w:after="0" w:line="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Before fiscal year 2019, we recognized minimum rent expense, net of developer reimbursements, on a straight-line basis over the minimum lease term from the time we controlled the leased property. For scheduled rent escalation clauses during the lease terms, we recorded minimum rent expense on a straight-line basis over the terms of the leases, with the adjustments accrued as current and non-current deferred rent and included in other current liabilities and other liabilities on our Condensed Consolidated Balance Sheet. Contingent rental payments, typically based on a percentage of sales, were recognized in rent expense primarily in occupancy costs when payment of the contingent rent was probable.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rent expense for the quarter and six months ended August 4, 2018, before adoption of the Lease Standard: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76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August 4, 2018</w:t>
            </w:r>
          </w:p>
        </w:tc>
      </w:tr>
      <w:tr>
        <w:trPr>
          <w:trHeight w:val="47"/>
        </w:trPr>
        <w:tc>
          <w:tcPr>
            <w:tcW w:w="7660" w:type="dxa"/>
            <w:vAlign w:val="bottom"/>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31"/>
        </w:trPr>
        <w:tc>
          <w:tcPr>
            <w:tcW w:w="7660" w:type="dxa"/>
            <w:vAlign w:val="bottom"/>
          </w:tcPr>
          <w:p>
            <w:pPr>
              <w:spacing w:after="0"/>
              <w:rPr>
                <w:sz w:val="20"/>
                <w:szCs w:val="20"/>
                <w:color w:val="auto"/>
              </w:rPr>
            </w:pP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Quarter Ended</w:t>
            </w: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Minimum rent</w:t>
            </w:r>
          </w:p>
        </w:tc>
        <w:tc>
          <w:tcPr>
            <w:tcW w:w="2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$78</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$159</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Percentage rent</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3</w:t>
            </w: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r>
      <w:tr>
        <w:trPr>
          <w:trHeight w:val="33"/>
        </w:trPr>
        <w:tc>
          <w:tcPr>
            <w:tcW w:w="7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incentives</w:t>
            </w:r>
          </w:p>
        </w:tc>
        <w:tc>
          <w:tcPr>
            <w:tcW w:w="2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(19)</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rent expense</w:t>
            </w:r>
          </w:p>
        </w:tc>
        <w:tc>
          <w:tcPr>
            <w:tcW w:w="20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$62</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$124</w:t>
            </w:r>
          </w:p>
        </w:tc>
      </w:tr>
      <w:tr>
        <w:trPr>
          <w:trHeight w:val="33"/>
        </w:trPr>
        <w:tc>
          <w:tcPr>
            <w:tcW w:w="76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rent expense above does not include common area maintenance charges, real estate taxes and other executory costs, which were $37 for the quarter and $74 for the six months ended August 4,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minimum lease payments as of February 2, 2019, before adoption of the Lease Standard: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5280" w:type="dxa"/>
            <w:vAlign w:val="bottom"/>
          </w:tcPr>
          <w:p>
            <w:pPr>
              <w:jc w:val="right"/>
              <w:ind w:right="1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$322</w:t>
            </w:r>
          </w:p>
        </w:tc>
      </w:tr>
      <w:tr>
        <w:trPr>
          <w:trHeight w:val="224"/>
        </w:trPr>
        <w:tc>
          <w:tcPr>
            <w:tcW w:w="6140" w:type="dxa"/>
            <w:vAlign w:val="bottom"/>
          </w:tcPr>
          <w:p>
            <w:pPr>
              <w:ind w:left="40"/>
              <w:spacing w:after="0"/>
              <w:rPr>
                <w:sz w:val="20"/>
                <w:szCs w:val="20"/>
                <w:color w:val="auto"/>
              </w:rPr>
            </w:pPr>
            <w:r>
              <w:rPr>
                <w:rFonts w:ascii="Arial" w:cs="Arial" w:eastAsia="Arial" w:hAnsi="Arial"/>
                <w:sz w:val="16"/>
                <w:szCs w:val="16"/>
                <w:color w:val="auto"/>
              </w:rPr>
              <w:t>2020</w:t>
            </w:r>
          </w:p>
        </w:tc>
        <w:tc>
          <w:tcPr>
            <w:tcW w:w="5280" w:type="dxa"/>
            <w:vAlign w:val="bottom"/>
          </w:tcPr>
          <w:p>
            <w:pPr>
              <w:jc w:val="right"/>
              <w:ind w:right="19"/>
              <w:spacing w:after="0"/>
              <w:rPr>
                <w:sz w:val="20"/>
                <w:szCs w:val="20"/>
                <w:color w:val="auto"/>
              </w:rPr>
            </w:pPr>
            <w:r>
              <w:rPr>
                <w:rFonts w:ascii="Arial" w:cs="Arial" w:eastAsia="Arial" w:hAnsi="Arial"/>
                <w:sz w:val="16"/>
                <w:szCs w:val="16"/>
                <w:b w:val="1"/>
                <w:bCs w:val="1"/>
                <w:color w:val="auto"/>
              </w:rPr>
              <w:t>313</w:t>
            </w:r>
          </w:p>
        </w:tc>
      </w:tr>
      <w:tr>
        <w:trPr>
          <w:trHeight w:val="33"/>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294</w:t>
            </w:r>
          </w:p>
        </w:tc>
      </w:tr>
      <w:tr>
        <w:trPr>
          <w:trHeight w:val="224"/>
        </w:trPr>
        <w:tc>
          <w:tcPr>
            <w:tcW w:w="6140" w:type="dxa"/>
            <w:vAlign w:val="bottom"/>
          </w:tcPr>
          <w:p>
            <w:pPr>
              <w:ind w:left="40"/>
              <w:spacing w:after="0"/>
              <w:rPr>
                <w:sz w:val="20"/>
                <w:szCs w:val="20"/>
                <w:color w:val="auto"/>
              </w:rPr>
            </w:pPr>
            <w:r>
              <w:rPr>
                <w:rFonts w:ascii="Arial" w:cs="Arial" w:eastAsia="Arial" w:hAnsi="Arial"/>
                <w:sz w:val="16"/>
                <w:szCs w:val="16"/>
                <w:color w:val="auto"/>
              </w:rPr>
              <w:t>2022</w:t>
            </w:r>
          </w:p>
        </w:tc>
        <w:tc>
          <w:tcPr>
            <w:tcW w:w="5280" w:type="dxa"/>
            <w:vAlign w:val="bottom"/>
          </w:tcPr>
          <w:p>
            <w:pPr>
              <w:jc w:val="right"/>
              <w:ind w:right="19"/>
              <w:spacing w:after="0"/>
              <w:rPr>
                <w:sz w:val="20"/>
                <w:szCs w:val="20"/>
                <w:color w:val="auto"/>
              </w:rPr>
            </w:pPr>
            <w:r>
              <w:rPr>
                <w:rFonts w:ascii="Arial" w:cs="Arial" w:eastAsia="Arial" w:hAnsi="Arial"/>
                <w:sz w:val="16"/>
                <w:szCs w:val="16"/>
                <w:b w:val="1"/>
                <w:bCs w:val="1"/>
                <w:color w:val="auto"/>
              </w:rPr>
              <w:t>271</w:t>
            </w:r>
          </w:p>
        </w:tc>
      </w:tr>
      <w:tr>
        <w:trPr>
          <w:trHeight w:val="33"/>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249</w:t>
            </w:r>
          </w:p>
        </w:tc>
      </w:tr>
      <w:tr>
        <w:trPr>
          <w:trHeight w:val="224"/>
        </w:trPr>
        <w:tc>
          <w:tcPr>
            <w:tcW w:w="61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280" w:type="dxa"/>
            <w:vAlign w:val="bottom"/>
          </w:tcPr>
          <w:p>
            <w:pPr>
              <w:jc w:val="right"/>
              <w:ind w:right="19"/>
              <w:spacing w:after="0"/>
              <w:rPr>
                <w:sz w:val="20"/>
                <w:szCs w:val="20"/>
                <w:color w:val="auto"/>
              </w:rPr>
            </w:pPr>
            <w:r>
              <w:rPr>
                <w:rFonts w:ascii="Arial" w:cs="Arial" w:eastAsia="Arial" w:hAnsi="Arial"/>
                <w:sz w:val="16"/>
                <w:szCs w:val="16"/>
                <w:b w:val="1"/>
                <w:bCs w:val="1"/>
                <w:color w:val="auto"/>
              </w:rPr>
              <w:t>1,160</w:t>
            </w:r>
          </w:p>
        </w:tc>
      </w:tr>
      <w:tr>
        <w:trPr>
          <w:trHeight w:val="33"/>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minimum lease payments</w:t>
            </w:r>
          </w:p>
        </w:tc>
        <w:tc>
          <w:tcPr>
            <w:tcW w:w="5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$2,609</w:t>
            </w:r>
          </w:p>
        </w:tc>
      </w:tr>
      <w:tr>
        <w:trPr>
          <w:trHeight w:val="20"/>
        </w:trPr>
        <w:tc>
          <w:tcPr>
            <w:tcW w:w="6140" w:type="dxa"/>
            <w:vAlign w:val="bottom"/>
            <w:shd w:val="clear" w:color="auto" w:fill="000000"/>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28</w:t>
      </w:r>
    </w:p>
    <w:p>
      <w:pPr>
        <w:sectPr>
          <w:pgSz w:w="11900" w:h="16838" w:orient="portrait"/>
          <w:cols w:equalWidth="0" w:num="1">
            <w:col w:w="11420"/>
          </w:cols>
          <w:pgMar w:left="240" w:top="279"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Contract liabilities represent our obligation to transfer goods or services to customers and include deferred revenue for The Nordy Club (including loyalty points and Nordstrom Notes) and gift cards. Our contract liabilities are classified as current on the Condensed Consolidated Balance Sheet and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512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Contract Liabilities</w:t>
            </w:r>
          </w:p>
        </w:tc>
      </w:tr>
      <w:tr>
        <w:trPr>
          <w:trHeight w:val="33"/>
        </w:trPr>
        <w:tc>
          <w:tcPr>
            <w:tcW w:w="630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Opening balance as of February 4, 2018</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r>
      <w:tr>
        <w:trPr>
          <w:trHeight w:val="224"/>
        </w:trPr>
        <w:tc>
          <w:tcPr>
            <w:tcW w:w="6300" w:type="dxa"/>
            <w:vAlign w:val="bottom"/>
          </w:tcPr>
          <w:p>
            <w:pPr>
              <w:ind w:left="40"/>
              <w:spacing w:after="0"/>
              <w:rPr>
                <w:sz w:val="20"/>
                <w:szCs w:val="20"/>
                <w:color w:val="auto"/>
              </w:rPr>
            </w:pPr>
            <w:r>
              <w:rPr>
                <w:rFonts w:ascii="Arial" w:cs="Arial" w:eastAsia="Arial" w:hAnsi="Arial"/>
                <w:sz w:val="16"/>
                <w:szCs w:val="16"/>
                <w:color w:val="auto"/>
              </w:rPr>
              <w:t>Balance as of May 5, 2018</w:t>
            </w:r>
          </w:p>
        </w:tc>
        <w:tc>
          <w:tcPr>
            <w:tcW w:w="5120" w:type="dxa"/>
            <w:vAlign w:val="bottom"/>
          </w:tcPr>
          <w:p>
            <w:pPr>
              <w:jc w:val="right"/>
              <w:ind w:right="19"/>
              <w:spacing w:after="0"/>
              <w:rPr>
                <w:sz w:val="20"/>
                <w:szCs w:val="20"/>
                <w:color w:val="auto"/>
              </w:rPr>
            </w:pPr>
            <w:r>
              <w:rPr>
                <w:rFonts w:ascii="Arial" w:cs="Arial" w:eastAsia="Arial" w:hAnsi="Arial"/>
                <w:sz w:val="16"/>
                <w:szCs w:val="16"/>
                <w:color w:val="auto"/>
              </w:rPr>
              <w:t>460</w:t>
            </w:r>
          </w:p>
        </w:tc>
      </w:tr>
      <w:tr>
        <w:trPr>
          <w:trHeight w:val="33"/>
        </w:trPr>
        <w:tc>
          <w:tcPr>
            <w:tcW w:w="630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August 4, 2018</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r>
      <w:tr>
        <w:trPr>
          <w:trHeight w:val="297"/>
        </w:trPr>
        <w:tc>
          <w:tcPr>
            <w:tcW w:w="630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February 2, 2019</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r>
      <w:tr>
        <w:trPr>
          <w:trHeight w:val="224"/>
        </w:trPr>
        <w:tc>
          <w:tcPr>
            <w:tcW w:w="6300" w:type="dxa"/>
            <w:vAlign w:val="bottom"/>
          </w:tcPr>
          <w:p>
            <w:pPr>
              <w:ind w:left="40"/>
              <w:spacing w:after="0"/>
              <w:rPr>
                <w:sz w:val="20"/>
                <w:szCs w:val="20"/>
                <w:color w:val="auto"/>
              </w:rPr>
            </w:pPr>
            <w:r>
              <w:rPr>
                <w:rFonts w:ascii="Arial" w:cs="Arial" w:eastAsia="Arial" w:hAnsi="Arial"/>
                <w:sz w:val="16"/>
                <w:szCs w:val="16"/>
                <w:color w:val="auto"/>
              </w:rPr>
              <w:t>Balance as of May 4, 2019</w:t>
            </w:r>
          </w:p>
        </w:tc>
        <w:tc>
          <w:tcPr>
            <w:tcW w:w="5120" w:type="dxa"/>
            <w:vAlign w:val="bottom"/>
          </w:tcPr>
          <w:p>
            <w:pPr>
              <w:jc w:val="right"/>
              <w:ind w:right="19"/>
              <w:spacing w:after="0"/>
              <w:rPr>
                <w:sz w:val="20"/>
                <w:szCs w:val="20"/>
                <w:color w:val="auto"/>
              </w:rPr>
            </w:pPr>
            <w:r>
              <w:rPr>
                <w:rFonts w:ascii="Arial" w:cs="Arial" w:eastAsia="Arial" w:hAnsi="Arial"/>
                <w:sz w:val="16"/>
                <w:szCs w:val="16"/>
                <w:color w:val="auto"/>
              </w:rPr>
              <w:t>504</w:t>
            </w:r>
          </w:p>
        </w:tc>
      </w:tr>
      <w:tr>
        <w:trPr>
          <w:trHeight w:val="33"/>
        </w:trPr>
        <w:tc>
          <w:tcPr>
            <w:tcW w:w="630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August 3, 2019</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488</w:t>
            </w:r>
          </w:p>
        </w:tc>
      </w:tr>
      <w:tr>
        <w:trPr>
          <w:trHeight w:val="20"/>
        </w:trPr>
        <w:tc>
          <w:tcPr>
            <w:tcW w:w="6300" w:type="dxa"/>
            <w:vAlign w:val="bottom"/>
            <w:shd w:val="clear" w:color="auto" w:fill="000000"/>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Revenues recognized from our beginning contract liability balance were $138 and $231 for the quarter and six months ended August 3, 2019 and $77 and $228 for the quarter and six months ended August 4,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disaggregated net 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64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32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560" w:type="dxa"/>
            <w:vAlign w:val="bottom"/>
          </w:tcPr>
          <w:p>
            <w:pPr>
              <w:jc w:val="right"/>
              <w:ind w:right="879"/>
              <w:spacing w:after="0"/>
              <w:rPr>
                <w:sz w:val="20"/>
                <w:szCs w:val="20"/>
                <w:color w:val="auto"/>
              </w:rPr>
            </w:pPr>
            <w:r>
              <w:rPr>
                <w:rFonts w:ascii="Arial" w:cs="Arial" w:eastAsia="Arial" w:hAnsi="Arial"/>
                <w:sz w:val="16"/>
                <w:szCs w:val="16"/>
                <w:b w:val="1"/>
                <w:bCs w:val="1"/>
                <w:color w:val="auto"/>
              </w:rPr>
              <w:t>August 3, 2019</w:t>
            </w:r>
          </w:p>
        </w:tc>
        <w:tc>
          <w:tcPr>
            <w:tcW w:w="1640" w:type="dxa"/>
            <w:vAlign w:val="bottom"/>
          </w:tcPr>
          <w:p>
            <w:pPr>
              <w:jc w:val="right"/>
              <w:ind w:right="479"/>
              <w:spacing w:after="0"/>
              <w:rPr>
                <w:sz w:val="20"/>
                <w:szCs w:val="20"/>
                <w:color w:val="auto"/>
              </w:rPr>
            </w:pPr>
            <w:r>
              <w:rPr>
                <w:rFonts w:ascii="Arial" w:cs="Arial" w:eastAsia="Arial" w:hAnsi="Arial"/>
                <w:sz w:val="16"/>
                <w:szCs w:val="16"/>
                <w:b w:val="1"/>
                <w:bCs w:val="1"/>
                <w:color w:val="auto"/>
                <w:w w:val="93"/>
              </w:rPr>
              <w:t>August 4, 2018</w:t>
            </w:r>
          </w:p>
        </w:tc>
        <w:tc>
          <w:tcPr>
            <w:tcW w:w="2480" w:type="dxa"/>
            <w:vAlign w:val="bottom"/>
          </w:tcPr>
          <w:p>
            <w:pPr>
              <w:jc w:val="right"/>
              <w:ind w:right="939"/>
              <w:spacing w:after="0"/>
              <w:rPr>
                <w:sz w:val="20"/>
                <w:szCs w:val="20"/>
                <w:color w:val="auto"/>
              </w:rPr>
            </w:pPr>
            <w:r>
              <w:rPr>
                <w:rFonts w:ascii="Arial" w:cs="Arial" w:eastAsia="Arial" w:hAnsi="Arial"/>
                <w:sz w:val="16"/>
                <w:szCs w:val="16"/>
                <w:b w:val="1"/>
                <w:bCs w:val="1"/>
                <w:color w:val="auto"/>
              </w:rPr>
              <w:t>August 3, 2019</w:t>
            </w: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88"/>
              </w:rPr>
              <w:t>August 4, 2018</w:t>
            </w:r>
          </w:p>
        </w:tc>
      </w:tr>
      <w:tr>
        <w:trPr>
          <w:trHeight w:val="33"/>
        </w:trPr>
        <w:tc>
          <w:tcPr>
            <w:tcW w:w="34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Full-Price</w:t>
            </w:r>
          </w:p>
        </w:tc>
        <w:tc>
          <w:tcPr>
            <w:tcW w:w="25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$2,530</w:t>
            </w:r>
          </w:p>
        </w:tc>
        <w:tc>
          <w:tcPr>
            <w:tcW w:w="16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$2,707</w:t>
            </w:r>
          </w:p>
        </w:tc>
        <w:tc>
          <w:tcPr>
            <w:tcW w:w="248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$4,657</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$4,948</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Off-Price</w:t>
            </w:r>
          </w:p>
        </w:tc>
        <w:tc>
          <w:tcPr>
            <w:tcW w:w="2560" w:type="dxa"/>
            <w:vAlign w:val="bottom"/>
          </w:tcPr>
          <w:p>
            <w:pPr>
              <w:jc w:val="right"/>
              <w:ind w:right="879"/>
              <w:spacing w:after="0"/>
              <w:rPr>
                <w:sz w:val="20"/>
                <w:szCs w:val="20"/>
                <w:color w:val="auto"/>
              </w:rPr>
            </w:pPr>
            <w:r>
              <w:rPr>
                <w:rFonts w:ascii="Arial" w:cs="Arial" w:eastAsia="Arial" w:hAnsi="Arial"/>
                <w:sz w:val="16"/>
                <w:szCs w:val="16"/>
                <w:b w:val="1"/>
                <w:bCs w:val="1"/>
                <w:color w:val="auto"/>
              </w:rPr>
              <w:t>1,248</w:t>
            </w:r>
          </w:p>
        </w:tc>
        <w:tc>
          <w:tcPr>
            <w:tcW w:w="1640" w:type="dxa"/>
            <w:vAlign w:val="bottom"/>
          </w:tcPr>
          <w:p>
            <w:pPr>
              <w:jc w:val="right"/>
              <w:ind w:right="479"/>
              <w:spacing w:after="0"/>
              <w:rPr>
                <w:sz w:val="20"/>
                <w:szCs w:val="20"/>
                <w:color w:val="auto"/>
              </w:rPr>
            </w:pPr>
            <w:r>
              <w:rPr>
                <w:rFonts w:ascii="Arial" w:cs="Arial" w:eastAsia="Arial" w:hAnsi="Arial"/>
                <w:sz w:val="16"/>
                <w:szCs w:val="16"/>
                <w:color w:val="auto"/>
              </w:rPr>
              <w:t>1,273</w:t>
            </w:r>
          </w:p>
        </w:tc>
        <w:tc>
          <w:tcPr>
            <w:tcW w:w="2480" w:type="dxa"/>
            <w:vAlign w:val="bottom"/>
          </w:tcPr>
          <w:p>
            <w:pPr>
              <w:jc w:val="right"/>
              <w:ind w:right="939"/>
              <w:spacing w:after="0"/>
              <w:rPr>
                <w:sz w:val="20"/>
                <w:szCs w:val="20"/>
                <w:color w:val="auto"/>
              </w:rPr>
            </w:pPr>
            <w:r>
              <w:rPr>
                <w:rFonts w:ascii="Arial" w:cs="Arial" w:eastAsia="Arial" w:hAnsi="Arial"/>
                <w:sz w:val="16"/>
                <w:szCs w:val="16"/>
                <w:b w:val="1"/>
                <w:bCs w:val="1"/>
                <w:color w:val="auto"/>
              </w:rPr>
              <w:t>2,470</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2,502</w:t>
            </w:r>
          </w:p>
        </w:tc>
      </w:tr>
      <w:tr>
        <w:trPr>
          <w:trHeight w:val="33"/>
        </w:trPr>
        <w:tc>
          <w:tcPr>
            <w:tcW w:w="34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net sales</w:t>
            </w:r>
          </w:p>
        </w:tc>
        <w:tc>
          <w:tcPr>
            <w:tcW w:w="25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$3,778</w:t>
            </w:r>
          </w:p>
        </w:tc>
        <w:tc>
          <w:tcPr>
            <w:tcW w:w="16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$3,980</w:t>
            </w:r>
          </w:p>
        </w:tc>
        <w:tc>
          <w:tcPr>
            <w:tcW w:w="248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$7,127</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$7,450</w:t>
            </w:r>
          </w:p>
        </w:tc>
      </w:tr>
      <w:tr>
        <w:trPr>
          <w:trHeight w:val="291"/>
        </w:trPr>
        <w:tc>
          <w:tcPr>
            <w:tcW w:w="342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0"/>
        </w:trPr>
        <w:tc>
          <w:tcPr>
            <w:tcW w:w="3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Digital sales as a % of total net sales</w:t>
            </w:r>
            <w:r>
              <w:rPr>
                <w:rFonts w:ascii="Arial" w:cs="Arial" w:eastAsia="Arial" w:hAnsi="Arial"/>
                <w:sz w:val="21"/>
                <w:szCs w:val="21"/>
                <w:color w:val="auto"/>
                <w:vertAlign w:val="superscript"/>
              </w:rPr>
              <w:t>1</w:t>
            </w:r>
          </w:p>
        </w:tc>
        <w:tc>
          <w:tcPr>
            <w:tcW w:w="256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30%</w:t>
            </w:r>
          </w:p>
        </w:tc>
        <w:tc>
          <w:tcPr>
            <w:tcW w:w="16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28%</w:t>
            </w:r>
          </w:p>
        </w:tc>
        <w:tc>
          <w:tcPr>
            <w:tcW w:w="24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31%</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r>
    </w:tbl>
    <w:p>
      <w:pPr>
        <w:spacing w:after="0" w:line="197" w:lineRule="exact"/>
        <w:rPr>
          <w:sz w:val="20"/>
          <w:szCs w:val="20"/>
          <w:color w:val="auto"/>
        </w:rPr>
      </w:pPr>
    </w:p>
    <w:p>
      <w:pPr>
        <w:ind w:left="80" w:right="240" w:hanging="72"/>
        <w:spacing w:after="0" w:line="273" w:lineRule="auto"/>
        <w:tabs>
          <w:tab w:leader="none" w:pos="102" w:val="left"/>
        </w:tabs>
        <w:numPr>
          <w:ilvl w:val="0"/>
          <w:numId w:val="8"/>
        </w:numPr>
        <w:rPr>
          <w:rFonts w:ascii="Arial" w:cs="Arial" w:eastAsia="Arial" w:hAnsi="Arial"/>
          <w:sz w:val="9"/>
          <w:szCs w:val="9"/>
          <w:color w:val="auto"/>
        </w:rPr>
      </w:pPr>
      <w:r>
        <w:rPr>
          <w:rFonts w:ascii="Arial" w:cs="Arial" w:eastAsia="Arial" w:hAnsi="Arial"/>
          <w:sz w:val="14"/>
          <w:szCs w:val="14"/>
          <w:color w:val="auto"/>
        </w:rPr>
        <w:t>In 2019, we updated our digital sales calculation, including our prior year digital sales calculation for comparability. Although we do not expect the change to be material for the full year, some timing differences will occur between the second and third quarters.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6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2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2540" w:type="dxa"/>
            <w:vAlign w:val="bottom"/>
          </w:tcPr>
          <w:p>
            <w:pPr>
              <w:jc w:val="right"/>
              <w:ind w:right="779"/>
              <w:spacing w:after="0"/>
              <w:rPr>
                <w:sz w:val="20"/>
                <w:szCs w:val="20"/>
                <w:color w:val="auto"/>
              </w:rPr>
            </w:pPr>
            <w:r>
              <w:rPr>
                <w:rFonts w:ascii="Arial" w:cs="Arial" w:eastAsia="Arial" w:hAnsi="Arial"/>
                <w:sz w:val="16"/>
                <w:szCs w:val="16"/>
                <w:b w:val="1"/>
                <w:bCs w:val="1"/>
                <w:color w:val="auto"/>
              </w:rPr>
              <w:t>August 3, 2019</w:t>
            </w:r>
          </w:p>
        </w:tc>
        <w:tc>
          <w:tcPr>
            <w:tcW w:w="1660" w:type="dxa"/>
            <w:vAlign w:val="bottom"/>
          </w:tcPr>
          <w:p>
            <w:pPr>
              <w:jc w:val="right"/>
              <w:ind w:right="459"/>
              <w:spacing w:after="0"/>
              <w:rPr>
                <w:sz w:val="20"/>
                <w:szCs w:val="20"/>
                <w:color w:val="auto"/>
              </w:rPr>
            </w:pPr>
            <w:r>
              <w:rPr>
                <w:rFonts w:ascii="Arial" w:cs="Arial" w:eastAsia="Arial" w:hAnsi="Arial"/>
                <w:sz w:val="16"/>
                <w:szCs w:val="16"/>
                <w:b w:val="1"/>
                <w:bCs w:val="1"/>
                <w:color w:val="auto"/>
                <w:w w:val="97"/>
              </w:rPr>
              <w:t>August 4, 2018</w:t>
            </w:r>
          </w:p>
        </w:tc>
        <w:tc>
          <w:tcPr>
            <w:tcW w:w="2340" w:type="dxa"/>
            <w:vAlign w:val="bottom"/>
          </w:tcPr>
          <w:p>
            <w:pPr>
              <w:jc w:val="right"/>
              <w:ind w:right="839"/>
              <w:spacing w:after="0"/>
              <w:rPr>
                <w:sz w:val="20"/>
                <w:szCs w:val="20"/>
                <w:color w:val="auto"/>
              </w:rPr>
            </w:pPr>
            <w:r>
              <w:rPr>
                <w:rFonts w:ascii="Arial" w:cs="Arial" w:eastAsia="Arial" w:hAnsi="Arial"/>
                <w:sz w:val="16"/>
                <w:szCs w:val="16"/>
                <w:b w:val="1"/>
                <w:bCs w:val="1"/>
                <w:color w:val="auto"/>
              </w:rPr>
              <w:t>August 3, 2019</w:t>
            </w: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August 4, 2018</w:t>
            </w:r>
          </w:p>
        </w:tc>
      </w:tr>
      <w:tr>
        <w:trPr>
          <w:trHeight w:val="33"/>
        </w:trPr>
        <w:tc>
          <w:tcPr>
            <w:tcW w:w="3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Women’s Apparel</w:t>
            </w:r>
          </w:p>
        </w:tc>
        <w:tc>
          <w:tcPr>
            <w:tcW w:w="25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32%</w:t>
            </w:r>
          </w:p>
        </w:tc>
        <w:tc>
          <w:tcPr>
            <w:tcW w:w="16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32%</w:t>
            </w:r>
          </w:p>
        </w:tc>
        <w:tc>
          <w:tcPr>
            <w:tcW w:w="23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32%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Shoes</w:t>
            </w:r>
          </w:p>
        </w:tc>
        <w:tc>
          <w:tcPr>
            <w:tcW w:w="2540" w:type="dxa"/>
            <w:vAlign w:val="bottom"/>
          </w:tcPr>
          <w:p>
            <w:pPr>
              <w:jc w:val="right"/>
              <w:ind w:right="619"/>
              <w:spacing w:after="0"/>
              <w:rPr>
                <w:sz w:val="20"/>
                <w:szCs w:val="20"/>
                <w:color w:val="auto"/>
              </w:rPr>
            </w:pPr>
            <w:r>
              <w:rPr>
                <w:rFonts w:ascii="Arial" w:cs="Arial" w:eastAsia="Arial" w:hAnsi="Arial"/>
                <w:sz w:val="16"/>
                <w:szCs w:val="16"/>
                <w:b w:val="1"/>
                <w:bCs w:val="1"/>
                <w:color w:val="auto"/>
              </w:rPr>
              <w:t>23%</w:t>
            </w: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23%</w:t>
            </w:r>
          </w:p>
        </w:tc>
        <w:tc>
          <w:tcPr>
            <w:tcW w:w="2340" w:type="dxa"/>
            <w:vAlign w:val="bottom"/>
          </w:tcPr>
          <w:p>
            <w:pPr>
              <w:jc w:val="right"/>
              <w:ind w:right="679"/>
              <w:spacing w:after="0"/>
              <w:rPr>
                <w:sz w:val="20"/>
                <w:szCs w:val="20"/>
                <w:color w:val="auto"/>
              </w:rPr>
            </w:pPr>
            <w:r>
              <w:rPr>
                <w:rFonts w:ascii="Arial" w:cs="Arial" w:eastAsia="Arial" w:hAnsi="Arial"/>
                <w:sz w:val="16"/>
                <w:szCs w:val="16"/>
                <w:b w:val="1"/>
                <w:bCs w:val="1"/>
                <w:color w:val="auto"/>
              </w:rPr>
              <w:t>24%</w:t>
            </w: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Men’s Apparel</w:t>
            </w:r>
          </w:p>
        </w:tc>
        <w:tc>
          <w:tcPr>
            <w:tcW w:w="25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w:t>
            </w:r>
          </w:p>
        </w:tc>
        <w:tc>
          <w:tcPr>
            <w:tcW w:w="16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17%</w:t>
            </w:r>
          </w:p>
        </w:tc>
        <w:tc>
          <w:tcPr>
            <w:tcW w:w="23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Women’s Accessories</w:t>
            </w:r>
          </w:p>
        </w:tc>
        <w:tc>
          <w:tcPr>
            <w:tcW w:w="2540" w:type="dxa"/>
            <w:vAlign w:val="bottom"/>
          </w:tcPr>
          <w:p>
            <w:pPr>
              <w:jc w:val="right"/>
              <w:ind w:right="619"/>
              <w:spacing w:after="0"/>
              <w:rPr>
                <w:sz w:val="20"/>
                <w:szCs w:val="20"/>
                <w:color w:val="auto"/>
              </w:rPr>
            </w:pPr>
            <w:r>
              <w:rPr>
                <w:rFonts w:ascii="Arial" w:cs="Arial" w:eastAsia="Arial" w:hAnsi="Arial"/>
                <w:sz w:val="16"/>
                <w:szCs w:val="16"/>
                <w:b w:val="1"/>
                <w:bCs w:val="1"/>
                <w:color w:val="auto"/>
              </w:rPr>
              <w:t>11%</w:t>
            </w: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11%</w:t>
            </w:r>
          </w:p>
        </w:tc>
        <w:tc>
          <w:tcPr>
            <w:tcW w:w="2340" w:type="dxa"/>
            <w:vAlign w:val="bottom"/>
          </w:tcPr>
          <w:p>
            <w:pPr>
              <w:jc w:val="right"/>
              <w:ind w:right="679"/>
              <w:spacing w:after="0"/>
              <w:rPr>
                <w:sz w:val="20"/>
                <w:szCs w:val="20"/>
                <w:color w:val="auto"/>
              </w:rPr>
            </w:pPr>
            <w:r>
              <w:rPr>
                <w:rFonts w:ascii="Arial" w:cs="Arial" w:eastAsia="Arial" w:hAnsi="Arial"/>
                <w:sz w:val="16"/>
                <w:szCs w:val="16"/>
                <w:b w:val="1"/>
                <w:bCs w:val="1"/>
                <w:color w:val="auto"/>
              </w:rPr>
              <w:t>11%</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Beauty</w:t>
            </w:r>
          </w:p>
        </w:tc>
        <w:tc>
          <w:tcPr>
            <w:tcW w:w="25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11%</w:t>
            </w:r>
          </w:p>
        </w:tc>
        <w:tc>
          <w:tcPr>
            <w:tcW w:w="16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11%</w:t>
            </w:r>
          </w:p>
        </w:tc>
        <w:tc>
          <w:tcPr>
            <w:tcW w:w="23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11%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Kids’ Apparel</w:t>
            </w:r>
          </w:p>
        </w:tc>
        <w:tc>
          <w:tcPr>
            <w:tcW w:w="2540" w:type="dxa"/>
            <w:vAlign w:val="bottom"/>
          </w:tcPr>
          <w:p>
            <w:pPr>
              <w:jc w:val="right"/>
              <w:ind w:right="619"/>
              <w:spacing w:after="0"/>
              <w:rPr>
                <w:sz w:val="20"/>
                <w:szCs w:val="20"/>
                <w:color w:val="auto"/>
              </w:rPr>
            </w:pPr>
            <w:r>
              <w:rPr>
                <w:rFonts w:ascii="Arial" w:cs="Arial" w:eastAsia="Arial" w:hAnsi="Arial"/>
                <w:sz w:val="16"/>
                <w:szCs w:val="16"/>
                <w:b w:val="1"/>
                <w:bCs w:val="1"/>
                <w:color w:val="auto"/>
              </w:rPr>
              <w:t>4%</w:t>
            </w:r>
          </w:p>
        </w:tc>
        <w:tc>
          <w:tcPr>
            <w:tcW w:w="1660" w:type="dxa"/>
            <w:vAlign w:val="bottom"/>
          </w:tcPr>
          <w:p>
            <w:pPr>
              <w:jc w:val="right"/>
              <w:ind w:right="339"/>
              <w:spacing w:after="0"/>
              <w:rPr>
                <w:sz w:val="20"/>
                <w:szCs w:val="20"/>
                <w:color w:val="auto"/>
              </w:rPr>
            </w:pPr>
            <w:r>
              <w:rPr>
                <w:rFonts w:ascii="Arial" w:cs="Arial" w:eastAsia="Arial" w:hAnsi="Arial"/>
                <w:sz w:val="16"/>
                <w:szCs w:val="16"/>
                <w:color w:val="auto"/>
              </w:rPr>
              <w:t>4%</w:t>
            </w:r>
          </w:p>
        </w:tc>
        <w:tc>
          <w:tcPr>
            <w:tcW w:w="2340" w:type="dxa"/>
            <w:vAlign w:val="bottom"/>
          </w:tcPr>
          <w:p>
            <w:pPr>
              <w:jc w:val="right"/>
              <w:ind w:right="679"/>
              <w:spacing w:after="0"/>
              <w:rPr>
                <w:sz w:val="20"/>
                <w:szCs w:val="20"/>
                <w:color w:val="auto"/>
              </w:rPr>
            </w:pPr>
            <w:r>
              <w:rPr>
                <w:rFonts w:ascii="Arial" w:cs="Arial" w:eastAsia="Arial" w:hAnsi="Arial"/>
                <w:sz w:val="16"/>
                <w:szCs w:val="16"/>
                <w:b w:val="1"/>
                <w:bCs w:val="1"/>
                <w:color w:val="auto"/>
              </w:rPr>
              <w:t>4%</w:t>
            </w: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5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w:t>
            </w:r>
          </w:p>
        </w:tc>
        <w:tc>
          <w:tcPr>
            <w:tcW w:w="166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w:t>
            </w:r>
          </w:p>
        </w:tc>
        <w:tc>
          <w:tcPr>
            <w:tcW w:w="23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3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25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100%</w:t>
            </w:r>
          </w:p>
        </w:tc>
        <w:tc>
          <w:tcPr>
            <w:tcW w:w="16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100%</w:t>
            </w:r>
          </w:p>
        </w:tc>
        <w:tc>
          <w:tcPr>
            <w:tcW w:w="234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100%</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3"/>
        </w:trPr>
        <w:tc>
          <w:tcPr>
            <w:tcW w:w="3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 of 28</w:t>
      </w:r>
    </w:p>
    <w:p>
      <w:pPr>
        <w:sectPr>
          <w:pgSz w:w="11900" w:h="16838" w:orient="portrait"/>
          <w:cols w:equalWidth="0" w:num="1">
            <w:col w:w="11420"/>
          </w:cols>
          <w:pgMar w:left="240" w:top="279" w:right="23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REPORTING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2"/>
          </w:tcPr>
          <w:p>
            <w:pPr>
              <w:jc w:val="right"/>
              <w:ind w:right="9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2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380" w:type="dxa"/>
            <w:vAlign w:val="bottom"/>
          </w:tcPr>
          <w:p>
            <w:pPr>
              <w:jc w:val="right"/>
              <w:ind w:right="699"/>
              <w:spacing w:after="0"/>
              <w:rPr>
                <w:sz w:val="20"/>
                <w:szCs w:val="20"/>
                <w:color w:val="auto"/>
              </w:rPr>
            </w:pPr>
            <w:r>
              <w:rPr>
                <w:rFonts w:ascii="Arial" w:cs="Arial" w:eastAsia="Arial" w:hAnsi="Arial"/>
                <w:sz w:val="16"/>
                <w:szCs w:val="16"/>
                <w:b w:val="1"/>
                <w:bCs w:val="1"/>
                <w:color w:val="auto"/>
              </w:rPr>
              <w:t>August 3, 2019</w:t>
            </w: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4, 2018</w:t>
            </w:r>
          </w:p>
        </w:tc>
        <w:tc>
          <w:tcPr>
            <w:tcW w:w="19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 2019</w:t>
            </w:r>
          </w:p>
        </w:tc>
        <w:tc>
          <w:tcPr>
            <w:tcW w:w="1500" w:type="dxa"/>
            <w:vAlign w:val="bottom"/>
          </w:tcPr>
          <w:p>
            <w:pPr>
              <w:jc w:val="right"/>
              <w:ind w:right="19"/>
              <w:spacing w:after="0"/>
              <w:rPr>
                <w:sz w:val="20"/>
                <w:szCs w:val="20"/>
                <w:color w:val="auto"/>
              </w:rPr>
            </w:pPr>
            <w:r>
              <w:rPr>
                <w:rFonts w:ascii="Arial" w:cs="Arial" w:eastAsia="Arial" w:hAnsi="Arial"/>
                <w:sz w:val="16"/>
                <w:szCs w:val="16"/>
                <w:b w:val="1"/>
                <w:bCs w:val="1"/>
                <w:color w:val="auto"/>
              </w:rPr>
              <w:t>August 4, 2018</w:t>
            </w:r>
          </w:p>
        </w:tc>
      </w:tr>
      <w:tr>
        <w:trPr>
          <w:trHeight w:val="33"/>
        </w:trPr>
        <w:tc>
          <w:tcPr>
            <w:tcW w:w="4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segment EBIT</w:t>
            </w:r>
            <w:r>
              <w:rPr>
                <w:rFonts w:ascii="Arial" w:cs="Arial" w:eastAsia="Arial" w:hAnsi="Arial"/>
                <w:sz w:val="21"/>
                <w:szCs w:val="21"/>
                <w:color w:val="auto"/>
                <w:vertAlign w:val="superscript"/>
              </w:rPr>
              <w:t>1</w:t>
            </w:r>
          </w:p>
        </w:tc>
        <w:tc>
          <w:tcPr>
            <w:tcW w:w="23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$272</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$414</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Corporate/Other loss before interest and income taxes</w:t>
            </w:r>
            <w:r>
              <w:rPr>
                <w:rFonts w:ascii="Arial" w:cs="Arial" w:eastAsia="Arial" w:hAnsi="Arial"/>
                <w:sz w:val="21"/>
                <w:szCs w:val="21"/>
                <w:color w:val="auto"/>
                <w:vertAlign w:val="superscript"/>
              </w:rPr>
              <w:t>1</w:t>
            </w:r>
          </w:p>
        </w:tc>
        <w:tc>
          <w:tcPr>
            <w:tcW w:w="2380" w:type="dxa"/>
            <w:vAlign w:val="bottom"/>
          </w:tcPr>
          <w:p>
            <w:pPr>
              <w:jc w:val="right"/>
              <w:ind w:right="639"/>
              <w:spacing w:after="0"/>
              <w:rPr>
                <w:sz w:val="20"/>
                <w:szCs w:val="20"/>
                <w:color w:val="auto"/>
              </w:rPr>
            </w:pPr>
            <w:r>
              <w:rPr>
                <w:rFonts w:ascii="Arial" w:cs="Arial" w:eastAsia="Arial" w:hAnsi="Arial"/>
                <w:sz w:val="16"/>
                <w:szCs w:val="16"/>
                <w:b w:val="1"/>
                <w:bCs w:val="1"/>
                <w:color w:val="auto"/>
              </w:rPr>
              <w:t>(56)</w:t>
            </w: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3"/>
                <w:szCs w:val="23"/>
                <w:color w:val="auto"/>
              </w:rPr>
            </w:pPr>
          </w:p>
        </w:tc>
        <w:tc>
          <w:tcPr>
            <w:tcW w:w="1980" w:type="dxa"/>
            <w:vAlign w:val="bottom"/>
          </w:tcPr>
          <w:p>
            <w:pPr>
              <w:jc w:val="right"/>
              <w:ind w:right="279"/>
              <w:spacing w:after="0"/>
              <w:rPr>
                <w:sz w:val="20"/>
                <w:szCs w:val="20"/>
                <w:color w:val="auto"/>
              </w:rPr>
            </w:pPr>
            <w:r>
              <w:rPr>
                <w:rFonts w:ascii="Arial" w:cs="Arial" w:eastAsia="Arial" w:hAnsi="Arial"/>
                <w:sz w:val="16"/>
                <w:szCs w:val="16"/>
                <w:b w:val="1"/>
                <w:bCs w:val="1"/>
                <w:color w:val="auto"/>
              </w:rPr>
              <w:t>(122)</w:t>
            </w:r>
          </w:p>
        </w:tc>
        <w:tc>
          <w:tcPr>
            <w:tcW w:w="15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38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(46)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before income taxes</w:t>
            </w:r>
          </w:p>
        </w:tc>
        <w:tc>
          <w:tcPr>
            <w:tcW w:w="2380" w:type="dxa"/>
            <w:vAlign w:val="bottom"/>
            <w:tcBorders>
              <w:top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$193</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w:t>
            </w:r>
          </w:p>
        </w:tc>
        <w:tc>
          <w:tcPr>
            <w:tcW w:w="1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$246</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r>
    </w:tbl>
    <w:p>
      <w:pPr>
        <w:spacing w:after="0" w:line="28"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Certain reclassifications were made to fiscal 2018 amounts to conform with current period presentation, which is the way that management views our results internally.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disaggregated revenues, see Note 3: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31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3, 2019</w:t>
            </w:r>
          </w:p>
        </w:tc>
        <w:tc>
          <w:tcPr>
            <w:tcW w:w="2000" w:type="dxa"/>
            <w:vAlign w:val="bottom"/>
          </w:tcPr>
          <w:p>
            <w:pPr>
              <w:jc w:val="right"/>
              <w:ind w:right="379"/>
              <w:spacing w:after="0"/>
              <w:rPr>
                <w:sz w:val="20"/>
                <w:szCs w:val="20"/>
                <w:color w:val="auto"/>
              </w:rPr>
            </w:pPr>
            <w:r>
              <w:rPr>
                <w:rFonts w:ascii="Arial" w:cs="Arial" w:eastAsia="Arial" w:hAnsi="Arial"/>
                <w:sz w:val="16"/>
                <w:szCs w:val="16"/>
                <w:b w:val="1"/>
                <w:bCs w:val="1"/>
                <w:color w:val="auto"/>
              </w:rPr>
              <w:t>February 2, 2019</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August 4, 2018</w:t>
            </w:r>
          </w:p>
        </w:tc>
      </w:tr>
      <w:tr>
        <w:trPr>
          <w:trHeight w:val="33"/>
        </w:trPr>
        <w:tc>
          <w:tcPr>
            <w:tcW w:w="47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unamortized discount:</w:t>
            </w:r>
          </w:p>
        </w:tc>
        <w:tc>
          <w:tcPr>
            <w:tcW w:w="3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4760" w:type="dxa"/>
            <w:vAlign w:val="bottom"/>
          </w:tcPr>
          <w:p>
            <w:pPr>
              <w:ind w:left="280"/>
              <w:spacing w:after="0"/>
              <w:rPr>
                <w:sz w:val="20"/>
                <w:szCs w:val="20"/>
                <w:color w:val="auto"/>
              </w:rPr>
            </w:pPr>
            <w:r>
              <w:rPr>
                <w:rFonts w:ascii="Arial" w:cs="Arial" w:eastAsia="Arial" w:hAnsi="Arial"/>
                <w:sz w:val="16"/>
                <w:szCs w:val="16"/>
                <w:color w:val="auto"/>
              </w:rPr>
              <w:t>Senior notes, 4.75%, due May 2020</w:t>
            </w:r>
          </w:p>
        </w:tc>
        <w:tc>
          <w:tcPr>
            <w:tcW w:w="3100" w:type="dxa"/>
            <w:vAlign w:val="bottom"/>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$500</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4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4.00%, due October 2021</w:t>
            </w:r>
          </w:p>
        </w:tc>
        <w:tc>
          <w:tcPr>
            <w:tcW w:w="31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500</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4760" w:type="dxa"/>
            <w:vAlign w:val="bottom"/>
          </w:tcPr>
          <w:p>
            <w:pPr>
              <w:ind w:left="280"/>
              <w:spacing w:after="0"/>
              <w:rPr>
                <w:sz w:val="20"/>
                <w:szCs w:val="20"/>
                <w:color w:val="auto"/>
              </w:rPr>
            </w:pPr>
            <w:r>
              <w:rPr>
                <w:rFonts w:ascii="Arial" w:cs="Arial" w:eastAsia="Arial" w:hAnsi="Arial"/>
                <w:sz w:val="16"/>
                <w:szCs w:val="16"/>
                <w:color w:val="auto"/>
              </w:rPr>
              <w:t>Senior notes, 4.00%, due March 2027</w:t>
            </w:r>
          </w:p>
        </w:tc>
        <w:tc>
          <w:tcPr>
            <w:tcW w:w="3100" w:type="dxa"/>
            <w:vAlign w:val="bottom"/>
          </w:tcPr>
          <w:p>
            <w:pPr>
              <w:jc w:val="right"/>
              <w:ind w:right="339"/>
              <w:spacing w:after="0"/>
              <w:rPr>
                <w:sz w:val="20"/>
                <w:szCs w:val="20"/>
                <w:color w:val="auto"/>
              </w:rPr>
            </w:pPr>
            <w:r>
              <w:rPr>
                <w:rFonts w:ascii="Arial" w:cs="Arial" w:eastAsia="Arial" w:hAnsi="Arial"/>
                <w:sz w:val="16"/>
                <w:szCs w:val="16"/>
                <w:b w:val="1"/>
                <w:bCs w:val="1"/>
                <w:color w:val="auto"/>
              </w:rPr>
              <w:t>349</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349</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349</w:t>
            </w:r>
          </w:p>
        </w:tc>
      </w:tr>
      <w:tr>
        <w:trPr>
          <w:trHeight w:val="33"/>
        </w:trPr>
        <w:tc>
          <w:tcPr>
            <w:tcW w:w="4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debentures, 6.95%, due March 2028</w:t>
            </w:r>
          </w:p>
        </w:tc>
        <w:tc>
          <w:tcPr>
            <w:tcW w:w="31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300</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300</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4760" w:type="dxa"/>
            <w:vAlign w:val="bottom"/>
          </w:tcPr>
          <w:p>
            <w:pPr>
              <w:ind w:left="280"/>
              <w:spacing w:after="0"/>
              <w:rPr>
                <w:sz w:val="20"/>
                <w:szCs w:val="20"/>
                <w:color w:val="auto"/>
              </w:rPr>
            </w:pPr>
            <w:r>
              <w:rPr>
                <w:rFonts w:ascii="Arial" w:cs="Arial" w:eastAsia="Arial" w:hAnsi="Arial"/>
                <w:sz w:val="16"/>
                <w:szCs w:val="16"/>
                <w:color w:val="auto"/>
              </w:rPr>
              <w:t>Senior notes, 7.00%, due January 2038</w:t>
            </w:r>
          </w:p>
        </w:tc>
        <w:tc>
          <w:tcPr>
            <w:tcW w:w="3100" w:type="dxa"/>
            <w:vAlign w:val="bottom"/>
          </w:tcPr>
          <w:p>
            <w:pPr>
              <w:jc w:val="right"/>
              <w:ind w:right="339"/>
              <w:spacing w:after="0"/>
              <w:rPr>
                <w:sz w:val="20"/>
                <w:szCs w:val="20"/>
                <w:color w:val="auto"/>
              </w:rPr>
            </w:pPr>
            <w:r>
              <w:rPr>
                <w:rFonts w:ascii="Arial" w:cs="Arial" w:eastAsia="Arial" w:hAnsi="Arial"/>
                <w:sz w:val="16"/>
                <w:szCs w:val="16"/>
                <w:b w:val="1"/>
                <w:bCs w:val="1"/>
                <w:color w:val="auto"/>
              </w:rPr>
              <w:t>147</w:t>
            </w:r>
          </w:p>
        </w:tc>
        <w:tc>
          <w:tcPr>
            <w:tcW w:w="2000" w:type="dxa"/>
            <w:vAlign w:val="bottom"/>
          </w:tcPr>
          <w:p>
            <w:pPr>
              <w:jc w:val="right"/>
              <w:ind w:right="379"/>
              <w:spacing w:after="0"/>
              <w:rPr>
                <w:sz w:val="20"/>
                <w:szCs w:val="20"/>
                <w:color w:val="auto"/>
              </w:rPr>
            </w:pPr>
            <w:r>
              <w:rPr>
                <w:rFonts w:ascii="Arial" w:cs="Arial" w:eastAsia="Arial" w:hAnsi="Arial"/>
                <w:sz w:val="16"/>
                <w:szCs w:val="16"/>
                <w:color w:val="auto"/>
              </w:rPr>
              <w:t>146</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47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Senior notes, 5.00%, due January 2044</w:t>
            </w:r>
          </w:p>
        </w:tc>
        <w:tc>
          <w:tcPr>
            <w:tcW w:w="31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896</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895</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w:t>
            </w:r>
          </w:p>
        </w:tc>
      </w:tr>
      <w:tr>
        <w:trPr>
          <w:trHeight w:val="270"/>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(14)</w:t>
            </w:r>
          </w:p>
        </w:tc>
        <w:tc>
          <w:tcPr>
            <w:tcW w:w="2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(5)</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w:t>
            </w:r>
          </w:p>
        </w:tc>
        <w:tc>
          <w:tcPr>
            <w:tcW w:w="31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2,678</w:t>
            </w:r>
          </w:p>
        </w:tc>
        <w:tc>
          <w:tcPr>
            <w:tcW w:w="20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2,685</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w:t>
            </w:r>
          </w:p>
        </w:tc>
      </w:tr>
      <w:tr>
        <w:trPr>
          <w:trHeight w:val="291"/>
        </w:trPr>
        <w:tc>
          <w:tcPr>
            <w:tcW w:w="4760" w:type="dxa"/>
            <w:vAlign w:val="bottom"/>
            <w:tcBorders>
              <w:top w:val="single" w:sz="8" w:color="auto"/>
            </w:tcBorders>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31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(500)</w:t>
            </w:r>
          </w:p>
        </w:tc>
        <w:tc>
          <w:tcPr>
            <w:tcW w:w="2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1"/>
        </w:trPr>
        <w:tc>
          <w:tcPr>
            <w:tcW w:w="4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31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$2,178</w:t>
            </w:r>
          </w:p>
        </w:tc>
        <w:tc>
          <w:tcPr>
            <w:tcW w:w="20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$2,677</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$2,680</w:t>
            </w:r>
          </w:p>
        </w:tc>
      </w:tr>
    </w:tbl>
    <w:p>
      <w:pPr>
        <w:spacing w:after="0" w:line="28"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Other primarily includes deferred bond issue costs. As of August 4, 2018, Other also included our Puerto Rico unsecured borrowing facility and secured mortgage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August 3, 2019, we had total short-term borrowing capacity of $800 under the Revolver that expires in September 2023. The Revolver contains customary representations, warranties, covenants and terms, including paying a variable rate of interest and a commitment fee based on our debt rating. The Revolver is available for working capital, capital expenditures and general corporate purposes. Provided that we obtain written consent from the lenders, we have the option to increase the Revolver by up to $200, to a total of $1,000, and two options to extend the Revolver by one year.</w:t>
      </w:r>
    </w:p>
    <w:p>
      <w:pPr>
        <w:spacing w:after="0" w:line="123" w:lineRule="exact"/>
        <w:rPr>
          <w:sz w:val="20"/>
          <w:szCs w:val="20"/>
          <w:color w:val="auto"/>
        </w:rPr>
      </w:pPr>
    </w:p>
    <w:p>
      <w:pPr>
        <w:jc w:val="both"/>
        <w:ind w:right="900"/>
        <w:spacing w:after="0" w:line="342" w:lineRule="auto"/>
        <w:rPr>
          <w:sz w:val="20"/>
          <w:szCs w:val="20"/>
          <w:color w:val="auto"/>
        </w:rPr>
      </w:pPr>
      <w:r>
        <w:rPr>
          <w:rFonts w:ascii="Arial" w:cs="Arial" w:eastAsia="Arial" w:hAnsi="Arial"/>
          <w:sz w:val="16"/>
          <w:szCs w:val="16"/>
          <w:color w:val="auto"/>
        </w:rPr>
        <w:t>The Revolver requires that we maintain an adjusted debt to EBITDAR leverage ratio of no more than four times. The Revolver’s ratio calculation methodology has not been impacted by the adoption of the new Lease Standard. As of August 3, 2019, we were in compliance with this covenant.</w:t>
      </w:r>
    </w:p>
    <w:p>
      <w:pPr>
        <w:spacing w:after="0" w:line="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while it is outstanding, of reducing available liquidity under the Revolver by an amount equal to the principal amount of commercial paper.</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As of August 3, 2019, we had no issuances outstanding under our commercial paper program and no borrowings outstanding under our Revolver.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 of 28</w:t>
      </w:r>
    </w:p>
    <w:p>
      <w:pPr>
        <w:sectPr>
          <w:pgSz w:w="11900" w:h="16838" w:orient="portrait"/>
          <w:cols w:equalWidth="0" w:num="1">
            <w:col w:w="11420"/>
          </w:cols>
          <w:pgMar w:left="240" w:top="279"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wholly owned subsidiary in Puerto Rico maintained a $52 unsecured borrowing facility to support our expansion into that market. Borrowings on this facility incurred interest at an annual rate based upon LIBOR plus 1.275% and also incurred a fee based on any unused commitment. In September 2018, we fully repaid $47 outstanding on this facility and did not renew the facility upon expiration in the fourth quarter of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Carrying Value</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Financial instruments measured at carrying value on a recurring basis include cash and cash equivalents, accounts receivable and accounts payable, which approximate fair value due to their short-term nature.</w:t>
      </w:r>
    </w:p>
    <w:p>
      <w:pPr>
        <w:spacing w:after="0" w:line="1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Long term-debt is recorded at carrying value. If long-term debt was measured at fair value, we would use quoted market prices of the same or similar issues, which is considered a Level 2 fair value measurement. The following table summarizes the carrying value and fair value estimate of our long-term debt, including current maturities: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352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 2019</w:t>
            </w:r>
          </w:p>
        </w:tc>
        <w:tc>
          <w:tcPr>
            <w:tcW w:w="2020" w:type="dxa"/>
            <w:vAlign w:val="bottom"/>
          </w:tcPr>
          <w:p>
            <w:pPr>
              <w:jc w:val="right"/>
              <w:ind w:right="359"/>
              <w:spacing w:after="0"/>
              <w:rPr>
                <w:sz w:val="20"/>
                <w:szCs w:val="20"/>
                <w:color w:val="auto"/>
              </w:rPr>
            </w:pPr>
            <w:r>
              <w:rPr>
                <w:rFonts w:ascii="Arial" w:cs="Arial" w:eastAsia="Arial" w:hAnsi="Arial"/>
                <w:sz w:val="16"/>
                <w:szCs w:val="16"/>
                <w:b w:val="1"/>
                <w:bCs w:val="1"/>
                <w:color w:val="auto"/>
              </w:rPr>
              <w:t>February 2, 2019</w:t>
            </w: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August 4, 2018</w:t>
            </w:r>
          </w:p>
        </w:tc>
      </w:tr>
      <w:tr>
        <w:trPr>
          <w:trHeight w:val="33"/>
        </w:trPr>
        <w:tc>
          <w:tcPr>
            <w:tcW w:w="43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35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$2,678</w:t>
            </w:r>
          </w:p>
        </w:tc>
        <w:tc>
          <w:tcPr>
            <w:tcW w:w="20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$2,685</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3520" w:type="dxa"/>
            <w:vAlign w:val="bottom"/>
          </w:tcPr>
          <w:p>
            <w:pPr>
              <w:jc w:val="right"/>
              <w:ind w:right="299"/>
              <w:spacing w:after="0"/>
              <w:rPr>
                <w:sz w:val="20"/>
                <w:szCs w:val="20"/>
                <w:color w:val="auto"/>
              </w:rPr>
            </w:pPr>
            <w:r>
              <w:rPr>
                <w:rFonts w:ascii="Arial" w:cs="Arial" w:eastAsia="Arial" w:hAnsi="Arial"/>
                <w:sz w:val="16"/>
                <w:szCs w:val="16"/>
                <w:b w:val="1"/>
                <w:bCs w:val="1"/>
                <w:color w:val="auto"/>
              </w:rPr>
              <w:t>2,782</w:t>
            </w:r>
          </w:p>
        </w:tc>
        <w:tc>
          <w:tcPr>
            <w:tcW w:w="2020" w:type="dxa"/>
            <w:vAlign w:val="bottom"/>
          </w:tcPr>
          <w:p>
            <w:pPr>
              <w:jc w:val="right"/>
              <w:ind w:right="359"/>
              <w:spacing w:after="0"/>
              <w:rPr>
                <w:sz w:val="20"/>
                <w:szCs w:val="20"/>
                <w:color w:val="auto"/>
              </w:rPr>
            </w:pPr>
            <w:r>
              <w:rPr>
                <w:rFonts w:ascii="Arial" w:cs="Arial" w:eastAsia="Arial" w:hAnsi="Arial"/>
                <w:sz w:val="16"/>
                <w:szCs w:val="16"/>
                <w:color w:val="auto"/>
              </w:rPr>
              <w:t>2,692</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2,797</w:t>
            </w:r>
          </w:p>
        </w:tc>
      </w:tr>
      <w:tr>
        <w:trPr>
          <w:trHeight w:val="33"/>
        </w:trPr>
        <w:tc>
          <w:tcPr>
            <w:tcW w:w="43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and long-lived tangible and intangible assets, in connection with periodic evaluations for potential impairment. We estimate the fair value of these assets using primarily unobservable inputs and, as such, these are considered Level 3 fair value measurements. There were no material impairment charges for these assets for the six months ended August 3, 2019 and August 4,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Plans for our Nordstrom NYC store, which we expect to open in October 2019, ultimately include owning a condominium interest in a mixed-use tower and leasing certain nearby properties. As of August 3, 2019, we had approximately $327 of fee interest in land, which is expected to convert to the condominium interest once the mixed-use tower is constructed. We have committed to make future installment payments based on the developer meeting pre-established construction and development milestones.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August 2018, our Board of Directors authorized a program to repurchase up to $1,500 of our outstanding common stock, with no expiration date. The following is a summary of share repurchase activity: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4, 2018</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4, 2018</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 Program</w:t>
            </w:r>
          </w:p>
        </w:tc>
        <w:tc>
          <w:tcPr>
            <w:tcW w:w="2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Shares of common stock repurchased</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4.1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Aggregate amount of common stock repurchased</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$186</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r>
      <w:tr>
        <w:trPr>
          <w:trHeight w:val="20"/>
        </w:trPr>
        <w:tc>
          <w:tcPr>
            <w:tcW w:w="378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had $707 remaining in share repurchase capacity as of August 3, 2019. The actual timing, price, manner and amounts of future share repurchases, if any, will be subject to market and economic conditions and applicable SEC rules.</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August 2019, subsequent to quarter end, we declared a quarterly dividend of $0.37 per share, which will be paid on September 16, 2019 to shareholders of record at the close of business on August 30, 2019.</w:t>
      </w:r>
    </w:p>
    <w:p>
      <w:pPr>
        <w:sectPr>
          <w:pgSz w:w="11900" w:h="16838" w:orient="portrait"/>
          <w:cols w:equalWidth="0" w:num="1">
            <w:col w:w="11420"/>
          </w:cols>
          <w:pgMar w:left="240" w:top="279" w:right="2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 of 28</w:t>
      </w:r>
    </w:p>
    <w:p>
      <w:pPr>
        <w:sectPr>
          <w:pgSz w:w="11900" w:h="16838" w:orient="portrait"/>
          <w:cols w:equalWidth="0" w:num="1">
            <w:col w:w="11420"/>
          </w:cols>
          <w:pgMar w:left="240" w:top="279" w:right="239" w:bottom="1440" w:gutter="0" w:footer="0" w:header="0"/>
          <w:type w:val="continuous"/>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May 2019, our shareholders approved the adoption of the 2019 Plan, which replaced the 2002 Plan and the 2010 Plan. The 2019 Plan authorizes the grant of stock options, PSU, RSUs, stock appreciation rights and both restricted and unrestricted shares of common stock to employees and nonemployee directors. The aggregate number of shares to be issued under the 2019 Plan may not exceed 9.5 plus any shares currently outstanding under the 2010 Plan. No future grants will be made under the 2002 Plan and the 2010 Plan.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4, 2018</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4, 2018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$14</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$28</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3</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7</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5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shd w:val="clear" w:color="auto" w:fill="CCEEFF"/>
          </w:tcPr>
          <w:p>
            <w:pPr>
              <w:spacing w:after="0"/>
              <w:rPr>
                <w:sz w:val="23"/>
                <w:szCs w:val="23"/>
                <w:color w:val="auto"/>
              </w:rPr>
            </w:pPr>
          </w:p>
        </w:tc>
        <w:tc>
          <w:tcPr>
            <w:tcW w:w="25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5</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780" w:type="dxa"/>
            <w:vAlign w:val="bottom"/>
          </w:tcPr>
          <w:p>
            <w:pPr>
              <w:ind w:left="40"/>
              <w:spacing w:after="0"/>
              <w:rPr>
                <w:sz w:val="20"/>
                <w:szCs w:val="20"/>
                <w:color w:val="auto"/>
              </w:rPr>
            </w:pPr>
            <w:r>
              <w:rPr>
                <w:rFonts w:ascii="Arial" w:cs="Arial" w:eastAsia="Arial" w:hAnsi="Arial"/>
                <w:sz w:val="16"/>
                <w:szCs w:val="16"/>
                <w:color w:val="auto"/>
                <w:w w:val="91"/>
              </w:rPr>
              <w:t>Total stock-based compensation expense, before income</w:t>
            </w:r>
          </w:p>
        </w:tc>
        <w:tc>
          <w:tcPr>
            <w:tcW w:w="256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20</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80"/>
              <w:spacing w:after="0"/>
              <w:rPr>
                <w:sz w:val="20"/>
                <w:szCs w:val="20"/>
                <w:color w:val="auto"/>
              </w:rPr>
            </w:pPr>
            <w:r>
              <w:rPr>
                <w:rFonts w:ascii="Arial" w:cs="Arial" w:eastAsia="Arial" w:hAnsi="Arial"/>
                <w:sz w:val="16"/>
                <w:szCs w:val="16"/>
                <w:color w:val="auto"/>
              </w:rPr>
              <w:t>tax benefit</w:t>
            </w:r>
          </w:p>
        </w:tc>
        <w:tc>
          <w:tcPr>
            <w:tcW w:w="2560" w:type="dxa"/>
            <w:vAlign w:val="bottom"/>
            <w:vMerge w:val="continue"/>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2540" w:type="dxa"/>
            <w:vAlign w:val="bottom"/>
            <w:vMerge w:val="continue"/>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56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stock-based compensation expense, net of</w:t>
            </w:r>
          </w:p>
        </w:tc>
        <w:tc>
          <w:tcPr>
            <w:tcW w:w="25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80"/>
              <w:spacing w:after="0"/>
              <w:rPr>
                <w:sz w:val="20"/>
                <w:szCs w:val="20"/>
                <w:color w:val="auto"/>
              </w:rPr>
            </w:pPr>
            <w:r>
              <w:rPr>
                <w:rFonts w:ascii="Arial" w:cs="Arial" w:eastAsia="Arial" w:hAnsi="Arial"/>
                <w:sz w:val="16"/>
                <w:szCs w:val="16"/>
                <w:b w:val="1"/>
                <w:bCs w:val="1"/>
                <w:color w:val="auto"/>
              </w:rPr>
              <w:t>income tax benefit</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$15</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$30</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Other stock-based compensation expense includes PSUs, ESPP and nonemployee director stock awards.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grant allocations: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60" w:type="dxa"/>
            <w:vAlign w:val="bottom"/>
            <w:gridSpan w:val="3"/>
          </w:tcPr>
          <w:p>
            <w:pPr>
              <w:ind w:left="1200"/>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4740" w:type="dxa"/>
            <w:vAlign w:val="bottom"/>
            <w:tcBorders>
              <w:bottom w:val="single" w:sz="8" w:color="auto"/>
            </w:tcBorders>
            <w:gridSpan w:val="4"/>
          </w:tcPr>
          <w:p>
            <w:pPr>
              <w:spacing w:after="0"/>
              <w:rPr>
                <w:sz w:val="2"/>
                <w:szCs w:val="2"/>
                <w:color w:val="auto"/>
              </w:rPr>
            </w:pPr>
          </w:p>
        </w:tc>
        <w:tc>
          <w:tcPr>
            <w:tcW w:w="290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4740" w:type="dxa"/>
            <w:vAlign w:val="bottom"/>
            <w:gridSpan w:val="4"/>
          </w:tcPr>
          <w:p>
            <w:pPr>
              <w:ind w:left="1380"/>
              <w:spacing w:after="0"/>
              <w:rPr>
                <w:sz w:val="20"/>
                <w:szCs w:val="20"/>
                <w:color w:val="auto"/>
              </w:rPr>
            </w:pPr>
            <w:r>
              <w:rPr>
                <w:rFonts w:ascii="Arial" w:cs="Arial" w:eastAsia="Arial" w:hAnsi="Arial"/>
                <w:sz w:val="16"/>
                <w:szCs w:val="16"/>
                <w:b w:val="1"/>
                <w:bCs w:val="1"/>
                <w:color w:val="auto"/>
              </w:rPr>
              <w:t>August 3, 2019</w:t>
            </w:r>
          </w:p>
        </w:tc>
        <w:tc>
          <w:tcPr>
            <w:tcW w:w="2900" w:type="dxa"/>
            <w:vAlign w:val="bottom"/>
            <w:gridSpan w:val="2"/>
          </w:tcPr>
          <w:p>
            <w:pPr>
              <w:jc w:val="right"/>
              <w:ind w:right="1279"/>
              <w:spacing w:after="0"/>
              <w:rPr>
                <w:sz w:val="20"/>
                <w:szCs w:val="20"/>
                <w:color w:val="auto"/>
              </w:rPr>
            </w:pPr>
            <w:r>
              <w:rPr>
                <w:rFonts w:ascii="Arial" w:cs="Arial" w:eastAsia="Arial" w:hAnsi="Arial"/>
                <w:sz w:val="16"/>
                <w:szCs w:val="16"/>
                <w:b w:val="1"/>
                <w:bCs w:val="1"/>
                <w:color w:val="auto"/>
              </w:rPr>
              <w:t>August 4, 2018</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760" w:type="dxa"/>
            <w:vAlign w:val="bottom"/>
            <w:gridSpan w:val="3"/>
          </w:tcPr>
          <w:p>
            <w:pPr>
              <w:jc w:val="right"/>
              <w:ind w:right="1060"/>
              <w:spacing w:after="0"/>
              <w:rPr>
                <w:sz w:val="20"/>
                <w:szCs w:val="20"/>
                <w:color w:val="auto"/>
              </w:rPr>
            </w:pPr>
            <w:r>
              <w:rPr>
                <w:rFonts w:ascii="Arial" w:cs="Arial" w:eastAsia="Arial" w:hAnsi="Arial"/>
                <w:sz w:val="16"/>
                <w:szCs w:val="16"/>
                <w:b w:val="1"/>
                <w:bCs w:val="1"/>
                <w:color w:val="auto"/>
              </w:rPr>
              <w:t>Weighted-average</w:t>
            </w:r>
          </w:p>
        </w:tc>
        <w:tc>
          <w:tcPr>
            <w:tcW w:w="112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760" w:type="dxa"/>
            <w:vAlign w:val="bottom"/>
            <w:gridSpan w:val="3"/>
          </w:tcPr>
          <w:p>
            <w:pPr>
              <w:jc w:val="right"/>
              <w:ind w:right="1060"/>
              <w:spacing w:after="0"/>
              <w:rPr>
                <w:sz w:val="20"/>
                <w:szCs w:val="20"/>
                <w:color w:val="auto"/>
              </w:rPr>
            </w:pPr>
            <w:r>
              <w:rPr>
                <w:rFonts w:ascii="Arial" w:cs="Arial" w:eastAsia="Arial" w:hAnsi="Arial"/>
                <w:sz w:val="16"/>
                <w:szCs w:val="16"/>
                <w:b w:val="1"/>
                <w:bCs w:val="1"/>
                <w:color w:val="auto"/>
              </w:rPr>
              <w:t>grant-date fair value</w:t>
            </w:r>
          </w:p>
        </w:tc>
        <w:tc>
          <w:tcPr>
            <w:tcW w:w="112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grant-date fair value</w:t>
            </w:r>
          </w:p>
        </w:tc>
      </w:tr>
      <w:tr>
        <w:trPr>
          <w:trHeight w:val="210"/>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Granted</w:t>
            </w:r>
          </w:p>
        </w:tc>
        <w:tc>
          <w:tcPr>
            <w:tcW w:w="2760" w:type="dxa"/>
            <w:vAlign w:val="bottom"/>
            <w:gridSpan w:val="3"/>
          </w:tcPr>
          <w:p>
            <w:pPr>
              <w:jc w:val="right"/>
              <w:ind w:right="1060"/>
              <w:spacing w:after="0"/>
              <w:rPr>
                <w:sz w:val="20"/>
                <w:szCs w:val="20"/>
                <w:color w:val="auto"/>
              </w:rPr>
            </w:pPr>
            <w:r>
              <w:rPr>
                <w:rFonts w:ascii="Arial" w:cs="Arial" w:eastAsia="Arial" w:hAnsi="Arial"/>
                <w:sz w:val="16"/>
                <w:szCs w:val="16"/>
                <w:b w:val="1"/>
                <w:bCs w:val="1"/>
                <w:color w:val="auto"/>
              </w:rPr>
              <w:t>per unit</w:t>
            </w: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RSUs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1.1</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2.1</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1.0</w:t>
            </w: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PSUs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0.3</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37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Under our deferred and stock-based compensation plan arrangements, the Company issued 0.3 and 1.4 shares of common stock during the quarter and six months ended August 3, 2019 and 1.2 and 2.3 shares during the quarter and six months ended August 4,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EPS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4, 2018</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4, 2018</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$141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$177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91"/>
        </w:trPr>
        <w:tc>
          <w:tcPr>
            <w:tcW w:w="378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155.0</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155.0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Dilutive effect of common stock equivalents</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0.6</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0.9</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155.6</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170.3</w:t>
            </w:r>
          </w:p>
        </w:tc>
        <w:tc>
          <w:tcPr>
            <w:tcW w:w="12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155.9</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170.3</w:t>
            </w:r>
          </w:p>
        </w:tc>
      </w:tr>
      <w:tr>
        <w:trPr>
          <w:trHeight w:val="291"/>
        </w:trPr>
        <w:tc>
          <w:tcPr>
            <w:tcW w:w="378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basic share</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$0.91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$1.14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Earnings per diluted share</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$0.90</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$1.14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3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3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Anti-dilutive common stock equivalents</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11.5</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10.4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9"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 of 28</w:t>
      </w:r>
    </w:p>
    <w:p>
      <w:pPr>
        <w:sectPr>
          <w:pgSz w:w="11900" w:h="16838" w:orient="portrait"/>
          <w:cols w:equalWidth="0" w:num="1">
            <w:col w:w="11420"/>
          </w:cols>
          <w:pgMar w:left="240" w:top="279" w:right="2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In the second quarter of 2019, we delivered strong bottom-line results, demonstrating our inventory and expense execution. We exited the quarter in a favorable inventory position and made significant strides in productivity. While net earnings of $141, or $0.90 per diluted share, were ahead of our expectations, our net sales decrease of 5.1% was around the low end of our expectations. This reflected a challenging start to the quarter as well as softer performance for our Anniversary Sale and Off-Price business.</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Last quarter, we emphasized our top-line focus related to loyalty, digital marketing and merchandising. We saw positive outcomes in the second quarter from the execution of our loyalty and digital marketing programs. In addition, we are continuing to re-balance our merchandise assortment to align with customer expectations. Our progress in the second quarter along with our strong ending inventory position and plans for the second half give us confidence in our ability to turn around our current sales trend.</w:t>
      </w:r>
    </w:p>
    <w:p>
      <w:pPr>
        <w:spacing w:after="0" w:line="13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Anniversary Sale is a unique event in our Full-Price business featuring new merchandise at reduced prices for a limited time. Our strategy for 2019 focused on three objectives: increase customer satisfaction, drive sales and improve the economics of the event. While we are seeing early indications that the event resonated well with customers and that we improved our operational metrics, sales were softer than expected. Based on feedback from our customers, we curated our offering to highlight their favorite brands. This resulted in better sell-through, which is expected to benefit merchandise margins in the third quarter. However, we did not have enough depth in key items, and we are addressing this in the second half of the year, particularly for the holidays.</w:t>
      </w:r>
    </w:p>
    <w:p>
      <w:pPr>
        <w:spacing w:after="0" w:line="10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Off-Price, we are amplifying our marketing efforts and making strategic inventory investments to achieve a constant flow of newness. To drive traffic, we recently launched our Nordstrom Rack television campaign and are increasing the number and quality of flash sale events on HauteLook. In addition, we are being opportunistic in the marketplace by accelerating fall merchandise receipts.</w:t>
      </w:r>
    </w:p>
    <w:p>
      <w:pPr>
        <w:spacing w:after="0" w:line="12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expense performance exceeded expectations. We continued to bend the expense curve, tracking ahead of our annual expense savings plan of $150 to $200. These efficiency initiatives include realignment of our support structures in stores, end-to-end process improvements in supply chain and technology, and lower discretionary spend.</w:t>
      </w:r>
    </w:p>
    <w:p>
      <w:pPr>
        <w:spacing w:after="0" w:line="12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this dynamic retail environment, we are evolving our business to enable a seamless shopping journey. Our local market strategy leverages our physical and digital assets to provide greater access to merchandise selection, with faster delivery and at a lower cost to us. Our goal is to gain share in our most important markets by increasing customer engagement through services and leveraging inventory.</w:t>
      </w:r>
    </w:p>
    <w:p>
      <w:pPr>
        <w:spacing w:after="0" w:line="19" w:lineRule="exact"/>
        <w:rPr>
          <w:sz w:val="20"/>
          <w:szCs w:val="20"/>
          <w:color w:val="auto"/>
        </w:rPr>
      </w:pPr>
    </w:p>
    <w:p>
      <w:pPr>
        <w:ind w:left="340" w:right="420" w:hanging="170"/>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scaling our local market strategy in Los Angeles, our largest market, and seeing compelling results in predictive metrics for customer engagement, spend and inventory efficiencies. For example, we began offering customers up to seven times more selection to be available next day, which contributed to BOPUS sales nearly tripling in July.</w:t>
      </w:r>
    </w:p>
    <w:p>
      <w:pPr>
        <w:spacing w:after="0" w:line="19" w:lineRule="exact"/>
        <w:rPr>
          <w:rFonts w:ascii="Arial" w:cs="Arial" w:eastAsia="Arial" w:hAnsi="Arial"/>
          <w:sz w:val="18"/>
          <w:szCs w:val="18"/>
          <w:color w:val="auto"/>
        </w:rPr>
      </w:pPr>
    </w:p>
    <w:p>
      <w:pPr>
        <w:ind w:left="340" w:hanging="170"/>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significantly expand our presence in New York City, our largest online market, with the opening of our flagship store on October 24 and two Nordstrom Locals in September. With these openings, we expect to drive a meaningful sales lift in this important market. We will also leverage our seven locations, including Nordstrom Rack and Trunk Club, to increase customer engagement in that market by offering customers expanded services such as returns, BOPUS, and alterations.</w:t>
      </w:r>
    </w:p>
    <w:p>
      <w:pPr>
        <w:spacing w:after="0" w:line="133"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Our framework to drive shareholder value remains consistent: gain market share, improve profitability and returns, and maintain a disciplined capital allocation approach. We are focused on our priorities to drive top-line results, improve profitability and execute key strategies to enhance the customer experience. We will continue to evolve our business to better serve customers on their terms, no matter how they choose to shop.</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 of 28</w:t>
      </w:r>
    </w:p>
    <w:p>
      <w:pPr>
        <w:sectPr>
          <w:pgSz w:w="11900" w:h="16838" w:orient="portrait"/>
          <w:cols w:equalWidth="0" w:num="1">
            <w:col w:w="11400"/>
          </w:cols>
          <w:pgMar w:left="240" w:top="279"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our ongoing effort to enhance the customer experience, we are focused on providing customers with a seamless experience across our channels. We invested early in our Omni-channel capabilities, integrating our operations, merchandising and technology across our stores and online, in both our Full-Price and Off-Price businesses. While our customers may engage with us through multiple channels, we know they value the overall Nordstrom brand experience and view us simply as Nordstrom, which is ultimately how we view our business. We have one Retail reportable segment and analyze our results on a total company basis.</w:t>
      </w:r>
    </w:p>
    <w:p>
      <w:pPr>
        <w:spacing w:after="0" w:line="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measure our performance through market share, operational and net sales metrics. As this is how we measure our performance, and as comparable sales growth is expected to approximate net sales growth in 2019, we only report changes in net sales.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by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3880" w:type="dxa"/>
            <w:vAlign w:val="bottom"/>
            <w:gridSpan w:val="3"/>
          </w:tcPr>
          <w:p>
            <w:pPr>
              <w:ind w:left="1380"/>
              <w:spacing w:after="0"/>
              <w:rPr>
                <w:sz w:val="20"/>
                <w:szCs w:val="20"/>
                <w:color w:val="auto"/>
              </w:rPr>
            </w:pPr>
            <w:r>
              <w:rPr>
                <w:rFonts w:ascii="Arial" w:cs="Arial" w:eastAsia="Arial" w:hAnsi="Arial"/>
                <w:sz w:val="16"/>
                <w:szCs w:val="16"/>
                <w:b w:val="1"/>
                <w:bCs w:val="1"/>
                <w:color w:val="auto"/>
              </w:rPr>
              <w:t>Quarter Ended</w:t>
            </w:r>
          </w:p>
        </w:tc>
        <w:tc>
          <w:tcPr>
            <w:tcW w:w="3780" w:type="dxa"/>
            <w:vAlign w:val="bottom"/>
            <w:gridSpan w:val="2"/>
          </w:tcPr>
          <w:p>
            <w:pPr>
              <w:jc w:val="right"/>
              <w:ind w:right="115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7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1"/>
        </w:trPr>
        <w:tc>
          <w:tcPr>
            <w:tcW w:w="3760" w:type="dxa"/>
            <w:vAlign w:val="bottom"/>
          </w:tcPr>
          <w:p>
            <w:pPr>
              <w:spacing w:after="0"/>
              <w:rPr>
                <w:sz w:val="20"/>
                <w:szCs w:val="20"/>
                <w:color w:val="auto"/>
              </w:rPr>
            </w:pPr>
          </w:p>
        </w:tc>
        <w:tc>
          <w:tcPr>
            <w:tcW w:w="192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 2019</w:t>
            </w:r>
          </w:p>
        </w:tc>
        <w:tc>
          <w:tcPr>
            <w:tcW w:w="1960" w:type="dxa"/>
            <w:vAlign w:val="bottom"/>
            <w:gridSpan w:val="2"/>
          </w:tcPr>
          <w:p>
            <w:pPr>
              <w:ind w:left="480"/>
              <w:spacing w:after="0"/>
              <w:rPr>
                <w:sz w:val="20"/>
                <w:szCs w:val="20"/>
                <w:color w:val="auto"/>
              </w:rPr>
            </w:pPr>
            <w:r>
              <w:rPr>
                <w:rFonts w:ascii="Arial" w:cs="Arial" w:eastAsia="Arial" w:hAnsi="Arial"/>
                <w:sz w:val="16"/>
                <w:szCs w:val="16"/>
                <w:b w:val="1"/>
                <w:bCs w:val="1"/>
                <w:color w:val="auto"/>
              </w:rPr>
              <w:t>August 4, 2018</w:t>
            </w: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 2019</w:t>
            </w:r>
          </w:p>
        </w:tc>
        <w:tc>
          <w:tcPr>
            <w:tcW w:w="184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4, 2018</w:t>
            </w:r>
          </w:p>
        </w:tc>
      </w:tr>
      <w:tr>
        <w:trPr>
          <w:trHeight w:val="33"/>
        </w:trPr>
        <w:tc>
          <w:tcPr>
            <w:tcW w:w="3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 by business:</w:t>
            </w:r>
          </w:p>
        </w:tc>
        <w:tc>
          <w:tcPr>
            <w:tcW w:w="19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Full-Price</w:t>
            </w:r>
          </w:p>
        </w:tc>
        <w:tc>
          <w:tcPr>
            <w:tcW w:w="1920" w:type="dxa"/>
            <w:vAlign w:val="bottom"/>
          </w:tcPr>
          <w:p>
            <w:pPr>
              <w:jc w:val="right"/>
              <w:ind w:right="379"/>
              <w:spacing w:after="0"/>
              <w:rPr>
                <w:sz w:val="20"/>
                <w:szCs w:val="20"/>
                <w:color w:val="auto"/>
              </w:rPr>
            </w:pPr>
            <w:r>
              <w:rPr>
                <w:rFonts w:ascii="Arial" w:cs="Arial" w:eastAsia="Arial" w:hAnsi="Arial"/>
                <w:sz w:val="16"/>
                <w:szCs w:val="16"/>
                <w:b w:val="1"/>
                <w:bCs w:val="1"/>
                <w:color w:val="auto"/>
              </w:rPr>
              <w:t>$2,530</w:t>
            </w:r>
          </w:p>
        </w:tc>
        <w:tc>
          <w:tcPr>
            <w:tcW w:w="1860" w:type="dxa"/>
            <w:vAlign w:val="bottom"/>
          </w:tcPr>
          <w:p>
            <w:pPr>
              <w:jc w:val="right"/>
              <w:ind w:right="279"/>
              <w:spacing w:after="0"/>
              <w:rPr>
                <w:sz w:val="20"/>
                <w:szCs w:val="20"/>
                <w:color w:val="auto"/>
              </w:rPr>
            </w:pPr>
            <w:r>
              <w:rPr>
                <w:rFonts w:ascii="Arial" w:cs="Arial" w:eastAsia="Arial" w:hAnsi="Arial"/>
                <w:sz w:val="16"/>
                <w:szCs w:val="16"/>
                <w:color w:val="auto"/>
              </w:rPr>
              <w:t>$2,707</w:t>
            </w:r>
          </w:p>
        </w:tc>
        <w:tc>
          <w:tcPr>
            <w:tcW w:w="100" w:type="dxa"/>
            <w:vAlign w:val="bottom"/>
          </w:tcPr>
          <w:p>
            <w:pPr>
              <w:spacing w:after="0"/>
              <w:rPr>
                <w:sz w:val="20"/>
                <w:szCs w:val="20"/>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$4,657</w:t>
            </w:r>
          </w:p>
        </w:tc>
        <w:tc>
          <w:tcPr>
            <w:tcW w:w="1840" w:type="dxa"/>
            <w:vAlign w:val="bottom"/>
          </w:tcPr>
          <w:p>
            <w:pPr>
              <w:jc w:val="right"/>
              <w:ind w:right="279"/>
              <w:spacing w:after="0"/>
              <w:rPr>
                <w:sz w:val="20"/>
                <w:szCs w:val="20"/>
                <w:color w:val="auto"/>
              </w:rPr>
            </w:pPr>
            <w:r>
              <w:rPr>
                <w:rFonts w:ascii="Arial" w:cs="Arial" w:eastAsia="Arial" w:hAnsi="Arial"/>
                <w:sz w:val="16"/>
                <w:szCs w:val="16"/>
                <w:color w:val="auto"/>
              </w:rPr>
              <w:t>$4,948</w:t>
            </w:r>
          </w:p>
        </w:tc>
      </w:tr>
      <w:tr>
        <w:trPr>
          <w:trHeight w:val="33"/>
        </w:trPr>
        <w:tc>
          <w:tcPr>
            <w:tcW w:w="37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19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1,248</w:t>
            </w:r>
          </w:p>
        </w:tc>
        <w:tc>
          <w:tcPr>
            <w:tcW w:w="18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1,273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2,470</w:t>
            </w:r>
          </w:p>
        </w:tc>
        <w:tc>
          <w:tcPr>
            <w:tcW w:w="18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2,502</w:t>
            </w:r>
          </w:p>
        </w:tc>
      </w:tr>
      <w:tr>
        <w:trPr>
          <w:trHeight w:val="231"/>
        </w:trPr>
        <w:tc>
          <w:tcPr>
            <w:tcW w:w="3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net sales</w:t>
            </w:r>
          </w:p>
        </w:tc>
        <w:tc>
          <w:tcPr>
            <w:tcW w:w="19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$3,778</w:t>
            </w:r>
          </w:p>
        </w:tc>
        <w:tc>
          <w:tcPr>
            <w:tcW w:w="18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$3,980</w:t>
            </w:r>
          </w:p>
        </w:tc>
        <w:tc>
          <w:tcPr>
            <w:tcW w:w="1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$7,127</w:t>
            </w:r>
          </w:p>
        </w:tc>
        <w:tc>
          <w:tcPr>
            <w:tcW w:w="18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$7,450</w:t>
            </w:r>
          </w:p>
        </w:tc>
      </w:tr>
      <w:tr>
        <w:trPr>
          <w:trHeight w:val="33"/>
        </w:trPr>
        <w:tc>
          <w:tcPr>
            <w:tcW w:w="37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91"/>
        </w:trPr>
        <w:tc>
          <w:tcPr>
            <w:tcW w:w="37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sales increase (decrease) by business: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Full-Price</w:t>
            </w:r>
          </w:p>
        </w:tc>
        <w:tc>
          <w:tcPr>
            <w:tcW w:w="25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(6.5%)</w:t>
            </w:r>
          </w:p>
        </w:tc>
        <w:tc>
          <w:tcPr>
            <w:tcW w:w="194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rPr>
              <w:t>(5.0%)</w:t>
            </w:r>
          </w:p>
        </w:tc>
        <w:tc>
          <w:tcPr>
            <w:tcW w:w="1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(5.9%)</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Off-Price</w:t>
            </w:r>
          </w:p>
        </w:tc>
        <w:tc>
          <w:tcPr>
            <w:tcW w:w="2520" w:type="dxa"/>
            <w:vAlign w:val="bottom"/>
          </w:tcPr>
          <w:p>
            <w:pPr>
              <w:jc w:val="right"/>
              <w:ind w:right="659"/>
              <w:spacing w:after="0"/>
              <w:rPr>
                <w:sz w:val="20"/>
                <w:szCs w:val="20"/>
                <w:color w:val="auto"/>
              </w:rPr>
            </w:pPr>
            <w:r>
              <w:rPr>
                <w:rFonts w:ascii="Arial" w:cs="Arial" w:eastAsia="Arial" w:hAnsi="Arial"/>
                <w:sz w:val="16"/>
                <w:szCs w:val="16"/>
                <w:b w:val="1"/>
                <w:bCs w:val="1"/>
                <w:color w:val="auto"/>
              </w:rPr>
              <w:t>(1.9%)</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7.0%</w:t>
            </w:r>
          </w:p>
        </w:tc>
        <w:tc>
          <w:tcPr>
            <w:tcW w:w="1940" w:type="dxa"/>
            <w:vAlign w:val="bottom"/>
          </w:tcPr>
          <w:p>
            <w:pPr>
              <w:jc w:val="right"/>
              <w:ind w:right="659"/>
              <w:spacing w:after="0"/>
              <w:rPr>
                <w:sz w:val="20"/>
                <w:szCs w:val="20"/>
                <w:color w:val="auto"/>
              </w:rPr>
            </w:pPr>
            <w:r>
              <w:rPr>
                <w:rFonts w:ascii="Arial" w:cs="Arial" w:eastAsia="Arial" w:hAnsi="Arial"/>
                <w:sz w:val="16"/>
                <w:szCs w:val="16"/>
                <w:b w:val="1"/>
                <w:bCs w:val="1"/>
                <w:color w:val="auto"/>
              </w:rPr>
              <w:t>(1.3%)</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6.9%</w:t>
            </w:r>
          </w:p>
        </w:tc>
      </w:tr>
      <w:tr>
        <w:trPr>
          <w:trHeight w:val="33"/>
        </w:trPr>
        <w:tc>
          <w:tcPr>
            <w:tcW w:w="3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Company</w:t>
            </w:r>
          </w:p>
        </w:tc>
        <w:tc>
          <w:tcPr>
            <w:tcW w:w="252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(5.1%)</w:t>
            </w:r>
          </w:p>
        </w:tc>
        <w:tc>
          <w:tcPr>
            <w:tcW w:w="19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7.1%</w:t>
            </w:r>
          </w:p>
        </w:tc>
        <w:tc>
          <w:tcPr>
            <w:tcW w:w="19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(4.3%)</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r>
      <w:tr>
        <w:trPr>
          <w:trHeight w:val="297"/>
        </w:trPr>
        <w:tc>
          <w:tcPr>
            <w:tcW w:w="3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Digital sales as % of total net sales</w:t>
            </w:r>
            <w:r>
              <w:rPr>
                <w:rFonts w:ascii="Arial" w:cs="Arial" w:eastAsia="Arial" w:hAnsi="Arial"/>
                <w:sz w:val="21"/>
                <w:szCs w:val="21"/>
                <w:color w:val="auto"/>
                <w:vertAlign w:val="superscript"/>
              </w:rPr>
              <w:t>1</w:t>
            </w:r>
          </w:p>
        </w:tc>
        <w:tc>
          <w:tcPr>
            <w:tcW w:w="252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30%</w:t>
            </w:r>
          </w:p>
        </w:tc>
        <w:tc>
          <w:tcPr>
            <w:tcW w:w="19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28%</w:t>
            </w:r>
          </w:p>
        </w:tc>
        <w:tc>
          <w:tcPr>
            <w:tcW w:w="194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31%</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0"/>
          <w:szCs w:val="20"/>
          <w:color w:val="auto"/>
        </w:rPr>
      </w:pPr>
    </w:p>
    <w:p>
      <w:pPr>
        <w:ind w:left="80" w:right="220" w:hanging="72"/>
        <w:spacing w:after="0" w:line="230" w:lineRule="auto"/>
        <w:tabs>
          <w:tab w:leader="none" w:pos="125"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In 2019, we updated our digital sales calculation, including our prior year digital sales calculation for comparability. Although we do not expect the change to be material for the full year, some timing differences will occur between the second and third quarters.</w:t>
      </w:r>
    </w:p>
    <w:p>
      <w:pPr>
        <w:spacing w:after="0" w:line="17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Total Company net sales decreased 5.1% and 4.3% for the second quarter and six months ended August 3, 2019, compared with the same periods in 2018. The decrease in second quarter sales reflected softer performance for the Anniversary Sale and Off-Price business. However, we saw positive outcomes from the execution of our loyalty and digital marketing programs and continue to re-balance our merchandise assortment with customer demand. Digital sales increased 4% in the second quarter of 2019 and increased 6% in the six months ended August 3, 2019, compared with the same periods in 2018. During the six months ended August 3, 2019, we opened four Nordstrom Rack stores and closed two FLS locations.</w:t>
      </w:r>
    </w:p>
    <w:p>
      <w:pPr>
        <w:spacing w:after="0" w:line="11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Full-Price net sales decreased 6.5% and 5.9% for the second quarter and six months ended August 3, 2019, compared with the same periods in 2018. Our Anniversary Sale in the second quarter of 2019 experienced softer sales performance over the prior year, but we saw improvement in operational metrics. Full-Price sales reflected a decrease in the number of items sold, partially offset by an increase in average selling price per item sold for the quarter and six months ended August 3, 2019. The top-performing merchandise category was Beauty for the second quarter of 2019. The top-performing merchandise categories were Shoes and Accessories for the six months ended August 3, 2019.</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Off-Price net sales decreased 1.9% and 1.3% for the second quarter and six months ended August 3, 2019, compared with the same periods in 2018. Off-Price sales reflected a decrease in the average selling price per item sold for the second quarter of 2019. For the six months ended August 3, 2019, Off-Price sales reflected a decrease in average selling price per item sold partially offset by an increase in number of items sold. Women’s and Men’s were the top-performing merchandise categories for the second quarter of 2019. Women’s was the top performing merchandise category for the six months ended August 3,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ind w:right="340"/>
        <w:spacing w:after="0" w:line="295" w:lineRule="auto"/>
        <w:rPr>
          <w:sz w:val="20"/>
          <w:szCs w:val="20"/>
          <w:color w:val="auto"/>
        </w:rPr>
      </w:pPr>
      <w:r>
        <w:rPr>
          <w:rFonts w:ascii="Arial" w:cs="Arial" w:eastAsia="Arial" w:hAnsi="Arial"/>
          <w:sz w:val="16"/>
          <w:szCs w:val="16"/>
          <w:color w:val="auto"/>
        </w:rPr>
        <w:t>TD is the exclusive issuer of our consumer credit cards and we perform account servicing functions. Credit card revenues, net include our portion of the ongoing credit card revenue, net of credit losses, pursuant to our program agreement with TD. Credit card revenues, net was $94 for the second quarter, compared with $87 for the same period in 2018 and $188 for the six months ended August 3, 2019, compared with $179 for the same period in 2018. The increases of $7 and $9 for the quarter and six months ended August 3, 2019 were primarily a result of growing the related receivables and revenues.</w:t>
      </w:r>
    </w:p>
    <w:p>
      <w:pPr>
        <w:sectPr>
          <w:pgSz w:w="11900" w:h="16838" w:orient="portrait"/>
          <w:cols w:equalWidth="0" w:num="1">
            <w:col w:w="11420"/>
          </w:cols>
          <w:pgMar w:left="240" w:top="279" w:right="2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 of 28</w:t>
      </w:r>
    </w:p>
    <w:p>
      <w:pPr>
        <w:sectPr>
          <w:pgSz w:w="11900" w:h="16838" w:orient="portrait"/>
          <w:cols w:equalWidth="0" w:num="1">
            <w:col w:w="11420"/>
          </w:cols>
          <w:pgMar w:left="240" w:top="279" w:right="2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gridSpan w:val="2"/>
          </w:tcPr>
          <w:p>
            <w:pPr>
              <w:jc w:val="right"/>
              <w:ind w:right="121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48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3480" w:type="dxa"/>
            <w:vAlign w:val="bottom"/>
          </w:tcPr>
          <w:p>
            <w:pPr>
              <w:spacing w:after="0"/>
              <w:rPr>
                <w:sz w:val="20"/>
                <w:szCs w:val="20"/>
                <w:color w:val="auto"/>
              </w:rPr>
            </w:pPr>
          </w:p>
        </w:tc>
        <w:tc>
          <w:tcPr>
            <w:tcW w:w="2540" w:type="dxa"/>
            <w:vAlign w:val="bottom"/>
          </w:tcPr>
          <w:p>
            <w:pPr>
              <w:jc w:val="right"/>
              <w:ind w:right="859"/>
              <w:spacing w:after="0"/>
              <w:rPr>
                <w:sz w:val="20"/>
                <w:szCs w:val="20"/>
                <w:color w:val="auto"/>
              </w:rPr>
            </w:pPr>
            <w:r>
              <w:rPr>
                <w:rFonts w:ascii="Arial" w:cs="Arial" w:eastAsia="Arial" w:hAnsi="Arial"/>
                <w:sz w:val="16"/>
                <w:szCs w:val="16"/>
                <w:b w:val="1"/>
                <w:bCs w:val="1"/>
                <w:color w:val="auto"/>
              </w:rPr>
              <w:t>August 3, 2019</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4, 2018</w:t>
            </w:r>
          </w:p>
        </w:tc>
        <w:tc>
          <w:tcPr>
            <w:tcW w:w="218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 2019</w:t>
            </w:r>
          </w:p>
        </w:tc>
        <w:tc>
          <w:tcPr>
            <w:tcW w:w="17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4, 2018</w:t>
            </w:r>
          </w:p>
        </w:tc>
      </w:tr>
      <w:tr>
        <w:trPr>
          <w:trHeight w:val="33"/>
        </w:trPr>
        <w:tc>
          <w:tcPr>
            <w:tcW w:w="34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5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$1,302</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$2,423</w:t>
            </w:r>
          </w:p>
        </w:tc>
        <w:tc>
          <w:tcPr>
            <w:tcW w:w="17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$2,573</w:t>
            </w: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Gross profit as a % of net sales</w:t>
            </w:r>
          </w:p>
        </w:tc>
        <w:tc>
          <w:tcPr>
            <w:tcW w:w="2540" w:type="dxa"/>
            <w:vAlign w:val="bottom"/>
          </w:tcPr>
          <w:p>
            <w:pPr>
              <w:jc w:val="right"/>
              <w:ind w:right="699"/>
              <w:spacing w:after="0"/>
              <w:rPr>
                <w:sz w:val="20"/>
                <w:szCs w:val="20"/>
                <w:color w:val="auto"/>
              </w:rPr>
            </w:pPr>
            <w:r>
              <w:rPr>
                <w:rFonts w:ascii="Arial" w:cs="Arial" w:eastAsia="Arial" w:hAnsi="Arial"/>
                <w:sz w:val="16"/>
                <w:szCs w:val="16"/>
                <w:b w:val="1"/>
                <w:bCs w:val="1"/>
                <w:color w:val="auto"/>
              </w:rPr>
              <w:t>34.5%</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2180" w:type="dxa"/>
            <w:vAlign w:val="bottom"/>
          </w:tcPr>
          <w:p>
            <w:pPr>
              <w:jc w:val="right"/>
              <w:ind w:right="339"/>
              <w:spacing w:after="0"/>
              <w:rPr>
                <w:sz w:val="20"/>
                <w:szCs w:val="20"/>
                <w:color w:val="auto"/>
              </w:rPr>
            </w:pPr>
            <w:r>
              <w:rPr>
                <w:rFonts w:ascii="Arial" w:cs="Arial" w:eastAsia="Arial" w:hAnsi="Arial"/>
                <w:sz w:val="16"/>
                <w:szCs w:val="16"/>
                <w:b w:val="1"/>
                <w:bCs w:val="1"/>
                <w:color w:val="auto"/>
              </w:rPr>
              <w:t>34.0%</w:t>
            </w: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34.5%</w:t>
            </w:r>
          </w:p>
        </w:tc>
      </w:tr>
      <w:tr>
        <w:trPr>
          <w:trHeight w:val="33"/>
        </w:trPr>
        <w:tc>
          <w:tcPr>
            <w:tcW w:w="3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348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37"/>
        </w:trPr>
        <w:tc>
          <w:tcPr>
            <w:tcW w:w="3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 2019</w:t>
            </w:r>
          </w:p>
        </w:tc>
        <w:tc>
          <w:tcPr>
            <w:tcW w:w="17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4, 2018</w:t>
            </w:r>
          </w:p>
        </w:tc>
      </w:tr>
      <w:tr>
        <w:trPr>
          <w:trHeight w:val="33"/>
        </w:trPr>
        <w:tc>
          <w:tcPr>
            <w:tcW w:w="348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turnover rate</w:t>
            </w:r>
          </w:p>
        </w:tc>
        <w:tc>
          <w:tcPr>
            <w:tcW w:w="2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4.71</w:t>
            </w:r>
          </w:p>
        </w:tc>
        <w:tc>
          <w:tcPr>
            <w:tcW w:w="17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4.74</w:t>
            </w:r>
          </w:p>
        </w:tc>
      </w:tr>
      <w:tr>
        <w:trPr>
          <w:trHeight w:val="20"/>
        </w:trPr>
        <w:tc>
          <w:tcPr>
            <w:tcW w:w="348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gross profit rate decreased 50 basis points for the second quarter of 2019 and 55 basis points for the six months ended August 3, 2019, compared with the same periods in 2018. The decreases were primarily due to deleverage on occupancy expenses on lower sales volume. Lower sales volume led to a decrease in inventory turnover rate as of August 3, 2019. Ending inventory as of August 3, 2019 decreased 6.5% compared with the prior period, reflecting two consecutive quarters of maintaining a positive spread between the change in inventory and sales.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SG&amp;A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340" w:type="dxa"/>
            <w:vAlign w:val="bottom"/>
          </w:tcPr>
          <w:p>
            <w:pPr>
              <w:spacing w:after="0"/>
              <w:rPr>
                <w:sz w:val="18"/>
                <w:szCs w:val="18"/>
                <w:color w:val="auto"/>
              </w:rPr>
            </w:pPr>
          </w:p>
        </w:tc>
      </w:tr>
      <w:tr>
        <w:trPr>
          <w:trHeight w:val="33"/>
        </w:trPr>
        <w:tc>
          <w:tcPr>
            <w:tcW w:w="33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spacing w:after="0"/>
              <w:rPr>
                <w:sz w:val="20"/>
                <w:szCs w:val="20"/>
                <w:color w:val="auto"/>
              </w:rPr>
            </w:pPr>
          </w:p>
        </w:tc>
        <w:tc>
          <w:tcPr>
            <w:tcW w:w="2560" w:type="dxa"/>
            <w:vAlign w:val="bottom"/>
          </w:tcPr>
          <w:p>
            <w:pPr>
              <w:jc w:val="right"/>
              <w:ind w:right="879"/>
              <w:spacing w:after="0"/>
              <w:rPr>
                <w:sz w:val="20"/>
                <w:szCs w:val="20"/>
                <w:color w:val="auto"/>
              </w:rPr>
            </w:pPr>
            <w:r>
              <w:rPr>
                <w:rFonts w:ascii="Arial" w:cs="Arial" w:eastAsia="Arial" w:hAnsi="Arial"/>
                <w:sz w:val="16"/>
                <w:szCs w:val="16"/>
                <w:b w:val="1"/>
                <w:bCs w:val="1"/>
                <w:color w:val="auto"/>
              </w:rPr>
              <w:t>August 3, 2019</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4, 2018</w:t>
            </w:r>
          </w:p>
        </w:tc>
        <w:tc>
          <w:tcPr>
            <w:tcW w:w="2680" w:type="dxa"/>
            <w:vAlign w:val="bottom"/>
          </w:tcPr>
          <w:p>
            <w:pPr>
              <w:jc w:val="right"/>
              <w:ind w:right="999"/>
              <w:spacing w:after="0"/>
              <w:rPr>
                <w:sz w:val="20"/>
                <w:szCs w:val="20"/>
                <w:color w:val="auto"/>
              </w:rPr>
            </w:pPr>
            <w:r>
              <w:rPr>
                <w:rFonts w:ascii="Arial" w:cs="Arial" w:eastAsia="Arial" w:hAnsi="Arial"/>
                <w:sz w:val="16"/>
                <w:szCs w:val="16"/>
                <w:b w:val="1"/>
                <w:bCs w:val="1"/>
                <w:color w:val="auto"/>
              </w:rPr>
              <w:t>August 3, 2019</w:t>
            </w: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0"/>
              </w:rPr>
              <w:t>August 4, 2018</w:t>
            </w:r>
          </w:p>
        </w:tc>
      </w:tr>
      <w:tr>
        <w:trPr>
          <w:trHeight w:val="33"/>
        </w:trPr>
        <w:tc>
          <w:tcPr>
            <w:tcW w:w="33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SG&amp;A expenses</w:t>
            </w:r>
          </w:p>
        </w:tc>
        <w:tc>
          <w:tcPr>
            <w:tcW w:w="25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$1,180</w:t>
            </w:r>
          </w:p>
        </w:tc>
        <w:tc>
          <w:tcPr>
            <w:tcW w:w="1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$2,319</w:t>
            </w:r>
          </w:p>
        </w:tc>
        <w:tc>
          <w:tcPr>
            <w:tcW w:w="1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$2,353</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SG&amp;A expenses as a % of net sales</w:t>
            </w:r>
          </w:p>
        </w:tc>
        <w:tc>
          <w:tcPr>
            <w:tcW w:w="2560" w:type="dxa"/>
            <w:vAlign w:val="bottom"/>
          </w:tcPr>
          <w:p>
            <w:pPr>
              <w:jc w:val="right"/>
              <w:ind w:right="719"/>
              <w:spacing w:after="0"/>
              <w:rPr>
                <w:sz w:val="20"/>
                <w:szCs w:val="20"/>
                <w:color w:val="auto"/>
              </w:rPr>
            </w:pPr>
            <w:r>
              <w:rPr>
                <w:rFonts w:ascii="Arial" w:cs="Arial" w:eastAsia="Arial" w:hAnsi="Arial"/>
                <w:sz w:val="16"/>
                <w:szCs w:val="16"/>
                <w:b w:val="1"/>
                <w:bCs w:val="1"/>
                <w:color w:val="auto"/>
              </w:rPr>
              <w:t>31.2%</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680" w:type="dxa"/>
            <w:vAlign w:val="bottom"/>
          </w:tcPr>
          <w:p>
            <w:pPr>
              <w:jc w:val="right"/>
              <w:ind w:right="839"/>
              <w:spacing w:after="0"/>
              <w:rPr>
                <w:sz w:val="20"/>
                <w:szCs w:val="20"/>
                <w:color w:val="auto"/>
              </w:rPr>
            </w:pPr>
            <w:r>
              <w:rPr>
                <w:rFonts w:ascii="Arial" w:cs="Arial" w:eastAsia="Arial" w:hAnsi="Arial"/>
                <w:sz w:val="16"/>
                <w:szCs w:val="16"/>
                <w:b w:val="1"/>
                <w:bCs w:val="1"/>
                <w:color w:val="auto"/>
              </w:rPr>
              <w:t>32.5%</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31.6%</w:t>
            </w:r>
          </w:p>
        </w:tc>
      </w:tr>
      <w:tr>
        <w:trPr>
          <w:trHeight w:val="33"/>
        </w:trPr>
        <w:tc>
          <w:tcPr>
            <w:tcW w:w="33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SG&amp;A increased 26 basis points for the second quarter of 2019 and 93 basis points for the six months ended August 3, 2019, primarily due to fixed expense deleverage on lower sales volume, partially offset by our ongoing efficiency initiatives and lower performance-related expenses. SG&amp;A decreased $52 for the second quarter of 2019 and decreased $34 for the six months ended August 3, 2019, primarily due to ongoing efficiency initiatives and lower performance-related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and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32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560" w:type="dxa"/>
            <w:vAlign w:val="bottom"/>
          </w:tcPr>
          <w:p>
            <w:pPr>
              <w:jc w:val="right"/>
              <w:ind w:right="879"/>
              <w:spacing w:after="0"/>
              <w:rPr>
                <w:sz w:val="20"/>
                <w:szCs w:val="20"/>
                <w:color w:val="auto"/>
              </w:rPr>
            </w:pPr>
            <w:r>
              <w:rPr>
                <w:rFonts w:ascii="Arial" w:cs="Arial" w:eastAsia="Arial" w:hAnsi="Arial"/>
                <w:sz w:val="16"/>
                <w:szCs w:val="16"/>
                <w:b w:val="1"/>
                <w:bCs w:val="1"/>
                <w:color w:val="auto"/>
              </w:rPr>
              <w:t>August 3, 2019</w:t>
            </w:r>
          </w:p>
        </w:tc>
        <w:tc>
          <w:tcPr>
            <w:tcW w:w="148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4, 2018</w:t>
            </w:r>
          </w:p>
        </w:tc>
        <w:tc>
          <w:tcPr>
            <w:tcW w:w="2640" w:type="dxa"/>
            <w:vAlign w:val="bottom"/>
          </w:tcPr>
          <w:p>
            <w:pPr>
              <w:jc w:val="right"/>
              <w:ind w:right="939"/>
              <w:spacing w:after="0"/>
              <w:rPr>
                <w:sz w:val="20"/>
                <w:szCs w:val="20"/>
                <w:color w:val="auto"/>
              </w:rPr>
            </w:pPr>
            <w:r>
              <w:rPr>
                <w:rFonts w:ascii="Arial" w:cs="Arial" w:eastAsia="Arial" w:hAnsi="Arial"/>
                <w:sz w:val="16"/>
                <w:szCs w:val="16"/>
                <w:b w:val="1"/>
                <w:bCs w:val="1"/>
                <w:color w:val="auto"/>
              </w:rPr>
              <w:t>August 3, 2019</w:t>
            </w: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88"/>
              </w:rPr>
              <w:t>August 4, 2018</w:t>
            </w:r>
          </w:p>
        </w:tc>
      </w:tr>
      <w:tr>
        <w:trPr>
          <w:trHeight w:val="33"/>
        </w:trPr>
        <w:tc>
          <w:tcPr>
            <w:tcW w:w="34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w:t>
            </w:r>
          </w:p>
        </w:tc>
        <w:tc>
          <w:tcPr>
            <w:tcW w:w="25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$216</w:t>
            </w:r>
          </w:p>
        </w:tc>
        <w:tc>
          <w:tcPr>
            <w:tcW w:w="13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$292</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$399</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EBIT as a % of sales</w:t>
            </w:r>
          </w:p>
        </w:tc>
        <w:tc>
          <w:tcPr>
            <w:tcW w:w="2560" w:type="dxa"/>
            <w:vAlign w:val="bottom"/>
          </w:tcPr>
          <w:p>
            <w:pPr>
              <w:jc w:val="right"/>
              <w:ind w:right="719"/>
              <w:spacing w:after="0"/>
              <w:rPr>
                <w:sz w:val="20"/>
                <w:szCs w:val="20"/>
                <w:color w:val="auto"/>
              </w:rPr>
            </w:pPr>
            <w:r>
              <w:rPr>
                <w:rFonts w:ascii="Arial" w:cs="Arial" w:eastAsia="Arial" w:hAnsi="Arial"/>
                <w:sz w:val="16"/>
                <w:szCs w:val="16"/>
                <w:b w:val="1"/>
                <w:bCs w:val="1"/>
                <w:color w:val="auto"/>
              </w:rPr>
              <w:t>5.7%</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4.1%</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5.4%</w:t>
            </w:r>
          </w:p>
        </w:tc>
      </w:tr>
      <w:tr>
        <w:trPr>
          <w:trHeight w:val="33"/>
        </w:trPr>
        <w:tc>
          <w:tcPr>
            <w:tcW w:w="34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 decreased $30 and 47 basis points for the second quarter of 2019 and $107 and 125 basis points for the six months ended August 3, 2019. The decreases were primarily due to lower sales volume.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Interest expense, net was $23 for the second quarter of 2019, compared with $28 for the same period in 2018, and $46 for the six months ended August 3, 2019, compared with $56 for the same period in 2018. The decrease for the second quarter of 2019 and six months ended August 3, 2019 was primarily due to higher capitalized interest in 2019 associated with investments in our Nordstrom NYC store and Supply Chain Networks.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32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580" w:type="dxa"/>
            <w:vAlign w:val="bottom"/>
          </w:tcPr>
          <w:p>
            <w:pPr>
              <w:jc w:val="right"/>
              <w:ind w:right="879"/>
              <w:spacing w:after="0"/>
              <w:rPr>
                <w:sz w:val="20"/>
                <w:szCs w:val="20"/>
                <w:color w:val="auto"/>
              </w:rPr>
            </w:pPr>
            <w:r>
              <w:rPr>
                <w:rFonts w:ascii="Arial" w:cs="Arial" w:eastAsia="Arial" w:hAnsi="Arial"/>
                <w:sz w:val="16"/>
                <w:szCs w:val="16"/>
                <w:b w:val="1"/>
                <w:bCs w:val="1"/>
                <w:color w:val="auto"/>
              </w:rPr>
              <w:t>August 3, 2019</w:t>
            </w: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4, 2018</w:t>
            </w:r>
          </w:p>
        </w:tc>
        <w:tc>
          <w:tcPr>
            <w:tcW w:w="2620" w:type="dxa"/>
            <w:vAlign w:val="bottom"/>
          </w:tcPr>
          <w:p>
            <w:pPr>
              <w:jc w:val="right"/>
              <w:ind w:right="939"/>
              <w:spacing w:after="0"/>
              <w:rPr>
                <w:sz w:val="20"/>
                <w:szCs w:val="20"/>
                <w:color w:val="auto"/>
              </w:rPr>
            </w:pPr>
            <w:r>
              <w:rPr>
                <w:rFonts w:ascii="Arial" w:cs="Arial" w:eastAsia="Arial" w:hAnsi="Arial"/>
                <w:sz w:val="16"/>
                <w:szCs w:val="16"/>
                <w:b w:val="1"/>
                <w:bCs w:val="1"/>
                <w:color w:val="auto"/>
              </w:rPr>
              <w:t>August 3, 2019</w:t>
            </w: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w w:val="88"/>
              </w:rPr>
              <w:t>August 4, 2018</w:t>
            </w:r>
          </w:p>
        </w:tc>
      </w:tr>
      <w:tr>
        <w:trPr>
          <w:trHeight w:val="33"/>
        </w:trPr>
        <w:tc>
          <w:tcPr>
            <w:tcW w:w="34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5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$52</w:t>
            </w: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$69</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$94</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27.2%</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2620" w:type="dxa"/>
            <w:vAlign w:val="bottom"/>
          </w:tcPr>
          <w:p>
            <w:pPr>
              <w:jc w:val="right"/>
              <w:ind w:right="779"/>
              <w:spacing w:after="0"/>
              <w:rPr>
                <w:sz w:val="20"/>
                <w:szCs w:val="20"/>
                <w:color w:val="auto"/>
              </w:rPr>
            </w:pPr>
            <w:r>
              <w:rPr>
                <w:rFonts w:ascii="Arial" w:cs="Arial" w:eastAsia="Arial" w:hAnsi="Arial"/>
                <w:sz w:val="16"/>
                <w:szCs w:val="16"/>
                <w:b w:val="1"/>
                <w:bCs w:val="1"/>
                <w:color w:val="auto"/>
              </w:rPr>
              <w:t>28.0%</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27.4%</w:t>
            </w:r>
          </w:p>
        </w:tc>
      </w:tr>
      <w:tr>
        <w:trPr>
          <w:trHeight w:val="33"/>
        </w:trPr>
        <w:tc>
          <w:tcPr>
            <w:tcW w:w="34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effective tax rate increased for the second quarter of 2019 and for the six months ended August 3, 2019, compared with the same periods in 2018, primarily due to decreased tax benefits from stock compensation.</w:t>
      </w:r>
    </w:p>
    <w:p>
      <w:pPr>
        <w:sectPr>
          <w:pgSz w:w="11900" w:h="16838" w:orient="portrait"/>
          <w:cols w:equalWidth="0" w:num="1">
            <w:col w:w="11420"/>
          </w:cols>
          <w:pgMar w:left="240" w:top="279" w:right="2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 of 28</w:t>
      </w:r>
    </w:p>
    <w:p>
      <w:pPr>
        <w:sectPr>
          <w:pgSz w:w="11900" w:h="16838" w:orient="portrait"/>
          <w:cols w:equalWidth="0" w:num="1">
            <w:col w:w="11420"/>
          </w:cols>
          <w:pgMar w:left="240" w:top="279" w:right="23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56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August 4, 2018</w:t>
            </w: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4, 2018</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5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$0.91</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$1.14</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Diluted</w:t>
            </w:r>
          </w:p>
        </w:tc>
        <w:tc>
          <w:tcPr>
            <w:tcW w:w="2560" w:type="dxa"/>
            <w:vAlign w:val="bottom"/>
          </w:tcPr>
          <w:p>
            <w:pPr>
              <w:jc w:val="right"/>
              <w:ind w:right="759"/>
              <w:spacing w:after="0"/>
              <w:rPr>
                <w:sz w:val="20"/>
                <w:szCs w:val="20"/>
                <w:color w:val="auto"/>
              </w:rPr>
            </w:pPr>
            <w:r>
              <w:rPr>
                <w:rFonts w:ascii="Arial" w:cs="Arial" w:eastAsia="Arial" w:hAnsi="Arial"/>
                <w:sz w:val="16"/>
                <w:szCs w:val="16"/>
                <w:b w:val="1"/>
                <w:bCs w:val="1"/>
                <w:color w:val="auto"/>
              </w:rPr>
              <w:t>$0.90</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20"/>
                <w:szCs w:val="20"/>
                <w:color w:val="auto"/>
              </w:rPr>
            </w:pPr>
          </w:p>
        </w:tc>
        <w:tc>
          <w:tcPr>
            <w:tcW w:w="2540" w:type="dxa"/>
            <w:vAlign w:val="bottom"/>
          </w:tcPr>
          <w:p>
            <w:pPr>
              <w:jc w:val="right"/>
              <w:ind w:right="759"/>
              <w:spacing w:after="0"/>
              <w:rPr>
                <w:sz w:val="20"/>
                <w:szCs w:val="20"/>
                <w:color w:val="auto"/>
              </w:rPr>
            </w:pPr>
            <w:r>
              <w:rPr>
                <w:rFonts w:ascii="Arial" w:cs="Arial" w:eastAsia="Arial" w:hAnsi="Arial"/>
                <w:sz w:val="16"/>
                <w:szCs w:val="16"/>
                <w:b w:val="1"/>
                <w:bCs w:val="1"/>
                <w:color w:val="auto"/>
              </w:rPr>
              <w:t>$1.14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37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Earnings per diluted share decreased $0.05 for the second quarter of 2019, compared with the same period in 2018, and decreased $0.32 for the six months ended August 3, 2019, compared with the same period in 2018, primarily due to lower sales volume, partially offset by the impact of common stock repurchases.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 Outlook</w:t>
      </w:r>
    </w:p>
    <w:p>
      <w:pPr>
        <w:spacing w:after="0" w:line="2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We revised our annual outlook to reflect second quarter results and expectations for the second half of the year. We are evaluating the fourth tranche of tariffs on goods from China and have not incorporated the associated impact in our annual outlook, although we expect the impact to be relatively immaterial for the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3080" w:type="dxa"/>
            <w:vAlign w:val="bottom"/>
          </w:tcPr>
          <w:p>
            <w:pPr>
              <w:jc w:val="right"/>
              <w:ind w:right="239"/>
              <w:spacing w:after="0"/>
              <w:rPr>
                <w:sz w:val="20"/>
                <w:szCs w:val="20"/>
                <w:color w:val="auto"/>
              </w:rPr>
            </w:pPr>
            <w:r>
              <w:rPr>
                <w:rFonts w:ascii="Arial" w:cs="Arial" w:eastAsia="Arial" w:hAnsi="Arial"/>
                <w:sz w:val="16"/>
                <w:szCs w:val="16"/>
                <w:b w:val="1"/>
                <w:bCs w:val="1"/>
                <w:color w:val="auto"/>
              </w:rPr>
              <w:t>Prior Outlook</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Current Outlook</w:t>
            </w:r>
          </w:p>
        </w:tc>
      </w:tr>
      <w:tr>
        <w:trPr>
          <w:trHeight w:val="33"/>
        </w:trPr>
        <w:tc>
          <w:tcPr>
            <w:tcW w:w="57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 percent decrease to flat</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Approximately 2 percent decrease</w:t>
            </w:r>
          </w:p>
        </w:tc>
      </w:tr>
      <w:tr>
        <w:trPr>
          <w:trHeight w:val="224"/>
        </w:trPr>
        <w:tc>
          <w:tcPr>
            <w:tcW w:w="578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3080" w:type="dxa"/>
            <w:vAlign w:val="bottom"/>
          </w:tcPr>
          <w:p>
            <w:pPr>
              <w:jc w:val="right"/>
              <w:ind w:right="239"/>
              <w:spacing w:after="0"/>
              <w:rPr>
                <w:sz w:val="20"/>
                <w:szCs w:val="20"/>
                <w:color w:val="auto"/>
              </w:rPr>
            </w:pPr>
            <w:r>
              <w:rPr>
                <w:rFonts w:ascii="Arial" w:cs="Arial" w:eastAsia="Arial" w:hAnsi="Arial"/>
                <w:sz w:val="16"/>
                <w:szCs w:val="16"/>
                <w:color w:val="auto"/>
              </w:rPr>
              <w:t>Low to mid single-digit growth</w:t>
            </w:r>
          </w:p>
        </w:tc>
        <w:tc>
          <w:tcPr>
            <w:tcW w:w="2560" w:type="dxa"/>
            <w:vAlign w:val="bottom"/>
          </w:tcPr>
          <w:p>
            <w:pPr>
              <w:jc w:val="right"/>
              <w:spacing w:after="0"/>
              <w:rPr>
                <w:sz w:val="20"/>
                <w:szCs w:val="20"/>
                <w:color w:val="auto"/>
              </w:rPr>
            </w:pPr>
            <w:r>
              <w:rPr>
                <w:rFonts w:ascii="Arial" w:cs="Arial" w:eastAsia="Arial" w:hAnsi="Arial"/>
                <w:sz w:val="16"/>
                <w:szCs w:val="16"/>
                <w:color w:val="auto"/>
              </w:rPr>
              <w:t>Low to mid single-digit growth</w:t>
            </w:r>
          </w:p>
        </w:tc>
      </w:tr>
      <w:tr>
        <w:trPr>
          <w:trHeight w:val="33"/>
        </w:trPr>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37"/>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w:t>
            </w:r>
          </w:p>
        </w:tc>
        <w:tc>
          <w:tcPr>
            <w:tcW w:w="30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$805 to $890 million</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 to $855 million</w:t>
            </w:r>
          </w:p>
        </w:tc>
      </w:tr>
      <w:tr>
        <w:trPr>
          <w:trHeight w:val="224"/>
        </w:trPr>
        <w:tc>
          <w:tcPr>
            <w:tcW w:w="5780" w:type="dxa"/>
            <w:vAlign w:val="bottom"/>
          </w:tcPr>
          <w:p>
            <w:pPr>
              <w:ind w:left="40"/>
              <w:spacing w:after="0"/>
              <w:rPr>
                <w:sz w:val="20"/>
                <w:szCs w:val="20"/>
                <w:color w:val="auto"/>
              </w:rPr>
            </w:pPr>
            <w:r>
              <w:rPr>
                <w:rFonts w:ascii="Arial" w:cs="Arial" w:eastAsia="Arial" w:hAnsi="Arial"/>
                <w:sz w:val="16"/>
                <w:szCs w:val="16"/>
                <w:color w:val="auto"/>
              </w:rPr>
              <w:t>EBIT margin</w:t>
            </w:r>
          </w:p>
        </w:tc>
        <w:tc>
          <w:tcPr>
            <w:tcW w:w="3080" w:type="dxa"/>
            <w:vAlign w:val="bottom"/>
          </w:tcPr>
          <w:p>
            <w:pPr>
              <w:jc w:val="right"/>
              <w:ind w:right="239"/>
              <w:spacing w:after="0"/>
              <w:rPr>
                <w:sz w:val="20"/>
                <w:szCs w:val="20"/>
                <w:color w:val="auto"/>
              </w:rPr>
            </w:pPr>
            <w:r>
              <w:rPr>
                <w:rFonts w:ascii="Arial" w:cs="Arial" w:eastAsia="Arial" w:hAnsi="Arial"/>
                <w:sz w:val="16"/>
                <w:szCs w:val="16"/>
                <w:color w:val="auto"/>
              </w:rPr>
              <w:t>5.3 to 5.8 percent</w:t>
            </w:r>
          </w:p>
        </w:tc>
        <w:tc>
          <w:tcPr>
            <w:tcW w:w="2560" w:type="dxa"/>
            <w:vAlign w:val="bottom"/>
          </w:tcPr>
          <w:p>
            <w:pPr>
              <w:jc w:val="right"/>
              <w:spacing w:after="0"/>
              <w:rPr>
                <w:sz w:val="20"/>
                <w:szCs w:val="20"/>
                <w:color w:val="auto"/>
              </w:rPr>
            </w:pPr>
            <w:r>
              <w:rPr>
                <w:rFonts w:ascii="Arial" w:cs="Arial" w:eastAsia="Arial" w:hAnsi="Arial"/>
                <w:sz w:val="16"/>
                <w:szCs w:val="16"/>
                <w:color w:val="auto"/>
              </w:rPr>
              <w:t>5.3 to 5.6 percent</w:t>
            </w:r>
          </w:p>
        </w:tc>
      </w:tr>
      <w:tr>
        <w:trPr>
          <w:trHeight w:val="33"/>
        </w:trPr>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20"/>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diluted share (excluding the impact of any potential future share</w:t>
            </w:r>
          </w:p>
        </w:tc>
        <w:tc>
          <w:tcPr>
            <w:tcW w:w="308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19"/>
                <w:szCs w:val="19"/>
                <w:color w:val="auto"/>
              </w:rPr>
            </w:pPr>
          </w:p>
        </w:tc>
      </w:tr>
      <w:tr>
        <w:trPr>
          <w:trHeight w:val="21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w:t>
            </w:r>
          </w:p>
        </w:tc>
        <w:tc>
          <w:tcPr>
            <w:tcW w:w="30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$3.25 to $3.65</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 to $3.50</w:t>
            </w:r>
          </w:p>
        </w:tc>
      </w:tr>
      <w:tr>
        <w:trPr>
          <w:trHeight w:val="20"/>
        </w:trPr>
        <w:tc>
          <w:tcPr>
            <w:tcW w:w="578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 of 28</w:t>
      </w:r>
    </w:p>
    <w:p>
      <w:pPr>
        <w:sectPr>
          <w:pgSz w:w="11900" w:h="16838" w:orient="portrait"/>
          <w:cols w:equalWidth="0" w:num="1">
            <w:col w:w="11420"/>
          </w:cols>
          <w:pgMar w:left="240" w:top="279"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ROIC (Non-GAAP financial measure)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believe that Adjusted ROIC is a useful financial measure for investors and credit agencies in evaluating the efficiency and effectiveness of the capital we have invested in our business to generate returns over time. In addition, we have incorporated it in our executive incentive measures and it is an important indicator of shareholders’ return over the long term.</w:t>
      </w:r>
    </w:p>
    <w:p>
      <w:pPr>
        <w:spacing w:after="0" w:line="13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2019, income statement activity for adjusted net operating profit and balance sheet amounts for average invested capital are comprised of two quarters of activity under the Lease Standard for 2019, and the last two quarters of 2018 under the previous lease standard. Under the previous lease standard, we estimated the value of our operating leases as if they met the criteria for capital leases or we had purchased the properties. This provided additional supplemental information that estimated the investment in our operating leases. Estimated depreciation on capitalized operating leases and average estimated asset base of capitalized operating leases are not calculated in accordance with, nor an alternative for, GAAP and should not be considered in isolation or as a substitution for our results as reported under GAAP.</w:t>
      </w:r>
    </w:p>
    <w:p>
      <w:pPr>
        <w:spacing w:after="0" w:line="13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Adjusted ROIC is not a measure of financial performance under GAAP and should be considered in addition to, and not as a substitute for, return on assets, net earnings, total assets or other GAAP financial measures. Our method of determining non-GAAP financial measures may differ from other companies’ methods and therefore may not be comparable to those used by other companies. The financial measure calculated under GAAP which is most directly comparable to Adjusted ROIC is return on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components of Adjusted ROIC and return on 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4140" w:type="dxa"/>
            <w:vAlign w:val="bottom"/>
            <w:gridSpan w:val="2"/>
          </w:tcPr>
          <w:p>
            <w:pPr>
              <w:jc w:val="right"/>
              <w:ind w:right="1219"/>
              <w:spacing w:after="0"/>
              <w:rPr>
                <w:sz w:val="20"/>
                <w:szCs w:val="20"/>
                <w:color w:val="auto"/>
              </w:rPr>
            </w:pPr>
            <w:r>
              <w:rPr>
                <w:rFonts w:ascii="Arial" w:cs="Arial" w:eastAsia="Arial" w:hAnsi="Arial"/>
                <w:sz w:val="16"/>
                <w:szCs w:val="16"/>
                <w:b w:val="1"/>
                <w:bCs w:val="1"/>
                <w:color w:val="auto"/>
              </w:rPr>
              <w:t>Four Quarters Ended</w:t>
            </w:r>
          </w:p>
        </w:tc>
      </w:tr>
      <w:tr>
        <w:trPr>
          <w:trHeight w:val="33"/>
        </w:trPr>
        <w:tc>
          <w:tcPr>
            <w:tcW w:w="728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2320" w:type="dxa"/>
            <w:vAlign w:val="bottom"/>
          </w:tcPr>
          <w:p>
            <w:pPr>
              <w:jc w:val="right"/>
              <w:ind w:right="579"/>
              <w:spacing w:after="0"/>
              <w:rPr>
                <w:sz w:val="20"/>
                <w:szCs w:val="20"/>
                <w:color w:val="auto"/>
              </w:rPr>
            </w:pPr>
            <w:r>
              <w:rPr>
                <w:rFonts w:ascii="Arial" w:cs="Arial" w:eastAsia="Arial" w:hAnsi="Arial"/>
                <w:sz w:val="16"/>
                <w:szCs w:val="16"/>
                <w:b w:val="1"/>
                <w:bCs w:val="1"/>
                <w:color w:val="auto"/>
              </w:rPr>
              <w:t>August 3, 2019</w:t>
            </w:r>
          </w:p>
        </w:tc>
        <w:tc>
          <w:tcPr>
            <w:tcW w:w="182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4, 2018</w:t>
            </w:r>
          </w:p>
        </w:tc>
      </w:tr>
      <w:tr>
        <w:trPr>
          <w:trHeight w:val="33"/>
        </w:trPr>
        <w:tc>
          <w:tcPr>
            <w:tcW w:w="7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3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$492</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$513</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320" w:type="dxa"/>
            <w:vAlign w:val="bottom"/>
          </w:tcPr>
          <w:p>
            <w:pPr>
              <w:jc w:val="right"/>
              <w:ind w:right="579"/>
              <w:spacing w:after="0"/>
              <w:rPr>
                <w:sz w:val="20"/>
                <w:szCs w:val="20"/>
                <w:color w:val="auto"/>
              </w:rPr>
            </w:pPr>
            <w:r>
              <w:rPr>
                <w:rFonts w:ascii="Arial" w:cs="Arial" w:eastAsia="Arial" w:hAnsi="Arial"/>
                <w:sz w:val="16"/>
                <w:szCs w:val="16"/>
                <w:b w:val="1"/>
                <w:bCs w:val="1"/>
                <w:color w:val="auto"/>
              </w:rPr>
              <w:t>144</w:t>
            </w:r>
          </w:p>
        </w:tc>
        <w:tc>
          <w:tcPr>
            <w:tcW w:w="1820" w:type="dxa"/>
            <w:vAlign w:val="bottom"/>
          </w:tcPr>
          <w:p>
            <w:pPr>
              <w:jc w:val="right"/>
              <w:ind w:right="219"/>
              <w:spacing w:after="0"/>
              <w:rPr>
                <w:sz w:val="20"/>
                <w:szCs w:val="20"/>
                <w:color w:val="auto"/>
              </w:rPr>
            </w:pPr>
            <w:r>
              <w:rPr>
                <w:rFonts w:ascii="Arial" w:cs="Arial" w:eastAsia="Arial" w:hAnsi="Arial"/>
                <w:sz w:val="16"/>
                <w:szCs w:val="16"/>
                <w:color w:val="auto"/>
              </w:rPr>
              <w:t>329</w:t>
            </w:r>
          </w:p>
        </w:tc>
      </w:tr>
      <w:tr>
        <w:trPr>
          <w:trHeight w:val="33"/>
        </w:trPr>
        <w:tc>
          <w:tcPr>
            <w:tcW w:w="7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23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109</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124</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 expense</w:t>
            </w:r>
          </w:p>
        </w:tc>
        <w:tc>
          <w:tcPr>
            <w:tcW w:w="232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745</w:t>
            </w:r>
          </w:p>
        </w:tc>
        <w:tc>
          <w:tcPr>
            <w:tcW w:w="18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966</w:t>
            </w:r>
          </w:p>
        </w:tc>
      </w:tr>
      <w:tr>
        <w:trPr>
          <w:trHeight w:val="33"/>
        </w:trPr>
        <w:tc>
          <w:tcPr>
            <w:tcW w:w="7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72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70"/>
        </w:trPr>
        <w:tc>
          <w:tcPr>
            <w:tcW w:w="7280" w:type="dxa"/>
            <w:vAlign w:val="bottom"/>
          </w:tcPr>
          <w:p>
            <w:pPr>
              <w:ind w:left="40"/>
              <w:spacing w:after="0"/>
              <w:rPr>
                <w:sz w:val="20"/>
                <w:szCs w:val="20"/>
                <w:color w:val="auto"/>
              </w:rPr>
            </w:pPr>
            <w:r>
              <w:rPr>
                <w:rFonts w:ascii="Arial" w:cs="Arial" w:eastAsia="Arial" w:hAnsi="Arial"/>
                <w:sz w:val="16"/>
                <w:szCs w:val="16"/>
                <w:color w:val="auto"/>
              </w:rPr>
              <w:t>Add: operating lease interest</w:t>
            </w:r>
            <w:r>
              <w:rPr>
                <w:rFonts w:ascii="Arial" w:cs="Arial" w:eastAsia="Arial" w:hAnsi="Arial"/>
                <w:sz w:val="21"/>
                <w:szCs w:val="21"/>
                <w:color w:val="auto"/>
                <w:vertAlign w:val="superscript"/>
              </w:rPr>
              <w:t>1</w:t>
            </w:r>
          </w:p>
        </w:tc>
        <w:tc>
          <w:tcPr>
            <w:tcW w:w="2320" w:type="dxa"/>
            <w:vAlign w:val="bottom"/>
          </w:tcPr>
          <w:p>
            <w:pPr>
              <w:jc w:val="right"/>
              <w:ind w:right="579"/>
              <w:spacing w:after="0"/>
              <w:rPr>
                <w:sz w:val="20"/>
                <w:szCs w:val="20"/>
                <w:color w:val="auto"/>
              </w:rPr>
            </w:pPr>
            <w:r>
              <w:rPr>
                <w:rFonts w:ascii="Arial" w:cs="Arial" w:eastAsia="Arial" w:hAnsi="Arial"/>
                <w:sz w:val="16"/>
                <w:szCs w:val="16"/>
                <w:b w:val="1"/>
                <w:bCs w:val="1"/>
                <w:color w:val="auto"/>
              </w:rPr>
              <w:t>47</w:t>
            </w:r>
          </w:p>
        </w:tc>
        <w:tc>
          <w:tcPr>
            <w:tcW w:w="182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rent expense, net</w:t>
            </w:r>
          </w:p>
        </w:tc>
        <w:tc>
          <w:tcPr>
            <w:tcW w:w="23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127</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249</w:t>
            </w:r>
          </w:p>
        </w:tc>
      </w:tr>
      <w:tr>
        <w:trPr>
          <w:trHeight w:val="270"/>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Less: estimated depreciation on capitalized operating leases</w:t>
            </w:r>
            <w:r>
              <w:rPr>
                <w:rFonts w:ascii="Arial" w:cs="Arial" w:eastAsia="Arial" w:hAnsi="Arial"/>
                <w:sz w:val="21"/>
                <w:szCs w:val="21"/>
                <w:color w:val="auto"/>
                <w:vertAlign w:val="superscript"/>
              </w:rPr>
              <w:t>2</w:t>
            </w:r>
          </w:p>
        </w:tc>
        <w:tc>
          <w:tcPr>
            <w:tcW w:w="2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(68)</w:t>
            </w:r>
          </w:p>
        </w:tc>
        <w:tc>
          <w:tcPr>
            <w:tcW w:w="1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(133)</w:t>
            </w: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operating profit</w:t>
            </w:r>
          </w:p>
        </w:tc>
        <w:tc>
          <w:tcPr>
            <w:tcW w:w="23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851</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1,082</w:t>
            </w:r>
          </w:p>
        </w:tc>
      </w:tr>
      <w:tr>
        <w:trPr>
          <w:trHeight w:val="297"/>
        </w:trPr>
        <w:tc>
          <w:tcPr>
            <w:tcW w:w="7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estimated income tax expense</w:t>
            </w:r>
          </w:p>
        </w:tc>
        <w:tc>
          <w:tcPr>
            <w:tcW w:w="23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(193)</w:t>
            </w:r>
          </w:p>
        </w:tc>
        <w:tc>
          <w:tcPr>
            <w:tcW w:w="18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(422)</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net operating profit after tax</w:t>
            </w:r>
          </w:p>
        </w:tc>
        <w:tc>
          <w:tcPr>
            <w:tcW w:w="232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$658</w:t>
            </w:r>
          </w:p>
        </w:tc>
        <w:tc>
          <w:tcPr>
            <w:tcW w:w="18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$660</w:t>
            </w:r>
          </w:p>
        </w:tc>
      </w:tr>
      <w:tr>
        <w:trPr>
          <w:trHeight w:val="33"/>
        </w:trPr>
        <w:tc>
          <w:tcPr>
            <w:tcW w:w="7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91"/>
        </w:trPr>
        <w:tc>
          <w:tcPr>
            <w:tcW w:w="7280" w:type="dxa"/>
            <w:vAlign w:val="bottom"/>
            <w:shd w:val="clear" w:color="auto" w:fill="CCEEFF"/>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Average total assets</w:t>
            </w:r>
          </w:p>
        </w:tc>
        <w:tc>
          <w:tcPr>
            <w:tcW w:w="2320" w:type="dxa"/>
            <w:vAlign w:val="bottom"/>
          </w:tcPr>
          <w:p>
            <w:pPr>
              <w:jc w:val="right"/>
              <w:ind w:right="579"/>
              <w:spacing w:after="0"/>
              <w:rPr>
                <w:sz w:val="20"/>
                <w:szCs w:val="20"/>
                <w:color w:val="auto"/>
              </w:rPr>
            </w:pPr>
            <w:r>
              <w:rPr>
                <w:rFonts w:ascii="Arial" w:cs="Arial" w:eastAsia="Arial" w:hAnsi="Arial"/>
                <w:sz w:val="16"/>
                <w:szCs w:val="16"/>
                <w:b w:val="1"/>
                <w:bCs w:val="1"/>
                <w:color w:val="auto"/>
              </w:rPr>
              <w:t>$9,016</w:t>
            </w:r>
          </w:p>
        </w:tc>
        <w:tc>
          <w:tcPr>
            <w:tcW w:w="1820" w:type="dxa"/>
            <w:vAlign w:val="bottom"/>
          </w:tcPr>
          <w:p>
            <w:pPr>
              <w:jc w:val="right"/>
              <w:ind w:right="219"/>
              <w:spacing w:after="0"/>
              <w:rPr>
                <w:sz w:val="20"/>
                <w:szCs w:val="20"/>
                <w:color w:val="auto"/>
              </w:rPr>
            </w:pPr>
            <w:r>
              <w:rPr>
                <w:rFonts w:ascii="Arial" w:cs="Arial" w:eastAsia="Arial" w:hAnsi="Arial"/>
                <w:sz w:val="16"/>
                <w:szCs w:val="16"/>
                <w:color w:val="auto"/>
              </w:rPr>
              <w:t>$8,175</w:t>
            </w:r>
          </w:p>
        </w:tc>
      </w:tr>
      <w:tr>
        <w:trPr>
          <w:trHeight w:val="33"/>
        </w:trPr>
        <w:tc>
          <w:tcPr>
            <w:tcW w:w="7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average non-interest-bearing current liabilities</w:t>
            </w:r>
          </w:p>
        </w:tc>
        <w:tc>
          <w:tcPr>
            <w:tcW w:w="23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(3,528)</w:t>
            </w:r>
          </w:p>
        </w:tc>
        <w:tc>
          <w:tcPr>
            <w:tcW w:w="18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(3,371)</w:t>
            </w:r>
          </w:p>
        </w:tc>
      </w:tr>
      <w:tr>
        <w:trPr>
          <w:trHeight w:val="270"/>
        </w:trPr>
        <w:tc>
          <w:tcPr>
            <w:tcW w:w="7280" w:type="dxa"/>
            <w:vAlign w:val="bottom"/>
          </w:tcPr>
          <w:p>
            <w:pPr>
              <w:ind w:left="40"/>
              <w:spacing w:after="0"/>
              <w:rPr>
                <w:sz w:val="20"/>
                <w:szCs w:val="20"/>
                <w:color w:val="auto"/>
              </w:rPr>
            </w:pPr>
            <w:r>
              <w:rPr>
                <w:rFonts w:ascii="Arial" w:cs="Arial" w:eastAsia="Arial" w:hAnsi="Arial"/>
                <w:sz w:val="16"/>
                <w:szCs w:val="16"/>
                <w:color w:val="auto"/>
              </w:rPr>
              <w:t>Less: average deferred property incentives in excess of ROU assets</w:t>
            </w:r>
            <w:r>
              <w:rPr>
                <w:rFonts w:ascii="Arial" w:cs="Arial" w:eastAsia="Arial" w:hAnsi="Arial"/>
                <w:sz w:val="21"/>
                <w:szCs w:val="21"/>
                <w:color w:val="auto"/>
                <w:vertAlign w:val="superscript"/>
              </w:rPr>
              <w:t>3</w:t>
            </w:r>
          </w:p>
        </w:tc>
        <w:tc>
          <w:tcPr>
            <w:tcW w:w="2320" w:type="dxa"/>
            <w:vAlign w:val="bottom"/>
          </w:tcPr>
          <w:p>
            <w:pPr>
              <w:jc w:val="right"/>
              <w:ind w:right="519"/>
              <w:spacing w:after="0"/>
              <w:rPr>
                <w:sz w:val="20"/>
                <w:szCs w:val="20"/>
                <w:color w:val="auto"/>
              </w:rPr>
            </w:pPr>
            <w:r>
              <w:rPr>
                <w:rFonts w:ascii="Arial" w:cs="Arial" w:eastAsia="Arial" w:hAnsi="Arial"/>
                <w:sz w:val="16"/>
                <w:szCs w:val="16"/>
                <w:b w:val="1"/>
                <w:bCs w:val="1"/>
                <w:color w:val="auto"/>
              </w:rPr>
              <w:t>(154)</w:t>
            </w:r>
          </w:p>
        </w:tc>
        <w:tc>
          <w:tcPr>
            <w:tcW w:w="182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average estimated asset base of capitalized operating leases</w:t>
            </w:r>
            <w:r>
              <w:rPr>
                <w:rFonts w:ascii="Arial" w:cs="Arial" w:eastAsia="Arial" w:hAnsi="Arial"/>
                <w:sz w:val="21"/>
                <w:szCs w:val="21"/>
                <w:color w:val="auto"/>
                <w:vertAlign w:val="superscript"/>
              </w:rPr>
              <w:t>2</w:t>
            </w:r>
          </w:p>
        </w:tc>
        <w:tc>
          <w:tcPr>
            <w:tcW w:w="232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1,005</w:t>
            </w:r>
          </w:p>
        </w:tc>
        <w:tc>
          <w:tcPr>
            <w:tcW w:w="18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1,962</w:t>
            </w: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Less: average deferred property incentives and deferred rent liability</w:t>
            </w:r>
          </w:p>
        </w:tc>
        <w:tc>
          <w:tcPr>
            <w:tcW w:w="2320" w:type="dxa"/>
            <w:vAlign w:val="bottom"/>
          </w:tcPr>
          <w:p>
            <w:pPr>
              <w:jc w:val="right"/>
              <w:ind w:right="519"/>
              <w:spacing w:after="0"/>
              <w:rPr>
                <w:sz w:val="20"/>
                <w:szCs w:val="20"/>
                <w:color w:val="auto"/>
              </w:rPr>
            </w:pPr>
            <w:r>
              <w:rPr>
                <w:rFonts w:ascii="Arial" w:cs="Arial" w:eastAsia="Arial" w:hAnsi="Arial"/>
                <w:sz w:val="16"/>
                <w:szCs w:val="16"/>
                <w:b w:val="1"/>
                <w:bCs w:val="1"/>
                <w:color w:val="auto"/>
              </w:rPr>
              <w:t>(303)</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(635)</w:t>
            </w:r>
          </w:p>
        </w:tc>
      </w:tr>
      <w:tr>
        <w:trPr>
          <w:trHeight w:val="33"/>
        </w:trPr>
        <w:tc>
          <w:tcPr>
            <w:tcW w:w="7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23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$6,036</w:t>
            </w:r>
          </w:p>
        </w:tc>
        <w:tc>
          <w:tcPr>
            <w:tcW w:w="18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$6,131</w:t>
            </w:r>
          </w:p>
        </w:tc>
      </w:tr>
      <w:tr>
        <w:trPr>
          <w:trHeight w:val="291"/>
        </w:trPr>
        <w:tc>
          <w:tcPr>
            <w:tcW w:w="728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4</w:t>
            </w:r>
          </w:p>
        </w:tc>
        <w:tc>
          <w:tcPr>
            <w:tcW w:w="232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5.5%</w:t>
            </w:r>
          </w:p>
        </w:tc>
        <w:tc>
          <w:tcPr>
            <w:tcW w:w="1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r>
      <w:tr>
        <w:trPr>
          <w:trHeight w:val="277"/>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Adjusted ROIC</w:t>
            </w:r>
            <w:r>
              <w:rPr>
                <w:rFonts w:ascii="Arial" w:cs="Arial" w:eastAsia="Arial" w:hAnsi="Arial"/>
                <w:sz w:val="21"/>
                <w:szCs w:val="21"/>
                <w:color w:val="auto"/>
                <w:vertAlign w:val="superscript"/>
              </w:rPr>
              <w:t>4</w:t>
            </w:r>
          </w:p>
        </w:tc>
        <w:tc>
          <w:tcPr>
            <w:tcW w:w="2320" w:type="dxa"/>
            <w:vAlign w:val="bottom"/>
          </w:tcPr>
          <w:p>
            <w:pPr>
              <w:jc w:val="right"/>
              <w:ind w:right="399"/>
              <w:spacing w:after="0"/>
              <w:rPr>
                <w:sz w:val="20"/>
                <w:szCs w:val="20"/>
                <w:color w:val="auto"/>
              </w:rPr>
            </w:pPr>
            <w:r>
              <w:rPr>
                <w:rFonts w:ascii="Arial" w:cs="Arial" w:eastAsia="Arial" w:hAnsi="Arial"/>
                <w:sz w:val="16"/>
                <w:szCs w:val="16"/>
                <w:b w:val="1"/>
                <w:bCs w:val="1"/>
                <w:color w:val="auto"/>
              </w:rPr>
              <w:t>10.9%</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right="220" w:hanging="72"/>
        <w:spacing w:after="0" w:line="241" w:lineRule="auto"/>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As a result of the adoption of the Lease Standard, we add back the operating lease interest to reflect how we manage our business. Operating lease interest is a component of operating lease cost recorded in occupancy costs and is calculated in accordance with the Lease Standard.</w:t>
      </w:r>
    </w:p>
    <w:p>
      <w:pPr>
        <w:spacing w:after="0" w:line="1" w:lineRule="exact"/>
        <w:rPr>
          <w:sz w:val="20"/>
          <w:szCs w:val="20"/>
          <w:color w:val="auto"/>
        </w:rPr>
      </w:pPr>
    </w:p>
    <w:p>
      <w:pPr>
        <w:jc w:val="both"/>
        <w:ind w:left="80" w:right="180" w:hanging="72"/>
        <w:spacing w:after="0" w:line="241" w:lineRule="auto"/>
        <w:tabs>
          <w:tab w:leader="none" w:pos="66" w:val="left"/>
        </w:tabs>
        <w:numPr>
          <w:ilvl w:val="0"/>
          <w:numId w:val="15"/>
        </w:numPr>
        <w:rPr>
          <w:rFonts w:ascii="Arial" w:cs="Arial" w:eastAsia="Arial" w:hAnsi="Arial"/>
          <w:sz w:val="9"/>
          <w:szCs w:val="9"/>
          <w:color w:val="auto"/>
        </w:rPr>
      </w:pPr>
      <w:r>
        <w:rPr>
          <w:rFonts w:ascii="Arial" w:cs="Arial" w:eastAsia="Arial" w:hAnsi="Arial"/>
          <w:sz w:val="14"/>
          <w:szCs w:val="14"/>
          <w:color w:val="auto"/>
        </w:rPr>
        <w:t>Capitalized operating leases is our best estimate of the asset base we would record for our leases that are classified as operating under the previous lease standard if they had met the criteria for a finance lease or we had purchased the property. The asset base for each quarter is calculated as the trailing four quarters of rent expense multiplied by eight, a commonly used method to estimate the asset base we would record for our capitalized operating leases.</w:t>
      </w:r>
    </w:p>
    <w:p>
      <w:pPr>
        <w:spacing w:after="0" w:line="1" w:lineRule="exact"/>
        <w:rPr>
          <w:sz w:val="20"/>
          <w:szCs w:val="20"/>
          <w:color w:val="auto"/>
        </w:rPr>
      </w:pPr>
    </w:p>
    <w:p>
      <w:pPr>
        <w:ind w:left="80" w:right="540" w:hanging="72"/>
        <w:spacing w:after="0" w:line="241" w:lineRule="auto"/>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For leases with property incentives that exceed the ROU assets, we reclassify the amount from assets to other current liabilities and other liabilities. As a result of the adoption of the Lease Standard, we reduce average total assets, as this better reflects how we manage our business.</w:t>
      </w:r>
    </w:p>
    <w:p>
      <w:pPr>
        <w:spacing w:after="0" w:line="1" w:lineRule="exact"/>
        <w:rPr>
          <w:sz w:val="20"/>
          <w:szCs w:val="20"/>
          <w:color w:val="auto"/>
        </w:rPr>
      </w:pPr>
    </w:p>
    <w:p>
      <w:pPr>
        <w:ind w:left="80" w:right="160" w:hanging="72"/>
        <w:spacing w:after="0" w:line="248" w:lineRule="auto"/>
        <w:tabs>
          <w:tab w:leader="none" w:pos="102" w:val="left"/>
        </w:tabs>
        <w:numPr>
          <w:ilvl w:val="0"/>
          <w:numId w:val="17"/>
        </w:numPr>
        <w:rPr>
          <w:rFonts w:ascii="Arial" w:cs="Arial" w:eastAsia="Arial" w:hAnsi="Arial"/>
          <w:sz w:val="9"/>
          <w:szCs w:val="9"/>
          <w:color w:val="auto"/>
        </w:rPr>
      </w:pPr>
      <w:r>
        <w:rPr>
          <w:rFonts w:ascii="Arial" w:cs="Arial" w:eastAsia="Arial" w:hAnsi="Arial"/>
          <w:sz w:val="14"/>
          <w:szCs w:val="14"/>
          <w:color w:val="auto"/>
        </w:rPr>
        <w:t>Results for the four quarters ended August 3, 2019 included the $72 impact related to the Estimated Non-recurring Charge, which negatively impacted return on assets by approximately 50 basis points and Adjusted ROIC by approximately 70 basis points. In addition, the adoption of the Lease Standard negatively impacted return on assets by approximately 60 basis points and Adjusted ROIC by approximately 20 basis points.</w:t>
      </w:r>
    </w:p>
    <w:p>
      <w:pPr>
        <w:sectPr>
          <w:pgSz w:w="11900" w:h="16838" w:orient="portrait"/>
          <w:cols w:equalWidth="0" w:num="1">
            <w:col w:w="11420"/>
          </w:cols>
          <w:pgMar w:left="240" w:top="279"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 of 28</w:t>
      </w:r>
    </w:p>
    <w:p>
      <w:pPr>
        <w:sectPr>
          <w:pgSz w:w="11900" w:h="16838" w:orient="portrait"/>
          <w:cols w:equalWidth="0" w:num="1">
            <w:col w:w="11420"/>
          </w:cols>
          <w:pgMar w:left="240" w:top="279" w:right="23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facility and potential future borrowings are sufficient to meet our cash requirements for the next 12 months and beyond.</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Over the long term, we manage our cash and capital structure to maximize shareholder return, maintain our financial position, manage refinancing risk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allow flexibility for strategic initiatives. We regularly assess our debt and leverage levels, capital expenditure requirements, debt service payments, dividend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payouts, potential share repurchases and other future investments. We believe that as of August 3, 2019, our existing cash and cash equivalents on-hand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$956, available credit facility of $800 and potential future operating cash flows and borrowings will be sufficient to fund these scheduled future payments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 long-term initiatives.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4, 2018</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$692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(454)</w:t>
            </w:r>
          </w:p>
        </w:tc>
        <w:tc>
          <w:tcPr>
            <w:tcW w:w="11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(239)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0"/>
        </w:trPr>
        <w:tc>
          <w:tcPr>
            <w:tcW w:w="76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Net cash provided by operating activities increased $98 for the period ended August 3, 2019, compared with the same period in 2018, primarily due to the timing of payroll and a decrease in inventory purchased, partially offset by a decrease in net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Net cash used in investing activities increased $164 for the period ended August 3, 2019, compared with the same period in 2018, primarily due to an increase in capital expenditures related to our Supply Chain Network, including our Omni-channel center in Riverside, California, and Nordstrom NYC.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Net cash used in financing activities increased $97 for the period ended August 3, 2019, compared with the same period in 2018, primarily due to increased share repurchase activity executed in the first quarter of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we believe it provides investors with a meaningful analysis of our ability to generate cash from our business.</w:t>
      </w:r>
    </w:p>
    <w:p>
      <w:pPr>
        <w:spacing w:after="0" w:line="13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58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August 4, 2018</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$692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580" w:type="dxa"/>
            <w:vAlign w:val="bottom"/>
          </w:tcPr>
          <w:p>
            <w:pPr>
              <w:jc w:val="right"/>
              <w:ind w:right="719"/>
              <w:spacing w:after="0"/>
              <w:rPr>
                <w:sz w:val="20"/>
                <w:szCs w:val="20"/>
                <w:color w:val="auto"/>
              </w:rPr>
            </w:pPr>
            <w:r>
              <w:rPr>
                <w:rFonts w:ascii="Arial" w:cs="Arial" w:eastAsia="Arial" w:hAnsi="Arial"/>
                <w:sz w:val="16"/>
                <w:szCs w:val="16"/>
                <w:b w:val="1"/>
                <w:bCs w:val="1"/>
                <w:color w:val="auto"/>
              </w:rPr>
              <w:t>(480)</w:t>
            </w:r>
          </w:p>
        </w:tc>
        <w:tc>
          <w:tcPr>
            <w:tcW w:w="118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33"/>
        </w:trPr>
        <w:tc>
          <w:tcPr>
            <w:tcW w:w="7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 in cash book overdrafts</w:t>
            </w:r>
          </w:p>
        </w:tc>
        <w:tc>
          <w:tcPr>
            <w:tcW w:w="25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92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Free Cash Flow</w:t>
            </w:r>
          </w:p>
        </w:tc>
        <w:tc>
          <w:tcPr>
            <w:tcW w:w="25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$304</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r>
      <w:tr>
        <w:trPr>
          <w:trHeight w:val="33"/>
        </w:trPr>
        <w:tc>
          <w:tcPr>
            <w:tcW w:w="76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28</w:t>
      </w:r>
    </w:p>
    <w:p>
      <w:pPr>
        <w:sectPr>
          <w:pgSz w:w="11900" w:h="16838" w:orient="portrait"/>
          <w:cols w:equalWidth="0" w:num="1">
            <w:col w:w="11420"/>
          </w:cols>
          <w:pgMar w:left="240" w:top="279"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EBITDA is our key financial metric to reflect our view of cash flow from net earnings. Adjusted EBITDA excludes significant items which are non-operating in nature in order to evaluate our core operating performance against prior periods. The financial measure calculated under GAAP which is most directly comparable to Adjusted EBITDA is net earnings.</w:t>
      </w:r>
    </w:p>
    <w:p>
      <w:pPr>
        <w:spacing w:after="0" w:line="13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Adjusted EBITDA is not a measure of financial performance under GAAP and should be considered in addition to, and not as a substitute for net earnings, overall change in cash or liquidity of the business as a whole. Our method of determining non-GAAP financial measures may differ from other companies’ methods and therefore may not be comparable to those used by other companies. The following is a reconciliation of net earnings to Adjusted EBITDA: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18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August 3, 2019</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w w:val="92"/>
              </w:rPr>
              <w:t>August 4, 2018</w:t>
            </w:r>
          </w:p>
        </w:tc>
      </w:tr>
      <w:tr>
        <w:trPr>
          <w:trHeight w:val="33"/>
        </w:trPr>
        <w:tc>
          <w:tcPr>
            <w:tcW w:w="7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5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$177</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69</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94</w:t>
            </w:r>
          </w:p>
        </w:tc>
      </w:tr>
      <w:tr>
        <w:trPr>
          <w:trHeight w:val="33"/>
        </w:trPr>
        <w:tc>
          <w:tcPr>
            <w:tcW w:w="7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 net</w:t>
            </w:r>
          </w:p>
        </w:tc>
        <w:tc>
          <w:tcPr>
            <w:tcW w:w="25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46</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r>
      <w:tr>
        <w:trPr>
          <w:trHeight w:val="231"/>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58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292</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399</w:t>
            </w:r>
          </w:p>
        </w:tc>
      </w:tr>
      <w:tr>
        <w:trPr>
          <w:trHeight w:val="33"/>
        </w:trPr>
        <w:tc>
          <w:tcPr>
            <w:tcW w:w="7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7640" w:type="dxa"/>
            <w:vAlign w:val="bottom"/>
            <w:shd w:val="clear" w:color="auto" w:fill="CCEEFF"/>
          </w:tcPr>
          <w:p>
            <w:pPr>
              <w:spacing w:after="0"/>
              <w:rPr>
                <w:sz w:val="24"/>
                <w:szCs w:val="24"/>
                <w:color w:val="auto"/>
              </w:rPr>
            </w:pPr>
          </w:p>
        </w:tc>
        <w:tc>
          <w:tcPr>
            <w:tcW w:w="25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2580" w:type="dxa"/>
            <w:vAlign w:val="bottom"/>
          </w:tcPr>
          <w:p>
            <w:pPr>
              <w:jc w:val="right"/>
              <w:ind w:right="779"/>
              <w:spacing w:after="0"/>
              <w:rPr>
                <w:sz w:val="20"/>
                <w:szCs w:val="20"/>
                <w:color w:val="auto"/>
              </w:rPr>
            </w:pPr>
            <w:r>
              <w:rPr>
                <w:rFonts w:ascii="Arial" w:cs="Arial" w:eastAsia="Arial" w:hAnsi="Arial"/>
                <w:sz w:val="16"/>
                <w:szCs w:val="16"/>
                <w:b w:val="1"/>
                <w:bCs w:val="1"/>
                <w:color w:val="auto"/>
              </w:rPr>
              <w:t>323</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338</w:t>
            </w:r>
          </w:p>
        </w:tc>
      </w:tr>
      <w:tr>
        <w:trPr>
          <w:trHeight w:val="33"/>
        </w:trPr>
        <w:tc>
          <w:tcPr>
            <w:tcW w:w="7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amortization of developer reimbursements</w:t>
            </w:r>
          </w:p>
        </w:tc>
        <w:tc>
          <w:tcPr>
            <w:tcW w:w="258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31"/>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EBITDA</w:t>
            </w:r>
          </w:p>
        </w:tc>
        <w:tc>
          <w:tcPr>
            <w:tcW w:w="258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$577</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$697</w:t>
            </w:r>
          </w:p>
        </w:tc>
      </w:tr>
      <w:tr>
        <w:trPr>
          <w:trHeight w:val="33"/>
        </w:trPr>
        <w:tc>
          <w:tcPr>
            <w:tcW w:w="76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total short-term borrowing capacity of $800 under the Revolver that expires September 2023. Provided that we obtain written consent from our lenders, we have the option to increase the Revolver by up to $200, to a total of $1,000, and two options to extend the Revolver by one year. As of August 3, 2019, we had no borrowings outstanding under our Revolver. For more information about our credit facilities, see Note 5: Debt and Credit Facilities in Item 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Credit Ratings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or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4520" w:type="dxa"/>
            <w:vAlign w:val="bottom"/>
          </w:tcPr>
          <w:p>
            <w:pPr>
              <w:jc w:val="right"/>
              <w:ind w:right="159"/>
              <w:spacing w:after="0"/>
              <w:rPr>
                <w:sz w:val="20"/>
                <w:szCs w:val="20"/>
                <w:color w:val="auto"/>
              </w:rPr>
            </w:pPr>
            <w:r>
              <w:rPr>
                <w:rFonts w:ascii="Arial" w:cs="Arial" w:eastAsia="Arial" w:hAnsi="Arial"/>
                <w:sz w:val="16"/>
                <w:szCs w:val="16"/>
                <w:b w:val="1"/>
                <w:bCs w:val="1"/>
                <w:color w:val="auto"/>
              </w:rPr>
              <w:t>Credit Ratings</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33"/>
        </w:trPr>
        <w:tc>
          <w:tcPr>
            <w:tcW w:w="51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5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Baa1</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Negative</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520" w:type="dxa"/>
            <w:vAlign w:val="bottom"/>
          </w:tcPr>
          <w:p>
            <w:pPr>
              <w:jc w:val="right"/>
              <w:ind w:right="159"/>
              <w:spacing w:after="0"/>
              <w:rPr>
                <w:sz w:val="20"/>
                <w:szCs w:val="20"/>
                <w:color w:val="auto"/>
              </w:rPr>
            </w:pPr>
            <w:r>
              <w:rPr>
                <w:rFonts w:ascii="Arial" w:cs="Arial" w:eastAsia="Arial" w:hAnsi="Arial"/>
                <w:sz w:val="16"/>
                <w:szCs w:val="16"/>
                <w:color w:val="auto"/>
              </w:rPr>
              <w:t>BBB+</w:t>
            </w:r>
          </w:p>
        </w:tc>
        <w:tc>
          <w:tcPr>
            <w:tcW w:w="1720" w:type="dxa"/>
            <w:vAlign w:val="bottom"/>
          </w:tcPr>
          <w:p>
            <w:pPr>
              <w:jc w:val="right"/>
              <w:spacing w:after="0"/>
              <w:rPr>
                <w:sz w:val="20"/>
                <w:szCs w:val="20"/>
                <w:color w:val="auto"/>
              </w:rPr>
            </w:pPr>
            <w:r>
              <w:rPr>
                <w:rFonts w:ascii="Arial" w:cs="Arial" w:eastAsia="Arial" w:hAnsi="Arial"/>
                <w:sz w:val="16"/>
                <w:szCs w:val="16"/>
                <w:color w:val="auto"/>
              </w:rPr>
              <w:t>Negative</w:t>
            </w:r>
          </w:p>
        </w:tc>
      </w:tr>
      <w:tr>
        <w:trPr>
          <w:trHeight w:val="33"/>
        </w:trPr>
        <w:tc>
          <w:tcPr>
            <w:tcW w:w="51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28"/>
        </w:trPr>
        <w:tc>
          <w:tcPr>
            <w:tcW w:w="5180" w:type="dxa"/>
            <w:vAlign w:val="bottom"/>
          </w:tcPr>
          <w:p>
            <w:pPr>
              <w:spacing w:after="0"/>
              <w:rPr>
                <w:sz w:val="24"/>
                <w:szCs w:val="24"/>
                <w:color w:val="auto"/>
              </w:rPr>
            </w:pPr>
          </w:p>
        </w:tc>
        <w:tc>
          <w:tcPr>
            <w:tcW w:w="4520" w:type="dxa"/>
            <w:vAlign w:val="bottom"/>
          </w:tcPr>
          <w:p>
            <w:pPr>
              <w:jc w:val="right"/>
              <w:ind w:right="199"/>
              <w:spacing w:after="0"/>
              <w:rPr>
                <w:sz w:val="20"/>
                <w:szCs w:val="20"/>
                <w:color w:val="auto"/>
              </w:rPr>
            </w:pPr>
            <w:r>
              <w:rPr>
                <w:rFonts w:ascii="Arial" w:cs="Arial" w:eastAsia="Arial" w:hAnsi="Arial"/>
                <w:sz w:val="16"/>
                <w:szCs w:val="16"/>
                <w:b w:val="1"/>
                <w:bCs w:val="1"/>
                <w:color w:val="auto"/>
              </w:rPr>
              <w:t>Base Interest Rate</w:t>
            </w: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 Margin</w:t>
            </w:r>
          </w:p>
        </w:tc>
      </w:tr>
      <w:tr>
        <w:trPr>
          <w:trHeight w:val="33"/>
        </w:trPr>
        <w:tc>
          <w:tcPr>
            <w:tcW w:w="51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LIBOR</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520" w:type="dxa"/>
            <w:vAlign w:val="bottom"/>
          </w:tcPr>
          <w:p>
            <w:pPr>
              <w:jc w:val="right"/>
              <w:ind w:right="199"/>
              <w:spacing w:after="0"/>
              <w:rPr>
                <w:sz w:val="20"/>
                <w:szCs w:val="20"/>
                <w:color w:val="auto"/>
              </w:rPr>
            </w:pPr>
            <w:r>
              <w:rPr>
                <w:rFonts w:ascii="Arial" w:cs="Arial" w:eastAsia="Arial" w:hAnsi="Arial"/>
                <w:sz w:val="16"/>
                <w:szCs w:val="16"/>
                <w:color w:val="auto"/>
              </w:rPr>
              <w:t>CDOR</w:t>
            </w:r>
          </w:p>
        </w:tc>
        <w:tc>
          <w:tcPr>
            <w:tcW w:w="172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51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various</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0"/>
        </w:trPr>
        <w:tc>
          <w:tcPr>
            <w:tcW w:w="518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jc w:val="both"/>
        <w:ind w:right="900"/>
        <w:spacing w:after="0" w:line="323" w:lineRule="auto"/>
        <w:rPr>
          <w:sz w:val="20"/>
          <w:szCs w:val="20"/>
          <w:color w:val="auto"/>
        </w:rPr>
      </w:pPr>
      <w:r>
        <w:rPr>
          <w:rFonts w:ascii="Arial" w:cs="Arial" w:eastAsia="Arial" w:hAnsi="Arial"/>
          <w:sz w:val="16"/>
          <w:szCs w:val="16"/>
          <w:color w:val="auto"/>
        </w:rPr>
        <w:t>The Revolver requires that we maintain an adjusted debt to EBITDAR leverage ratio of no more than four times. The Revolver’s ratio calculation methodology has not been impacted by the adoption of the new Lease Standard. As of August 3, 2019, we were in compliance with this covenant.</w:t>
      </w:r>
    </w:p>
    <w:p>
      <w:pPr>
        <w:sectPr>
          <w:pgSz w:w="11900" w:h="16838" w:orient="portrait"/>
          <w:cols w:equalWidth="0" w:num="1">
            <w:col w:w="11420"/>
          </w:cols>
          <w:pgMar w:left="240" w:top="279" w:right="239" w:bottom="144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 of 28</w:t>
      </w:r>
    </w:p>
    <w:p>
      <w:pPr>
        <w:sectPr>
          <w:pgSz w:w="11900" w:h="16838" w:orient="portrait"/>
          <w:cols w:equalWidth="0" w:num="1">
            <w:col w:w="11420"/>
          </w:cols>
          <w:pgMar w:left="240" w:top="279" w:right="2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as it provides a reflection of our credit worthiness that could impact our credit rating and borrowing costs. Our goal is to manage debt levels to maintain an investment-grade credit rating and operate with an efficient capital structure.</w:t>
      </w:r>
    </w:p>
    <w:p>
      <w:pPr>
        <w:spacing w:after="0" w:line="1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2019, income statement activity for Adjusted EBITDAR is comprised of two quarters of activity under the Lease Standard for 2019 and the last two quarters of 2018 under the previous lease standard. Balance sheet amounts are as of the end of the quarter, and under the new Lease Standard for 2019 and the previous lease standard for 2018. Under the previous lease standard, we estimated the value of our operating leases as if they met the criteria for capital leases or we had purchased the properties. This provided additional supplemental information that estimated the investment in our operating leases. Estimated capitalized operating lease liability is not calculated in accordance with, nor an alternative for, GAAP and should not be considered in isolation or as a substitution for our results as reported under GAAP.</w:t>
      </w:r>
    </w:p>
    <w:p>
      <w:pPr>
        <w:spacing w:after="0" w:line="13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GAAP financial measures. Our method of determining non-GAAP financial measures may differ from other companies’ methods and therefore may not be comparable to those used by other companies.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components of Adjusted Debt to EBITDAR and debt to net earnings: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color w:val="auto"/>
                <w:vertAlign w:val="superscript"/>
              </w:rPr>
              <w:t>1</w:t>
            </w: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$2,678</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$2,734</w:t>
            </w:r>
          </w:p>
        </w:tc>
      </w:tr>
      <w:tr>
        <w:trPr>
          <w:trHeight w:val="243"/>
        </w:trPr>
        <w:tc>
          <w:tcPr>
            <w:tcW w:w="6160" w:type="dxa"/>
            <w:vAlign w:val="bottom"/>
          </w:tcPr>
          <w:p>
            <w:pPr>
              <w:ind w:left="40"/>
              <w:spacing w:after="0"/>
              <w:rPr>
                <w:sz w:val="20"/>
                <w:szCs w:val="20"/>
                <w:color w:val="auto"/>
              </w:rPr>
            </w:pPr>
            <w:r>
              <w:rPr>
                <w:rFonts w:ascii="Arial" w:cs="Arial" w:eastAsia="Arial" w:hAnsi="Arial"/>
                <w:sz w:val="16"/>
                <w:szCs w:val="16"/>
                <w:color w:val="auto"/>
              </w:rPr>
              <w:t>Add: operating lease liabilities</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2,149</w:t>
            </w: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9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1,993</w:t>
            </w:r>
          </w:p>
        </w:tc>
      </w:tr>
      <w:tr>
        <w:trPr>
          <w:trHeight w:val="231"/>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Adjusted Debt</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$4,827</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$4,727</w:t>
            </w:r>
          </w:p>
        </w:tc>
      </w:tr>
      <w:tr>
        <w:trPr>
          <w:trHeight w:val="33"/>
        </w:trPr>
        <w:tc>
          <w:tcPr>
            <w:tcW w:w="61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6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Net earnings</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$492</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$513</w:t>
            </w:r>
          </w:p>
        </w:tc>
      </w:tr>
      <w:tr>
        <w:trPr>
          <w:trHeight w:val="33"/>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income tax expense</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144</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329</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Add: interest expense, net</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95</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115</w:t>
            </w:r>
          </w:p>
        </w:tc>
      </w:tr>
      <w:tr>
        <w:trPr>
          <w:trHeight w:val="33"/>
        </w:trPr>
        <w:tc>
          <w:tcPr>
            <w:tcW w:w="61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731</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957</w:t>
            </w:r>
          </w:p>
        </w:tc>
      </w:tr>
      <w:tr>
        <w:trPr>
          <w:trHeight w:val="297"/>
        </w:trPr>
        <w:tc>
          <w:tcPr>
            <w:tcW w:w="6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653</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683</w:t>
            </w:r>
          </w:p>
        </w:tc>
      </w:tr>
      <w:tr>
        <w:trPr>
          <w:trHeight w:val="270"/>
        </w:trPr>
        <w:tc>
          <w:tcPr>
            <w:tcW w:w="6160" w:type="dxa"/>
            <w:vAlign w:val="bottom"/>
          </w:tcPr>
          <w:p>
            <w:pPr>
              <w:ind w:left="40"/>
              <w:spacing w:after="0"/>
              <w:rPr>
                <w:sz w:val="20"/>
                <w:szCs w:val="20"/>
                <w:color w:val="auto"/>
              </w:rPr>
            </w:pPr>
            <w:r>
              <w:rPr>
                <w:rFonts w:ascii="Arial" w:cs="Arial" w:eastAsia="Arial" w:hAnsi="Arial"/>
                <w:sz w:val="16"/>
                <w:szCs w:val="16"/>
                <w:color w:val="auto"/>
              </w:rPr>
              <w:t>Add: operating lease cost</w:t>
            </w:r>
            <w:r>
              <w:rPr>
                <w:rFonts w:ascii="Arial" w:cs="Arial" w:eastAsia="Arial" w:hAnsi="Arial"/>
                <w:sz w:val="21"/>
                <w:szCs w:val="21"/>
                <w:color w:val="auto"/>
                <w:vertAlign w:val="superscript"/>
              </w:rPr>
              <w:t>3</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138</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rent expense, net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127</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249</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Add: non-cash acquisition-related charges</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1</w:t>
            </w:r>
          </w:p>
        </w:tc>
      </w:tr>
      <w:tr>
        <w:trPr>
          <w:trHeight w:val="33"/>
        </w:trPr>
        <w:tc>
          <w:tcPr>
            <w:tcW w:w="61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EBITDAR</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$1,649</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$1,890</w:t>
            </w:r>
          </w:p>
        </w:tc>
      </w:tr>
      <w:tr>
        <w:trPr>
          <w:trHeight w:val="291"/>
        </w:trPr>
        <w:tc>
          <w:tcPr>
            <w:tcW w:w="616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Debt to Net Earnings</w:t>
            </w:r>
            <w:r>
              <w:rPr>
                <w:rFonts w:ascii="Arial" w:cs="Arial" w:eastAsia="Arial" w:hAnsi="Arial"/>
                <w:sz w:val="21"/>
                <w:szCs w:val="21"/>
                <w:color w:val="auto"/>
                <w:vertAlign w:val="superscript"/>
              </w:rPr>
              <w:t>4</w:t>
            </w:r>
          </w:p>
        </w:tc>
        <w:tc>
          <w:tcPr>
            <w:tcW w:w="39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5.4</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5.3</w:t>
            </w:r>
          </w:p>
        </w:tc>
      </w:tr>
      <w:tr>
        <w:trPr>
          <w:trHeight w:val="277"/>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Adjusted Debt to EBITDAR</w:t>
            </w:r>
            <w:r>
              <w:rPr>
                <w:rFonts w:ascii="Arial" w:cs="Arial" w:eastAsia="Arial" w:hAnsi="Arial"/>
                <w:sz w:val="21"/>
                <w:szCs w:val="21"/>
                <w:color w:val="auto"/>
                <w:vertAlign w:val="superscript"/>
              </w:rPr>
              <w:t>4</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2.9</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0" w:hanging="112"/>
        <w:spacing w:after="0"/>
        <w:tabs>
          <w:tab w:leader="none" w:pos="120" w:val="left"/>
        </w:tabs>
        <w:numPr>
          <w:ilvl w:val="0"/>
          <w:numId w:val="18"/>
        </w:numPr>
        <w:rPr>
          <w:rFonts w:ascii="Arial" w:cs="Arial" w:eastAsia="Arial" w:hAnsi="Arial"/>
          <w:sz w:val="8"/>
          <w:szCs w:val="8"/>
          <w:color w:val="auto"/>
        </w:rPr>
      </w:pPr>
      <w:r>
        <w:rPr>
          <w:rFonts w:ascii="Arial" w:cs="Arial" w:eastAsia="Arial" w:hAnsi="Arial"/>
          <w:sz w:val="13"/>
          <w:szCs w:val="13"/>
          <w:color w:val="auto"/>
        </w:rPr>
        <w:t>The components of Adjusted Debt are as of August 3, 2019 and August 4, 2018, while the components of Adjusted EBITDAR are for the four quarters ended August 3, 2019 and August 4, 2018.</w:t>
      </w:r>
    </w:p>
    <w:p>
      <w:pPr>
        <w:spacing w:after="0" w:line="12" w:lineRule="exact"/>
        <w:rPr>
          <w:rFonts w:ascii="Arial" w:cs="Arial" w:eastAsia="Arial" w:hAnsi="Arial"/>
          <w:sz w:val="8"/>
          <w:szCs w:val="8"/>
          <w:color w:val="auto"/>
        </w:rPr>
      </w:pPr>
    </w:p>
    <w:p>
      <w:pPr>
        <w:ind w:left="80" w:right="140" w:hanging="81"/>
        <w:spacing w:after="0" w:line="241" w:lineRule="auto"/>
        <w:rPr>
          <w:rFonts w:ascii="Arial" w:cs="Arial" w:eastAsia="Arial" w:hAnsi="Arial"/>
          <w:sz w:val="8"/>
          <w:szCs w:val="8"/>
          <w:color w:val="auto"/>
        </w:rPr>
      </w:pPr>
      <w:r>
        <w:rPr>
          <w:rFonts w:ascii="Arial" w:cs="Arial" w:eastAsia="Arial" w:hAnsi="Arial"/>
          <w:sz w:val="9"/>
          <w:szCs w:val="9"/>
          <w:color w:val="auto"/>
        </w:rPr>
        <w:t xml:space="preserve">2 </w:t>
      </w:r>
      <w:r>
        <w:rPr>
          <w:rFonts w:ascii="Arial" w:cs="Arial" w:eastAsia="Arial" w:hAnsi="Arial"/>
          <w:sz w:val="14"/>
          <w:szCs w:val="14"/>
          <w:color w:val="auto"/>
        </w:rPr>
        <w:t>Based upon the estimated lease liability as of the end of the period, calculated as the trailing four quarters of rent expense multiplied by eight, a commonly used method of estimating the debt we</w:t>
      </w:r>
      <w:r>
        <w:rPr>
          <w:rFonts w:ascii="Arial" w:cs="Arial" w:eastAsia="Arial" w:hAnsi="Arial"/>
          <w:sz w:val="9"/>
          <w:szCs w:val="9"/>
          <w:color w:val="auto"/>
        </w:rPr>
        <w:t xml:space="preserve"> </w:t>
      </w:r>
      <w:r>
        <w:rPr>
          <w:rFonts w:ascii="Arial" w:cs="Arial" w:eastAsia="Arial" w:hAnsi="Arial"/>
          <w:sz w:val="14"/>
          <w:szCs w:val="14"/>
          <w:color w:val="auto"/>
        </w:rPr>
        <w:t>would record for our leases that are classified as operating if they had met the criteria for a capital lease or we had purchased the property.</w:t>
      </w:r>
    </w:p>
    <w:p>
      <w:pPr>
        <w:spacing w:after="0"/>
        <w:rPr>
          <w:rFonts w:ascii="Arial" w:cs="Arial" w:eastAsia="Arial" w:hAnsi="Arial"/>
          <w:sz w:val="8"/>
          <w:szCs w:val="8"/>
          <w:color w:val="auto"/>
        </w:rPr>
      </w:pPr>
      <w:r>
        <w:rPr>
          <w:rFonts w:ascii="Arial" w:cs="Arial" w:eastAsia="Arial" w:hAnsi="Arial"/>
          <w:sz w:val="9"/>
          <w:szCs w:val="9"/>
          <w:color w:val="auto"/>
        </w:rPr>
        <w:t xml:space="preserve">3 </w:t>
      </w:r>
      <w:r>
        <w:rPr>
          <w:rFonts w:ascii="Arial" w:cs="Arial" w:eastAsia="Arial" w:hAnsi="Arial"/>
          <w:sz w:val="14"/>
          <w:szCs w:val="14"/>
          <w:color w:val="auto"/>
        </w:rPr>
        <w:t>As a result of the adoption of the Lease Standard, we add back the operating lease cost to calculate Adjusted EBITDAR.</w:t>
      </w:r>
    </w:p>
    <w:p>
      <w:pPr>
        <w:spacing w:after="0" w:line="1" w:lineRule="exact"/>
        <w:rPr>
          <w:rFonts w:ascii="Arial" w:cs="Arial" w:eastAsia="Arial" w:hAnsi="Arial"/>
          <w:sz w:val="8"/>
          <w:szCs w:val="8"/>
          <w:color w:val="auto"/>
        </w:rPr>
      </w:pPr>
    </w:p>
    <w:p>
      <w:pPr>
        <w:ind w:left="80" w:right="220" w:hanging="81"/>
        <w:spacing w:after="0" w:line="255" w:lineRule="auto"/>
        <w:rPr>
          <w:rFonts w:ascii="Arial" w:cs="Arial" w:eastAsia="Arial" w:hAnsi="Arial"/>
          <w:sz w:val="8"/>
          <w:szCs w:val="8"/>
          <w:color w:val="auto"/>
        </w:rPr>
      </w:pPr>
      <w:r>
        <w:rPr>
          <w:rFonts w:ascii="Arial" w:cs="Arial" w:eastAsia="Arial" w:hAnsi="Arial"/>
          <w:sz w:val="9"/>
          <w:szCs w:val="9"/>
          <w:color w:val="auto"/>
        </w:rPr>
        <w:t xml:space="preserve">4 </w:t>
      </w:r>
      <w:r>
        <w:rPr>
          <w:rFonts w:ascii="Arial" w:cs="Arial" w:eastAsia="Arial" w:hAnsi="Arial"/>
          <w:sz w:val="14"/>
          <w:szCs w:val="14"/>
          <w:color w:val="auto"/>
        </w:rPr>
        <w:t>Results for the four quarters ended August 3, 2019 included the $72 impact related to the Estimated Non-recurring Charge, which negatively impacted Debt to Net Earnings by 0.5 and Adjusted</w:t>
      </w:r>
      <w:r>
        <w:rPr>
          <w:rFonts w:ascii="Arial" w:cs="Arial" w:eastAsia="Arial" w:hAnsi="Arial"/>
          <w:sz w:val="9"/>
          <w:szCs w:val="9"/>
          <w:color w:val="auto"/>
        </w:rPr>
        <w:t xml:space="preserve"> </w:t>
      </w:r>
      <w:r>
        <w:rPr>
          <w:rFonts w:ascii="Arial" w:cs="Arial" w:eastAsia="Arial" w:hAnsi="Arial"/>
          <w:sz w:val="14"/>
          <w:szCs w:val="14"/>
          <w:color w:val="auto"/>
        </w:rPr>
        <w:t>Debt to EBITDAR by 0.1. In addition, the adoption of the Lease Standard had no impact on Debt to Net Earnings nor Adjusted Debt to EBITDAR.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 of 28</w:t>
      </w:r>
    </w:p>
    <w:p>
      <w:pPr>
        <w:sectPr>
          <w:pgSz w:w="11900" w:h="16838" w:orient="portrait"/>
          <w:cols w:equalWidth="0" w:num="1">
            <w:col w:w="11420"/>
          </w:cols>
          <w:pgMar w:left="240" w:top="279"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As of August 3, 2019, there have been no material changes to our off-balance sheet arrangements as disclosed in our 2018 Annual Report except for our operating leases, which are recorded on the balance sheet as a result of adopting the Lease Standard.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our financial statements requires that we make estimates and judgments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We believe that the estimates, assumptions and judgments involved in the accounting policies referred to in our 2018 Annual Report have the greatest potential effect on our financial statements, so we consider these to be our critical accounting policies and estimates. Our management has discussed the development and selection of these critical accounting estimates with the Audit &amp; Finance Committee of our Board of Directors.</w:t>
      </w:r>
    </w:p>
    <w:p>
      <w:pPr>
        <w:spacing w:after="0" w:line="14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Except as disclosed in Note 2: Leases of Item 1, pertaining to our adoption of the Lease Standard, there have been no material changes to our significant accounting policies or critical accounting estimates as described in our 2018 Annual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discussed our interest rate risk and our foreign currency exchange risk in our 2018 Annual Report. There have been no material changes to these risks since that time.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six months ended August 3, 2019, we adopted the Lease Standard. As a result of our adoption of the Lease Standard, we implemented a new lease accounting information system and modified our processes and internal controls over lease accounting.</w:t>
      </w:r>
    </w:p>
    <w:p>
      <w:pPr>
        <w:spacing w:after="0" w:line="13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other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 of 28</w:t>
      </w:r>
    </w:p>
    <w:p>
      <w:pPr>
        <w:sectPr>
          <w:pgSz w:w="11900" w:h="16838" w:orient="portrait"/>
          <w:cols w:equalWidth="0" w:num="1">
            <w:col w:w="11360"/>
          </w:cols>
          <w:pgMar w:left="240" w:top="279" w:right="29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accruals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we discussed in our 2018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2018, our Board of Directors authorized a program to repurchase up to $1,500 of our outstanding common stock, with no expiration date. During the second quarter of 2019, we did not repurchase any shares of our common stock and we had $707 remaining in share repurchase capacity as of August 3, 2019. The actual timing, price, manner and amounts of future share repurchases, if any, will be subject to market and economic conditions and applicable SEC rules.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or furnished with this report as set forth in the Exhibit Index on page 27 hereof.</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 of 28</w:t>
      </w:r>
    </w:p>
    <w:p>
      <w:pPr>
        <w:sectPr>
          <w:pgSz w:w="11900" w:h="16838" w:orient="portrait"/>
          <w:cols w:equalWidth="0" w:num="1">
            <w:col w:w="11340"/>
          </w:cols>
          <w:pgMar w:left="240" w:top="279" w:right="3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80" w:type="dxa"/>
            <w:vAlign w:val="bottom"/>
            <w:gridSpan w:val="8"/>
          </w:tcPr>
          <w:p>
            <w:pPr>
              <w:ind w:left="38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ind w:left="200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96"/>
        </w:trPr>
        <w:tc>
          <w:tcPr>
            <w:tcW w:w="1080" w:type="dxa"/>
            <w:vAlign w:val="bottom"/>
            <w:gridSpan w:val="3"/>
          </w:tcPr>
          <w:p>
            <w:pPr>
              <w:ind w:left="40"/>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120" w:type="dxa"/>
            <w:vAlign w:val="bottom"/>
            <w:gridSpan w:val="9"/>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Nordstrom, Inc. 2019 Equity Incentive Plan</w:t>
              </w:r>
            </w:hyperlink>
          </w:p>
        </w:tc>
        <w:tc>
          <w:tcPr>
            <w:tcW w:w="5220" w:type="dxa"/>
            <w:vAlign w:val="bottom"/>
          </w:tcPr>
          <w:p>
            <w:pPr>
              <w:ind w:left="120"/>
              <w:spacing w:after="0" w:line="196" w:lineRule="exact"/>
              <w:rPr>
                <w:sz w:val="20"/>
                <w:szCs w:val="20"/>
                <w:color w:val="auto"/>
              </w:rPr>
            </w:pPr>
            <w:r>
              <w:rPr>
                <w:rFonts w:ascii="Arial" w:cs="Arial" w:eastAsia="Arial" w:hAnsi="Arial"/>
                <w:sz w:val="18"/>
                <w:szCs w:val="18"/>
                <w:color w:val="auto"/>
                <w:w w:val="97"/>
              </w:rPr>
              <w:t>Incorporated by reference to Appendix B to the Registrant’s Form</w:t>
            </w:r>
          </w:p>
        </w:tc>
      </w:tr>
      <w:tr>
        <w:trPr>
          <w:trHeight w:val="237"/>
        </w:trPr>
        <w:tc>
          <w:tcPr>
            <w:tcW w:w="4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740" w:type="dxa"/>
            <w:vAlign w:val="bottom"/>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20" w:type="dxa"/>
            <w:vAlign w:val="bottom"/>
          </w:tcPr>
          <w:p>
            <w:pPr>
              <w:ind w:left="120"/>
              <w:spacing w:after="0"/>
              <w:rPr>
                <w:sz w:val="20"/>
                <w:szCs w:val="20"/>
                <w:color w:val="auto"/>
              </w:rPr>
            </w:pPr>
            <w:r>
              <w:rPr>
                <w:rFonts w:ascii="Arial" w:cs="Arial" w:eastAsia="Arial" w:hAnsi="Arial"/>
                <w:sz w:val="18"/>
                <w:szCs w:val="18"/>
                <w:color w:val="auto"/>
              </w:rPr>
              <w:t>DEF 14A filed on April 12, 2019.</w:t>
            </w:r>
          </w:p>
        </w:tc>
      </w:tr>
      <w:tr>
        <w:trPr>
          <w:trHeight w:val="351"/>
        </w:trPr>
        <w:tc>
          <w:tcPr>
            <w:tcW w:w="1080" w:type="dxa"/>
            <w:vAlign w:val="bottom"/>
            <w:gridSpan w:val="3"/>
          </w:tcPr>
          <w:p>
            <w:pPr>
              <w:ind w:left="40"/>
              <w:spacing w:after="0"/>
              <w:rPr>
                <w:rFonts w:ascii="Arial" w:cs="Arial" w:eastAsia="Arial" w:hAnsi="Arial"/>
                <w:sz w:val="18"/>
                <w:szCs w:val="18"/>
                <w:color w:val="0000FF"/>
              </w:rPr>
            </w:pPr>
            <w:hyperlink w:anchor="page3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120" w:type="dxa"/>
            <w:vAlign w:val="bottom"/>
            <w:gridSpan w:val="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Certification of Co-President required by Section 302(a) of the</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31">
              <w:r>
                <w:rPr>
                  <w:rFonts w:ascii="Arial" w:cs="Arial" w:eastAsia="Arial" w:hAnsi="Arial"/>
                  <w:sz w:val="18"/>
                  <w:szCs w:val="18"/>
                  <w:color w:val="0000FF"/>
                </w:rPr>
                <w:t>Sarbanes-Oxley Act of 2002</w:t>
              </w:r>
            </w:hyperlink>
          </w:p>
        </w:tc>
        <w:tc>
          <w:tcPr>
            <w:tcW w:w="600" w:type="dxa"/>
            <w:vAlign w:val="bottom"/>
            <w:gridSpan w:val="4"/>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80" w:type="dxa"/>
            <w:vAlign w:val="bottom"/>
            <w:gridSpan w:val="3"/>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372"/>
        </w:trPr>
        <w:tc>
          <w:tcPr>
            <w:tcW w:w="1080" w:type="dxa"/>
            <w:vAlign w:val="bottom"/>
            <w:gridSpan w:val="3"/>
          </w:tcPr>
          <w:p>
            <w:pPr>
              <w:ind w:left="40"/>
              <w:spacing w:after="0"/>
              <w:rPr>
                <w:rFonts w:ascii="Arial" w:cs="Arial" w:eastAsia="Arial" w:hAnsi="Arial"/>
                <w:sz w:val="18"/>
                <w:szCs w:val="18"/>
                <w:color w:val="0000FF"/>
              </w:rPr>
            </w:pPr>
            <w:hyperlink w:anchor="page3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120" w:type="dxa"/>
            <w:vAlign w:val="bottom"/>
            <w:gridSpan w:val="9"/>
          </w:tcPr>
          <w:p>
            <w:pPr>
              <w:spacing w:after="0"/>
              <w:rPr>
                <w:rFonts w:ascii="Arial" w:cs="Arial" w:eastAsia="Arial" w:hAnsi="Arial"/>
                <w:sz w:val="18"/>
                <w:szCs w:val="18"/>
                <w:color w:val="0000FF"/>
                <w:w w:val="95"/>
              </w:rPr>
            </w:pPr>
            <w:hyperlink w:anchor="page32">
              <w:r>
                <w:rPr>
                  <w:rFonts w:ascii="Arial" w:cs="Arial" w:eastAsia="Arial" w:hAnsi="Arial"/>
                  <w:sz w:val="18"/>
                  <w:szCs w:val="18"/>
                  <w:color w:val="0000FF"/>
                  <w:w w:val="95"/>
                </w:rPr>
                <w:t>Certification of Chief Financial Officer required by Section 302(a) of</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32">
              <w:r>
                <w:rPr>
                  <w:rFonts w:ascii="Arial" w:cs="Arial" w:eastAsia="Arial" w:hAnsi="Arial"/>
                  <w:sz w:val="18"/>
                  <w:szCs w:val="18"/>
                  <w:color w:val="0000FF"/>
                  <w:w w:val="90"/>
                </w:rPr>
                <w:t>the Sarbanes-Oxley Act of 2002</w:t>
              </w:r>
            </w:hyperlink>
          </w:p>
        </w:tc>
        <w:tc>
          <w:tcPr>
            <w:tcW w:w="2660" w:type="dxa"/>
            <w:vAlign w:val="bottom"/>
            <w:tcBorders>
              <w:top w:val="single" w:sz="8" w:color="0000FF"/>
            </w:tcBorders>
            <w:gridSpan w:val="5"/>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72"/>
        </w:trPr>
        <w:tc>
          <w:tcPr>
            <w:tcW w:w="1080" w:type="dxa"/>
            <w:vAlign w:val="bottom"/>
            <w:gridSpan w:val="3"/>
          </w:tcPr>
          <w:p>
            <w:pPr>
              <w:ind w:left="40"/>
              <w:spacing w:after="0"/>
              <w:rPr>
                <w:rFonts w:ascii="Arial" w:cs="Arial" w:eastAsia="Arial" w:hAnsi="Arial"/>
                <w:sz w:val="18"/>
                <w:szCs w:val="18"/>
                <w:color w:val="0000FF"/>
              </w:rPr>
            </w:pPr>
            <w:hyperlink w:anchor="page3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120" w:type="dxa"/>
            <w:vAlign w:val="bottom"/>
            <w:gridSpan w:val="9"/>
          </w:tcPr>
          <w:p>
            <w:pPr>
              <w:spacing w:after="0"/>
              <w:rPr>
                <w:rFonts w:ascii="Arial" w:cs="Arial" w:eastAsia="Arial" w:hAnsi="Arial"/>
                <w:sz w:val="18"/>
                <w:szCs w:val="18"/>
                <w:color w:val="0000FF"/>
                <w:w w:val="94"/>
              </w:rPr>
            </w:pPr>
            <w:hyperlink w:anchor="page33">
              <w:r>
                <w:rPr>
                  <w:rFonts w:ascii="Arial" w:cs="Arial" w:eastAsia="Arial" w:hAnsi="Arial"/>
                  <w:sz w:val="18"/>
                  <w:szCs w:val="18"/>
                  <w:color w:val="0000FF"/>
                  <w:w w:val="94"/>
                </w:rPr>
                <w:t>Certification of Co-President and Chief Financial Officer pursuant to</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Furnished herewith electronically</w:t>
            </w:r>
          </w:p>
        </w:tc>
      </w:tr>
      <w:tr>
        <w:trPr>
          <w:trHeight w:val="196"/>
        </w:trPr>
        <w:tc>
          <w:tcPr>
            <w:tcW w:w="4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960" w:type="dxa"/>
            <w:vAlign w:val="bottom"/>
            <w:tcBorders>
              <w:top w:val="single" w:sz="8" w:color="0000FF"/>
            </w:tcBorders>
            <w:gridSpan w:val="7"/>
          </w:tcPr>
          <w:p>
            <w:pPr>
              <w:spacing w:after="0" w:line="196" w:lineRule="exact"/>
              <w:rPr>
                <w:rFonts w:ascii="Arial" w:cs="Arial" w:eastAsia="Arial" w:hAnsi="Arial"/>
                <w:sz w:val="18"/>
                <w:szCs w:val="18"/>
                <w:color w:val="0000FF"/>
                <w:w w:val="88"/>
              </w:rPr>
            </w:pPr>
            <w:hyperlink w:anchor="page33">
              <w:r>
                <w:rPr>
                  <w:rFonts w:ascii="Arial" w:cs="Arial" w:eastAsia="Arial" w:hAnsi="Arial"/>
                  <w:sz w:val="18"/>
                  <w:szCs w:val="18"/>
                  <w:color w:val="0000FF"/>
                  <w:w w:val="88"/>
                </w:rPr>
                <w:t>18 U.S.C. 1350, as adopted pursuant to Section 906 of the Sarbanes-</w:t>
              </w:r>
            </w:hyperlink>
          </w:p>
        </w:tc>
        <w:tc>
          <w:tcPr>
            <w:tcW w:w="16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33">
              <w:r>
                <w:rPr>
                  <w:rFonts w:ascii="Arial" w:cs="Arial" w:eastAsia="Arial" w:hAnsi="Arial"/>
                  <w:sz w:val="18"/>
                  <w:szCs w:val="18"/>
                  <w:color w:val="0000FF"/>
                  <w:w w:val="92"/>
                </w:rPr>
                <w:t>Oxley Act of 2002</w:t>
              </w:r>
            </w:hyperlink>
          </w:p>
        </w:tc>
        <w:tc>
          <w:tcPr>
            <w:tcW w:w="3580" w:type="dxa"/>
            <w:vAlign w:val="bottom"/>
            <w:tcBorders>
              <w:top w:val="single" w:sz="8" w:color="0000FF"/>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41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51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51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51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512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51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108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51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49"/>
        </w:trPr>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r>
      <w:tr>
        <w:trPr>
          <w:trHeight w:val="615"/>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gridSpan w:val="5"/>
          </w:tcPr>
          <w:p>
            <w:pPr>
              <w:ind w:left="1200"/>
              <w:spacing w:after="0"/>
              <w:rPr>
                <w:sz w:val="20"/>
                <w:szCs w:val="20"/>
                <w:color w:val="auto"/>
              </w:rPr>
            </w:pPr>
            <w:r>
              <w:rPr>
                <w:rFonts w:ascii="Arial" w:cs="Arial" w:eastAsia="Arial" w:hAnsi="Arial"/>
                <w:sz w:val="18"/>
                <w:szCs w:val="18"/>
                <w:color w:val="auto"/>
              </w:rPr>
              <w:t>27 of 28</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4,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 of 28</w:t>
      </w:r>
    </w:p>
    <w:p>
      <w:pPr>
        <w:sectPr>
          <w:pgSz w:w="11900" w:h="16838" w:orient="portrait"/>
          <w:cols w:equalWidth="0" w:num="1">
            <w:col w:w="11220"/>
          </w:cols>
          <w:pgMar w:left="240" w:top="279"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Erik B. Nordstrom, certify that:</w:t>
      </w:r>
    </w:p>
    <w:p>
      <w:pPr>
        <w:spacing w:after="0" w:line="17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Date:</w:t>
        <w:tab/>
        <w:t>September 4,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Erik B.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Erik B. Nordstrom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Date:</w:t>
        <w:tab/>
        <w:t>September 4,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6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Anne L. Bramman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of Nordstrom, Inc.</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August 3, 2019, as filed with the Securities and Exchange Commission on the date hereof (the “Report”), we, Erik B. Nordstrom, Co-President (Principal Executive Officer), and Anne L. Bramman, Chief Financial Officer (Principal Financial Officer), of the Company, certify, pursuant to 18 U.S.C. Section 1350, as adopted pursuant to Section 906 of the Sarbanes-Oxley Act of 2002, that:</w:t>
      </w:r>
    </w:p>
    <w:p>
      <w:pPr>
        <w:spacing w:after="0" w:line="13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5880"/>
        <w:spacing w:after="0"/>
        <w:tabs>
          <w:tab w:leader="none" w:pos="6480" w:val="left"/>
        </w:tabs>
        <w:rPr>
          <w:sz w:val="20"/>
          <w:szCs w:val="20"/>
          <w:color w:val="auto"/>
        </w:rPr>
      </w:pPr>
      <w:r>
        <w:rPr>
          <w:rFonts w:ascii="Arial" w:cs="Arial" w:eastAsia="Arial" w:hAnsi="Arial"/>
          <w:sz w:val="18"/>
          <w:szCs w:val="18"/>
          <w:color w:val="auto"/>
        </w:rPr>
        <w:t>Date:</w:t>
        <w:tab/>
        <w:t>September 4,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Erik B.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Erik B.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Co-President of Nordstrom,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 of Nordstrom, Inc.</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bullet"/>
      <w:start w:val="1"/>
    </w:lvl>
  </w:abstractNum>
  <w:abstractNum w:abstractNumId="8">
    <w:nsid w:val="1BEFD79F"/>
    <w:multiLevelType w:val="hybridMultilevel"/>
    <w:lvl w:ilvl="0">
      <w:lvlJc w:val="left"/>
      <w:lvlText w:val="1"/>
      <w:numFmt w:val="bullet"/>
      <w:start w:val="1"/>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bullet"/>
      <w:start w:val="1"/>
    </w:lvl>
  </w:abstractNum>
  <w:abstractNum w:abstractNumId="13">
    <w:nsid w:val="519B500D"/>
    <w:multiLevelType w:val="hybridMultilevel"/>
    <w:lvl w:ilvl="0">
      <w:lvlJc w:val="left"/>
      <w:lvlText w:val="1"/>
      <w:numFmt w:val="bullet"/>
      <w:start w:val="1"/>
    </w:lvl>
  </w:abstractNum>
  <w:abstractNum w:abstractNumId="14">
    <w:nsid w:val="431BD7B7"/>
    <w:multiLevelType w:val="hybridMultilevel"/>
    <w:lvl w:ilvl="0">
      <w:lvlJc w:val="left"/>
      <w:lvlText w:val="2"/>
      <w:numFmt w:val="bullet"/>
      <w:start w:val="1"/>
    </w:lvl>
  </w:abstractNum>
  <w:abstractNum w:abstractNumId="15">
    <w:nsid w:val="3F2DBA31"/>
    <w:multiLevelType w:val="hybridMultilevel"/>
    <w:lvl w:ilvl="0">
      <w:lvlJc w:val="left"/>
      <w:lvlText w:val="3"/>
      <w:numFmt w:val="bullet"/>
      <w:start w:val="1"/>
    </w:lvl>
  </w:abstractNum>
  <w:abstractNum w:abstractNumId="16">
    <w:nsid w:val="7C83E458"/>
    <w:multiLevelType w:val="hybridMultilevel"/>
    <w:lvl w:ilvl="0">
      <w:lvlJc w:val="left"/>
      <w:lvlText w:val="4"/>
      <w:numFmt w:val="bullet"/>
      <w:start w:val="1"/>
    </w:lvl>
  </w:abstractNum>
  <w:abstractNum w:abstractNumId="17">
    <w:nsid w:val="257130A3"/>
    <w:multiLevelType w:val="hybridMultilevel"/>
    <w:lvl w:ilvl="0">
      <w:lvlJc w:val="left"/>
      <w:lvlText w:val="1"/>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Archives/edgar/data/72333/000007233319000098/jwn2019-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2019-12-28T06:36:34Z</dcterms:created>
  <dcterms:modified xsi:type="dcterms:W3CDTF">2019-12-28T06:36:34Z</dcterms:modified>
</cp:coreProperties>
</file>