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4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6" w:lineRule="exact"/>
        <w:rPr>
          <w:sz w:val="24"/>
          <w:szCs w:val="24"/>
          <w:color w:val="auto"/>
        </w:rPr>
      </w:pPr>
    </w:p>
    <w:p>
      <w:pPr>
        <w:ind w:left="520" w:hanging="485"/>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November 2, 2019</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66" w:lineRule="exact"/>
        <w:rPr>
          <w:sz w:val="24"/>
          <w:szCs w:val="24"/>
          <w:color w:val="auto"/>
        </w:rPr>
      </w:pPr>
    </w:p>
    <w:p>
      <w:pPr>
        <w:ind w:left="520" w:hanging="485"/>
        <w:spacing w:after="0"/>
        <w:tabs>
          <w:tab w:leader="none" w:pos="520" w:val="left"/>
        </w:tabs>
        <w:numPr>
          <w:ilvl w:val="0"/>
          <w:numId w:val="2"/>
        </w:numPr>
        <w:rPr>
          <w:rFonts w:ascii="MS PGothic" w:cs="MS PGothic" w:eastAsia="MS PGothic" w:hAnsi="MS PGothic"/>
          <w:sz w:val="17"/>
          <w:szCs w:val="17"/>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27"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For the transition period from ___________ to___________</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001-15059</w:t>
      </w:r>
    </w:p>
    <w:p>
      <w:pPr>
        <w:spacing w:after="0" w:line="160"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NORDSTROM,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40"/>
          </w:cols>
          <w:pgMar w:left="240" w:top="387" w:right="219" w:bottom="1440" w:gutter="0" w:footer="0" w:header="0"/>
        </w:sectPr>
      </w:pPr>
    </w:p>
    <w:p>
      <w:pPr>
        <w:spacing w:after="0" w:line="151" w:lineRule="exact"/>
        <w:rPr>
          <w:sz w:val="24"/>
          <w:szCs w:val="24"/>
          <w:color w:val="auto"/>
        </w:rPr>
      </w:pPr>
    </w:p>
    <w:p>
      <w:pPr>
        <w:ind w:left="2280"/>
        <w:spacing w:after="0"/>
        <w:rPr>
          <w:sz w:val="20"/>
          <w:szCs w:val="20"/>
          <w:color w:val="auto"/>
        </w:rPr>
      </w:pPr>
      <w:r>
        <w:rPr>
          <w:rFonts w:ascii="Arial" w:cs="Arial" w:eastAsia="Arial" w:hAnsi="Arial"/>
          <w:sz w:val="16"/>
          <w:szCs w:val="16"/>
          <w:b w:val="1"/>
          <w:bCs w:val="1"/>
          <w:color w:val="auto"/>
        </w:rPr>
        <w:t>Washington</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91-0515058</w:t>
      </w:r>
    </w:p>
    <w:p>
      <w:pPr>
        <w:spacing w:after="0" w:line="90" w:lineRule="exact"/>
        <w:rPr>
          <w:sz w:val="24"/>
          <w:szCs w:val="24"/>
          <w:color w:val="auto"/>
        </w:rPr>
      </w:pPr>
    </w:p>
    <w:p>
      <w:pPr>
        <w:sectPr>
          <w:pgSz w:w="11900" w:h="16838" w:orient="portrait"/>
          <w:cols w:equalWidth="0" w:num="2">
            <w:col w:w="7540" w:space="720"/>
            <w:col w:w="3180"/>
          </w:cols>
          <w:pgMar w:left="240" w:top="387" w:right="219" w:bottom="1440" w:gutter="0" w:footer="0" w:header="0"/>
          <w:type w:val="continuous"/>
        </w:sectPr>
      </w:pPr>
    </w:p>
    <w:p>
      <w:pPr>
        <w:ind w:left="1700"/>
        <w:spacing w:after="0"/>
        <w:rPr>
          <w:sz w:val="20"/>
          <w:szCs w:val="20"/>
          <w:color w:val="auto"/>
        </w:rPr>
      </w:pPr>
      <w:r>
        <w:rPr>
          <w:rFonts w:ascii="Arial" w:cs="Arial" w:eastAsia="Arial" w:hAnsi="Arial"/>
          <w:sz w:val="17"/>
          <w:szCs w:val="17"/>
          <w:color w:val="auto"/>
        </w:rPr>
        <w:t>(State or other jurisdiction of</w:t>
      </w:r>
    </w:p>
    <w:p>
      <w:pPr>
        <w:spacing w:after="0" w:line="35" w:lineRule="exact"/>
        <w:rPr>
          <w:sz w:val="24"/>
          <w:szCs w:val="24"/>
          <w:color w:val="auto"/>
        </w:rPr>
      </w:pPr>
    </w:p>
    <w:p>
      <w:pPr>
        <w:ind w:left="16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191" w:lineRule="exact"/>
        <w:rPr>
          <w:sz w:val="24"/>
          <w:szCs w:val="24"/>
          <w:color w:val="auto"/>
        </w:rPr>
      </w:pPr>
    </w:p>
    <w:p>
      <w:pPr>
        <w:sectPr>
          <w:pgSz w:w="11900" w:h="16838" w:orient="portrait"/>
          <w:cols w:equalWidth="0" w:num="2">
            <w:col w:w="7300" w:space="720"/>
            <w:col w:w="3420"/>
          </w:cols>
          <w:pgMar w:left="240" w:top="387" w:right="219"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1617 Sixth Avenue, Seattle, Washington 98101</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ectPr>
          <w:pgSz w:w="11900" w:h="16838" w:orient="portrait"/>
          <w:cols w:equalWidth="0" w:num="1">
            <w:col w:w="11440"/>
          </w:cols>
          <w:pgMar w:left="240" w:top="387" w:right="219" w:bottom="1440" w:gutter="0" w:footer="0" w:header="0"/>
          <w:type w:val="continuous"/>
        </w:sectPr>
      </w:pPr>
    </w:p>
    <w:p>
      <w:pPr>
        <w:spacing w:after="0" w:line="15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206-628-2111</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4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46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4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33"/>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17"/>
        </w:trPr>
        <w:tc>
          <w:tcPr>
            <w:tcW w:w="4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Common stock, without par value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JWN</w:t>
            </w:r>
          </w:p>
        </w:tc>
        <w:tc>
          <w:tcPr>
            <w:tcW w:w="4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New York Stock Exchange</w:t>
            </w:r>
          </w:p>
        </w:tc>
      </w:tr>
      <w:tr>
        <w:trPr>
          <w:trHeight w:val="33"/>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bl>
    <w:p>
      <w:pPr>
        <w:spacing w:after="0" w:line="40" w:lineRule="exact"/>
        <w:rPr>
          <w:sz w:val="24"/>
          <w:szCs w:val="24"/>
          <w:color w:val="auto"/>
        </w:rPr>
      </w:pPr>
    </w:p>
    <w:p>
      <w:pPr>
        <w:ind w:right="50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4" w:lineRule="exact"/>
        <w:rPr>
          <w:sz w:val="24"/>
          <w:szCs w:val="24"/>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40"/>
          </w:cols>
          <w:pgMar w:left="240" w:top="387" w:right="219" w:bottom="1440" w:gutter="0" w:footer="0" w:header="0"/>
          <w:type w:val="continuous"/>
        </w:sectPr>
      </w:pPr>
    </w:p>
    <w:p>
      <w:pPr>
        <w:spacing w:after="0" w:line="95" w:lineRule="exact"/>
        <w:rPr>
          <w:sz w:val="24"/>
          <w:szCs w:val="24"/>
          <w:color w:val="auto"/>
        </w:rPr>
      </w:pPr>
    </w:p>
    <w:p>
      <w:pPr>
        <w:ind w:left="18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66" w:lineRule="exact"/>
        <w:rPr>
          <w:sz w:val="24"/>
          <w:szCs w:val="24"/>
          <w:color w:val="auto"/>
        </w:rPr>
      </w:pPr>
    </w:p>
    <w:p>
      <w:pPr>
        <w:sectPr>
          <w:pgSz w:w="11900" w:h="16838" w:orient="portrait"/>
          <w:cols w:equalWidth="0" w:num="4">
            <w:col w:w="340" w:space="40"/>
            <w:col w:w="4760" w:space="720"/>
            <w:col w:w="180" w:space="40"/>
            <w:col w:w="5360"/>
          </w:cols>
          <w:pgMar w:left="240" w:top="387" w:right="219" w:bottom="1440" w:gutter="0" w:footer="0" w:header="0"/>
          <w:type w:val="continuous"/>
        </w:sectPr>
      </w:pPr>
    </w:p>
    <w:p>
      <w:pPr>
        <w:ind w:left="18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66" w:lineRule="exact"/>
        <w:rPr>
          <w:sz w:val="24"/>
          <w:szCs w:val="24"/>
          <w:color w:val="auto"/>
        </w:rPr>
      </w:pPr>
    </w:p>
    <w:p>
      <w:pPr>
        <w:sectPr>
          <w:pgSz w:w="11900" w:h="16838" w:orient="portrait"/>
          <w:cols w:equalWidth="0" w:num="4">
            <w:col w:w="340" w:space="40"/>
            <w:col w:w="4760" w:space="720"/>
            <w:col w:w="180" w:space="40"/>
            <w:col w:w="5360"/>
          </w:cols>
          <w:pgMar w:left="240" w:top="387" w:right="219" w:bottom="1440" w:gutter="0" w:footer="0" w:header="0"/>
          <w:type w:val="continuous"/>
        </w:sectPr>
      </w:pPr>
    </w:p>
    <w:p>
      <w:pPr>
        <w:ind w:left="58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Emerging growth company</w:t>
      </w:r>
    </w:p>
    <w:p>
      <w:pPr>
        <w:spacing w:after="0" w:line="113" w:lineRule="exact"/>
        <w:rPr>
          <w:sz w:val="24"/>
          <w:szCs w:val="24"/>
          <w:color w:val="auto"/>
        </w:rPr>
      </w:pPr>
    </w:p>
    <w:p>
      <w:pPr>
        <w:sectPr>
          <w:pgSz w:w="11900" w:h="16838" w:orient="portrait"/>
          <w:cols w:equalWidth="0" w:num="2">
            <w:col w:w="6040" w:space="40"/>
            <w:col w:w="5360"/>
          </w:cols>
          <w:pgMar w:left="240" w:top="387" w:right="219" w:bottom="1440" w:gutter="0" w:footer="0" w:header="0"/>
          <w:type w:val="continuous"/>
        </w:sect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spacing w:after="0"/>
        <w:rPr>
          <w:sz w:val="20"/>
          <w:szCs w:val="20"/>
          <w:color w:val="auto"/>
        </w:rPr>
      </w:pPr>
      <w:r>
        <w:rPr>
          <w:rFonts w:ascii="Arial" w:cs="Arial" w:eastAsia="Arial" w:hAnsi="Arial"/>
          <w:sz w:val="18"/>
          <w:szCs w:val="18"/>
          <w:color w:val="auto"/>
        </w:rPr>
        <w:t>Common stock outstanding as of November 29, 2019: 155,253,167 shares</w:t>
      </w:r>
    </w:p>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 of 28</w:t>
      </w:r>
    </w:p>
    <w:p>
      <w:pPr>
        <w:sectPr>
          <w:pgSz w:w="11900" w:h="16838" w:orient="portrait"/>
          <w:cols w:equalWidth="0" w:num="1">
            <w:col w:w="11440"/>
          </w:cols>
          <w:pgMar w:left="240" w:top="387" w:right="21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520" w:type="dxa"/>
            <w:vAlign w:val="bottom"/>
            <w:gridSpan w:val="12"/>
          </w:tcPr>
          <w:p>
            <w:pPr>
              <w:jc w:val="center"/>
              <w:ind w:right="1840"/>
              <w:spacing w:after="0"/>
              <w:rPr>
                <w:sz w:val="20"/>
                <w:szCs w:val="20"/>
                <w:color w:val="auto"/>
              </w:rPr>
            </w:pPr>
            <w:r>
              <w:rPr>
                <w:rFonts w:ascii="Arial" w:cs="Arial" w:eastAsia="Arial" w:hAnsi="Arial"/>
                <w:sz w:val="22"/>
                <w:szCs w:val="22"/>
                <w:b w:val="1"/>
                <w:bCs w:val="1"/>
                <w:color w:val="auto"/>
                <w:w w:val="97"/>
              </w:rPr>
              <w:t>TABLE OF CONTENTS</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60" w:type="dxa"/>
            <w:vAlign w:val="bottom"/>
            <w:gridSpan w:val="3"/>
          </w:tcPr>
          <w:p>
            <w:pPr>
              <w:ind w:left="150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230"/>
        </w:trPr>
        <w:tc>
          <w:tcPr>
            <w:tcW w:w="9360" w:type="dxa"/>
            <w:vAlign w:val="bottom"/>
            <w:gridSpan w:val="2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FORWARD-LOOKING STATEMENTS</w:t>
              </w:r>
            </w:hyperlink>
          </w:p>
        </w:tc>
        <w:tc>
          <w:tcPr>
            <w:tcW w:w="1720" w:type="dxa"/>
            <w:vAlign w:val="bottom"/>
            <w:gridSpan w:val="2"/>
          </w:tcPr>
          <w:p>
            <w:pPr>
              <w:jc w:val="center"/>
              <w:ind w:left="155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80" w:type="dxa"/>
            <w:vAlign w:val="bottom"/>
            <w:gridSpan w:val="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DEFINITIONS</w:t>
              </w:r>
            </w:hyperlink>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20" w:type="dxa"/>
            <w:vAlign w:val="bottom"/>
            <w:gridSpan w:val="2"/>
          </w:tcPr>
          <w:p>
            <w:pPr>
              <w:jc w:val="center"/>
              <w:ind w:left="155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160" w:type="dxa"/>
            <w:vAlign w:val="bottom"/>
            <w:tcBorders>
              <w:bottom w:val="single" w:sz="8" w:color="0000EE"/>
            </w:tcBorders>
            <w:gridSpan w:val="11"/>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PART I – FINANCIAL INFORMATION</w:t>
              </w:r>
            </w:hyperlink>
          </w:p>
        </w:tc>
        <w:tc>
          <w:tcPr>
            <w:tcW w:w="6200" w:type="dxa"/>
            <w:vAlign w:val="bottom"/>
            <w:gridSpan w:val="14"/>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80" w:type="dxa"/>
            <w:vAlign w:val="bottom"/>
            <w:gridSpan w:val="3"/>
          </w:tcPr>
          <w:p>
            <w:pPr>
              <w:ind w:left="340"/>
              <w:spacing w:after="0"/>
              <w:rPr>
                <w:sz w:val="20"/>
                <w:szCs w:val="20"/>
                <w:color w:val="auto"/>
              </w:rPr>
            </w:pPr>
            <w:r>
              <w:rPr>
                <w:rFonts w:ascii="Arial" w:cs="Arial" w:eastAsia="Arial" w:hAnsi="Arial"/>
                <w:sz w:val="18"/>
                <w:szCs w:val="18"/>
                <w:color w:val="auto"/>
              </w:rPr>
              <w:t>Item 1.</w:t>
            </w:r>
          </w:p>
        </w:tc>
        <w:tc>
          <w:tcPr>
            <w:tcW w:w="200" w:type="dxa"/>
            <w:vAlign w:val="bottom"/>
          </w:tcPr>
          <w:p>
            <w:pPr>
              <w:spacing w:after="0"/>
              <w:rPr>
                <w:sz w:val="24"/>
                <w:szCs w:val="24"/>
                <w:color w:val="auto"/>
              </w:rPr>
            </w:pPr>
          </w:p>
        </w:tc>
        <w:tc>
          <w:tcPr>
            <w:tcW w:w="24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Financial Statements (Unaudited).</w:t>
              </w:r>
            </w:hyperlink>
          </w:p>
        </w:tc>
        <w:tc>
          <w:tcPr>
            <w:tcW w:w="5520" w:type="dxa"/>
            <w:vAlign w:val="bottom"/>
            <w:gridSpan w:val="12"/>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Earnings</w:t>
              </w:r>
            </w:hyperlink>
          </w:p>
        </w:tc>
        <w:tc>
          <w:tcPr>
            <w:tcW w:w="4080" w:type="dxa"/>
            <w:vAlign w:val="bottom"/>
            <w:gridSpan w:val="10"/>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40" w:type="dxa"/>
            <w:vAlign w:val="bottom"/>
            <w:gridSpan w:val="18"/>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Quarter and Nine Months Ended November 2, 2019 and November 3, 2018</w:t>
              </w:r>
            </w:hyperlink>
          </w:p>
        </w:tc>
        <w:tc>
          <w:tcPr>
            <w:tcW w:w="2200" w:type="dxa"/>
            <w:vAlign w:val="bottom"/>
            <w:gridSpan w:val="2"/>
          </w:tcPr>
          <w:p>
            <w:pPr>
              <w:spacing w:after="0"/>
              <w:rPr>
                <w:sz w:val="17"/>
                <w:szCs w:val="17"/>
                <w:color w:val="auto"/>
              </w:rPr>
            </w:pPr>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Earnings</w:t>
              </w:r>
            </w:hyperlink>
          </w:p>
        </w:tc>
        <w:tc>
          <w:tcPr>
            <w:tcW w:w="700" w:type="dxa"/>
            <w:vAlign w:val="bottom"/>
            <w:tcBorders>
              <w:top w:val="single" w:sz="8" w:color="0000EE"/>
            </w:tcBorders>
          </w:tcPr>
          <w:p>
            <w:pPr>
              <w:spacing w:after="0"/>
              <w:rPr>
                <w:sz w:val="24"/>
                <w:szCs w:val="24"/>
                <w:color w:val="auto"/>
              </w:rPr>
            </w:pPr>
          </w:p>
        </w:tc>
        <w:tc>
          <w:tcPr>
            <w:tcW w:w="2200" w:type="dxa"/>
            <w:vAlign w:val="bottom"/>
            <w:gridSpan w:val="2"/>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40" w:type="dxa"/>
            <w:vAlign w:val="bottom"/>
            <w:gridSpan w:val="18"/>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Quarter and Nine Months Ended November 2, 2019 and November 3, 2018</w:t>
              </w:r>
            </w:hyperlink>
          </w:p>
        </w:tc>
        <w:tc>
          <w:tcPr>
            <w:tcW w:w="2200" w:type="dxa"/>
            <w:vAlign w:val="bottom"/>
            <w:gridSpan w:val="2"/>
          </w:tcPr>
          <w:p>
            <w:pPr>
              <w:spacing w:after="0"/>
              <w:rPr>
                <w:sz w:val="17"/>
                <w:szCs w:val="17"/>
                <w:color w:val="auto"/>
              </w:rPr>
            </w:pPr>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Balance Sheets</w:t>
              </w:r>
            </w:hyperlink>
          </w:p>
        </w:tc>
        <w:tc>
          <w:tcPr>
            <w:tcW w:w="2460" w:type="dxa"/>
            <w:vAlign w:val="bottom"/>
            <w:tcBorders>
              <w:top w:val="single" w:sz="8" w:color="0000EE"/>
            </w:tcBorders>
            <w:gridSpan w:val="9"/>
          </w:tcPr>
          <w:p>
            <w:pPr>
              <w:spacing w:after="0"/>
              <w:rPr>
                <w:sz w:val="24"/>
                <w:szCs w:val="24"/>
                <w:color w:val="auto"/>
              </w:rPr>
            </w:pPr>
          </w:p>
        </w:tc>
        <w:tc>
          <w:tcPr>
            <w:tcW w:w="2200" w:type="dxa"/>
            <w:vAlign w:val="bottom"/>
            <w:gridSpan w:val="2"/>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20" w:type="dxa"/>
            <w:vAlign w:val="bottom"/>
            <w:gridSpan w:val="14"/>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November 2, 2019, February 2, 2019, and November 3, 2018</w:t>
              </w:r>
            </w:hyperlink>
          </w:p>
        </w:tc>
        <w:tc>
          <w:tcPr>
            <w:tcW w:w="3220" w:type="dxa"/>
            <w:vAlign w:val="bottom"/>
            <w:gridSpan w:val="6"/>
          </w:tcPr>
          <w:p>
            <w:pPr>
              <w:spacing w:after="0"/>
              <w:rPr>
                <w:sz w:val="17"/>
                <w:szCs w:val="17"/>
                <w:color w:val="auto"/>
              </w:rPr>
            </w:pPr>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Condensed Consolidated Statements of Shareholders’ Equity</w:t>
              </w:r>
            </w:hyperlink>
          </w:p>
        </w:tc>
        <w:tc>
          <w:tcPr>
            <w:tcW w:w="20" w:type="dxa"/>
            <w:vAlign w:val="bottom"/>
            <w:tcBorders>
              <w:bottom w:val="single" w:sz="8" w:color="0000EE"/>
            </w:tcBorders>
          </w:tcPr>
          <w:p>
            <w:pPr>
              <w:spacing w:after="0"/>
              <w:rPr>
                <w:sz w:val="24"/>
                <w:szCs w:val="24"/>
                <w:color w:val="auto"/>
              </w:rPr>
            </w:pPr>
          </w:p>
        </w:tc>
        <w:tc>
          <w:tcPr>
            <w:tcW w:w="3200" w:type="dxa"/>
            <w:vAlign w:val="bottom"/>
            <w:gridSpan w:val="5"/>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40" w:type="dxa"/>
            <w:vAlign w:val="bottom"/>
            <w:gridSpan w:val="18"/>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Quarter and Nine Months Ended November 2, 2019 and November 3, 2018</w:t>
              </w:r>
            </w:hyperlink>
          </w:p>
        </w:tc>
        <w:tc>
          <w:tcPr>
            <w:tcW w:w="2200" w:type="dxa"/>
            <w:vAlign w:val="bottom"/>
            <w:gridSpan w:val="2"/>
          </w:tcPr>
          <w:p>
            <w:pPr>
              <w:spacing w:after="0"/>
              <w:rPr>
                <w:sz w:val="17"/>
                <w:szCs w:val="17"/>
                <w:color w:val="auto"/>
              </w:rPr>
            </w:pPr>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Condensed Consolidated Statements of Cash Flows</w:t>
              </w:r>
            </w:hyperlink>
          </w:p>
        </w:tc>
        <w:tc>
          <w:tcPr>
            <w:tcW w:w="1680" w:type="dxa"/>
            <w:vAlign w:val="bottom"/>
            <w:tcBorders>
              <w:top w:val="single" w:sz="8" w:color="0000EE"/>
            </w:tcBorders>
            <w:gridSpan w:val="7"/>
          </w:tcPr>
          <w:p>
            <w:pPr>
              <w:spacing w:after="0"/>
              <w:rPr>
                <w:sz w:val="24"/>
                <w:szCs w:val="24"/>
                <w:color w:val="auto"/>
              </w:rPr>
            </w:pPr>
          </w:p>
        </w:tc>
        <w:tc>
          <w:tcPr>
            <w:tcW w:w="2200" w:type="dxa"/>
            <w:vAlign w:val="bottom"/>
            <w:gridSpan w:val="2"/>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40" w:type="dxa"/>
            <w:vAlign w:val="bottom"/>
            <w:gridSpan w:val="16"/>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Nine Months Ended November 2, 2019 and November 3, 2018</w:t>
              </w:r>
            </w:hyperlink>
          </w:p>
        </w:tc>
        <w:tc>
          <w:tcPr>
            <w:tcW w:w="3100" w:type="dxa"/>
            <w:vAlign w:val="bottom"/>
            <w:gridSpan w:val="4"/>
          </w:tcPr>
          <w:p>
            <w:pPr>
              <w:spacing w:after="0"/>
              <w:rPr>
                <w:sz w:val="17"/>
                <w:szCs w:val="17"/>
                <w:color w:val="auto"/>
              </w:rPr>
            </w:pPr>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9</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gridSpan w:val="12"/>
          </w:tcPr>
          <w:p>
            <w:pPr>
              <w:spacing w:after="0"/>
              <w:rPr>
                <w:rFonts w:ascii="Arial" w:cs="Arial" w:eastAsia="Arial" w:hAnsi="Arial"/>
                <w:sz w:val="18"/>
                <w:szCs w:val="18"/>
                <w:color w:val="0000EE"/>
                <w:w w:val="88"/>
              </w:rPr>
            </w:pPr>
            <w:hyperlink w:anchor="page12">
              <w:r>
                <w:rPr>
                  <w:rFonts w:ascii="Arial" w:cs="Arial" w:eastAsia="Arial" w:hAnsi="Arial"/>
                  <w:sz w:val="18"/>
                  <w:szCs w:val="18"/>
                  <w:color w:val="0000EE"/>
                  <w:w w:val="88"/>
                </w:rPr>
                <w:t>Notes to Condensed Consolidated Financial Statements</w:t>
              </w:r>
            </w:hyperlink>
          </w:p>
        </w:tc>
        <w:tc>
          <w:tcPr>
            <w:tcW w:w="540" w:type="dxa"/>
            <w:vAlign w:val="bottom"/>
            <w:gridSpan w:val="4"/>
          </w:tcPr>
          <w:p>
            <w:pPr>
              <w:spacing w:after="0"/>
              <w:rPr>
                <w:sz w:val="24"/>
                <w:szCs w:val="24"/>
                <w:color w:val="auto"/>
              </w:rPr>
            </w:pPr>
          </w:p>
        </w:tc>
        <w:tc>
          <w:tcPr>
            <w:tcW w:w="3100" w:type="dxa"/>
            <w:vAlign w:val="bottom"/>
            <w:gridSpan w:val="4"/>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10</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gridSpan w:val="3"/>
          </w:tcPr>
          <w:p>
            <w:pPr>
              <w:ind w:left="340"/>
              <w:spacing w:after="0"/>
              <w:rPr>
                <w:sz w:val="20"/>
                <w:szCs w:val="20"/>
                <w:color w:val="auto"/>
              </w:rPr>
            </w:pPr>
            <w:r>
              <w:rPr>
                <w:rFonts w:ascii="Arial" w:cs="Arial" w:eastAsia="Arial" w:hAnsi="Arial"/>
                <w:sz w:val="18"/>
                <w:szCs w:val="18"/>
                <w:color w:val="auto"/>
              </w:rPr>
              <w:t>Item 2.</w:t>
            </w:r>
          </w:p>
        </w:tc>
        <w:tc>
          <w:tcPr>
            <w:tcW w:w="200" w:type="dxa"/>
            <w:vAlign w:val="bottom"/>
          </w:tcPr>
          <w:p>
            <w:pPr>
              <w:spacing w:after="0"/>
              <w:rPr>
                <w:sz w:val="24"/>
                <w:szCs w:val="24"/>
                <w:color w:val="auto"/>
              </w:rPr>
            </w:pPr>
          </w:p>
        </w:tc>
        <w:tc>
          <w:tcPr>
            <w:tcW w:w="6500" w:type="dxa"/>
            <w:vAlign w:val="bottom"/>
            <w:gridSpan w:val="20"/>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Management’s Discussion and Analysis of Financial Condition and Results of Operations.</w:t>
              </w:r>
            </w:hyperlink>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17</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580" w:type="dxa"/>
            <w:vAlign w:val="bottom"/>
            <w:gridSpan w:val="6"/>
            <w:shd w:val="clear" w:color="auto" w:fill="0000EE"/>
          </w:tcPr>
          <w:p>
            <w:pPr>
              <w:spacing w:after="0" w:line="20" w:lineRule="exact"/>
              <w:rPr>
                <w:sz w:val="1"/>
                <w:szCs w:val="1"/>
                <w:color w:val="auto"/>
              </w:rPr>
            </w:pPr>
          </w:p>
        </w:tc>
        <w:tc>
          <w:tcPr>
            <w:tcW w:w="2120" w:type="dxa"/>
            <w:vAlign w:val="bottom"/>
            <w:tcBorders>
              <w:left w:val="single" w:sz="8" w:color="0000EE"/>
            </w:tcBorders>
            <w:gridSpan w:val="6"/>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gridSpan w:val="3"/>
          </w:tcPr>
          <w:p>
            <w:pPr>
              <w:ind w:left="340"/>
              <w:spacing w:after="0"/>
              <w:rPr>
                <w:sz w:val="20"/>
                <w:szCs w:val="20"/>
                <w:color w:val="auto"/>
              </w:rPr>
            </w:pPr>
            <w:r>
              <w:rPr>
                <w:rFonts w:ascii="Arial" w:cs="Arial" w:eastAsia="Arial" w:hAnsi="Arial"/>
                <w:sz w:val="18"/>
                <w:szCs w:val="18"/>
                <w:color w:val="auto"/>
              </w:rPr>
              <w:t>Item 3.</w:t>
            </w:r>
          </w:p>
        </w:tc>
        <w:tc>
          <w:tcPr>
            <w:tcW w:w="200" w:type="dxa"/>
            <w:vAlign w:val="bottom"/>
          </w:tcPr>
          <w:p>
            <w:pPr>
              <w:spacing w:after="0"/>
              <w:rPr>
                <w:sz w:val="24"/>
                <w:szCs w:val="24"/>
                <w:color w:val="auto"/>
              </w:rPr>
            </w:pPr>
          </w:p>
        </w:tc>
        <w:tc>
          <w:tcPr>
            <w:tcW w:w="4380" w:type="dxa"/>
            <w:vAlign w:val="bottom"/>
            <w:gridSpan w:val="14"/>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Quantitative and Qualitative Disclosures About Market Risk.</w:t>
              </w:r>
            </w:hyperlink>
          </w:p>
        </w:tc>
        <w:tc>
          <w:tcPr>
            <w:tcW w:w="2120" w:type="dxa"/>
            <w:vAlign w:val="bottom"/>
            <w:gridSpan w:val="6"/>
          </w:tcPr>
          <w:p>
            <w:pPr>
              <w:spacing w:after="0"/>
              <w:rPr>
                <w:sz w:val="24"/>
                <w:szCs w:val="24"/>
                <w:color w:val="auto"/>
              </w:rPr>
            </w:pPr>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25</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580" w:type="dxa"/>
            <w:vAlign w:val="bottom"/>
            <w:gridSpan w:val="6"/>
            <w:shd w:val="clear" w:color="auto" w:fill="0000EE"/>
          </w:tcPr>
          <w:p>
            <w:pPr>
              <w:spacing w:after="0" w:line="20" w:lineRule="exact"/>
              <w:rPr>
                <w:sz w:val="1"/>
                <w:szCs w:val="1"/>
                <w:color w:val="auto"/>
              </w:rPr>
            </w:pPr>
          </w:p>
        </w:tc>
        <w:tc>
          <w:tcPr>
            <w:tcW w:w="3600" w:type="dxa"/>
            <w:vAlign w:val="bottom"/>
            <w:tcBorders>
              <w:left w:val="single" w:sz="8" w:color="0000EE"/>
            </w:tcBorders>
            <w:gridSpan w:val="7"/>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gridSpan w:val="3"/>
          </w:tcPr>
          <w:p>
            <w:pPr>
              <w:ind w:left="340"/>
              <w:spacing w:after="0"/>
              <w:rPr>
                <w:sz w:val="20"/>
                <w:szCs w:val="20"/>
                <w:color w:val="auto"/>
              </w:rPr>
            </w:pPr>
            <w:r>
              <w:rPr>
                <w:rFonts w:ascii="Arial" w:cs="Arial" w:eastAsia="Arial" w:hAnsi="Arial"/>
                <w:sz w:val="18"/>
                <w:szCs w:val="18"/>
                <w:color w:val="auto"/>
              </w:rPr>
              <w:t>Item 4.</w:t>
            </w:r>
          </w:p>
        </w:tc>
        <w:tc>
          <w:tcPr>
            <w:tcW w:w="200" w:type="dxa"/>
            <w:vAlign w:val="bottom"/>
          </w:tcPr>
          <w:p>
            <w:pPr>
              <w:spacing w:after="0"/>
              <w:rPr>
                <w:sz w:val="24"/>
                <w:szCs w:val="24"/>
                <w:color w:val="auto"/>
              </w:rPr>
            </w:pPr>
          </w:p>
        </w:tc>
        <w:tc>
          <w:tcPr>
            <w:tcW w:w="4380" w:type="dxa"/>
            <w:vAlign w:val="bottom"/>
            <w:gridSpan w:val="1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3600" w:type="dxa"/>
            <w:vAlign w:val="bottom"/>
            <w:gridSpan w:val="7"/>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25</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86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 OTHER INFORMATION</w:t>
              </w:r>
            </w:hyperlink>
          </w:p>
        </w:tc>
        <w:tc>
          <w:tcPr>
            <w:tcW w:w="6500" w:type="dxa"/>
            <w:vAlign w:val="bottom"/>
            <w:gridSpan w:val="16"/>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80" w:type="dxa"/>
            <w:vAlign w:val="bottom"/>
            <w:gridSpan w:val="3"/>
          </w:tcPr>
          <w:p>
            <w:pPr>
              <w:ind w:left="340"/>
              <w:spacing w:after="0"/>
              <w:rPr>
                <w:sz w:val="20"/>
                <w:szCs w:val="20"/>
                <w:color w:val="auto"/>
              </w:rPr>
            </w:pPr>
            <w:r>
              <w:rPr>
                <w:rFonts w:ascii="Arial" w:cs="Arial" w:eastAsia="Arial" w:hAnsi="Arial"/>
                <w:sz w:val="18"/>
                <w:szCs w:val="18"/>
                <w:color w:val="auto"/>
              </w:rPr>
              <w:t>Item 1.</w:t>
            </w:r>
          </w:p>
        </w:tc>
        <w:tc>
          <w:tcPr>
            <w:tcW w:w="200" w:type="dxa"/>
            <w:vAlign w:val="bottom"/>
          </w:tcPr>
          <w:p>
            <w:pPr>
              <w:spacing w:after="0"/>
              <w:rPr>
                <w:sz w:val="24"/>
                <w:szCs w:val="24"/>
                <w:color w:val="auto"/>
              </w:rPr>
            </w:pPr>
          </w:p>
        </w:tc>
        <w:tc>
          <w:tcPr>
            <w:tcW w:w="1380" w:type="dxa"/>
            <w:vAlign w:val="bottom"/>
            <w:gridSpan w:val="4"/>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Legal Proceedings.</w:t>
              </w:r>
            </w:hyperlink>
          </w:p>
        </w:tc>
        <w:tc>
          <w:tcPr>
            <w:tcW w:w="6600" w:type="dxa"/>
            <w:vAlign w:val="bottom"/>
            <w:gridSpan w:val="17"/>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0" w:type="dxa"/>
            <w:vAlign w:val="bottom"/>
            <w:gridSpan w:val="10"/>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gridSpan w:val="3"/>
          </w:tcPr>
          <w:p>
            <w:pPr>
              <w:ind w:left="340"/>
              <w:spacing w:after="0"/>
              <w:rPr>
                <w:sz w:val="20"/>
                <w:szCs w:val="20"/>
                <w:color w:val="auto"/>
              </w:rPr>
            </w:pPr>
            <w:r>
              <w:rPr>
                <w:rFonts w:ascii="Arial" w:cs="Arial" w:eastAsia="Arial" w:hAnsi="Arial"/>
                <w:sz w:val="18"/>
                <w:szCs w:val="18"/>
                <w:color w:val="auto"/>
              </w:rPr>
              <w:t>Item 1A.</w:t>
            </w:r>
          </w:p>
        </w:tc>
        <w:tc>
          <w:tcPr>
            <w:tcW w:w="200" w:type="dxa"/>
            <w:vAlign w:val="bottom"/>
          </w:tcPr>
          <w:p>
            <w:pPr>
              <w:spacing w:after="0"/>
              <w:rPr>
                <w:sz w:val="24"/>
                <w:szCs w:val="24"/>
                <w:color w:val="auto"/>
              </w:rPr>
            </w:pPr>
          </w:p>
        </w:tc>
        <w:tc>
          <w:tcPr>
            <w:tcW w:w="1380" w:type="dxa"/>
            <w:vAlign w:val="bottom"/>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6600" w:type="dxa"/>
            <w:vAlign w:val="bottom"/>
            <w:gridSpan w:val="17"/>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11"/>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gridSpan w:val="3"/>
          </w:tcPr>
          <w:p>
            <w:pPr>
              <w:ind w:left="340"/>
              <w:spacing w:after="0"/>
              <w:rPr>
                <w:sz w:val="20"/>
                <w:szCs w:val="20"/>
                <w:color w:val="auto"/>
              </w:rPr>
            </w:pPr>
            <w:r>
              <w:rPr>
                <w:rFonts w:ascii="Arial" w:cs="Arial" w:eastAsia="Arial" w:hAnsi="Arial"/>
                <w:sz w:val="18"/>
                <w:szCs w:val="18"/>
                <w:color w:val="auto"/>
              </w:rPr>
              <w:t>Item 2.</w:t>
            </w:r>
          </w:p>
        </w:tc>
        <w:tc>
          <w:tcPr>
            <w:tcW w:w="200" w:type="dxa"/>
            <w:vAlign w:val="bottom"/>
          </w:tcPr>
          <w:p>
            <w:pPr>
              <w:spacing w:after="0"/>
              <w:rPr>
                <w:sz w:val="24"/>
                <w:szCs w:val="24"/>
                <w:color w:val="auto"/>
              </w:rPr>
            </w:pPr>
          </w:p>
        </w:tc>
        <w:tc>
          <w:tcPr>
            <w:tcW w:w="7980" w:type="dxa"/>
            <w:vAlign w:val="bottom"/>
            <w:gridSpan w:val="2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740" w:type="dxa"/>
            <w:vAlign w:val="bottom"/>
            <w:gridSpan w:val="12"/>
            <w:shd w:val="clear" w:color="auto" w:fill="0000EE"/>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gridSpan w:val="3"/>
          </w:tcPr>
          <w:p>
            <w:pPr>
              <w:ind w:left="340"/>
              <w:spacing w:after="0"/>
              <w:rPr>
                <w:sz w:val="20"/>
                <w:szCs w:val="20"/>
                <w:color w:val="auto"/>
              </w:rPr>
            </w:pPr>
            <w:r>
              <w:rPr>
                <w:rFonts w:ascii="Arial" w:cs="Arial" w:eastAsia="Arial" w:hAnsi="Arial"/>
                <w:sz w:val="18"/>
                <w:szCs w:val="18"/>
                <w:color w:val="auto"/>
              </w:rPr>
              <w:t>Item 6.</w:t>
            </w:r>
          </w:p>
        </w:tc>
        <w:tc>
          <w:tcPr>
            <w:tcW w:w="20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Exhibits.</w:t>
              </w:r>
            </w:hyperlink>
          </w:p>
        </w:tc>
        <w:tc>
          <w:tcPr>
            <w:tcW w:w="3740" w:type="dxa"/>
            <w:vAlign w:val="bottom"/>
            <w:gridSpan w:val="12"/>
          </w:tcPr>
          <w:p>
            <w:pPr>
              <w:spacing w:after="0"/>
              <w:rPr>
                <w:sz w:val="24"/>
                <w:szCs w:val="24"/>
                <w:color w:val="auto"/>
              </w:rPr>
            </w:pPr>
          </w:p>
        </w:tc>
        <w:tc>
          <w:tcPr>
            <w:tcW w:w="3600" w:type="dxa"/>
            <w:vAlign w:val="bottom"/>
            <w:gridSpan w:val="7"/>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spacing w:after="0"/>
              <w:rPr>
                <w:rFonts w:ascii="Arial" w:cs="Arial" w:eastAsia="Arial" w:hAnsi="Arial"/>
                <w:sz w:val="18"/>
                <w:szCs w:val="18"/>
                <w:b w:val="1"/>
                <w:bCs w:val="1"/>
                <w:color w:val="0000EE"/>
                <w:w w:val="92"/>
              </w:rPr>
            </w:pPr>
            <w:hyperlink w:anchor="page29">
              <w:r>
                <w:rPr>
                  <w:rFonts w:ascii="Arial" w:cs="Arial" w:eastAsia="Arial" w:hAnsi="Arial"/>
                  <w:sz w:val="18"/>
                  <w:szCs w:val="18"/>
                  <w:b w:val="1"/>
                  <w:bCs w:val="1"/>
                  <w:color w:val="0000EE"/>
                  <w:w w:val="92"/>
                </w:rPr>
                <w:t>Exhibit Index</w:t>
              </w:r>
            </w:hyperlink>
          </w:p>
        </w:tc>
        <w:tc>
          <w:tcPr>
            <w:tcW w:w="1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gridSpan w:val="2"/>
            <w:vMerge w:val="continue"/>
          </w:tcPr>
          <w:p>
            <w:pPr>
              <w:spacing w:after="0"/>
              <w:rPr>
                <w:sz w:val="24"/>
                <w:szCs w:val="24"/>
                <w:color w:val="auto"/>
              </w:rPr>
            </w:pPr>
          </w:p>
        </w:tc>
        <w:tc>
          <w:tcPr>
            <w:tcW w:w="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27</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gridSpan w:val="2"/>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Signatures</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2"/>
        </w:trPr>
        <w:tc>
          <w:tcPr>
            <w:tcW w:w="8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80" w:type="dxa"/>
            <w:vAlign w:val="bottom"/>
            <w:gridSpan w:val="10"/>
          </w:tcPr>
          <w:p>
            <w:pPr>
              <w:jc w:val="center"/>
              <w:ind w:right="3300"/>
              <w:spacing w:after="0"/>
              <w:rPr>
                <w:sz w:val="20"/>
                <w:szCs w:val="20"/>
                <w:color w:val="auto"/>
              </w:rPr>
            </w:pPr>
            <w:r>
              <w:rPr>
                <w:rFonts w:ascii="Arial" w:cs="Arial" w:eastAsia="Arial" w:hAnsi="Arial"/>
                <w:sz w:val="18"/>
                <w:szCs w:val="18"/>
                <w:color w:val="auto"/>
                <w:w w:val="90"/>
              </w:rPr>
              <w:t>2 of 28</w:t>
            </w:r>
          </w:p>
        </w:tc>
        <w:tc>
          <w:tcPr>
            <w:tcW w:w="1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279" w:right="39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and Section 21E of the Securities Exchange Act of 1934, as amended, which are subject to the “safe harbor” created by those sections. Forward-looking statements are based on our management’s beliefs and assumptions and on information currently available to our management. In some cases, you can identify forward-looking statements by terms such as “may,” “will,” “should,” “could,” “goal,” “would,” “expect,” “plan,” “anticipate,” “believe,” “estimate,” “project,” “predict,” “potential,” “pursue,” “going forward,”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These risks, uncertainties and other factors include, but are not limited to, our anticipated financial outlook for the fiscal year ending February 1, 2020, our anticipated annual total sales rates, our anticipated new store openings in existing, new and international markets, our anticipated Adjusted Return on Invested Capital, trends in our operations and the following: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Operational</w:t>
      </w:r>
    </w:p>
    <w:p>
      <w:pPr>
        <w:spacing w:after="0" w:line="27" w:lineRule="exact"/>
        <w:rPr>
          <w:sz w:val="20"/>
          <w:szCs w:val="20"/>
          <w:color w:val="auto"/>
        </w:rPr>
      </w:pPr>
    </w:p>
    <w:p>
      <w:pPr>
        <w:ind w:left="340" w:right="300" w:hanging="170"/>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and effective implementation of our evolving business model and successful execution of our customer strategy to provide a differentiated and seamless experience across all Nordstrom channels,</w:t>
      </w:r>
    </w:p>
    <w:p>
      <w:pPr>
        <w:ind w:left="340" w:right="20" w:hanging="170"/>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and manage the costs of our evolving business model, including the execution of new supply chain capabilities and enhancement of existing ones, development of applications for electronic devices, improvement of customer-facing technologies, timely delivery of products purchased digitally, enhancement of inventory management systems, more fluid inventory availability between our digital channels and retail stores through our market strategy, and greater effectiveness in marketing strategies,</w:t>
      </w:r>
    </w:p>
    <w:p>
      <w:pPr>
        <w:spacing w:after="0" w:line="1" w:lineRule="exact"/>
        <w:rPr>
          <w:rFonts w:ascii="Arial" w:cs="Arial" w:eastAsia="Arial" w:hAnsi="Arial"/>
          <w:sz w:val="18"/>
          <w:szCs w:val="18"/>
          <w:color w:val="auto"/>
        </w:rPr>
      </w:pPr>
    </w:p>
    <w:p>
      <w:pPr>
        <w:ind w:left="340" w:right="680" w:hanging="170"/>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respond to the rapidly evolving business and retail environment, as well as fashion trends and consumer preferences, including our customers’ changing expectations of service and experience in stores and online,</w:t>
      </w:r>
    </w:p>
    <w:p>
      <w:pPr>
        <w:ind w:left="340" w:right="60" w:hanging="170"/>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balance our investments in existing and new store locations, technology and supply chain facilities, including the expansion of our market strategy,</w:t>
      </w: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successful execution of our information technology strategy, including engagement with third-party service providers,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utilize internal and third-party data in strategic planning and decision making,</w:t>
      </w:r>
    </w:p>
    <w:p>
      <w:pPr>
        <w:spacing w:after="0" w:line="9" w:lineRule="exact"/>
        <w:rPr>
          <w:rFonts w:ascii="Arial" w:cs="Arial" w:eastAsia="Arial" w:hAnsi="Arial"/>
          <w:sz w:val="18"/>
          <w:szCs w:val="18"/>
          <w:color w:val="auto"/>
        </w:rPr>
      </w:pPr>
    </w:p>
    <w:p>
      <w:pPr>
        <w:ind w:left="340" w:right="320" w:hanging="170"/>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or expand our presence, including timely completion of construction associated with new, relocated and remodeled stores, and Supply Chain Network facilities, all of which may be impacted by third parties, consumer demand and other natural or man-made disruptions,</w:t>
      </w:r>
    </w:p>
    <w:p>
      <w:pPr>
        <w:spacing w:after="0" w:line="1" w:lineRule="exact"/>
        <w:rPr>
          <w:rFonts w:ascii="Arial" w:cs="Arial" w:eastAsia="Arial" w:hAnsi="Arial"/>
          <w:sz w:val="16"/>
          <w:szCs w:val="16"/>
          <w:color w:val="auto"/>
        </w:rPr>
      </w:pP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efficient and proper allocation of our capital resources,</w:t>
      </w:r>
    </w:p>
    <w:p>
      <w:pPr>
        <w:spacing w:after="0" w:line="9" w:lineRule="exact"/>
        <w:rPr>
          <w:rFonts w:ascii="Arial" w:cs="Arial" w:eastAsia="Arial" w:hAnsi="Arial"/>
          <w:sz w:val="18"/>
          <w:szCs w:val="18"/>
          <w:color w:val="auto"/>
        </w:rPr>
      </w:pPr>
    </w:p>
    <w:p>
      <w:pPr>
        <w:ind w:left="340" w:right="400" w:hanging="170"/>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 inventory management processes and systems, fulfillment and supply chain processes and systems, disruptions in our supply chain and our ability to control costs,</w:t>
      </w:r>
    </w:p>
    <w:p>
      <w:pPr>
        <w:ind w:left="340" w:right="240" w:hanging="170"/>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any systems or network failures, cybersecurity and/or security breaches, including any security breach of our systems or those of a third-party provider that results in the theft, transfer or unauthorized disclosure of customer, employee or Company information or compliance with information security and privacy laws and regulations in the event of such an incident,</w:t>
      </w:r>
    </w:p>
    <w:p>
      <w:pPr>
        <w:spacing w:after="0" w:line="1" w:lineRule="exact"/>
        <w:rPr>
          <w:rFonts w:ascii="Arial" w:cs="Arial" w:eastAsia="Arial" w:hAnsi="Arial"/>
          <w:sz w:val="18"/>
          <w:szCs w:val="18"/>
          <w:color w:val="auto"/>
        </w:rPr>
      </w:pP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safeguard our reputation and maintain relationships with our vendors and third-party service providers,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relationships with and motivate our employees and to effectively attract, develop and retain our future leaders,</w:t>
      </w:r>
    </w:p>
    <w:p>
      <w:pPr>
        <w:spacing w:after="0" w:line="9" w:lineRule="exact"/>
        <w:rPr>
          <w:rFonts w:ascii="Arial" w:cs="Arial" w:eastAsia="Arial" w:hAnsi="Arial"/>
          <w:sz w:val="18"/>
          <w:szCs w:val="18"/>
          <w:color w:val="auto"/>
        </w:rPr>
      </w:pPr>
    </w:p>
    <w:p>
      <w:pPr>
        <w:ind w:left="340" w:right="300" w:hanging="170"/>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the expected benefits, respond to potential risks and appropriately manage costs associated with our program agreement with TD Bank, N.A.,</w:t>
      </w:r>
    </w:p>
    <w:p>
      <w:pPr>
        <w:ind w:left="340" w:right="180" w:hanging="170"/>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our loyalty program, including the implementation of any changes in our program, planned advertising, marketing and promotional campaigns in the highly competitive and promotional retail industry,</w:t>
      </w:r>
    </w:p>
    <w:p>
      <w:pPr>
        <w:ind w:left="340" w:hanging="170"/>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market fluctuations, increases in operating costs, exit costs and overall liabilities and losses associated with owning and leasing real estate,</w:t>
      </w:r>
    </w:p>
    <w:p>
      <w:pPr>
        <w:spacing w:after="0" w:line="20" w:lineRule="exact"/>
        <w:rPr>
          <w:rFonts w:ascii="Arial" w:cs="Arial" w:eastAsia="Arial" w:hAnsi="Arial"/>
          <w:sz w:val="17"/>
          <w:szCs w:val="17"/>
          <w:color w:val="auto"/>
        </w:rPr>
      </w:pPr>
    </w:p>
    <w:p>
      <w:pPr>
        <w:ind w:left="340" w:right="100" w:hanging="170"/>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goodwill impairment charges, future impairment charges and fluctuations in the fair values of reporting units or of assets in the event projected financial results are not achieved within expected time frames,</w:t>
      </w: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debt and operating covenants, availability and cost of credit, changes in our credit rating and changes in interest rates,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price, manner and amounts of future share repurchases by us, if any, or any share issuances by us,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External</w:t>
      </w:r>
    </w:p>
    <w:p>
      <w:pPr>
        <w:spacing w:after="0" w:line="27" w:lineRule="exact"/>
        <w:rPr>
          <w:sz w:val="20"/>
          <w:szCs w:val="20"/>
          <w:color w:val="auto"/>
        </w:rPr>
      </w:pPr>
    </w:p>
    <w:p>
      <w:pPr>
        <w:ind w:left="340" w:hanging="170"/>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seasonal nature of our business and cyclical customer spending,</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economic and market conditions and the resultant impact on consumer spending and credit patterns,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economic, environmental or political conditions in the U.S. and countries where our third-party vendors operate,</w:t>
      </w:r>
    </w:p>
    <w:p>
      <w:pPr>
        <w:spacing w:after="0" w:line="9" w:lineRule="exact"/>
        <w:rPr>
          <w:rFonts w:ascii="Arial" w:cs="Arial" w:eastAsia="Arial" w:hAnsi="Arial"/>
          <w:sz w:val="18"/>
          <w:szCs w:val="18"/>
          <w:color w:val="auto"/>
        </w:rPr>
      </w:pPr>
    </w:p>
    <w:p>
      <w:pPr>
        <w:ind w:left="340" w:right="40" w:hanging="170"/>
        <w:spacing w:after="0" w:line="290"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weather conditions, natural disasters, health hazards, national security or other market and supply chain disruptions, including the effects of tariffs, or the prospects of these events and the resulting impact on consumer spending patterns or information technology systems and communications,</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 of 28</w:t>
      </w:r>
    </w:p>
    <w:p>
      <w:pPr>
        <w:sectPr>
          <w:pgSz w:w="11900" w:h="16838" w:orient="portrait"/>
          <w:cols w:equalWidth="0" w:num="1">
            <w:col w:w="11400"/>
          </w:cols>
          <w:pgMar w:left="240" w:top="279" w:right="25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w:t>
      </w:r>
    </w:p>
    <w:p>
      <w:pPr>
        <w:spacing w:after="0" w:line="27" w:lineRule="exact"/>
        <w:rPr>
          <w:sz w:val="20"/>
          <w:szCs w:val="20"/>
          <w:color w:val="auto"/>
        </w:rPr>
      </w:pPr>
    </w:p>
    <w:p>
      <w:pPr>
        <w:ind w:left="340" w:right="540" w:hanging="170"/>
        <w:spacing w:after="0" w:line="265"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compliance with applicable domestic and international laws, regulations and ethical standards, including those related to employment and tax, information security and privacy, consumer credit and the outcome of any claims and litigation and resolution of such matters,</w:t>
      </w:r>
    </w:p>
    <w:p>
      <w:pPr>
        <w:ind w:left="340" w:hanging="170"/>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current regulatory environment and financial system, health care and tax reforms,</w:t>
      </w:r>
    </w:p>
    <w:p>
      <w:pPr>
        <w:spacing w:after="0" w:line="9" w:lineRule="exact"/>
        <w:rPr>
          <w:rFonts w:ascii="Arial" w:cs="Arial" w:eastAsia="Arial" w:hAnsi="Arial"/>
          <w:sz w:val="18"/>
          <w:szCs w:val="18"/>
          <w:color w:val="auto"/>
        </w:rPr>
      </w:pPr>
    </w:p>
    <w:p>
      <w:pPr>
        <w:ind w:left="340" w:hanging="170"/>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changes in accounting rules and regulations, changes in our interpretation of the rules or regulations, or changes in underlying assumptions, estimates or judgments,</w:t>
      </w:r>
    </w:p>
    <w:p>
      <w:pPr>
        <w:ind w:left="340" w:hanging="170"/>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claims, litigation and regulatory investigations, including those related to information security, privacy and consumer credit.</w:t>
      </w:r>
    </w:p>
    <w:p>
      <w:pPr>
        <w:spacing w:after="0" w:line="15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These and other factors, including those factors described in Item 1A. Risk Factors to our Annual Report on Form 10-K for the fiscal year ended February 2, 2019, could affect our financial results and cause our actual results to differ materially from any forward-looking information we may provide. Given these risks, uncertainties and other factors, you should not place undue reliance on these forward-looking statements. Also, these forward-looking statements represent our estimates and assumptions only as of the date of this filing. You should read this Quarterly Report on Form 10-Q completely and with the understanding that our actual future results may be materially different from what we expect. We hereby qualify our forward-looking statements by these cautionary statements.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“Nordstrom,” “we,” “us,” “our,” or the “Company” mean Nordstrom, Inc. and its subsidiaries.</w:t>
      </w:r>
    </w:p>
    <w:p>
      <w:pPr>
        <w:spacing w:after="0" w:line="1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filing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 of 28</w:t>
      </w:r>
    </w:p>
    <w:p>
      <w:pPr>
        <w:sectPr>
          <w:pgSz w:w="11900" w:h="16838" w:orient="portrait"/>
          <w:cols w:equalWidth="0" w:num="1">
            <w:col w:w="11380"/>
          </w:cols>
          <w:pgMar w:left="240" w:top="279" w:right="27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definitions of Nordstrom commonly used terms: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60" w:type="dxa"/>
            <w:vAlign w:val="bottom"/>
          </w:tcPr>
          <w:p>
            <w:pPr>
              <w:ind w:left="40"/>
              <w:spacing w:after="0"/>
              <w:rPr>
                <w:sz w:val="20"/>
                <w:szCs w:val="20"/>
                <w:color w:val="auto"/>
              </w:rPr>
            </w:pPr>
            <w:r>
              <w:rPr>
                <w:rFonts w:ascii="Arial" w:cs="Arial" w:eastAsia="Arial" w:hAnsi="Arial"/>
                <w:sz w:val="16"/>
                <w:szCs w:val="16"/>
                <w:b w:val="1"/>
                <w:bCs w:val="1"/>
                <w:color w:val="auto"/>
              </w:rPr>
              <w:t>Term</w:t>
            </w:r>
          </w:p>
        </w:tc>
        <w:tc>
          <w:tcPr>
            <w:tcW w:w="9060" w:type="dxa"/>
            <w:vAlign w:val="bottom"/>
          </w:tcPr>
          <w:p>
            <w:pPr>
              <w:ind w:left="180"/>
              <w:spacing w:after="0"/>
              <w:rPr>
                <w:sz w:val="20"/>
                <w:szCs w:val="20"/>
                <w:color w:val="auto"/>
              </w:rPr>
            </w:pPr>
            <w:r>
              <w:rPr>
                <w:rFonts w:ascii="Arial" w:cs="Arial" w:eastAsia="Arial" w:hAnsi="Arial"/>
                <w:sz w:val="16"/>
                <w:szCs w:val="16"/>
                <w:b w:val="1"/>
                <w:bCs w:val="1"/>
                <w:color w:val="auto"/>
              </w:rPr>
              <w:t>Definition</w:t>
            </w:r>
          </w:p>
        </w:tc>
      </w:tr>
      <w:tr>
        <w:trPr>
          <w:trHeight w:val="33"/>
        </w:trPr>
        <w:tc>
          <w:tcPr>
            <w:tcW w:w="2360" w:type="dxa"/>
            <w:vAlign w:val="bottom"/>
            <w:tcBorders>
              <w:bottom w:val="single" w:sz="8" w:color="auto"/>
            </w:tcBorders>
          </w:tcPr>
          <w:p>
            <w:pPr>
              <w:spacing w:after="0"/>
              <w:rPr>
                <w:sz w:val="2"/>
                <w:szCs w:val="2"/>
                <w:color w:val="auto"/>
              </w:rPr>
            </w:pPr>
          </w:p>
        </w:tc>
        <w:tc>
          <w:tcPr>
            <w:tcW w:w="9060" w:type="dxa"/>
            <w:vAlign w:val="bottom"/>
            <w:tcBorders>
              <w:bottom w:val="single" w:sz="8" w:color="auto"/>
            </w:tcBorders>
          </w:tcPr>
          <w:p>
            <w:pPr>
              <w:spacing w:after="0"/>
              <w:rPr>
                <w:sz w:val="2"/>
                <w:szCs w:val="2"/>
                <w:color w:val="auto"/>
              </w:rPr>
            </w:pPr>
          </w:p>
        </w:tc>
      </w:tr>
      <w:tr>
        <w:trPr>
          <w:trHeight w:val="230"/>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2002 Plan</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2002 Nonemployee Director Stock Incentive Plan</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2010 Plan</w:t>
            </w:r>
          </w:p>
        </w:tc>
        <w:tc>
          <w:tcPr>
            <w:tcW w:w="9060" w:type="dxa"/>
            <w:vAlign w:val="bottom"/>
          </w:tcPr>
          <w:p>
            <w:pPr>
              <w:ind w:left="180"/>
              <w:spacing w:after="0"/>
              <w:rPr>
                <w:sz w:val="20"/>
                <w:szCs w:val="20"/>
                <w:color w:val="auto"/>
              </w:rPr>
            </w:pPr>
            <w:r>
              <w:rPr>
                <w:rFonts w:ascii="Arial" w:cs="Arial" w:eastAsia="Arial" w:hAnsi="Arial"/>
                <w:sz w:val="16"/>
                <w:szCs w:val="16"/>
                <w:color w:val="auto"/>
              </w:rPr>
              <w:t>2010 Equity Incentive Plan</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 Plan</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2019 Equity Incentive Plan</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2018 Annual Report</w:t>
            </w:r>
          </w:p>
        </w:tc>
        <w:tc>
          <w:tcPr>
            <w:tcW w:w="9060" w:type="dxa"/>
            <w:vAlign w:val="bottom"/>
          </w:tcPr>
          <w:p>
            <w:pPr>
              <w:ind w:left="180"/>
              <w:spacing w:after="0"/>
              <w:rPr>
                <w:sz w:val="20"/>
                <w:szCs w:val="20"/>
                <w:color w:val="auto"/>
              </w:rPr>
            </w:pPr>
            <w:r>
              <w:rPr>
                <w:rFonts w:ascii="Arial" w:cs="Arial" w:eastAsia="Arial" w:hAnsi="Arial"/>
                <w:sz w:val="16"/>
                <w:szCs w:val="16"/>
                <w:color w:val="auto"/>
              </w:rPr>
              <w:t>Annual Report on Form 10-K filed on March 18, 2019</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Adjusted earnings before interest, income taxes, depreciation and amortization (a non-GAAP financial measure)</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Adjusted EBITDAR</w:t>
            </w:r>
          </w:p>
        </w:tc>
        <w:tc>
          <w:tcPr>
            <w:tcW w:w="9060" w:type="dxa"/>
            <w:vAlign w:val="bottom"/>
          </w:tcPr>
          <w:p>
            <w:pPr>
              <w:ind w:left="180"/>
              <w:spacing w:after="0"/>
              <w:rPr>
                <w:sz w:val="20"/>
                <w:szCs w:val="20"/>
                <w:color w:val="auto"/>
              </w:rPr>
            </w:pPr>
            <w:r>
              <w:rPr>
                <w:rFonts w:ascii="Arial" w:cs="Arial" w:eastAsia="Arial" w:hAnsi="Arial"/>
                <w:sz w:val="16"/>
                <w:szCs w:val="16"/>
                <w:color w:val="auto"/>
              </w:rPr>
              <w:t>Adjusted earnings before interest, income taxes, depreciation, amortization and rent (a non-GAAP financial measure)</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ROIC</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Adjusted return on invested capital (a non-GAAP financial measure)</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ASC</w:t>
            </w:r>
          </w:p>
        </w:tc>
        <w:tc>
          <w:tcPr>
            <w:tcW w:w="9060" w:type="dxa"/>
            <w:vAlign w:val="bottom"/>
          </w:tcPr>
          <w:p>
            <w:pPr>
              <w:ind w:left="180"/>
              <w:spacing w:after="0"/>
              <w:rPr>
                <w:sz w:val="20"/>
                <w:szCs w:val="20"/>
                <w:color w:val="auto"/>
              </w:rPr>
            </w:pPr>
            <w:r>
              <w:rPr>
                <w:rFonts w:ascii="Arial" w:cs="Arial" w:eastAsia="Arial" w:hAnsi="Arial"/>
                <w:sz w:val="16"/>
                <w:szCs w:val="16"/>
                <w:color w:val="auto"/>
              </w:rPr>
              <w:t>Accounting Standards Codification</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ASU</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Accounting Standards Update</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CODM</w:t>
            </w:r>
          </w:p>
        </w:tc>
        <w:tc>
          <w:tcPr>
            <w:tcW w:w="9060" w:type="dxa"/>
            <w:vAlign w:val="bottom"/>
          </w:tcPr>
          <w:p>
            <w:pPr>
              <w:ind w:left="180"/>
              <w:spacing w:after="0"/>
              <w:rPr>
                <w:sz w:val="20"/>
                <w:szCs w:val="20"/>
                <w:color w:val="auto"/>
              </w:rPr>
            </w:pPr>
            <w:r>
              <w:rPr>
                <w:rFonts w:ascii="Arial" w:cs="Arial" w:eastAsia="Arial" w:hAnsi="Arial"/>
                <w:sz w:val="16"/>
                <w:szCs w:val="16"/>
                <w:color w:val="auto"/>
              </w:rPr>
              <w:t>Chief operating decision maker</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Estimated Non-recurring Charge</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Estimated non-recurring credit-related charge recognized during the third quarter of 2018</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Digital sales</w:t>
            </w:r>
          </w:p>
        </w:tc>
        <w:tc>
          <w:tcPr>
            <w:tcW w:w="9060" w:type="dxa"/>
            <w:vAlign w:val="bottom"/>
          </w:tcPr>
          <w:p>
            <w:pPr>
              <w:ind w:left="180"/>
              <w:spacing w:after="0"/>
              <w:rPr>
                <w:sz w:val="20"/>
                <w:szCs w:val="20"/>
                <w:color w:val="auto"/>
              </w:rPr>
            </w:pPr>
            <w:r>
              <w:rPr>
                <w:rFonts w:ascii="Arial" w:cs="Arial" w:eastAsia="Arial" w:hAnsi="Arial"/>
                <w:sz w:val="16"/>
                <w:szCs w:val="16"/>
                <w:color w:val="auto"/>
                <w:w w:val="98"/>
              </w:rPr>
              <w:t>Online and digitally-assisted store sales, which include Online Order Pickup, Ship to Store and Style Board, a digital selling tool</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Earnings before interest and income taxes</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EPS</w:t>
            </w:r>
          </w:p>
        </w:tc>
        <w:tc>
          <w:tcPr>
            <w:tcW w:w="9060" w:type="dxa"/>
            <w:vAlign w:val="bottom"/>
          </w:tcPr>
          <w:p>
            <w:pPr>
              <w:ind w:left="180"/>
              <w:spacing w:after="0"/>
              <w:rPr>
                <w:sz w:val="20"/>
                <w:szCs w:val="20"/>
                <w:color w:val="auto"/>
              </w:rPr>
            </w:pPr>
            <w:r>
              <w:rPr>
                <w:rFonts w:ascii="Arial" w:cs="Arial" w:eastAsia="Arial" w:hAnsi="Arial"/>
                <w:sz w:val="16"/>
                <w:szCs w:val="16"/>
                <w:color w:val="auto"/>
              </w:rPr>
              <w:t>Earnings per share</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ESPP</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Employee Stock Purchase Plan</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Exchange Act</w:t>
            </w:r>
          </w:p>
        </w:tc>
        <w:tc>
          <w:tcPr>
            <w:tcW w:w="9060" w:type="dxa"/>
            <w:vAlign w:val="bottom"/>
          </w:tcPr>
          <w:p>
            <w:pPr>
              <w:ind w:left="180"/>
              <w:spacing w:after="0"/>
              <w:rPr>
                <w:sz w:val="20"/>
                <w:szCs w:val="20"/>
                <w:color w:val="auto"/>
              </w:rPr>
            </w:pPr>
            <w:r>
              <w:rPr>
                <w:rFonts w:ascii="Arial" w:cs="Arial" w:eastAsia="Arial" w:hAnsi="Arial"/>
                <w:sz w:val="16"/>
                <w:szCs w:val="16"/>
                <w:color w:val="auto"/>
              </w:rPr>
              <w:t>Securities Exchange Act of 1934, as amended</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FASB</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Financial Accounting Standards Board</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Third quarter of 2019</w:t>
            </w:r>
          </w:p>
        </w:tc>
        <w:tc>
          <w:tcPr>
            <w:tcW w:w="9060" w:type="dxa"/>
            <w:vAlign w:val="bottom"/>
          </w:tcPr>
          <w:p>
            <w:pPr>
              <w:ind w:left="180"/>
              <w:spacing w:after="0"/>
              <w:rPr>
                <w:sz w:val="20"/>
                <w:szCs w:val="20"/>
                <w:color w:val="auto"/>
              </w:rPr>
            </w:pPr>
            <w:r>
              <w:rPr>
                <w:rFonts w:ascii="Arial" w:cs="Arial" w:eastAsia="Arial" w:hAnsi="Arial"/>
                <w:sz w:val="16"/>
                <w:szCs w:val="16"/>
                <w:color w:val="auto"/>
              </w:rPr>
              <w:t>13 fiscal weeks ending November 2, 2019</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Third quarter of 2018</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13 fiscal weeks ending November 3, 2018</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Fiscal year 2019</w:t>
            </w:r>
          </w:p>
        </w:tc>
        <w:tc>
          <w:tcPr>
            <w:tcW w:w="9060" w:type="dxa"/>
            <w:vAlign w:val="bottom"/>
          </w:tcPr>
          <w:p>
            <w:pPr>
              <w:ind w:left="180"/>
              <w:spacing w:after="0"/>
              <w:rPr>
                <w:sz w:val="20"/>
                <w:szCs w:val="20"/>
                <w:color w:val="auto"/>
              </w:rPr>
            </w:pPr>
            <w:r>
              <w:rPr>
                <w:rFonts w:ascii="Arial" w:cs="Arial" w:eastAsia="Arial" w:hAnsi="Arial"/>
                <w:sz w:val="16"/>
                <w:szCs w:val="16"/>
                <w:color w:val="auto"/>
              </w:rPr>
              <w:t>52 fiscal weeks ending February 1, 2020</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 2018</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52 fiscal weeks ending February 2, 2019</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FLS</w:t>
            </w:r>
          </w:p>
        </w:tc>
        <w:tc>
          <w:tcPr>
            <w:tcW w:w="9060" w:type="dxa"/>
            <w:vAlign w:val="bottom"/>
          </w:tcPr>
          <w:p>
            <w:pPr>
              <w:ind w:left="180"/>
              <w:spacing w:after="0"/>
              <w:rPr>
                <w:sz w:val="20"/>
                <w:szCs w:val="20"/>
                <w:color w:val="auto"/>
              </w:rPr>
            </w:pPr>
            <w:r>
              <w:rPr>
                <w:rFonts w:ascii="Arial" w:cs="Arial" w:eastAsia="Arial" w:hAnsi="Arial"/>
                <w:sz w:val="16"/>
                <w:szCs w:val="16"/>
                <w:color w:val="auto"/>
              </w:rPr>
              <w:t>Full-line stores</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Full-Price</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Nordstrom U.S. FLS, Nordstrom.com, Canada, Trunk Club, Jeffrey and Nordstrom Local</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GAAP</w:t>
            </w:r>
          </w:p>
        </w:tc>
        <w:tc>
          <w:tcPr>
            <w:tcW w:w="9060" w:type="dxa"/>
            <w:vAlign w:val="bottom"/>
          </w:tcPr>
          <w:p>
            <w:pPr>
              <w:ind w:left="180"/>
              <w:spacing w:after="0"/>
              <w:rPr>
                <w:sz w:val="20"/>
                <w:szCs w:val="20"/>
                <w:color w:val="auto"/>
              </w:rPr>
            </w:pPr>
            <w:r>
              <w:rPr>
                <w:rFonts w:ascii="Arial" w:cs="Arial" w:eastAsia="Arial" w:hAnsi="Arial"/>
                <w:sz w:val="16"/>
                <w:szCs w:val="16"/>
                <w:color w:val="auto"/>
              </w:rPr>
              <w:t>Generally accepted accounting principles</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Generational Investments</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NRHL, Canada, Trunk Club and Nordstrom NYC</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9060" w:type="dxa"/>
            <w:vAlign w:val="bottom"/>
          </w:tcPr>
          <w:p>
            <w:pPr>
              <w:ind w:left="180"/>
              <w:spacing w:after="0"/>
              <w:rPr>
                <w:sz w:val="20"/>
                <w:szCs w:val="20"/>
                <w:color w:val="auto"/>
              </w:rPr>
            </w:pPr>
            <w:r>
              <w:rPr>
                <w:rFonts w:ascii="Arial" w:cs="Arial" w:eastAsia="Arial" w:hAnsi="Arial"/>
                <w:sz w:val="16"/>
                <w:szCs w:val="16"/>
                <w:color w:val="auto"/>
              </w:rPr>
              <w:t>Net sales less cost of sales and related buying and occupancy costs</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Inventory turnover rate</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Trailing 4-quarter cost of sales and related buying and occupancy costs divided by the trailing 4-quarter average inventory</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IRS</w:t>
            </w:r>
          </w:p>
        </w:tc>
        <w:tc>
          <w:tcPr>
            <w:tcW w:w="9060" w:type="dxa"/>
            <w:vAlign w:val="bottom"/>
          </w:tcPr>
          <w:p>
            <w:pPr>
              <w:ind w:left="180"/>
              <w:spacing w:after="0"/>
              <w:rPr>
                <w:sz w:val="20"/>
                <w:szCs w:val="20"/>
                <w:color w:val="auto"/>
              </w:rPr>
            </w:pPr>
            <w:r>
              <w:rPr>
                <w:rFonts w:ascii="Arial" w:cs="Arial" w:eastAsia="Arial" w:hAnsi="Arial"/>
                <w:sz w:val="16"/>
                <w:szCs w:val="16"/>
                <w:color w:val="auto"/>
              </w:rPr>
              <w:t>Internal Revenue Service</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Standard</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ASU No. 2016-02, Leases, and all related amendments (ASC 842)</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LIBOR</w:t>
            </w:r>
          </w:p>
        </w:tc>
        <w:tc>
          <w:tcPr>
            <w:tcW w:w="9060" w:type="dxa"/>
            <w:vAlign w:val="bottom"/>
          </w:tcPr>
          <w:p>
            <w:pPr>
              <w:ind w:left="180"/>
              <w:spacing w:after="0"/>
              <w:rPr>
                <w:sz w:val="20"/>
                <w:szCs w:val="20"/>
                <w:color w:val="auto"/>
              </w:rPr>
            </w:pPr>
            <w:r>
              <w:rPr>
                <w:rFonts w:ascii="Arial" w:cs="Arial" w:eastAsia="Arial" w:hAnsi="Arial"/>
                <w:sz w:val="16"/>
                <w:szCs w:val="16"/>
                <w:color w:val="auto"/>
              </w:rPr>
              <w:t>London Inter-bank Offered Rate</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MD&amp;A</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Nordstrom Local</w:t>
            </w:r>
          </w:p>
        </w:tc>
        <w:tc>
          <w:tcPr>
            <w:tcW w:w="9060" w:type="dxa"/>
            <w:vAlign w:val="bottom"/>
          </w:tcPr>
          <w:p>
            <w:pPr>
              <w:ind w:left="180"/>
              <w:spacing w:after="0"/>
              <w:rPr>
                <w:sz w:val="20"/>
                <w:szCs w:val="20"/>
                <w:color w:val="auto"/>
              </w:rPr>
            </w:pPr>
            <w:r>
              <w:rPr>
                <w:rFonts w:ascii="Arial" w:cs="Arial" w:eastAsia="Arial" w:hAnsi="Arial"/>
                <w:sz w:val="16"/>
                <w:szCs w:val="16"/>
                <w:color w:val="auto"/>
              </w:rPr>
              <w:t>Nordstrom Local neighborhood hubs</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 NYC</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Our New York City flagship FLS store, including the Men’s location</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The Nordy Club</w:t>
            </w:r>
          </w:p>
        </w:tc>
        <w:tc>
          <w:tcPr>
            <w:tcW w:w="9060" w:type="dxa"/>
            <w:vAlign w:val="bottom"/>
          </w:tcPr>
          <w:p>
            <w:pPr>
              <w:ind w:left="180"/>
              <w:spacing w:after="0"/>
              <w:rPr>
                <w:sz w:val="20"/>
                <w:szCs w:val="20"/>
                <w:color w:val="auto"/>
              </w:rPr>
            </w:pPr>
            <w:r>
              <w:rPr>
                <w:rFonts w:ascii="Arial" w:cs="Arial" w:eastAsia="Arial" w:hAnsi="Arial"/>
                <w:sz w:val="16"/>
                <w:szCs w:val="16"/>
                <w:color w:val="auto"/>
              </w:rPr>
              <w:t>Our customer loyalty program launched in October 2018</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NRHL</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Nordstromrack.com/HauteLook</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NYSE</w:t>
            </w:r>
          </w:p>
        </w:tc>
        <w:tc>
          <w:tcPr>
            <w:tcW w:w="9060" w:type="dxa"/>
            <w:vAlign w:val="bottom"/>
          </w:tcPr>
          <w:p>
            <w:pPr>
              <w:ind w:left="180"/>
              <w:spacing w:after="0"/>
              <w:rPr>
                <w:sz w:val="20"/>
                <w:szCs w:val="20"/>
                <w:color w:val="auto"/>
              </w:rPr>
            </w:pPr>
            <w:r>
              <w:rPr>
                <w:rFonts w:ascii="Arial" w:cs="Arial" w:eastAsia="Arial" w:hAnsi="Arial"/>
                <w:sz w:val="16"/>
                <w:szCs w:val="16"/>
                <w:color w:val="auto"/>
              </w:rPr>
              <w:t>New York Stock Exchange</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Off-Price</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Nordstrom U.S. Rack stores, NRHL and Last Chance clearance stores</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Operating Lease Cost</w:t>
            </w:r>
          </w:p>
        </w:tc>
        <w:tc>
          <w:tcPr>
            <w:tcW w:w="9060" w:type="dxa"/>
            <w:vAlign w:val="bottom"/>
          </w:tcPr>
          <w:p>
            <w:pPr>
              <w:ind w:left="180"/>
              <w:spacing w:after="0"/>
              <w:rPr>
                <w:sz w:val="20"/>
                <w:szCs w:val="20"/>
                <w:color w:val="auto"/>
              </w:rPr>
            </w:pPr>
            <w:r>
              <w:rPr>
                <w:rFonts w:ascii="Arial" w:cs="Arial" w:eastAsia="Arial" w:hAnsi="Arial"/>
                <w:sz w:val="16"/>
                <w:szCs w:val="16"/>
                <w:color w:val="auto"/>
              </w:rPr>
              <w:t>Fixed rent expense, including fixed common area maintenance expense, net of developer reimbursement amortization</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PCAOB</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Public Company Accounting Oversight Board (United States)</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Property incentives</w:t>
            </w:r>
          </w:p>
        </w:tc>
        <w:tc>
          <w:tcPr>
            <w:tcW w:w="9060" w:type="dxa"/>
            <w:vAlign w:val="bottom"/>
          </w:tcPr>
          <w:p>
            <w:pPr>
              <w:ind w:left="180"/>
              <w:spacing w:after="0"/>
              <w:rPr>
                <w:sz w:val="20"/>
                <w:szCs w:val="20"/>
                <w:color w:val="auto"/>
              </w:rPr>
            </w:pPr>
            <w:r>
              <w:rPr>
                <w:rFonts w:ascii="Arial" w:cs="Arial" w:eastAsia="Arial" w:hAnsi="Arial"/>
                <w:sz w:val="16"/>
                <w:szCs w:val="16"/>
                <w:color w:val="auto"/>
              </w:rPr>
              <w:t>Developer and vendor reimbursements</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PSU</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Performance share unit</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Revolver</w:t>
            </w:r>
          </w:p>
        </w:tc>
        <w:tc>
          <w:tcPr>
            <w:tcW w:w="9060" w:type="dxa"/>
            <w:vAlign w:val="bottom"/>
          </w:tcPr>
          <w:p>
            <w:pPr>
              <w:ind w:left="180"/>
              <w:spacing w:after="0"/>
              <w:rPr>
                <w:sz w:val="20"/>
                <w:szCs w:val="20"/>
                <w:color w:val="auto"/>
              </w:rPr>
            </w:pPr>
            <w:r>
              <w:rPr>
                <w:rFonts w:ascii="Arial" w:cs="Arial" w:eastAsia="Arial" w:hAnsi="Arial"/>
                <w:sz w:val="16"/>
                <w:szCs w:val="16"/>
                <w:color w:val="auto"/>
              </w:rPr>
              <w:t>Senior unsecured revolving credit facility</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ROU asset</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lease right-of-use asset</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RSU</w:t>
            </w:r>
          </w:p>
        </w:tc>
        <w:tc>
          <w:tcPr>
            <w:tcW w:w="9060" w:type="dxa"/>
            <w:vAlign w:val="bottom"/>
          </w:tcPr>
          <w:p>
            <w:pPr>
              <w:ind w:left="180"/>
              <w:spacing w:after="0"/>
              <w:rPr>
                <w:sz w:val="20"/>
                <w:szCs w:val="20"/>
                <w:color w:val="auto"/>
              </w:rPr>
            </w:pPr>
            <w:r>
              <w:rPr>
                <w:rFonts w:ascii="Arial" w:cs="Arial" w:eastAsia="Arial" w:hAnsi="Arial"/>
                <w:sz w:val="16"/>
                <w:szCs w:val="16"/>
                <w:color w:val="auto"/>
              </w:rPr>
              <w:t>Restricted stock unit</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Securities and Exchange Commission</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Securities Act</w:t>
            </w:r>
          </w:p>
        </w:tc>
        <w:tc>
          <w:tcPr>
            <w:tcW w:w="9060" w:type="dxa"/>
            <w:vAlign w:val="bottom"/>
          </w:tcPr>
          <w:p>
            <w:pPr>
              <w:ind w:left="180"/>
              <w:spacing w:after="0"/>
              <w:rPr>
                <w:sz w:val="20"/>
                <w:szCs w:val="20"/>
                <w:color w:val="auto"/>
              </w:rPr>
            </w:pPr>
            <w:r>
              <w:rPr>
                <w:rFonts w:ascii="Arial" w:cs="Arial" w:eastAsia="Arial" w:hAnsi="Arial"/>
                <w:sz w:val="16"/>
                <w:szCs w:val="16"/>
                <w:color w:val="auto"/>
              </w:rPr>
              <w:t>Securities Act of 1933, as amended</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SERP</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Unfunded defined benefit Supplemental Executive Retirement Plan</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SG&amp;A</w:t>
            </w:r>
          </w:p>
        </w:tc>
        <w:tc>
          <w:tcPr>
            <w:tcW w:w="906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20"/>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Supply Chain Network</w:t>
            </w:r>
          </w:p>
        </w:tc>
        <w:tc>
          <w:tcPr>
            <w:tcW w:w="90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Fulfillment centers that process and ship orders to our customers, distribution centers that process and ship merchandise to our stores</w:t>
            </w:r>
          </w:p>
        </w:tc>
      </w:tr>
      <w:tr>
        <w:trPr>
          <w:trHeight w:val="219"/>
        </w:trPr>
        <w:tc>
          <w:tcPr>
            <w:tcW w:w="2360" w:type="dxa"/>
            <w:vAlign w:val="bottom"/>
            <w:tcBorders>
              <w:bottom w:val="single" w:sz="8" w:color="CCEEFF"/>
            </w:tcBorders>
            <w:shd w:val="clear" w:color="auto" w:fill="CCEEFF"/>
          </w:tcPr>
          <w:p>
            <w:pPr>
              <w:spacing w:after="0"/>
              <w:rPr>
                <w:sz w:val="19"/>
                <w:szCs w:val="19"/>
                <w:color w:val="auto"/>
              </w:rPr>
            </w:pP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and other facilities and Omni-channel centers that both fulfill customer orders and ship merchandise to our stores</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TD</w:t>
            </w:r>
          </w:p>
        </w:tc>
        <w:tc>
          <w:tcPr>
            <w:tcW w:w="9060" w:type="dxa"/>
            <w:vAlign w:val="bottom"/>
          </w:tcPr>
          <w:p>
            <w:pPr>
              <w:ind w:left="180"/>
              <w:spacing w:after="0"/>
              <w:rPr>
                <w:sz w:val="20"/>
                <w:szCs w:val="20"/>
                <w:color w:val="auto"/>
              </w:rPr>
            </w:pPr>
            <w:r>
              <w:rPr>
                <w:rFonts w:ascii="Arial" w:cs="Arial" w:eastAsia="Arial" w:hAnsi="Arial"/>
                <w:sz w:val="16"/>
                <w:szCs w:val="16"/>
                <w:color w:val="auto"/>
              </w:rPr>
              <w:t>Toronto-Dominion Bank, N.A.</w:t>
            </w:r>
          </w:p>
        </w:tc>
      </w:tr>
      <w:tr>
        <w:trPr>
          <w:trHeight w:val="33"/>
        </w:trPr>
        <w:tc>
          <w:tcPr>
            <w:tcW w:w="2360" w:type="dxa"/>
            <w:vAlign w:val="bottom"/>
            <w:tcBorders>
              <w:bottom w:val="single" w:sz="8" w:color="auto"/>
            </w:tcBorders>
          </w:tcPr>
          <w:p>
            <w:pPr>
              <w:spacing w:after="0"/>
              <w:rPr>
                <w:sz w:val="2"/>
                <w:szCs w:val="2"/>
                <w:color w:val="auto"/>
              </w:rPr>
            </w:pPr>
          </w:p>
        </w:tc>
        <w:tc>
          <w:tcPr>
            <w:tcW w:w="9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279" w:right="239" w:bottom="352"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 of 28</w:t>
      </w:r>
    </w:p>
    <w:p>
      <w:pPr>
        <w:sectPr>
          <w:pgSz w:w="11900" w:h="16838" w:orient="portrait"/>
          <w:cols w:equalWidth="0" w:num="1">
            <w:col w:w="11420"/>
          </w:cols>
          <w:pgMar w:left="240" w:top="279" w:right="239" w:bottom="352" w:gutter="0" w:footer="0" w:header="0"/>
          <w:type w:val="continuous"/>
        </w:sectPr>
      </w:pPr>
    </w:p>
    <w:bookmarkStart w:id="5" w:name="page6"/>
    <w:bookmarkEnd w:id="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3760" w:firstLine="3757"/>
        <w:spacing w:after="0" w:line="397" w:lineRule="auto"/>
        <w:rPr>
          <w:sz w:val="20"/>
          <w:szCs w:val="20"/>
          <w:color w:val="auto"/>
        </w:rPr>
      </w:pPr>
      <w:r>
        <w:rPr>
          <w:rFonts w:ascii="Arial" w:cs="Arial" w:eastAsia="Arial" w:hAnsi="Arial"/>
          <w:sz w:val="22"/>
          <w:szCs w:val="22"/>
          <w:b w:val="1"/>
          <w:bCs w:val="1"/>
          <w:color w:val="auto"/>
        </w:rPr>
        <w:t>PART I — FINANCIAL INFORMATION Item 1. Financial Statements (Unaudited).</w:t>
      </w: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EARNINGS</w:t>
      </w:r>
    </w:p>
    <w:p>
      <w:pPr>
        <w:jc w:val="center"/>
        <w:spacing w:after="0"/>
        <w:rPr>
          <w:sz w:val="20"/>
          <w:szCs w:val="20"/>
          <w:color w:val="auto"/>
        </w:rPr>
      </w:pPr>
      <w:r>
        <w:rPr>
          <w:rFonts w:ascii="Arial" w:cs="Arial" w:eastAsia="Arial" w:hAnsi="Arial"/>
          <w:sz w:val="18"/>
          <w:szCs w:val="18"/>
          <w:color w:val="auto"/>
        </w:rPr>
        <w:t>(Amounts in millions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Arial" w:cs="Arial" w:eastAsia="Arial" w:hAnsi="Arial"/>
                <w:sz w:val="16"/>
                <w:szCs w:val="16"/>
                <w:b w:val="1"/>
                <w:bCs w:val="1"/>
                <w:color w:val="auto"/>
              </w:rPr>
              <w:t>Quarter Ended</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gridSpan w:val="2"/>
          </w:tcPr>
          <w:p>
            <w:pPr>
              <w:jc w:val="right"/>
              <w:ind w:right="107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78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440" w:type="dxa"/>
            <w:vAlign w:val="bottom"/>
          </w:tcPr>
          <w:p>
            <w:pPr>
              <w:jc w:val="right"/>
              <w:ind w:right="639"/>
              <w:spacing w:after="0"/>
              <w:rPr>
                <w:sz w:val="20"/>
                <w:szCs w:val="20"/>
                <w:color w:val="auto"/>
              </w:rPr>
            </w:pPr>
            <w:r>
              <w:rPr>
                <w:rFonts w:ascii="Arial" w:cs="Arial" w:eastAsia="Arial" w:hAnsi="Arial"/>
                <w:sz w:val="16"/>
                <w:szCs w:val="16"/>
                <w:b w:val="1"/>
                <w:bCs w:val="1"/>
                <w:color w:val="auto"/>
              </w:rPr>
              <w:t>November 2, 2019</w:t>
            </w: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November 3, 2018</w:t>
            </w:r>
          </w:p>
        </w:tc>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November 2, 2019</w:t>
            </w:r>
          </w:p>
        </w:tc>
        <w:tc>
          <w:tcPr>
            <w:tcW w:w="1660" w:type="dxa"/>
            <w:vAlign w:val="bottom"/>
          </w:tcPr>
          <w:p>
            <w:pPr>
              <w:jc w:val="right"/>
              <w:ind w:right="19"/>
              <w:spacing w:after="0"/>
              <w:rPr>
                <w:sz w:val="20"/>
                <w:szCs w:val="20"/>
                <w:color w:val="auto"/>
              </w:rPr>
            </w:pPr>
            <w:r>
              <w:rPr>
                <w:rFonts w:ascii="Arial" w:cs="Arial" w:eastAsia="Arial" w:hAnsi="Arial"/>
                <w:sz w:val="16"/>
                <w:szCs w:val="16"/>
                <w:b w:val="1"/>
                <w:bCs w:val="1"/>
                <w:color w:val="auto"/>
              </w:rPr>
              <w:t>November 3, 2018</w:t>
            </w:r>
          </w:p>
        </w:tc>
      </w:tr>
      <w:tr>
        <w:trPr>
          <w:trHeight w:val="33"/>
        </w:trPr>
        <w:tc>
          <w:tcPr>
            <w:tcW w:w="37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4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$3,566</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$3,648</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$10,694</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$11,097</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Credit card revenues, net</w:t>
            </w:r>
          </w:p>
        </w:tc>
        <w:tc>
          <w:tcPr>
            <w:tcW w:w="2440" w:type="dxa"/>
            <w:vAlign w:val="bottom"/>
          </w:tcPr>
          <w:p>
            <w:pPr>
              <w:jc w:val="right"/>
              <w:ind w:right="639"/>
              <w:spacing w:after="0"/>
              <w:rPr>
                <w:sz w:val="20"/>
                <w:szCs w:val="20"/>
                <w:color w:val="auto"/>
              </w:rPr>
            </w:pPr>
            <w:r>
              <w:rPr>
                <w:rFonts w:ascii="Arial" w:cs="Arial" w:eastAsia="Arial" w:hAnsi="Arial"/>
                <w:sz w:val="16"/>
                <w:szCs w:val="16"/>
                <w:b w:val="1"/>
                <w:bCs w:val="1"/>
                <w:color w:val="auto"/>
              </w:rPr>
              <w:t>106</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293</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280</w:t>
            </w:r>
          </w:p>
        </w:tc>
      </w:tr>
      <w:tr>
        <w:trPr>
          <w:trHeight w:val="33"/>
        </w:trPr>
        <w:tc>
          <w:tcPr>
            <w:tcW w:w="37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24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3,672</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3,748</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10,987</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11,377</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w w:val="97"/>
              </w:rPr>
              <w:t>Cost of sales and related buying and occupancy costs</w:t>
            </w:r>
          </w:p>
        </w:tc>
        <w:tc>
          <w:tcPr>
            <w:tcW w:w="2440" w:type="dxa"/>
            <w:vAlign w:val="bottom"/>
          </w:tcPr>
          <w:p>
            <w:pPr>
              <w:jc w:val="right"/>
              <w:ind w:right="579"/>
              <w:spacing w:after="0"/>
              <w:rPr>
                <w:sz w:val="20"/>
                <w:szCs w:val="20"/>
                <w:color w:val="auto"/>
              </w:rPr>
            </w:pPr>
            <w:r>
              <w:rPr>
                <w:rFonts w:ascii="Arial" w:cs="Arial" w:eastAsia="Arial" w:hAnsi="Arial"/>
                <w:sz w:val="16"/>
                <w:szCs w:val="16"/>
                <w:b w:val="1"/>
                <w:bCs w:val="1"/>
                <w:color w:val="auto"/>
              </w:rPr>
              <w:t>(2,344)</w:t>
            </w:r>
          </w:p>
        </w:tc>
        <w:tc>
          <w:tcPr>
            <w:tcW w:w="1360" w:type="dxa"/>
            <w:vAlign w:val="bottom"/>
          </w:tcPr>
          <w:p>
            <w:pPr>
              <w:jc w:val="right"/>
              <w:spacing w:after="0"/>
              <w:rPr>
                <w:sz w:val="20"/>
                <w:szCs w:val="20"/>
                <w:color w:val="auto"/>
              </w:rPr>
            </w:pPr>
            <w:r>
              <w:rPr>
                <w:rFonts w:ascii="Arial" w:cs="Arial" w:eastAsia="Arial" w:hAnsi="Arial"/>
                <w:sz w:val="16"/>
                <w:szCs w:val="16"/>
                <w:color w:val="auto"/>
              </w:rPr>
              <w:t>(2,435)</w:t>
            </w:r>
          </w:p>
        </w:tc>
        <w:tc>
          <w:tcPr>
            <w:tcW w:w="120" w:type="dxa"/>
            <w:vAlign w:val="bottom"/>
          </w:tcPr>
          <w:p>
            <w:pPr>
              <w:spacing w:after="0"/>
              <w:rPr>
                <w:sz w:val="20"/>
                <w:szCs w:val="20"/>
                <w:color w:val="auto"/>
              </w:rPr>
            </w:pPr>
          </w:p>
        </w:tc>
        <w:tc>
          <w:tcPr>
            <w:tcW w:w="2060" w:type="dxa"/>
            <w:vAlign w:val="bottom"/>
          </w:tcPr>
          <w:p>
            <w:pPr>
              <w:jc w:val="right"/>
              <w:ind w:right="239"/>
              <w:spacing w:after="0"/>
              <w:rPr>
                <w:sz w:val="20"/>
                <w:szCs w:val="20"/>
                <w:color w:val="auto"/>
              </w:rPr>
            </w:pPr>
            <w:r>
              <w:rPr>
                <w:rFonts w:ascii="Arial" w:cs="Arial" w:eastAsia="Arial" w:hAnsi="Arial"/>
                <w:sz w:val="16"/>
                <w:szCs w:val="16"/>
                <w:b w:val="1"/>
                <w:bCs w:val="1"/>
                <w:color w:val="auto"/>
              </w:rPr>
              <w:t>(7,049)</w:t>
            </w:r>
          </w:p>
        </w:tc>
        <w:tc>
          <w:tcPr>
            <w:tcW w:w="1660" w:type="dxa"/>
            <w:vAlign w:val="bottom"/>
          </w:tcPr>
          <w:p>
            <w:pPr>
              <w:jc w:val="right"/>
              <w:spacing w:after="0"/>
              <w:rPr>
                <w:sz w:val="20"/>
                <w:szCs w:val="20"/>
                <w:color w:val="auto"/>
              </w:rPr>
            </w:pPr>
            <w:r>
              <w:rPr>
                <w:rFonts w:ascii="Arial" w:cs="Arial" w:eastAsia="Arial" w:hAnsi="Arial"/>
                <w:sz w:val="16"/>
                <w:szCs w:val="16"/>
                <w:color w:val="auto"/>
              </w:rPr>
              <w:t>(7,311)</w:t>
            </w:r>
          </w:p>
        </w:tc>
      </w:tr>
      <w:tr>
        <w:trPr>
          <w:trHeight w:val="33"/>
        </w:trPr>
        <w:tc>
          <w:tcPr>
            <w:tcW w:w="37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44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(1,135)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(1,208)</w:t>
            </w:r>
          </w:p>
        </w:tc>
        <w:tc>
          <w:tcPr>
            <w:tcW w:w="1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(3,453)</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(3,562)</w:t>
            </w:r>
          </w:p>
        </w:tc>
      </w:tr>
      <w:tr>
        <w:trPr>
          <w:trHeight w:val="231"/>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Earnings before interest and income taxes</w:t>
            </w:r>
          </w:p>
        </w:tc>
        <w:tc>
          <w:tcPr>
            <w:tcW w:w="244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193</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w:t>
            </w:r>
          </w:p>
        </w:tc>
        <w:tc>
          <w:tcPr>
            <w:tcW w:w="12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485</w:t>
            </w:r>
          </w:p>
        </w:tc>
        <w:tc>
          <w:tcPr>
            <w:tcW w:w="1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504</w:t>
            </w:r>
          </w:p>
        </w:tc>
      </w:tr>
      <w:tr>
        <w:trPr>
          <w:trHeight w:val="33"/>
        </w:trPr>
        <w:tc>
          <w:tcPr>
            <w:tcW w:w="37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244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(20)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(66)</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31"/>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Earnings before income taxes</w:t>
            </w:r>
          </w:p>
        </w:tc>
        <w:tc>
          <w:tcPr>
            <w:tcW w:w="244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173</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w:t>
            </w:r>
          </w:p>
        </w:tc>
        <w:tc>
          <w:tcPr>
            <w:tcW w:w="12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419</w:t>
            </w:r>
          </w:p>
        </w:tc>
        <w:tc>
          <w:tcPr>
            <w:tcW w:w="1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423</w:t>
            </w:r>
          </w:p>
        </w:tc>
      </w:tr>
      <w:tr>
        <w:trPr>
          <w:trHeight w:val="33"/>
        </w:trPr>
        <w:tc>
          <w:tcPr>
            <w:tcW w:w="37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44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(47)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(115)</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31"/>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earnings</w:t>
            </w:r>
          </w:p>
        </w:tc>
        <w:tc>
          <w:tcPr>
            <w:tcW w:w="244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$126</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$304</w:t>
            </w:r>
          </w:p>
        </w:tc>
        <w:tc>
          <w:tcPr>
            <w:tcW w:w="1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$316</w:t>
            </w:r>
          </w:p>
        </w:tc>
      </w:tr>
      <w:tr>
        <w:trPr>
          <w:trHeight w:val="33"/>
        </w:trPr>
        <w:tc>
          <w:tcPr>
            <w:tcW w:w="37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91"/>
        </w:trPr>
        <w:tc>
          <w:tcPr>
            <w:tcW w:w="378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Earnings per share:</w:t>
            </w:r>
          </w:p>
        </w:tc>
        <w:tc>
          <w:tcPr>
            <w:tcW w:w="2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4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$0.81</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$0.40</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$1.96</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w:t>
            </w: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Diluted</w:t>
            </w:r>
          </w:p>
        </w:tc>
        <w:tc>
          <w:tcPr>
            <w:tcW w:w="2440" w:type="dxa"/>
            <w:vAlign w:val="bottom"/>
          </w:tcPr>
          <w:p>
            <w:pPr>
              <w:jc w:val="right"/>
              <w:ind w:right="639"/>
              <w:spacing w:after="0"/>
              <w:rPr>
                <w:sz w:val="20"/>
                <w:szCs w:val="20"/>
                <w:color w:val="auto"/>
              </w:rPr>
            </w:pPr>
            <w:r>
              <w:rPr>
                <w:rFonts w:ascii="Arial" w:cs="Arial" w:eastAsia="Arial" w:hAnsi="Arial"/>
                <w:sz w:val="16"/>
                <w:szCs w:val="16"/>
                <w:b w:val="1"/>
                <w:bCs w:val="1"/>
                <w:color w:val="auto"/>
              </w:rPr>
              <w:t>$0.81</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$0.39</w:t>
            </w:r>
          </w:p>
        </w:tc>
        <w:tc>
          <w:tcPr>
            <w:tcW w:w="120" w:type="dxa"/>
            <w:vAlign w:val="bottom"/>
          </w:tcPr>
          <w:p>
            <w:pPr>
              <w:spacing w:after="0"/>
              <w:rPr>
                <w:sz w:val="20"/>
                <w:szCs w:val="20"/>
                <w:color w:val="auto"/>
              </w:rPr>
            </w:pPr>
          </w:p>
        </w:tc>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$1.95</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$1.85</w:t>
            </w:r>
          </w:p>
        </w:tc>
      </w:tr>
      <w:tr>
        <w:trPr>
          <w:trHeight w:val="33"/>
        </w:trPr>
        <w:tc>
          <w:tcPr>
            <w:tcW w:w="37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91"/>
        </w:trPr>
        <w:tc>
          <w:tcPr>
            <w:tcW w:w="378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Weighted-average shares outstanding:</w:t>
            </w:r>
          </w:p>
        </w:tc>
        <w:tc>
          <w:tcPr>
            <w:tcW w:w="2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4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155.2</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168.8</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155.1</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168.1</w:t>
            </w: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Diluted</w:t>
            </w:r>
          </w:p>
        </w:tc>
        <w:tc>
          <w:tcPr>
            <w:tcW w:w="2440" w:type="dxa"/>
            <w:vAlign w:val="bottom"/>
          </w:tcPr>
          <w:p>
            <w:pPr>
              <w:jc w:val="right"/>
              <w:ind w:right="639"/>
              <w:spacing w:after="0"/>
              <w:rPr>
                <w:sz w:val="20"/>
                <w:szCs w:val="20"/>
                <w:color w:val="auto"/>
              </w:rPr>
            </w:pPr>
            <w:r>
              <w:rPr>
                <w:rFonts w:ascii="Arial" w:cs="Arial" w:eastAsia="Arial" w:hAnsi="Arial"/>
                <w:sz w:val="16"/>
                <w:szCs w:val="16"/>
                <w:b w:val="1"/>
                <w:bCs w:val="1"/>
                <w:color w:val="auto"/>
              </w:rPr>
              <w:t>155.8</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172.4</w:t>
            </w:r>
          </w:p>
        </w:tc>
        <w:tc>
          <w:tcPr>
            <w:tcW w:w="120" w:type="dxa"/>
            <w:vAlign w:val="bottom"/>
          </w:tcPr>
          <w:p>
            <w:pPr>
              <w:spacing w:after="0"/>
              <w:rPr>
                <w:sz w:val="20"/>
                <w:szCs w:val="20"/>
                <w:color w:val="auto"/>
              </w:rPr>
            </w:pPr>
          </w:p>
        </w:tc>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155.9</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171.0</w:t>
            </w:r>
          </w:p>
        </w:tc>
      </w:tr>
      <w:tr>
        <w:trPr>
          <w:trHeight w:val="33"/>
        </w:trPr>
        <w:tc>
          <w:tcPr>
            <w:tcW w:w="37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COMPREHENSIVE EARNINGS</w:t>
      </w:r>
    </w:p>
    <w:p>
      <w:pPr>
        <w:jc w:val="center"/>
        <w:spacing w:after="0"/>
        <w:rPr>
          <w:sz w:val="20"/>
          <w:szCs w:val="20"/>
          <w:color w:val="auto"/>
        </w:rPr>
      </w:pPr>
      <w:r>
        <w:rPr>
          <w:rFonts w:ascii="Arial" w:cs="Arial" w:eastAsia="Arial" w:hAnsi="Arial"/>
          <w:sz w:val="18"/>
          <w:szCs w:val="18"/>
          <w:color w:val="auto"/>
        </w:rPr>
        <w:t>(Amounts in millions)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Arial" w:cs="Arial" w:eastAsia="Arial" w:hAnsi="Arial"/>
                <w:sz w:val="16"/>
                <w:szCs w:val="16"/>
                <w:b w:val="1"/>
                <w:bCs w:val="1"/>
                <w:color w:val="auto"/>
              </w:rPr>
              <w:t>Quarter Ended</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gridSpan w:val="2"/>
          </w:tcPr>
          <w:p>
            <w:pPr>
              <w:jc w:val="right"/>
              <w:ind w:right="107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78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440" w:type="dxa"/>
            <w:vAlign w:val="bottom"/>
          </w:tcPr>
          <w:p>
            <w:pPr>
              <w:jc w:val="right"/>
              <w:ind w:right="639"/>
              <w:spacing w:after="0"/>
              <w:rPr>
                <w:sz w:val="20"/>
                <w:szCs w:val="20"/>
                <w:color w:val="auto"/>
              </w:rPr>
            </w:pPr>
            <w:r>
              <w:rPr>
                <w:rFonts w:ascii="Arial" w:cs="Arial" w:eastAsia="Arial" w:hAnsi="Arial"/>
                <w:sz w:val="16"/>
                <w:szCs w:val="16"/>
                <w:b w:val="1"/>
                <w:bCs w:val="1"/>
                <w:color w:val="auto"/>
              </w:rPr>
              <w:t>November 2, 2019</w:t>
            </w: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November 3, 2018</w:t>
            </w:r>
          </w:p>
        </w:tc>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November 2, 2019</w:t>
            </w:r>
          </w:p>
        </w:tc>
        <w:tc>
          <w:tcPr>
            <w:tcW w:w="1660" w:type="dxa"/>
            <w:vAlign w:val="bottom"/>
          </w:tcPr>
          <w:p>
            <w:pPr>
              <w:jc w:val="right"/>
              <w:ind w:right="19"/>
              <w:spacing w:after="0"/>
              <w:rPr>
                <w:sz w:val="20"/>
                <w:szCs w:val="20"/>
                <w:color w:val="auto"/>
              </w:rPr>
            </w:pPr>
            <w:r>
              <w:rPr>
                <w:rFonts w:ascii="Arial" w:cs="Arial" w:eastAsia="Arial" w:hAnsi="Arial"/>
                <w:sz w:val="16"/>
                <w:szCs w:val="16"/>
                <w:b w:val="1"/>
                <w:bCs w:val="1"/>
                <w:color w:val="auto"/>
              </w:rPr>
              <w:t>November 3, 2018</w:t>
            </w:r>
          </w:p>
        </w:tc>
      </w:tr>
      <w:tr>
        <w:trPr>
          <w:trHeight w:val="33"/>
        </w:trPr>
        <w:tc>
          <w:tcPr>
            <w:tcW w:w="37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4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$126</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$304</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2440" w:type="dxa"/>
            <w:vAlign w:val="bottom"/>
          </w:tcPr>
          <w:p>
            <w:pPr>
              <w:jc w:val="right"/>
              <w:ind w:right="639"/>
              <w:spacing w:after="0"/>
              <w:rPr>
                <w:sz w:val="20"/>
                <w:szCs w:val="20"/>
                <w:color w:val="auto"/>
              </w:rPr>
            </w:pPr>
            <w:r>
              <w:rPr>
                <w:rFonts w:ascii="Arial" w:cs="Arial" w:eastAsia="Arial" w:hAnsi="Arial"/>
                <w:sz w:val="16"/>
                <w:szCs w:val="16"/>
                <w:b w:val="1"/>
                <w:bCs w:val="1"/>
                <w:color w:val="auto"/>
              </w:rPr>
              <w:t>2</w:t>
            </w:r>
          </w:p>
        </w:tc>
        <w:tc>
          <w:tcPr>
            <w:tcW w:w="13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060" w:type="dxa"/>
            <w:vAlign w:val="bottom"/>
          </w:tcPr>
          <w:p>
            <w:pPr>
              <w:jc w:val="right"/>
              <w:ind w:right="239"/>
              <w:spacing w:after="0"/>
              <w:rPr>
                <w:sz w:val="20"/>
                <w:szCs w:val="20"/>
                <w:color w:val="auto"/>
              </w:rPr>
            </w:pPr>
            <w:r>
              <w:rPr>
                <w:rFonts w:ascii="Arial" w:cs="Arial" w:eastAsia="Arial" w:hAnsi="Arial"/>
                <w:sz w:val="16"/>
                <w:szCs w:val="16"/>
                <w:b w:val="1"/>
                <w:bCs w:val="1"/>
                <w:color w:val="auto"/>
              </w:rPr>
              <w:t>(1)</w:t>
            </w:r>
          </w:p>
        </w:tc>
        <w:tc>
          <w:tcPr>
            <w:tcW w:w="16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37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Post retirement plan adjustments, net of tax</w:t>
            </w:r>
          </w:p>
        </w:tc>
        <w:tc>
          <w:tcPr>
            <w:tcW w:w="24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31"/>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Comprehensive net earnings</w:t>
            </w:r>
          </w:p>
        </w:tc>
        <w:tc>
          <w:tcPr>
            <w:tcW w:w="244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$128</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w:t>
            </w:r>
          </w:p>
        </w:tc>
        <w:tc>
          <w:tcPr>
            <w:tcW w:w="12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$303</w:t>
            </w:r>
          </w:p>
        </w:tc>
        <w:tc>
          <w:tcPr>
            <w:tcW w:w="1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$301</w:t>
            </w:r>
          </w:p>
        </w:tc>
      </w:tr>
      <w:tr>
        <w:trPr>
          <w:trHeight w:val="33"/>
        </w:trPr>
        <w:tc>
          <w:tcPr>
            <w:tcW w:w="37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 of 28</w:t>
      </w:r>
    </w:p>
    <w:p>
      <w:pPr>
        <w:sectPr>
          <w:pgSz w:w="11900" w:h="16838" w:orient="portrait"/>
          <w:cols w:equalWidth="0" w:num="1">
            <w:col w:w="11420"/>
          </w:cols>
          <w:pgMar w:left="240" w:top="279"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jc w:val="center"/>
        <w:spacing w:after="0"/>
        <w:rPr>
          <w:sz w:val="20"/>
          <w:szCs w:val="20"/>
          <w:color w:val="auto"/>
        </w:rPr>
      </w:pPr>
      <w:r>
        <w:rPr>
          <w:rFonts w:ascii="Arial" w:cs="Arial" w:eastAsia="Arial" w:hAnsi="Arial"/>
          <w:sz w:val="18"/>
          <w:szCs w:val="18"/>
          <w:color w:val="auto"/>
        </w:rPr>
        <w:t>(Amounts in millions)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20" w:type="dxa"/>
            <w:vAlign w:val="bottom"/>
          </w:tcPr>
          <w:p>
            <w:pPr>
              <w:spacing w:after="0"/>
              <w:rPr>
                <w:sz w:val="18"/>
                <w:szCs w:val="18"/>
                <w:color w:val="auto"/>
              </w:rPr>
            </w:pPr>
          </w:p>
        </w:tc>
        <w:tc>
          <w:tcPr>
            <w:tcW w:w="1940" w:type="dxa"/>
            <w:vAlign w:val="bottom"/>
          </w:tcPr>
          <w:p>
            <w:pPr>
              <w:jc w:val="right"/>
              <w:ind w:right="339"/>
              <w:spacing w:after="0"/>
              <w:rPr>
                <w:sz w:val="20"/>
                <w:szCs w:val="20"/>
                <w:color w:val="auto"/>
              </w:rPr>
            </w:pPr>
            <w:r>
              <w:rPr>
                <w:rFonts w:ascii="Arial" w:cs="Arial" w:eastAsia="Arial" w:hAnsi="Arial"/>
                <w:sz w:val="16"/>
                <w:szCs w:val="16"/>
                <w:b w:val="1"/>
                <w:bCs w:val="1"/>
                <w:color w:val="auto"/>
              </w:rPr>
              <w:t>November 2, 2019</w:t>
            </w:r>
          </w:p>
        </w:tc>
        <w:tc>
          <w:tcPr>
            <w:tcW w:w="1900" w:type="dxa"/>
            <w:vAlign w:val="bottom"/>
          </w:tcPr>
          <w:p>
            <w:pPr>
              <w:jc w:val="right"/>
              <w:ind w:right="279"/>
              <w:spacing w:after="0"/>
              <w:rPr>
                <w:sz w:val="20"/>
                <w:szCs w:val="20"/>
                <w:color w:val="auto"/>
              </w:rPr>
            </w:pPr>
            <w:r>
              <w:rPr>
                <w:rFonts w:ascii="Arial" w:cs="Arial" w:eastAsia="Arial" w:hAnsi="Arial"/>
                <w:sz w:val="16"/>
                <w:szCs w:val="16"/>
                <w:b w:val="1"/>
                <w:bCs w:val="1"/>
                <w:color w:val="auto"/>
              </w:rPr>
              <w:t>February 2, 2019</w:t>
            </w:r>
          </w:p>
        </w:tc>
        <w:tc>
          <w:tcPr>
            <w:tcW w:w="1660" w:type="dxa"/>
            <w:vAlign w:val="bottom"/>
          </w:tcPr>
          <w:p>
            <w:pPr>
              <w:jc w:val="right"/>
              <w:ind w:right="19"/>
              <w:spacing w:after="0"/>
              <w:rPr>
                <w:sz w:val="20"/>
                <w:szCs w:val="20"/>
                <w:color w:val="auto"/>
              </w:rPr>
            </w:pPr>
            <w:r>
              <w:rPr>
                <w:rFonts w:ascii="Arial" w:cs="Arial" w:eastAsia="Arial" w:hAnsi="Arial"/>
                <w:sz w:val="16"/>
                <w:szCs w:val="16"/>
                <w:b w:val="1"/>
                <w:bCs w:val="1"/>
                <w:color w:val="auto"/>
              </w:rPr>
              <w:t>November 3, 2018</w:t>
            </w:r>
          </w:p>
        </w:tc>
        <w:tc>
          <w:tcPr>
            <w:tcW w:w="0" w:type="dxa"/>
            <w:vAlign w:val="bottom"/>
          </w:tcPr>
          <w:p>
            <w:pPr>
              <w:spacing w:after="0"/>
              <w:rPr>
                <w:sz w:val="1"/>
                <w:szCs w:val="1"/>
                <w:color w:val="auto"/>
              </w:rPr>
            </w:pPr>
          </w:p>
        </w:tc>
      </w:tr>
      <w:tr>
        <w:trPr>
          <w:trHeight w:val="33"/>
        </w:trPr>
        <w:tc>
          <w:tcPr>
            <w:tcW w:w="59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9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9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19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$487</w:t>
            </w:r>
          </w:p>
        </w:tc>
        <w:tc>
          <w:tcPr>
            <w:tcW w:w="19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$957</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$1,127</w:t>
            </w:r>
          </w:p>
        </w:tc>
        <w:tc>
          <w:tcPr>
            <w:tcW w:w="0" w:type="dxa"/>
            <w:vAlign w:val="bottom"/>
          </w:tcPr>
          <w:p>
            <w:pPr>
              <w:spacing w:after="0"/>
              <w:rPr>
                <w:sz w:val="1"/>
                <w:szCs w:val="1"/>
                <w:color w:val="auto"/>
              </w:rPr>
            </w:pPr>
          </w:p>
        </w:tc>
      </w:tr>
      <w:tr>
        <w:trPr>
          <w:trHeight w:val="237"/>
        </w:trPr>
        <w:tc>
          <w:tcPr>
            <w:tcW w:w="592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1940" w:type="dxa"/>
            <w:vAlign w:val="bottom"/>
          </w:tcPr>
          <w:p>
            <w:pPr>
              <w:jc w:val="right"/>
              <w:ind w:right="339"/>
              <w:spacing w:after="0"/>
              <w:rPr>
                <w:sz w:val="20"/>
                <w:szCs w:val="20"/>
                <w:color w:val="auto"/>
              </w:rPr>
            </w:pPr>
            <w:r>
              <w:rPr>
                <w:rFonts w:ascii="Arial" w:cs="Arial" w:eastAsia="Arial" w:hAnsi="Arial"/>
                <w:sz w:val="16"/>
                <w:szCs w:val="16"/>
                <w:b w:val="1"/>
                <w:bCs w:val="1"/>
                <w:color w:val="auto"/>
              </w:rPr>
              <w:t>234</w:t>
            </w:r>
          </w:p>
        </w:tc>
        <w:tc>
          <w:tcPr>
            <w:tcW w:w="1900" w:type="dxa"/>
            <w:vAlign w:val="bottom"/>
          </w:tcPr>
          <w:p>
            <w:pPr>
              <w:jc w:val="right"/>
              <w:ind w:right="279"/>
              <w:spacing w:after="0"/>
              <w:rPr>
                <w:sz w:val="20"/>
                <w:szCs w:val="20"/>
                <w:color w:val="auto"/>
              </w:rPr>
            </w:pPr>
            <w:r>
              <w:rPr>
                <w:rFonts w:ascii="Arial" w:cs="Arial" w:eastAsia="Arial" w:hAnsi="Arial"/>
                <w:sz w:val="16"/>
                <w:szCs w:val="16"/>
                <w:color w:val="auto"/>
              </w:rPr>
              <w:t>148</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33"/>
        </w:trPr>
        <w:tc>
          <w:tcPr>
            <w:tcW w:w="5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Merchandise inventories</w:t>
            </w:r>
          </w:p>
        </w:tc>
        <w:tc>
          <w:tcPr>
            <w:tcW w:w="19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2,542</w:t>
            </w:r>
          </w:p>
        </w:tc>
        <w:tc>
          <w:tcPr>
            <w:tcW w:w="19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1,978</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2,614</w:t>
            </w:r>
          </w:p>
        </w:tc>
        <w:tc>
          <w:tcPr>
            <w:tcW w:w="0" w:type="dxa"/>
            <w:vAlign w:val="bottom"/>
          </w:tcPr>
          <w:p>
            <w:pPr>
              <w:spacing w:after="0"/>
              <w:rPr>
                <w:sz w:val="1"/>
                <w:szCs w:val="1"/>
                <w:color w:val="auto"/>
              </w:rPr>
            </w:pPr>
          </w:p>
        </w:tc>
      </w:tr>
      <w:tr>
        <w:trPr>
          <w:trHeight w:val="237"/>
        </w:trPr>
        <w:tc>
          <w:tcPr>
            <w:tcW w:w="5920" w:type="dxa"/>
            <w:vAlign w:val="bottom"/>
          </w:tcPr>
          <w:p>
            <w:pPr>
              <w:ind w:left="280"/>
              <w:spacing w:after="0"/>
              <w:rPr>
                <w:sz w:val="20"/>
                <w:szCs w:val="20"/>
                <w:color w:val="auto"/>
              </w:rPr>
            </w:pPr>
            <w:r>
              <w:rPr>
                <w:rFonts w:ascii="Arial" w:cs="Arial" w:eastAsia="Arial" w:hAnsi="Arial"/>
                <w:sz w:val="16"/>
                <w:szCs w:val="16"/>
                <w:color w:val="auto"/>
              </w:rPr>
              <w:t>Prepaid expenses and other</w:t>
            </w:r>
          </w:p>
        </w:tc>
        <w:tc>
          <w:tcPr>
            <w:tcW w:w="1940" w:type="dxa"/>
            <w:vAlign w:val="bottom"/>
          </w:tcPr>
          <w:p>
            <w:pPr>
              <w:jc w:val="right"/>
              <w:ind w:right="339"/>
              <w:spacing w:after="0"/>
              <w:rPr>
                <w:sz w:val="20"/>
                <w:szCs w:val="20"/>
                <w:color w:val="auto"/>
              </w:rPr>
            </w:pPr>
            <w:r>
              <w:rPr>
                <w:rFonts w:ascii="Arial" w:cs="Arial" w:eastAsia="Arial" w:hAnsi="Arial"/>
                <w:sz w:val="16"/>
                <w:szCs w:val="16"/>
                <w:b w:val="1"/>
                <w:bCs w:val="1"/>
                <w:color w:val="auto"/>
              </w:rPr>
              <w:t>310</w:t>
            </w:r>
          </w:p>
        </w:tc>
        <w:tc>
          <w:tcPr>
            <w:tcW w:w="1900" w:type="dxa"/>
            <w:vAlign w:val="bottom"/>
          </w:tcPr>
          <w:p>
            <w:pPr>
              <w:jc w:val="right"/>
              <w:ind w:right="279"/>
              <w:spacing w:after="0"/>
              <w:rPr>
                <w:sz w:val="20"/>
                <w:szCs w:val="20"/>
                <w:color w:val="auto"/>
              </w:rPr>
            </w:pPr>
            <w:r>
              <w:rPr>
                <w:rFonts w:ascii="Arial" w:cs="Arial" w:eastAsia="Arial" w:hAnsi="Arial"/>
                <w:sz w:val="16"/>
                <w:szCs w:val="16"/>
                <w:color w:val="auto"/>
              </w:rPr>
              <w:t>291</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33"/>
        </w:trPr>
        <w:tc>
          <w:tcPr>
            <w:tcW w:w="59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19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3,573</w:t>
            </w:r>
          </w:p>
        </w:tc>
        <w:tc>
          <w:tcPr>
            <w:tcW w:w="19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3,374</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4,297</w:t>
            </w:r>
          </w:p>
        </w:tc>
        <w:tc>
          <w:tcPr>
            <w:tcW w:w="0" w:type="dxa"/>
            <w:vAlign w:val="bottom"/>
          </w:tcPr>
          <w:p>
            <w:pPr>
              <w:spacing w:after="0"/>
              <w:rPr>
                <w:sz w:val="1"/>
                <w:szCs w:val="1"/>
                <w:color w:val="auto"/>
              </w:rPr>
            </w:pPr>
          </w:p>
        </w:tc>
      </w:tr>
      <w:tr>
        <w:trPr>
          <w:trHeight w:val="297"/>
        </w:trPr>
        <w:tc>
          <w:tcPr>
            <w:tcW w:w="59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9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Land, property and equipment (net of accumulated depreciation of $6,884, $6,647 and</w:t>
            </w:r>
          </w:p>
        </w:tc>
        <w:tc>
          <w:tcPr>
            <w:tcW w:w="194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4,146</w:t>
            </w:r>
          </w:p>
        </w:tc>
        <w:tc>
          <w:tcPr>
            <w:tcW w:w="19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$6,517)</w:t>
            </w:r>
          </w:p>
        </w:tc>
        <w:tc>
          <w:tcPr>
            <w:tcW w:w="1940" w:type="dxa"/>
            <w:vAlign w:val="bottom"/>
            <w:tcBorders>
              <w:bottom w:val="single" w:sz="8" w:color="CCEEFF"/>
            </w:tcBorders>
            <w:vMerge w:val="continue"/>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3,921</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3,858</w:t>
            </w:r>
          </w:p>
        </w:tc>
        <w:tc>
          <w:tcPr>
            <w:tcW w:w="0" w:type="dxa"/>
            <w:vAlign w:val="bottom"/>
          </w:tcPr>
          <w:p>
            <w:pPr>
              <w:spacing w:after="0"/>
              <w:rPr>
                <w:sz w:val="1"/>
                <w:szCs w:val="1"/>
                <w:color w:val="auto"/>
              </w:rPr>
            </w:pPr>
          </w:p>
        </w:tc>
      </w:tr>
      <w:tr>
        <w:trPr>
          <w:trHeight w:val="237"/>
        </w:trPr>
        <w:tc>
          <w:tcPr>
            <w:tcW w:w="5920" w:type="dxa"/>
            <w:vAlign w:val="bottom"/>
          </w:tcPr>
          <w:p>
            <w:pPr>
              <w:ind w:left="40"/>
              <w:spacing w:after="0"/>
              <w:rPr>
                <w:sz w:val="20"/>
                <w:szCs w:val="20"/>
                <w:color w:val="auto"/>
              </w:rPr>
            </w:pPr>
            <w:r>
              <w:rPr>
                <w:rFonts w:ascii="Arial" w:cs="Arial" w:eastAsia="Arial" w:hAnsi="Arial"/>
                <w:sz w:val="16"/>
                <w:szCs w:val="16"/>
                <w:color w:val="auto"/>
              </w:rPr>
              <w:t>Operating lease right-of-use assets</w:t>
            </w:r>
          </w:p>
        </w:tc>
        <w:tc>
          <w:tcPr>
            <w:tcW w:w="1940" w:type="dxa"/>
            <w:vAlign w:val="bottom"/>
          </w:tcPr>
          <w:p>
            <w:pPr>
              <w:jc w:val="right"/>
              <w:ind w:right="339"/>
              <w:spacing w:after="0"/>
              <w:rPr>
                <w:sz w:val="20"/>
                <w:szCs w:val="20"/>
                <w:color w:val="auto"/>
              </w:rPr>
            </w:pPr>
            <w:r>
              <w:rPr>
                <w:rFonts w:ascii="Arial" w:cs="Arial" w:eastAsia="Arial" w:hAnsi="Arial"/>
                <w:sz w:val="16"/>
                <w:szCs w:val="16"/>
                <w:b w:val="1"/>
                <w:bCs w:val="1"/>
                <w:color w:val="auto"/>
              </w:rPr>
              <w:t>1,784</w:t>
            </w:r>
          </w:p>
        </w:tc>
        <w:tc>
          <w:tcPr>
            <w:tcW w:w="19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9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249</w:t>
            </w:r>
          </w:p>
        </w:tc>
        <w:tc>
          <w:tcPr>
            <w:tcW w:w="19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249</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37"/>
        </w:trPr>
        <w:tc>
          <w:tcPr>
            <w:tcW w:w="592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940" w:type="dxa"/>
            <w:vAlign w:val="bottom"/>
          </w:tcPr>
          <w:p>
            <w:pPr>
              <w:jc w:val="right"/>
              <w:ind w:right="339"/>
              <w:spacing w:after="0"/>
              <w:rPr>
                <w:sz w:val="20"/>
                <w:szCs w:val="20"/>
                <w:color w:val="auto"/>
              </w:rPr>
            </w:pPr>
            <w:r>
              <w:rPr>
                <w:rFonts w:ascii="Arial" w:cs="Arial" w:eastAsia="Arial" w:hAnsi="Arial"/>
                <w:sz w:val="16"/>
                <w:szCs w:val="16"/>
                <w:b w:val="1"/>
                <w:bCs w:val="1"/>
                <w:color w:val="auto"/>
              </w:rPr>
              <w:t>323</w:t>
            </w:r>
          </w:p>
        </w:tc>
        <w:tc>
          <w:tcPr>
            <w:tcW w:w="1900" w:type="dxa"/>
            <w:vAlign w:val="bottom"/>
          </w:tcPr>
          <w:p>
            <w:pPr>
              <w:jc w:val="right"/>
              <w:ind w:right="279"/>
              <w:spacing w:after="0"/>
              <w:rPr>
                <w:sz w:val="20"/>
                <w:szCs w:val="20"/>
                <w:color w:val="auto"/>
              </w:rPr>
            </w:pPr>
            <w:r>
              <w:rPr>
                <w:rFonts w:ascii="Arial" w:cs="Arial" w:eastAsia="Arial" w:hAnsi="Arial"/>
                <w:sz w:val="16"/>
                <w:szCs w:val="16"/>
                <w:color w:val="auto"/>
              </w:rPr>
              <w:t>342</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33"/>
        </w:trPr>
        <w:tc>
          <w:tcPr>
            <w:tcW w:w="59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9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$10,075</w:t>
            </w:r>
          </w:p>
        </w:tc>
        <w:tc>
          <w:tcPr>
            <w:tcW w:w="19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$7,886</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$8,709</w:t>
            </w:r>
          </w:p>
        </w:tc>
        <w:tc>
          <w:tcPr>
            <w:tcW w:w="0" w:type="dxa"/>
            <w:vAlign w:val="bottom"/>
          </w:tcPr>
          <w:p>
            <w:pPr>
              <w:spacing w:after="0"/>
              <w:rPr>
                <w:sz w:val="1"/>
                <w:szCs w:val="1"/>
                <w:color w:val="auto"/>
              </w:rPr>
            </w:pPr>
          </w:p>
        </w:tc>
      </w:tr>
      <w:tr>
        <w:trPr>
          <w:trHeight w:val="291"/>
        </w:trPr>
        <w:tc>
          <w:tcPr>
            <w:tcW w:w="592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19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2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9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19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$2,148</w:t>
            </w:r>
          </w:p>
        </w:tc>
        <w:tc>
          <w:tcPr>
            <w:tcW w:w="19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$1,469</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$2,106</w:t>
            </w:r>
          </w:p>
        </w:tc>
        <w:tc>
          <w:tcPr>
            <w:tcW w:w="0" w:type="dxa"/>
            <w:vAlign w:val="bottom"/>
          </w:tcPr>
          <w:p>
            <w:pPr>
              <w:spacing w:after="0"/>
              <w:rPr>
                <w:sz w:val="1"/>
                <w:szCs w:val="1"/>
                <w:color w:val="auto"/>
              </w:rPr>
            </w:pPr>
          </w:p>
        </w:tc>
      </w:tr>
      <w:tr>
        <w:trPr>
          <w:trHeight w:val="237"/>
        </w:trPr>
        <w:tc>
          <w:tcPr>
            <w:tcW w:w="5920" w:type="dxa"/>
            <w:vAlign w:val="bottom"/>
          </w:tcPr>
          <w:p>
            <w:pPr>
              <w:ind w:left="280"/>
              <w:spacing w:after="0"/>
              <w:rPr>
                <w:sz w:val="20"/>
                <w:szCs w:val="20"/>
                <w:color w:val="auto"/>
              </w:rPr>
            </w:pPr>
            <w:r>
              <w:rPr>
                <w:rFonts w:ascii="Arial" w:cs="Arial" w:eastAsia="Arial" w:hAnsi="Arial"/>
                <w:sz w:val="16"/>
                <w:szCs w:val="16"/>
                <w:color w:val="auto"/>
              </w:rPr>
              <w:t>Accrued salaries, wages and related benefits</w:t>
            </w:r>
          </w:p>
        </w:tc>
        <w:tc>
          <w:tcPr>
            <w:tcW w:w="1940" w:type="dxa"/>
            <w:vAlign w:val="bottom"/>
          </w:tcPr>
          <w:p>
            <w:pPr>
              <w:jc w:val="right"/>
              <w:ind w:right="339"/>
              <w:spacing w:after="0"/>
              <w:rPr>
                <w:sz w:val="20"/>
                <w:szCs w:val="20"/>
                <w:color w:val="auto"/>
              </w:rPr>
            </w:pPr>
            <w:r>
              <w:rPr>
                <w:rFonts w:ascii="Arial" w:cs="Arial" w:eastAsia="Arial" w:hAnsi="Arial"/>
                <w:sz w:val="16"/>
                <w:szCs w:val="16"/>
                <w:b w:val="1"/>
                <w:bCs w:val="1"/>
                <w:color w:val="auto"/>
              </w:rPr>
              <w:t>470</w:t>
            </w:r>
          </w:p>
        </w:tc>
        <w:tc>
          <w:tcPr>
            <w:tcW w:w="1900" w:type="dxa"/>
            <w:vAlign w:val="bottom"/>
          </w:tcPr>
          <w:p>
            <w:pPr>
              <w:jc w:val="right"/>
              <w:ind w:right="279"/>
              <w:spacing w:after="0"/>
              <w:rPr>
                <w:sz w:val="20"/>
                <w:szCs w:val="20"/>
                <w:color w:val="auto"/>
              </w:rPr>
            </w:pPr>
            <w:r>
              <w:rPr>
                <w:rFonts w:ascii="Arial" w:cs="Arial" w:eastAsia="Arial" w:hAnsi="Arial"/>
                <w:sz w:val="16"/>
                <w:szCs w:val="16"/>
                <w:color w:val="auto"/>
              </w:rPr>
              <w:t>580</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33"/>
        </w:trPr>
        <w:tc>
          <w:tcPr>
            <w:tcW w:w="5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Current portion of operating lease liabilities</w:t>
            </w:r>
          </w:p>
        </w:tc>
        <w:tc>
          <w:tcPr>
            <w:tcW w:w="19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238</w:t>
            </w:r>
          </w:p>
        </w:tc>
        <w:tc>
          <w:tcPr>
            <w:tcW w:w="19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920" w:type="dxa"/>
            <w:vAlign w:val="bottom"/>
          </w:tcPr>
          <w:p>
            <w:pPr>
              <w:ind w:left="280"/>
              <w:spacing w:after="0"/>
              <w:rPr>
                <w:sz w:val="20"/>
                <w:szCs w:val="20"/>
                <w:color w:val="auto"/>
              </w:rPr>
            </w:pPr>
            <w:r>
              <w:rPr>
                <w:rFonts w:ascii="Arial" w:cs="Arial" w:eastAsia="Arial" w:hAnsi="Arial"/>
                <w:sz w:val="16"/>
                <w:szCs w:val="16"/>
                <w:color w:val="auto"/>
              </w:rPr>
              <w:t>Other current liabilities</w:t>
            </w:r>
          </w:p>
        </w:tc>
        <w:tc>
          <w:tcPr>
            <w:tcW w:w="1940" w:type="dxa"/>
            <w:vAlign w:val="bottom"/>
          </w:tcPr>
          <w:p>
            <w:pPr>
              <w:jc w:val="right"/>
              <w:ind w:right="339"/>
              <w:spacing w:after="0"/>
              <w:rPr>
                <w:sz w:val="20"/>
                <w:szCs w:val="20"/>
                <w:color w:val="auto"/>
              </w:rPr>
            </w:pPr>
            <w:r>
              <w:rPr>
                <w:rFonts w:ascii="Arial" w:cs="Arial" w:eastAsia="Arial" w:hAnsi="Arial"/>
                <w:sz w:val="16"/>
                <w:szCs w:val="16"/>
                <w:b w:val="1"/>
                <w:bCs w:val="1"/>
                <w:color w:val="auto"/>
              </w:rPr>
              <w:t>1,125</w:t>
            </w:r>
          </w:p>
        </w:tc>
        <w:tc>
          <w:tcPr>
            <w:tcW w:w="1900" w:type="dxa"/>
            <w:vAlign w:val="bottom"/>
          </w:tcPr>
          <w:p>
            <w:pPr>
              <w:jc w:val="right"/>
              <w:ind w:right="279"/>
              <w:spacing w:after="0"/>
              <w:rPr>
                <w:sz w:val="20"/>
                <w:szCs w:val="20"/>
                <w:color w:val="auto"/>
              </w:rPr>
            </w:pPr>
            <w:r>
              <w:rPr>
                <w:rFonts w:ascii="Arial" w:cs="Arial" w:eastAsia="Arial" w:hAnsi="Arial"/>
                <w:sz w:val="16"/>
                <w:szCs w:val="16"/>
                <w:color w:val="auto"/>
              </w:rPr>
              <w:t>1,324</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33"/>
        </w:trPr>
        <w:tc>
          <w:tcPr>
            <w:tcW w:w="5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Current portion of long-term debt</w:t>
            </w:r>
          </w:p>
        </w:tc>
        <w:tc>
          <w:tcPr>
            <w:tcW w:w="19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19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8</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1"/>
        </w:trPr>
        <w:tc>
          <w:tcPr>
            <w:tcW w:w="59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current liabilities</w:t>
            </w:r>
          </w:p>
        </w:tc>
        <w:tc>
          <w:tcPr>
            <w:tcW w:w="19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3,981</w:t>
            </w:r>
          </w:p>
        </w:tc>
        <w:tc>
          <w:tcPr>
            <w:tcW w:w="190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3,381</w:t>
            </w:r>
          </w:p>
        </w:tc>
        <w:tc>
          <w:tcPr>
            <w:tcW w:w="1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3,842</w:t>
            </w:r>
          </w:p>
        </w:tc>
        <w:tc>
          <w:tcPr>
            <w:tcW w:w="0" w:type="dxa"/>
            <w:vAlign w:val="bottom"/>
          </w:tcPr>
          <w:p>
            <w:pPr>
              <w:spacing w:after="0"/>
              <w:rPr>
                <w:sz w:val="1"/>
                <w:szCs w:val="1"/>
                <w:color w:val="auto"/>
              </w:rPr>
            </w:pPr>
          </w:p>
        </w:tc>
      </w:tr>
      <w:tr>
        <w:trPr>
          <w:trHeight w:val="33"/>
        </w:trPr>
        <w:tc>
          <w:tcPr>
            <w:tcW w:w="5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9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920" w:type="dxa"/>
            <w:vAlign w:val="bottom"/>
          </w:tcPr>
          <w:p>
            <w:pPr>
              <w:ind w:left="40"/>
              <w:spacing w:after="0"/>
              <w:rPr>
                <w:sz w:val="20"/>
                <w:szCs w:val="20"/>
                <w:color w:val="auto"/>
              </w:rPr>
            </w:pPr>
            <w:r>
              <w:rPr>
                <w:rFonts w:ascii="Arial" w:cs="Arial" w:eastAsia="Arial" w:hAnsi="Arial"/>
                <w:sz w:val="16"/>
                <w:szCs w:val="16"/>
                <w:color w:val="auto"/>
              </w:rPr>
              <w:t>Long-term debt, net</w:t>
            </w:r>
          </w:p>
        </w:tc>
        <w:tc>
          <w:tcPr>
            <w:tcW w:w="1940" w:type="dxa"/>
            <w:vAlign w:val="bottom"/>
          </w:tcPr>
          <w:p>
            <w:pPr>
              <w:jc w:val="right"/>
              <w:ind w:right="339"/>
              <w:spacing w:after="0"/>
              <w:rPr>
                <w:sz w:val="20"/>
                <w:szCs w:val="20"/>
                <w:color w:val="auto"/>
              </w:rPr>
            </w:pPr>
            <w:r>
              <w:rPr>
                <w:rFonts w:ascii="Arial" w:cs="Arial" w:eastAsia="Arial" w:hAnsi="Arial"/>
                <w:sz w:val="16"/>
                <w:szCs w:val="16"/>
                <w:b w:val="1"/>
                <w:bCs w:val="1"/>
                <w:color w:val="auto"/>
              </w:rPr>
              <w:t>2,679</w:t>
            </w:r>
          </w:p>
        </w:tc>
        <w:tc>
          <w:tcPr>
            <w:tcW w:w="1900" w:type="dxa"/>
            <w:vAlign w:val="bottom"/>
          </w:tcPr>
          <w:p>
            <w:pPr>
              <w:jc w:val="right"/>
              <w:ind w:right="279"/>
              <w:spacing w:after="0"/>
              <w:rPr>
                <w:sz w:val="20"/>
                <w:szCs w:val="20"/>
                <w:color w:val="auto"/>
              </w:rPr>
            </w:pPr>
            <w:r>
              <w:rPr>
                <w:rFonts w:ascii="Arial" w:cs="Arial" w:eastAsia="Arial" w:hAnsi="Arial"/>
                <w:sz w:val="16"/>
                <w:szCs w:val="16"/>
                <w:color w:val="auto"/>
              </w:rPr>
              <w:t>2,677</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2,678</w:t>
            </w:r>
          </w:p>
        </w:tc>
        <w:tc>
          <w:tcPr>
            <w:tcW w:w="0" w:type="dxa"/>
            <w:vAlign w:val="bottom"/>
          </w:tcPr>
          <w:p>
            <w:pPr>
              <w:spacing w:after="0"/>
              <w:rPr>
                <w:sz w:val="1"/>
                <w:szCs w:val="1"/>
                <w:color w:val="auto"/>
              </w:rPr>
            </w:pPr>
          </w:p>
        </w:tc>
      </w:tr>
      <w:tr>
        <w:trPr>
          <w:trHeight w:val="33"/>
        </w:trPr>
        <w:tc>
          <w:tcPr>
            <w:tcW w:w="5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property incentives, net</w:t>
            </w:r>
          </w:p>
        </w:tc>
        <w:tc>
          <w:tcPr>
            <w:tcW w:w="19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4</w:t>
            </w:r>
          </w:p>
        </w:tc>
        <w:tc>
          <w:tcPr>
            <w:tcW w:w="19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457</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37"/>
        </w:trPr>
        <w:tc>
          <w:tcPr>
            <w:tcW w:w="5920" w:type="dxa"/>
            <w:vAlign w:val="bottom"/>
          </w:tcPr>
          <w:p>
            <w:pPr>
              <w:ind w:left="40"/>
              <w:spacing w:after="0"/>
              <w:rPr>
                <w:sz w:val="20"/>
                <w:szCs w:val="20"/>
                <w:color w:val="auto"/>
              </w:rPr>
            </w:pPr>
            <w:r>
              <w:rPr>
                <w:rFonts w:ascii="Arial" w:cs="Arial" w:eastAsia="Arial" w:hAnsi="Arial"/>
                <w:sz w:val="16"/>
                <w:szCs w:val="16"/>
                <w:color w:val="auto"/>
              </w:rPr>
              <w:t>Non-current operating lease liabilities</w:t>
            </w:r>
          </w:p>
        </w:tc>
        <w:tc>
          <w:tcPr>
            <w:tcW w:w="1940" w:type="dxa"/>
            <w:vAlign w:val="bottom"/>
          </w:tcPr>
          <w:p>
            <w:pPr>
              <w:jc w:val="right"/>
              <w:ind w:right="339"/>
              <w:spacing w:after="0"/>
              <w:rPr>
                <w:sz w:val="20"/>
                <w:szCs w:val="20"/>
                <w:color w:val="auto"/>
              </w:rPr>
            </w:pPr>
            <w:r>
              <w:rPr>
                <w:rFonts w:ascii="Arial" w:cs="Arial" w:eastAsia="Arial" w:hAnsi="Arial"/>
                <w:sz w:val="16"/>
                <w:szCs w:val="16"/>
                <w:b w:val="1"/>
                <w:bCs w:val="1"/>
                <w:color w:val="auto"/>
              </w:rPr>
              <w:t>1,895</w:t>
            </w:r>
          </w:p>
        </w:tc>
        <w:tc>
          <w:tcPr>
            <w:tcW w:w="19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19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665</w:t>
            </w:r>
          </w:p>
        </w:tc>
        <w:tc>
          <w:tcPr>
            <w:tcW w:w="19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498</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97"/>
        </w:trPr>
        <w:tc>
          <w:tcPr>
            <w:tcW w:w="59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7)</w:t>
            </w:r>
          </w:p>
        </w:tc>
        <w:tc>
          <w:tcPr>
            <w:tcW w:w="19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9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Shareholders’ equity:</w:t>
            </w:r>
          </w:p>
        </w:tc>
        <w:tc>
          <w:tcPr>
            <w:tcW w:w="19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920" w:type="dxa"/>
            <w:vAlign w:val="bottom"/>
          </w:tcPr>
          <w:p>
            <w:pPr>
              <w:ind w:left="280"/>
              <w:spacing w:after="0"/>
              <w:rPr>
                <w:sz w:val="20"/>
                <w:szCs w:val="20"/>
                <w:color w:val="auto"/>
              </w:rPr>
            </w:pPr>
            <w:r>
              <w:rPr>
                <w:rFonts w:ascii="Arial" w:cs="Arial" w:eastAsia="Arial" w:hAnsi="Arial"/>
                <w:sz w:val="16"/>
                <w:szCs w:val="16"/>
                <w:color w:val="auto"/>
              </w:rPr>
              <w:t>Common stock, no par value: 1,000 shares authorized; 155.2, 157.6 and 168.9</w:t>
            </w:r>
          </w:p>
        </w:tc>
        <w:tc>
          <w:tcPr>
            <w:tcW w:w="194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3,106</w:t>
            </w:r>
          </w:p>
        </w:tc>
        <w:tc>
          <w:tcPr>
            <w:tcW w:w="19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920" w:type="dxa"/>
            <w:vAlign w:val="bottom"/>
          </w:tcPr>
          <w:p>
            <w:pPr>
              <w:ind w:left="520"/>
              <w:spacing w:after="0"/>
              <w:rPr>
                <w:sz w:val="20"/>
                <w:szCs w:val="20"/>
                <w:color w:val="auto"/>
              </w:rPr>
            </w:pPr>
            <w:r>
              <w:rPr>
                <w:rFonts w:ascii="Arial" w:cs="Arial" w:eastAsia="Arial" w:hAnsi="Arial"/>
                <w:sz w:val="16"/>
                <w:szCs w:val="16"/>
                <w:color w:val="auto"/>
              </w:rPr>
              <w:t>shares issued and outstanding</w:t>
            </w:r>
          </w:p>
        </w:tc>
        <w:tc>
          <w:tcPr>
            <w:tcW w:w="1940" w:type="dxa"/>
            <w:vAlign w:val="bottom"/>
            <w:vMerge w:val="continue"/>
          </w:tcPr>
          <w:p>
            <w:pPr>
              <w:spacing w:after="0"/>
              <w:rPr>
                <w:sz w:val="17"/>
                <w:szCs w:val="17"/>
                <w:color w:val="auto"/>
              </w:rPr>
            </w:pPr>
          </w:p>
        </w:tc>
        <w:tc>
          <w:tcPr>
            <w:tcW w:w="1900" w:type="dxa"/>
            <w:vAlign w:val="bottom"/>
          </w:tcPr>
          <w:p>
            <w:pPr>
              <w:jc w:val="right"/>
              <w:ind w:right="279"/>
              <w:spacing w:after="0"/>
              <w:rPr>
                <w:sz w:val="20"/>
                <w:szCs w:val="20"/>
                <w:color w:val="auto"/>
              </w:rPr>
            </w:pPr>
            <w:r>
              <w:rPr>
                <w:rFonts w:ascii="Arial" w:cs="Arial" w:eastAsia="Arial" w:hAnsi="Arial"/>
                <w:sz w:val="16"/>
                <w:szCs w:val="16"/>
                <w:color w:val="auto"/>
              </w:rPr>
              <w:t>3,048</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3,029</w:t>
            </w:r>
          </w:p>
        </w:tc>
        <w:tc>
          <w:tcPr>
            <w:tcW w:w="0" w:type="dxa"/>
            <w:vAlign w:val="bottom"/>
          </w:tcPr>
          <w:p>
            <w:pPr>
              <w:spacing w:after="0"/>
              <w:rPr>
                <w:sz w:val="1"/>
                <w:szCs w:val="1"/>
                <w:color w:val="auto"/>
              </w:rPr>
            </w:pPr>
          </w:p>
        </w:tc>
      </w:tr>
      <w:tr>
        <w:trPr>
          <w:trHeight w:val="33"/>
        </w:trPr>
        <w:tc>
          <w:tcPr>
            <w:tcW w:w="5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deficit</w:t>
            </w:r>
          </w:p>
        </w:tc>
        <w:tc>
          <w:tcPr>
            <w:tcW w:w="19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(2,217)</w:t>
            </w:r>
          </w:p>
        </w:tc>
        <w:tc>
          <w:tcPr>
            <w:tcW w:w="19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(2,138)</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(1,777)</w:t>
            </w:r>
          </w:p>
        </w:tc>
        <w:tc>
          <w:tcPr>
            <w:tcW w:w="0" w:type="dxa"/>
            <w:vAlign w:val="bottom"/>
          </w:tcPr>
          <w:p>
            <w:pPr>
              <w:spacing w:after="0"/>
              <w:rPr>
                <w:sz w:val="1"/>
                <w:szCs w:val="1"/>
                <w:color w:val="auto"/>
              </w:rPr>
            </w:pPr>
          </w:p>
        </w:tc>
      </w:tr>
      <w:tr>
        <w:trPr>
          <w:trHeight w:val="237"/>
        </w:trPr>
        <w:tc>
          <w:tcPr>
            <w:tcW w:w="5920" w:type="dxa"/>
            <w:vAlign w:val="bottom"/>
          </w:tcPr>
          <w:p>
            <w:pPr>
              <w:ind w:left="280"/>
              <w:spacing w:after="0"/>
              <w:rPr>
                <w:sz w:val="20"/>
                <w:szCs w:val="20"/>
                <w:color w:val="auto"/>
              </w:rPr>
            </w:pPr>
            <w:r>
              <w:rPr>
                <w:rFonts w:ascii="Arial" w:cs="Arial" w:eastAsia="Arial" w:hAnsi="Arial"/>
                <w:sz w:val="16"/>
                <w:szCs w:val="16"/>
                <w:color w:val="auto"/>
              </w:rPr>
              <w:t>Accumulated other comprehensive loss</w:t>
            </w:r>
          </w:p>
        </w:tc>
        <w:tc>
          <w:tcPr>
            <w:tcW w:w="1940" w:type="dxa"/>
            <w:vAlign w:val="bottom"/>
          </w:tcPr>
          <w:p>
            <w:pPr>
              <w:jc w:val="right"/>
              <w:ind w:right="279"/>
              <w:spacing w:after="0"/>
              <w:rPr>
                <w:sz w:val="20"/>
                <w:szCs w:val="20"/>
                <w:color w:val="auto"/>
              </w:rPr>
            </w:pPr>
            <w:r>
              <w:rPr>
                <w:rFonts w:ascii="Arial" w:cs="Arial" w:eastAsia="Arial" w:hAnsi="Arial"/>
                <w:sz w:val="16"/>
                <w:szCs w:val="16"/>
                <w:b w:val="1"/>
                <w:bCs w:val="1"/>
                <w:color w:val="auto"/>
              </w:rPr>
              <w:t>(38)</w:t>
            </w:r>
          </w:p>
        </w:tc>
        <w:tc>
          <w:tcPr>
            <w:tcW w:w="1900" w:type="dxa"/>
            <w:vAlign w:val="bottom"/>
          </w:tcPr>
          <w:p>
            <w:pPr>
              <w:jc w:val="right"/>
              <w:ind w:right="239"/>
              <w:spacing w:after="0"/>
              <w:rPr>
                <w:sz w:val="20"/>
                <w:szCs w:val="20"/>
                <w:color w:val="auto"/>
              </w:rPr>
            </w:pPr>
            <w:r>
              <w:rPr>
                <w:rFonts w:ascii="Arial" w:cs="Arial" w:eastAsia="Arial" w:hAnsi="Arial"/>
                <w:sz w:val="16"/>
                <w:szCs w:val="16"/>
                <w:color w:val="auto"/>
              </w:rPr>
              <w:t>(37)</w:t>
            </w:r>
          </w:p>
        </w:tc>
        <w:tc>
          <w:tcPr>
            <w:tcW w:w="166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59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shareholders’ equity</w:t>
            </w:r>
          </w:p>
        </w:tc>
        <w:tc>
          <w:tcPr>
            <w:tcW w:w="19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851</w:t>
            </w:r>
          </w:p>
        </w:tc>
        <w:tc>
          <w:tcPr>
            <w:tcW w:w="19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873</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1,203</w:t>
            </w:r>
          </w:p>
        </w:tc>
        <w:tc>
          <w:tcPr>
            <w:tcW w:w="0" w:type="dxa"/>
            <w:vAlign w:val="bottom"/>
          </w:tcPr>
          <w:p>
            <w:pPr>
              <w:spacing w:after="0"/>
              <w:rPr>
                <w:sz w:val="1"/>
                <w:szCs w:val="1"/>
                <w:color w:val="auto"/>
              </w:rPr>
            </w:pPr>
          </w:p>
        </w:tc>
      </w:tr>
      <w:tr>
        <w:trPr>
          <w:trHeight w:val="231"/>
        </w:trPr>
        <w:tc>
          <w:tcPr>
            <w:tcW w:w="59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liabilities and shareholders’ equity</w:t>
            </w:r>
          </w:p>
        </w:tc>
        <w:tc>
          <w:tcPr>
            <w:tcW w:w="19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$10,075</w:t>
            </w:r>
          </w:p>
        </w:tc>
        <w:tc>
          <w:tcPr>
            <w:tcW w:w="190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$7,886</w:t>
            </w:r>
          </w:p>
        </w:tc>
        <w:tc>
          <w:tcPr>
            <w:tcW w:w="1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$8,709</w:t>
            </w:r>
          </w:p>
        </w:tc>
        <w:tc>
          <w:tcPr>
            <w:tcW w:w="0" w:type="dxa"/>
            <w:vAlign w:val="bottom"/>
          </w:tcPr>
          <w:p>
            <w:pPr>
              <w:spacing w:after="0"/>
              <w:rPr>
                <w:sz w:val="1"/>
                <w:szCs w:val="1"/>
                <w:color w:val="auto"/>
              </w:rPr>
            </w:pPr>
          </w:p>
        </w:tc>
      </w:tr>
      <w:tr>
        <w:trPr>
          <w:trHeight w:val="33"/>
        </w:trPr>
        <w:tc>
          <w:tcPr>
            <w:tcW w:w="59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ectPr>
          <w:pgSz w:w="11900" w:h="16838" w:orient="portrait"/>
          <w:cols w:equalWidth="0" w:num="1">
            <w:col w:w="11420"/>
          </w:cols>
          <w:pgMar w:left="240" w:top="279"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 of 28</w:t>
      </w:r>
    </w:p>
    <w:p>
      <w:pPr>
        <w:sectPr>
          <w:pgSz w:w="11900" w:h="16838" w:orient="portrait"/>
          <w:cols w:equalWidth="0" w:num="1">
            <w:col w:w="11420"/>
          </w:cols>
          <w:pgMar w:left="240" w:top="279" w:right="239" w:bottom="1440" w:gutter="0" w:footer="0" w:header="0"/>
          <w:type w:val="continuous"/>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SHAREHOLDERS’ EQUITY</w:t>
      </w:r>
    </w:p>
    <w:p>
      <w:pPr>
        <w:jc w:val="center"/>
        <w:spacing w:after="0"/>
        <w:rPr>
          <w:sz w:val="20"/>
          <w:szCs w:val="20"/>
          <w:color w:val="auto"/>
        </w:rPr>
      </w:pPr>
      <w:r>
        <w:rPr>
          <w:rFonts w:ascii="Arial" w:cs="Arial" w:eastAsia="Arial" w:hAnsi="Arial"/>
          <w:sz w:val="18"/>
          <w:szCs w:val="18"/>
          <w:color w:val="auto"/>
        </w:rPr>
        <w:t>(Amounts in millions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Arial" w:cs="Arial" w:eastAsia="Arial" w:hAnsi="Arial"/>
                <w:sz w:val="16"/>
                <w:szCs w:val="16"/>
                <w:b w:val="1"/>
                <w:bCs w:val="1"/>
                <w:color w:val="auto"/>
              </w:rPr>
              <w:t>Quarter Ended</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gridSpan w:val="2"/>
          </w:tcPr>
          <w:p>
            <w:pPr>
              <w:jc w:val="right"/>
              <w:ind w:right="10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780" w:type="dxa"/>
            <w:vAlign w:val="bottom"/>
          </w:tcPr>
          <w:p>
            <w:pPr>
              <w:spacing w:after="0"/>
              <w:rPr>
                <w:sz w:val="20"/>
                <w:szCs w:val="20"/>
                <w:color w:val="auto"/>
              </w:rPr>
            </w:pPr>
          </w:p>
        </w:tc>
        <w:tc>
          <w:tcPr>
            <w:tcW w:w="2440" w:type="dxa"/>
            <w:vAlign w:val="bottom"/>
          </w:tcPr>
          <w:p>
            <w:pPr>
              <w:jc w:val="right"/>
              <w:ind w:right="639"/>
              <w:spacing w:after="0"/>
              <w:rPr>
                <w:sz w:val="20"/>
                <w:szCs w:val="20"/>
                <w:color w:val="auto"/>
              </w:rPr>
            </w:pPr>
            <w:r>
              <w:rPr>
                <w:rFonts w:ascii="Arial" w:cs="Arial" w:eastAsia="Arial" w:hAnsi="Arial"/>
                <w:sz w:val="16"/>
                <w:szCs w:val="16"/>
                <w:b w:val="1"/>
                <w:bCs w:val="1"/>
                <w:color w:val="auto"/>
              </w:rPr>
              <w:t>November 2, 2019</w:t>
            </w: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November 3, 2018</w:t>
            </w:r>
          </w:p>
        </w:tc>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November 2, 2019</w:t>
            </w:r>
          </w:p>
        </w:tc>
        <w:tc>
          <w:tcPr>
            <w:tcW w:w="1660" w:type="dxa"/>
            <w:vAlign w:val="bottom"/>
          </w:tcPr>
          <w:p>
            <w:pPr>
              <w:jc w:val="right"/>
              <w:ind w:right="19"/>
              <w:spacing w:after="0"/>
              <w:rPr>
                <w:sz w:val="20"/>
                <w:szCs w:val="20"/>
                <w:color w:val="auto"/>
              </w:rPr>
            </w:pPr>
            <w:r>
              <w:rPr>
                <w:rFonts w:ascii="Arial" w:cs="Arial" w:eastAsia="Arial" w:hAnsi="Arial"/>
                <w:sz w:val="16"/>
                <w:szCs w:val="16"/>
                <w:b w:val="1"/>
                <w:bCs w:val="1"/>
                <w:color w:val="auto"/>
              </w:rPr>
              <w:t>November 3, 2018</w:t>
            </w:r>
          </w:p>
        </w:tc>
        <w:tc>
          <w:tcPr>
            <w:tcW w:w="0" w:type="dxa"/>
            <w:vAlign w:val="bottom"/>
          </w:tcPr>
          <w:p>
            <w:pPr>
              <w:spacing w:after="0"/>
              <w:rPr>
                <w:sz w:val="1"/>
                <w:szCs w:val="1"/>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Common stock</w:t>
            </w:r>
          </w:p>
        </w:tc>
        <w:tc>
          <w:tcPr>
            <w:tcW w:w="2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Balance, beginning of period</w:t>
            </w:r>
          </w:p>
        </w:tc>
        <w:tc>
          <w:tcPr>
            <w:tcW w:w="2440" w:type="dxa"/>
            <w:vAlign w:val="bottom"/>
          </w:tcPr>
          <w:p>
            <w:pPr>
              <w:jc w:val="right"/>
              <w:ind w:right="639"/>
              <w:spacing w:after="0"/>
              <w:rPr>
                <w:sz w:val="20"/>
                <w:szCs w:val="20"/>
                <w:color w:val="auto"/>
              </w:rPr>
            </w:pPr>
            <w:r>
              <w:rPr>
                <w:rFonts w:ascii="Arial" w:cs="Arial" w:eastAsia="Arial" w:hAnsi="Arial"/>
                <w:sz w:val="16"/>
                <w:szCs w:val="16"/>
                <w:b w:val="1"/>
                <w:bCs w:val="1"/>
                <w:color w:val="auto"/>
              </w:rPr>
              <w:t>$3,084</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$2,899</w:t>
            </w:r>
          </w:p>
        </w:tc>
        <w:tc>
          <w:tcPr>
            <w:tcW w:w="120" w:type="dxa"/>
            <w:vAlign w:val="bottom"/>
          </w:tcPr>
          <w:p>
            <w:pPr>
              <w:spacing w:after="0"/>
              <w:rPr>
                <w:sz w:val="20"/>
                <w:szCs w:val="20"/>
                <w:color w:val="auto"/>
              </w:rPr>
            </w:pPr>
          </w:p>
        </w:tc>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$3,048</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$2,816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Issuance of common stock under stock compensation</w:t>
            </w:r>
          </w:p>
        </w:tc>
        <w:tc>
          <w:tcPr>
            <w:tcW w:w="2440" w:type="dxa"/>
            <w:vAlign w:val="bottom"/>
            <w:vMerge w:val="restart"/>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8</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19</w:t>
            </w: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plans</w:t>
            </w:r>
          </w:p>
        </w:tc>
        <w:tc>
          <w:tcPr>
            <w:tcW w:w="2440" w:type="dxa"/>
            <w:vAlign w:val="bottom"/>
            <w:tcBorders>
              <w:bottom w:val="single" w:sz="8" w:color="CCEEFF"/>
            </w:tcBorders>
            <w:vMerge w:val="continue"/>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vMerge w:val="continue"/>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2440" w:type="dxa"/>
            <w:vAlign w:val="bottom"/>
          </w:tcPr>
          <w:p>
            <w:pPr>
              <w:jc w:val="right"/>
              <w:ind w:right="639"/>
              <w:spacing w:after="0"/>
              <w:rPr>
                <w:sz w:val="20"/>
                <w:szCs w:val="20"/>
                <w:color w:val="auto"/>
              </w:rPr>
            </w:pPr>
            <w:r>
              <w:rPr>
                <w:rFonts w:ascii="Arial" w:cs="Arial" w:eastAsia="Arial" w:hAnsi="Arial"/>
                <w:sz w:val="16"/>
                <w:szCs w:val="16"/>
                <w:b w:val="1"/>
                <w:bCs w:val="1"/>
                <w:color w:val="auto"/>
              </w:rPr>
              <w:t>14</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39</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end of period</w:t>
            </w:r>
          </w:p>
        </w:tc>
        <w:tc>
          <w:tcPr>
            <w:tcW w:w="24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$3,106</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$3,029</w:t>
            </w:r>
          </w:p>
        </w:tc>
        <w:tc>
          <w:tcPr>
            <w:tcW w:w="12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$3,106</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$3,029</w:t>
            </w:r>
          </w:p>
        </w:tc>
        <w:tc>
          <w:tcPr>
            <w:tcW w:w="0" w:type="dxa"/>
            <w:vAlign w:val="bottom"/>
          </w:tcPr>
          <w:p>
            <w:pPr>
              <w:spacing w:after="0"/>
              <w:rPr>
                <w:sz w:val="1"/>
                <w:szCs w:val="1"/>
                <w:color w:val="auto"/>
              </w:rPr>
            </w:pPr>
          </w:p>
        </w:tc>
      </w:tr>
      <w:tr>
        <w:trPr>
          <w:trHeight w:val="291"/>
        </w:trPr>
        <w:tc>
          <w:tcPr>
            <w:tcW w:w="378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Accumulated deficit</w:t>
            </w:r>
          </w:p>
        </w:tc>
        <w:tc>
          <w:tcPr>
            <w:tcW w:w="2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Balance, beginning of period</w:t>
            </w:r>
          </w:p>
        </w:tc>
        <w:tc>
          <w:tcPr>
            <w:tcW w:w="2440" w:type="dxa"/>
            <w:vAlign w:val="bottom"/>
          </w:tcPr>
          <w:p>
            <w:pPr>
              <w:jc w:val="right"/>
              <w:ind w:right="579"/>
              <w:spacing w:after="0"/>
              <w:rPr>
                <w:sz w:val="20"/>
                <w:szCs w:val="20"/>
                <w:color w:val="auto"/>
              </w:rPr>
            </w:pPr>
            <w:r>
              <w:rPr>
                <w:rFonts w:ascii="Arial" w:cs="Arial" w:eastAsia="Arial" w:hAnsi="Arial"/>
                <w:sz w:val="16"/>
                <w:szCs w:val="16"/>
                <w:b w:val="1"/>
                <w:bCs w:val="1"/>
                <w:color w:val="auto"/>
              </w:rPr>
              <w:t>($2,286)</w:t>
            </w:r>
          </w:p>
        </w:tc>
        <w:tc>
          <w:tcPr>
            <w:tcW w:w="1360" w:type="dxa"/>
            <w:vAlign w:val="bottom"/>
          </w:tcPr>
          <w:p>
            <w:pPr>
              <w:jc w:val="right"/>
              <w:spacing w:after="0"/>
              <w:rPr>
                <w:sz w:val="20"/>
                <w:szCs w:val="20"/>
                <w:color w:val="auto"/>
              </w:rPr>
            </w:pPr>
            <w:r>
              <w:rPr>
                <w:rFonts w:ascii="Arial" w:cs="Arial" w:eastAsia="Arial" w:hAnsi="Arial"/>
                <w:sz w:val="16"/>
                <w:szCs w:val="16"/>
                <w:color w:val="auto"/>
              </w:rPr>
              <w:t>($1,712)</w:t>
            </w:r>
          </w:p>
        </w:tc>
        <w:tc>
          <w:tcPr>
            <w:tcW w:w="120" w:type="dxa"/>
            <w:vAlign w:val="bottom"/>
          </w:tcPr>
          <w:p>
            <w:pPr>
              <w:spacing w:after="0"/>
              <w:rPr>
                <w:sz w:val="20"/>
                <w:szCs w:val="20"/>
                <w:color w:val="auto"/>
              </w:rPr>
            </w:pPr>
          </w:p>
        </w:tc>
        <w:tc>
          <w:tcPr>
            <w:tcW w:w="2060" w:type="dxa"/>
            <w:vAlign w:val="bottom"/>
          </w:tcPr>
          <w:p>
            <w:pPr>
              <w:jc w:val="right"/>
              <w:ind w:right="239"/>
              <w:spacing w:after="0"/>
              <w:rPr>
                <w:sz w:val="20"/>
                <w:szCs w:val="20"/>
                <w:color w:val="auto"/>
              </w:rPr>
            </w:pPr>
            <w:r>
              <w:rPr>
                <w:rFonts w:ascii="Arial" w:cs="Arial" w:eastAsia="Arial" w:hAnsi="Arial"/>
                <w:sz w:val="16"/>
                <w:szCs w:val="16"/>
                <w:b w:val="1"/>
                <w:bCs w:val="1"/>
                <w:color w:val="auto"/>
              </w:rPr>
              <w:t>($2,138)</w:t>
            </w:r>
          </w:p>
        </w:tc>
        <w:tc>
          <w:tcPr>
            <w:tcW w:w="1660" w:type="dxa"/>
            <w:vAlign w:val="bottom"/>
          </w:tcPr>
          <w:p>
            <w:pPr>
              <w:jc w:val="right"/>
              <w:spacing w:after="0"/>
              <w:rPr>
                <w:sz w:val="20"/>
                <w:szCs w:val="20"/>
                <w:color w:val="auto"/>
              </w:rPr>
            </w:pPr>
            <w:r>
              <w:rPr>
                <w:rFonts w:ascii="Arial" w:cs="Arial" w:eastAsia="Arial" w:hAnsi="Arial"/>
                <w:sz w:val="16"/>
                <w:szCs w:val="16"/>
                <w:color w:val="auto"/>
              </w:rPr>
              <w:t>($1,810)</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Cumulative effect of adopted accounting standards</w:t>
            </w:r>
          </w:p>
        </w:tc>
        <w:tc>
          <w:tcPr>
            <w:tcW w:w="24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(25)</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2440" w:type="dxa"/>
            <w:vAlign w:val="bottom"/>
          </w:tcPr>
          <w:p>
            <w:pPr>
              <w:jc w:val="right"/>
              <w:ind w:right="639"/>
              <w:spacing w:after="0"/>
              <w:rPr>
                <w:sz w:val="20"/>
                <w:szCs w:val="20"/>
                <w:color w:val="auto"/>
              </w:rPr>
            </w:pPr>
            <w:r>
              <w:rPr>
                <w:rFonts w:ascii="Arial" w:cs="Arial" w:eastAsia="Arial" w:hAnsi="Arial"/>
                <w:sz w:val="16"/>
                <w:szCs w:val="16"/>
                <w:b w:val="1"/>
                <w:bCs w:val="1"/>
                <w:color w:val="auto"/>
              </w:rPr>
              <w:t>126</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304</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w:t>
            </w:r>
          </w:p>
        </w:tc>
        <w:tc>
          <w:tcPr>
            <w:tcW w:w="244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(57)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(172)</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Repurchase of common stock</w:t>
            </w:r>
          </w:p>
        </w:tc>
        <w:tc>
          <w:tcPr>
            <w:tcW w:w="2440" w:type="dxa"/>
            <w:vAlign w:val="bottom"/>
          </w:tcPr>
          <w:p>
            <w:pPr>
              <w:jc w:val="right"/>
              <w:ind w:right="639"/>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2060" w:type="dxa"/>
            <w:vAlign w:val="bottom"/>
          </w:tcPr>
          <w:p>
            <w:pPr>
              <w:jc w:val="right"/>
              <w:ind w:right="239"/>
              <w:spacing w:after="0"/>
              <w:rPr>
                <w:sz w:val="20"/>
                <w:szCs w:val="20"/>
                <w:color w:val="auto"/>
              </w:rPr>
            </w:pPr>
            <w:r>
              <w:rPr>
                <w:rFonts w:ascii="Arial" w:cs="Arial" w:eastAsia="Arial" w:hAnsi="Arial"/>
                <w:sz w:val="16"/>
                <w:szCs w:val="16"/>
                <w:b w:val="1"/>
                <w:bCs w:val="1"/>
                <w:color w:val="auto"/>
              </w:rPr>
              <w:t>(186)</w:t>
            </w:r>
          </w:p>
        </w:tc>
        <w:tc>
          <w:tcPr>
            <w:tcW w:w="1660" w:type="dxa"/>
            <w:vAlign w:val="bottom"/>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end of period</w:t>
            </w:r>
          </w:p>
        </w:tc>
        <w:tc>
          <w:tcPr>
            <w:tcW w:w="244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($2,217)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($1,777)</w:t>
            </w:r>
          </w:p>
        </w:tc>
        <w:tc>
          <w:tcPr>
            <w:tcW w:w="12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($2,217)</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($1,777)</w:t>
            </w:r>
          </w:p>
        </w:tc>
        <w:tc>
          <w:tcPr>
            <w:tcW w:w="0" w:type="dxa"/>
            <w:vAlign w:val="bottom"/>
          </w:tcPr>
          <w:p>
            <w:pPr>
              <w:spacing w:after="0"/>
              <w:rPr>
                <w:sz w:val="1"/>
                <w:szCs w:val="1"/>
                <w:color w:val="auto"/>
              </w:rPr>
            </w:pPr>
          </w:p>
        </w:tc>
      </w:tr>
      <w:tr>
        <w:trPr>
          <w:trHeight w:val="291"/>
        </w:trPr>
        <w:tc>
          <w:tcPr>
            <w:tcW w:w="378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Accumulated other comprehensive loss</w:t>
            </w:r>
          </w:p>
        </w:tc>
        <w:tc>
          <w:tcPr>
            <w:tcW w:w="2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Balance, beginning of period</w:t>
            </w:r>
          </w:p>
        </w:tc>
        <w:tc>
          <w:tcPr>
            <w:tcW w:w="2440" w:type="dxa"/>
            <w:vAlign w:val="bottom"/>
          </w:tcPr>
          <w:p>
            <w:pPr>
              <w:jc w:val="right"/>
              <w:ind w:right="579"/>
              <w:spacing w:after="0"/>
              <w:rPr>
                <w:sz w:val="20"/>
                <w:szCs w:val="20"/>
                <w:color w:val="auto"/>
              </w:rPr>
            </w:pPr>
            <w:r>
              <w:rPr>
                <w:rFonts w:ascii="Arial" w:cs="Arial" w:eastAsia="Arial" w:hAnsi="Arial"/>
                <w:sz w:val="16"/>
                <w:szCs w:val="16"/>
                <w:b w:val="1"/>
                <w:bCs w:val="1"/>
                <w:color w:val="auto"/>
              </w:rPr>
              <w:t>($39)</w:t>
            </w:r>
          </w:p>
        </w:tc>
        <w:tc>
          <w:tcPr>
            <w:tcW w:w="136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2060" w:type="dxa"/>
            <w:vAlign w:val="bottom"/>
          </w:tcPr>
          <w:p>
            <w:pPr>
              <w:jc w:val="right"/>
              <w:ind w:right="239"/>
              <w:spacing w:after="0"/>
              <w:rPr>
                <w:sz w:val="20"/>
                <w:szCs w:val="20"/>
                <w:color w:val="auto"/>
              </w:rPr>
            </w:pPr>
            <w:r>
              <w:rPr>
                <w:rFonts w:ascii="Arial" w:cs="Arial" w:eastAsia="Arial" w:hAnsi="Arial"/>
                <w:sz w:val="16"/>
                <w:szCs w:val="16"/>
                <w:b w:val="1"/>
                <w:bCs w:val="1"/>
                <w:color w:val="auto"/>
              </w:rPr>
              <w:t>($37)</w:t>
            </w:r>
          </w:p>
        </w:tc>
        <w:tc>
          <w:tcPr>
            <w:tcW w:w="166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Cumulative effect of adopted accounting standards</w:t>
            </w:r>
          </w:p>
        </w:tc>
        <w:tc>
          <w:tcPr>
            <w:tcW w:w="24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2440" w:type="dxa"/>
            <w:vAlign w:val="bottom"/>
          </w:tcPr>
          <w:p>
            <w:pPr>
              <w:jc w:val="right"/>
              <w:ind w:right="639"/>
              <w:spacing w:after="0"/>
              <w:rPr>
                <w:sz w:val="20"/>
                <w:szCs w:val="20"/>
                <w:color w:val="auto"/>
              </w:rPr>
            </w:pPr>
            <w:r>
              <w:rPr>
                <w:rFonts w:ascii="Arial" w:cs="Arial" w:eastAsia="Arial" w:hAnsi="Arial"/>
                <w:sz w:val="16"/>
                <w:szCs w:val="16"/>
                <w:b w:val="1"/>
                <w:bCs w:val="1"/>
                <w:color w:val="auto"/>
              </w:rPr>
              <w:t>1</w:t>
            </w:r>
          </w:p>
        </w:tc>
        <w:tc>
          <w:tcPr>
            <w:tcW w:w="13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60" w:type="dxa"/>
            <w:vAlign w:val="bottom"/>
          </w:tcPr>
          <w:p>
            <w:pPr>
              <w:jc w:val="right"/>
              <w:ind w:right="239"/>
              <w:spacing w:after="0"/>
              <w:rPr>
                <w:sz w:val="20"/>
                <w:szCs w:val="20"/>
                <w:color w:val="auto"/>
              </w:rPr>
            </w:pPr>
            <w:r>
              <w:rPr>
                <w:rFonts w:ascii="Arial" w:cs="Arial" w:eastAsia="Arial" w:hAnsi="Arial"/>
                <w:sz w:val="16"/>
                <w:szCs w:val="16"/>
                <w:b w:val="1"/>
                <w:bCs w:val="1"/>
                <w:color w:val="auto"/>
              </w:rPr>
              <w:t>(1)</w:t>
            </w:r>
          </w:p>
        </w:tc>
        <w:tc>
          <w:tcPr>
            <w:tcW w:w="16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end of period</w:t>
            </w:r>
          </w:p>
        </w:tc>
        <w:tc>
          <w:tcPr>
            <w:tcW w:w="244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($38)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($38)</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91"/>
        </w:trPr>
        <w:tc>
          <w:tcPr>
            <w:tcW w:w="3780" w:type="dxa"/>
            <w:vAlign w:val="bottom"/>
            <w:tcBorders>
              <w:top w:val="single" w:sz="8" w:color="auto"/>
              <w:bottom w:val="single" w:sz="8" w:color="auto"/>
            </w:tcBorders>
          </w:tcPr>
          <w:p>
            <w:pPr>
              <w:spacing w:after="0"/>
              <w:rPr>
                <w:sz w:val="24"/>
                <w:szCs w:val="24"/>
                <w:color w:val="auto"/>
              </w:rPr>
            </w:pPr>
          </w:p>
        </w:tc>
        <w:tc>
          <w:tcPr>
            <w:tcW w:w="244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060" w:type="dxa"/>
            <w:vAlign w:val="bottom"/>
            <w:tcBorders>
              <w:top w:val="single" w:sz="8" w:color="auto"/>
              <w:bottom w:val="single" w:sz="8" w:color="auto"/>
            </w:tcBorders>
          </w:tcPr>
          <w:p>
            <w:pPr>
              <w:spacing w:after="0"/>
              <w:rPr>
                <w:sz w:val="24"/>
                <w:szCs w:val="24"/>
                <w:color w:val="auto"/>
              </w:rPr>
            </w:pPr>
          </w:p>
        </w:tc>
        <w:tc>
          <w:tcPr>
            <w:tcW w:w="166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4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$851</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$1,203</w:t>
            </w:r>
          </w:p>
        </w:tc>
        <w:tc>
          <w:tcPr>
            <w:tcW w:w="12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$851</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$1,203</w:t>
            </w:r>
          </w:p>
        </w:tc>
        <w:tc>
          <w:tcPr>
            <w:tcW w:w="0" w:type="dxa"/>
            <w:vAlign w:val="bottom"/>
          </w:tcPr>
          <w:p>
            <w:pPr>
              <w:spacing w:after="0"/>
              <w:rPr>
                <w:sz w:val="1"/>
                <w:szCs w:val="1"/>
                <w:color w:val="auto"/>
              </w:rPr>
            </w:pPr>
          </w:p>
        </w:tc>
      </w:tr>
      <w:tr>
        <w:trPr>
          <w:trHeight w:val="291"/>
        </w:trPr>
        <w:tc>
          <w:tcPr>
            <w:tcW w:w="378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Dividends per share</w:t>
            </w:r>
          </w:p>
        </w:tc>
        <w:tc>
          <w:tcPr>
            <w:tcW w:w="244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$0.37</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$0.37</w:t>
            </w:r>
          </w:p>
        </w:tc>
        <w:tc>
          <w:tcPr>
            <w:tcW w:w="120" w:type="dxa"/>
            <w:vAlign w:val="bottom"/>
            <w:shd w:val="clear" w:color="auto" w:fill="CCEEFF"/>
          </w:tcPr>
          <w:p>
            <w:pPr>
              <w:spacing w:after="0"/>
              <w:rPr>
                <w:sz w:val="20"/>
                <w:szCs w:val="20"/>
                <w:color w:val="auto"/>
              </w:rPr>
            </w:pPr>
          </w:p>
        </w:tc>
        <w:tc>
          <w:tcPr>
            <w:tcW w:w="206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$1.11</w:t>
            </w: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33"/>
        </w:trPr>
        <w:tc>
          <w:tcPr>
            <w:tcW w:w="378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 of 28</w:t>
      </w:r>
    </w:p>
    <w:p>
      <w:pPr>
        <w:sectPr>
          <w:pgSz w:w="11900" w:h="16838" w:orient="portrait"/>
          <w:cols w:equalWidth="0" w:num="1">
            <w:col w:w="11420"/>
          </w:cols>
          <w:pgMar w:left="240" w:top="279"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color w:val="auto"/>
        </w:rPr>
        <w:t>(Amounts in millions)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3760" w:type="dxa"/>
            <w:vAlign w:val="bottom"/>
            <w:gridSpan w:val="2"/>
          </w:tcPr>
          <w:p>
            <w:pPr>
              <w:jc w:val="right"/>
              <w:ind w:right="109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766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100" w:type="dxa"/>
            <w:vAlign w:val="bottom"/>
          </w:tcPr>
          <w:p>
            <w:pPr>
              <w:jc w:val="right"/>
              <w:ind w:right="279"/>
              <w:spacing w:after="0"/>
              <w:rPr>
                <w:sz w:val="20"/>
                <w:szCs w:val="20"/>
                <w:color w:val="auto"/>
              </w:rPr>
            </w:pPr>
            <w:r>
              <w:rPr>
                <w:rFonts w:ascii="Arial" w:cs="Arial" w:eastAsia="Arial" w:hAnsi="Arial"/>
                <w:sz w:val="16"/>
                <w:szCs w:val="16"/>
                <w:b w:val="1"/>
                <w:bCs w:val="1"/>
                <w:color w:val="auto"/>
              </w:rPr>
              <w:t>November 2, 2019</w:t>
            </w:r>
          </w:p>
        </w:tc>
        <w:tc>
          <w:tcPr>
            <w:tcW w:w="1660" w:type="dxa"/>
            <w:vAlign w:val="bottom"/>
          </w:tcPr>
          <w:p>
            <w:pPr>
              <w:jc w:val="right"/>
              <w:ind w:right="19"/>
              <w:spacing w:after="0"/>
              <w:rPr>
                <w:sz w:val="20"/>
                <w:szCs w:val="20"/>
                <w:color w:val="auto"/>
              </w:rPr>
            </w:pPr>
            <w:r>
              <w:rPr>
                <w:rFonts w:ascii="Arial" w:cs="Arial" w:eastAsia="Arial" w:hAnsi="Arial"/>
                <w:sz w:val="16"/>
                <w:szCs w:val="16"/>
                <w:b w:val="1"/>
                <w:bCs w:val="1"/>
                <w:color w:val="auto"/>
              </w:rPr>
              <w:t>November 3, 2018</w:t>
            </w:r>
          </w:p>
        </w:tc>
      </w:tr>
      <w:tr>
        <w:trPr>
          <w:trHeight w:val="33"/>
        </w:trPr>
        <w:tc>
          <w:tcPr>
            <w:tcW w:w="76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2100" w:type="dxa"/>
            <w:vAlign w:val="bottom"/>
          </w:tcPr>
          <w:p>
            <w:pPr>
              <w:jc w:val="right"/>
              <w:ind w:right="279"/>
              <w:spacing w:after="0"/>
              <w:rPr>
                <w:sz w:val="20"/>
                <w:szCs w:val="20"/>
                <w:color w:val="auto"/>
              </w:rPr>
            </w:pPr>
            <w:r>
              <w:rPr>
                <w:rFonts w:ascii="Arial" w:cs="Arial" w:eastAsia="Arial" w:hAnsi="Arial"/>
                <w:sz w:val="16"/>
                <w:szCs w:val="16"/>
                <w:b w:val="1"/>
                <w:bCs w:val="1"/>
                <w:color w:val="auto"/>
              </w:rPr>
              <w:t>$304</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$316</w:t>
            </w:r>
          </w:p>
        </w:tc>
      </w:tr>
      <w:tr>
        <w:trPr>
          <w:trHeight w:val="33"/>
        </w:trPr>
        <w:tc>
          <w:tcPr>
            <w:tcW w:w="76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2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Depreciation and amortization expenses and other, net</w:t>
            </w:r>
          </w:p>
        </w:tc>
        <w:tc>
          <w:tcPr>
            <w:tcW w:w="2100" w:type="dxa"/>
            <w:vAlign w:val="bottom"/>
          </w:tcPr>
          <w:p>
            <w:pPr>
              <w:jc w:val="right"/>
              <w:ind w:right="279"/>
              <w:spacing w:after="0"/>
              <w:rPr>
                <w:sz w:val="20"/>
                <w:szCs w:val="20"/>
                <w:color w:val="auto"/>
              </w:rPr>
            </w:pPr>
            <w:r>
              <w:rPr>
                <w:rFonts w:ascii="Arial" w:cs="Arial" w:eastAsia="Arial" w:hAnsi="Arial"/>
                <w:sz w:val="16"/>
                <w:szCs w:val="16"/>
                <w:b w:val="1"/>
                <w:bCs w:val="1"/>
                <w:color w:val="auto"/>
              </w:rPr>
              <w:t>482</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498</w:t>
            </w:r>
          </w:p>
        </w:tc>
      </w:tr>
      <w:tr>
        <w:trPr>
          <w:trHeight w:val="33"/>
        </w:trPr>
        <w:tc>
          <w:tcPr>
            <w:tcW w:w="76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deferred property incentives</w:t>
            </w:r>
          </w:p>
        </w:tc>
        <w:tc>
          <w:tcPr>
            <w:tcW w:w="21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Right-of-use asset amortization</w:t>
            </w:r>
          </w:p>
        </w:tc>
        <w:tc>
          <w:tcPr>
            <w:tcW w:w="2100" w:type="dxa"/>
            <w:vAlign w:val="bottom"/>
          </w:tcPr>
          <w:p>
            <w:pPr>
              <w:jc w:val="right"/>
              <w:ind w:right="279"/>
              <w:spacing w:after="0"/>
              <w:rPr>
                <w:sz w:val="20"/>
                <w:szCs w:val="20"/>
                <w:color w:val="auto"/>
              </w:rPr>
            </w:pPr>
            <w:r>
              <w:rPr>
                <w:rFonts w:ascii="Arial" w:cs="Arial" w:eastAsia="Arial" w:hAnsi="Arial"/>
                <w:sz w:val="16"/>
                <w:szCs w:val="16"/>
                <w:b w:val="1"/>
                <w:bCs w:val="1"/>
                <w:color w:val="auto"/>
              </w:rPr>
              <w:t>132</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6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 net</w:t>
            </w:r>
          </w:p>
        </w:tc>
        <w:tc>
          <w:tcPr>
            <w:tcW w:w="21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25</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Stock-based compensation expense</w:t>
            </w:r>
          </w:p>
        </w:tc>
        <w:tc>
          <w:tcPr>
            <w:tcW w:w="2100" w:type="dxa"/>
            <w:vAlign w:val="bottom"/>
          </w:tcPr>
          <w:p>
            <w:pPr>
              <w:jc w:val="right"/>
              <w:ind w:right="279"/>
              <w:spacing w:after="0"/>
              <w:rPr>
                <w:sz w:val="20"/>
                <w:szCs w:val="20"/>
                <w:color w:val="auto"/>
              </w:rPr>
            </w:pPr>
            <w:r>
              <w:rPr>
                <w:rFonts w:ascii="Arial" w:cs="Arial" w:eastAsia="Arial" w:hAnsi="Arial"/>
                <w:sz w:val="16"/>
                <w:szCs w:val="16"/>
                <w:b w:val="1"/>
                <w:bCs w:val="1"/>
                <w:color w:val="auto"/>
              </w:rPr>
              <w:t>55</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72</w:t>
            </w:r>
          </w:p>
        </w:tc>
      </w:tr>
      <w:tr>
        <w:trPr>
          <w:trHeight w:val="33"/>
        </w:trPr>
        <w:tc>
          <w:tcPr>
            <w:tcW w:w="76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operating assets and liabilities:</w:t>
            </w:r>
          </w:p>
        </w:tc>
        <w:tc>
          <w:tcPr>
            <w:tcW w:w="2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2100" w:type="dxa"/>
            <w:vAlign w:val="bottom"/>
          </w:tcPr>
          <w:p>
            <w:pPr>
              <w:jc w:val="right"/>
              <w:ind w:right="279"/>
              <w:spacing w:after="0"/>
              <w:rPr>
                <w:sz w:val="20"/>
                <w:szCs w:val="20"/>
                <w:color w:val="auto"/>
              </w:rPr>
            </w:pPr>
            <w:r>
              <w:rPr>
                <w:rFonts w:ascii="Arial" w:cs="Arial" w:eastAsia="Arial" w:hAnsi="Arial"/>
                <w:sz w:val="16"/>
                <w:szCs w:val="16"/>
                <w:b w:val="1"/>
                <w:bCs w:val="1"/>
                <w:color w:val="auto"/>
              </w:rPr>
              <w:t>31</w:t>
            </w:r>
          </w:p>
        </w:tc>
        <w:tc>
          <w:tcPr>
            <w:tcW w:w="166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33"/>
        </w:trPr>
        <w:tc>
          <w:tcPr>
            <w:tcW w:w="76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Merchandise inventories</w:t>
            </w:r>
          </w:p>
        </w:tc>
        <w:tc>
          <w:tcPr>
            <w:tcW w:w="21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(515)</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(526)</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Prepaid expenses and other assets</w:t>
            </w:r>
          </w:p>
        </w:tc>
        <w:tc>
          <w:tcPr>
            <w:tcW w:w="2100" w:type="dxa"/>
            <w:vAlign w:val="bottom"/>
          </w:tcPr>
          <w:p>
            <w:pPr>
              <w:jc w:val="right"/>
              <w:ind w:right="239"/>
              <w:spacing w:after="0"/>
              <w:rPr>
                <w:sz w:val="20"/>
                <w:szCs w:val="20"/>
                <w:color w:val="auto"/>
              </w:rPr>
            </w:pPr>
            <w:r>
              <w:rPr>
                <w:rFonts w:ascii="Arial" w:cs="Arial" w:eastAsia="Arial" w:hAnsi="Arial"/>
                <w:sz w:val="16"/>
                <w:szCs w:val="16"/>
                <w:b w:val="1"/>
                <w:bCs w:val="1"/>
                <w:color w:val="auto"/>
              </w:rPr>
              <w:t>(68)</w:t>
            </w:r>
          </w:p>
        </w:tc>
        <w:tc>
          <w:tcPr>
            <w:tcW w:w="166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33"/>
        </w:trPr>
        <w:tc>
          <w:tcPr>
            <w:tcW w:w="76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w:t>
            </w:r>
          </w:p>
        </w:tc>
        <w:tc>
          <w:tcPr>
            <w:tcW w:w="21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579</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554</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Accrued salaries, wages and related benefits</w:t>
            </w:r>
          </w:p>
        </w:tc>
        <w:tc>
          <w:tcPr>
            <w:tcW w:w="2100" w:type="dxa"/>
            <w:vAlign w:val="bottom"/>
          </w:tcPr>
          <w:p>
            <w:pPr>
              <w:jc w:val="right"/>
              <w:ind w:right="239"/>
              <w:spacing w:after="0"/>
              <w:rPr>
                <w:sz w:val="20"/>
                <w:szCs w:val="20"/>
                <w:color w:val="auto"/>
              </w:rPr>
            </w:pPr>
            <w:r>
              <w:rPr>
                <w:rFonts w:ascii="Arial" w:cs="Arial" w:eastAsia="Arial" w:hAnsi="Arial"/>
                <w:sz w:val="16"/>
                <w:szCs w:val="16"/>
                <w:b w:val="1"/>
                <w:bCs w:val="1"/>
                <w:color w:val="auto"/>
              </w:rPr>
              <w:t>(109)</w:t>
            </w:r>
          </w:p>
        </w:tc>
        <w:tc>
          <w:tcPr>
            <w:tcW w:w="16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33"/>
        </w:trPr>
        <w:tc>
          <w:tcPr>
            <w:tcW w:w="76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current liabilities</w:t>
            </w:r>
          </w:p>
        </w:tc>
        <w:tc>
          <w:tcPr>
            <w:tcW w:w="21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(175)</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Deferred property incentives</w:t>
            </w:r>
          </w:p>
        </w:tc>
        <w:tc>
          <w:tcPr>
            <w:tcW w:w="2100" w:type="dxa"/>
            <w:vAlign w:val="bottom"/>
          </w:tcPr>
          <w:p>
            <w:pPr>
              <w:jc w:val="right"/>
              <w:ind w:right="279"/>
              <w:spacing w:after="0"/>
              <w:rPr>
                <w:sz w:val="20"/>
                <w:szCs w:val="20"/>
                <w:color w:val="auto"/>
              </w:rPr>
            </w:pPr>
            <w:r>
              <w:rPr>
                <w:rFonts w:ascii="Arial" w:cs="Arial" w:eastAsia="Arial" w:hAnsi="Arial"/>
                <w:sz w:val="16"/>
                <w:szCs w:val="16"/>
                <w:b w:val="1"/>
                <w:bCs w:val="1"/>
                <w:color w:val="auto"/>
              </w:rPr>
              <w:t>4</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37</w:t>
            </w:r>
          </w:p>
        </w:tc>
      </w:tr>
      <w:tr>
        <w:trPr>
          <w:trHeight w:val="33"/>
        </w:trPr>
        <w:tc>
          <w:tcPr>
            <w:tcW w:w="76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Lease liabilities</w:t>
            </w:r>
          </w:p>
        </w:tc>
        <w:tc>
          <w:tcPr>
            <w:tcW w:w="21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(191)</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Other liabilities</w:t>
            </w:r>
          </w:p>
        </w:tc>
        <w:tc>
          <w:tcPr>
            <w:tcW w:w="2100" w:type="dxa"/>
            <w:vAlign w:val="bottom"/>
          </w:tcPr>
          <w:p>
            <w:pPr>
              <w:jc w:val="right"/>
              <w:ind w:right="279"/>
              <w:spacing w:after="0"/>
              <w:rPr>
                <w:sz w:val="20"/>
                <w:szCs w:val="20"/>
                <w:color w:val="auto"/>
              </w:rPr>
            </w:pPr>
            <w:r>
              <w:rPr>
                <w:rFonts w:ascii="Arial" w:cs="Arial" w:eastAsia="Arial" w:hAnsi="Arial"/>
                <w:sz w:val="16"/>
                <w:szCs w:val="16"/>
                <w:b w:val="1"/>
                <w:bCs w:val="1"/>
                <w:color w:val="auto"/>
              </w:rPr>
              <w:t>15</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76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1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569</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642</w:t>
            </w:r>
          </w:p>
        </w:tc>
      </w:tr>
      <w:tr>
        <w:trPr>
          <w:trHeight w:val="264"/>
        </w:trPr>
        <w:tc>
          <w:tcPr>
            <w:tcW w:w="7660" w:type="dxa"/>
            <w:vAlign w:val="bottom"/>
            <w:tcBorders>
              <w:top w:val="single" w:sz="8" w:color="auto"/>
            </w:tcBorders>
          </w:tcPr>
          <w:p>
            <w:pPr>
              <w:spacing w:after="0"/>
              <w:rPr>
                <w:sz w:val="22"/>
                <w:szCs w:val="22"/>
                <w:color w:val="auto"/>
              </w:rPr>
            </w:pPr>
          </w:p>
        </w:tc>
        <w:tc>
          <w:tcPr>
            <w:tcW w:w="2100" w:type="dxa"/>
            <w:vAlign w:val="bottom"/>
            <w:tcBorders>
              <w:top w:val="single" w:sz="8" w:color="auto"/>
            </w:tcBorders>
          </w:tcPr>
          <w:p>
            <w:pPr>
              <w:spacing w:after="0"/>
              <w:rPr>
                <w:sz w:val="22"/>
                <w:szCs w:val="22"/>
                <w:color w:val="auto"/>
              </w:rPr>
            </w:pPr>
          </w:p>
        </w:tc>
        <w:tc>
          <w:tcPr>
            <w:tcW w:w="1660" w:type="dxa"/>
            <w:vAlign w:val="bottom"/>
            <w:tcBorders>
              <w:top w:val="single" w:sz="8" w:color="auto"/>
            </w:tcBorders>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2100" w:type="dxa"/>
            <w:vAlign w:val="bottom"/>
          </w:tcPr>
          <w:p>
            <w:pPr>
              <w:jc w:val="right"/>
              <w:ind w:right="239"/>
              <w:spacing w:after="0"/>
              <w:rPr>
                <w:sz w:val="20"/>
                <w:szCs w:val="20"/>
                <w:color w:val="auto"/>
              </w:rPr>
            </w:pPr>
            <w:r>
              <w:rPr>
                <w:rFonts w:ascii="Arial" w:cs="Arial" w:eastAsia="Arial" w:hAnsi="Arial"/>
                <w:sz w:val="16"/>
                <w:szCs w:val="16"/>
                <w:b w:val="1"/>
                <w:bCs w:val="1"/>
                <w:color w:val="auto"/>
              </w:rPr>
              <w:t>(741)</w:t>
            </w:r>
          </w:p>
        </w:tc>
        <w:tc>
          <w:tcPr>
            <w:tcW w:w="1660" w:type="dxa"/>
            <w:vAlign w:val="bottom"/>
          </w:tcPr>
          <w:p>
            <w:pPr>
              <w:jc w:val="right"/>
              <w:spacing w:after="0"/>
              <w:rPr>
                <w:sz w:val="20"/>
                <w:szCs w:val="20"/>
                <w:color w:val="auto"/>
              </w:rPr>
            </w:pPr>
            <w:r>
              <w:rPr>
                <w:rFonts w:ascii="Arial" w:cs="Arial" w:eastAsia="Arial" w:hAnsi="Arial"/>
                <w:sz w:val="16"/>
                <w:szCs w:val="16"/>
                <w:color w:val="auto"/>
              </w:rPr>
              <w:t>(429)</w:t>
            </w:r>
          </w:p>
        </w:tc>
      </w:tr>
      <w:tr>
        <w:trPr>
          <w:trHeight w:val="33"/>
        </w:trPr>
        <w:tc>
          <w:tcPr>
            <w:tcW w:w="76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net</w:t>
            </w:r>
          </w:p>
        </w:tc>
        <w:tc>
          <w:tcPr>
            <w:tcW w:w="21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24</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31"/>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cash used in investing activities</w:t>
            </w:r>
          </w:p>
        </w:tc>
        <w:tc>
          <w:tcPr>
            <w:tcW w:w="21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(717)</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(448)</w:t>
            </w:r>
          </w:p>
        </w:tc>
      </w:tr>
      <w:tr>
        <w:trPr>
          <w:trHeight w:val="33"/>
        </w:trPr>
        <w:tc>
          <w:tcPr>
            <w:tcW w:w="76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4"/>
        </w:trPr>
        <w:tc>
          <w:tcPr>
            <w:tcW w:w="7660" w:type="dxa"/>
            <w:vAlign w:val="bottom"/>
            <w:shd w:val="clear" w:color="auto" w:fill="CCEEFF"/>
          </w:tcPr>
          <w:p>
            <w:pPr>
              <w:spacing w:after="0"/>
              <w:rPr>
                <w:sz w:val="22"/>
                <w:szCs w:val="22"/>
                <w:color w:val="auto"/>
              </w:rPr>
            </w:pPr>
          </w:p>
        </w:tc>
        <w:tc>
          <w:tcPr>
            <w:tcW w:w="21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Principal payments on long-term borrowings</w:t>
            </w:r>
          </w:p>
        </w:tc>
        <w:tc>
          <w:tcPr>
            <w:tcW w:w="21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Increase in cash book overdrafts</w:t>
            </w:r>
          </w:p>
        </w:tc>
        <w:tc>
          <w:tcPr>
            <w:tcW w:w="2100" w:type="dxa"/>
            <w:vAlign w:val="bottom"/>
          </w:tcPr>
          <w:p>
            <w:pPr>
              <w:jc w:val="right"/>
              <w:ind w:right="279"/>
              <w:spacing w:after="0"/>
              <w:rPr>
                <w:sz w:val="20"/>
                <w:szCs w:val="20"/>
                <w:color w:val="auto"/>
              </w:rPr>
            </w:pPr>
            <w:r>
              <w:rPr>
                <w:rFonts w:ascii="Arial" w:cs="Arial" w:eastAsia="Arial" w:hAnsi="Arial"/>
                <w:sz w:val="16"/>
                <w:szCs w:val="16"/>
                <w:b w:val="1"/>
                <w:bCs w:val="1"/>
                <w:color w:val="auto"/>
              </w:rPr>
              <w:t>58</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34</w:t>
            </w:r>
          </w:p>
        </w:tc>
      </w:tr>
      <w:tr>
        <w:trPr>
          <w:trHeight w:val="33"/>
        </w:trPr>
        <w:tc>
          <w:tcPr>
            <w:tcW w:w="76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dividends paid</w:t>
            </w:r>
          </w:p>
        </w:tc>
        <w:tc>
          <w:tcPr>
            <w:tcW w:w="21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(172)</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Payments for repurchase of common stock</w:t>
            </w:r>
          </w:p>
        </w:tc>
        <w:tc>
          <w:tcPr>
            <w:tcW w:w="2100" w:type="dxa"/>
            <w:vAlign w:val="bottom"/>
          </w:tcPr>
          <w:p>
            <w:pPr>
              <w:jc w:val="right"/>
              <w:ind w:right="239"/>
              <w:spacing w:after="0"/>
              <w:rPr>
                <w:sz w:val="20"/>
                <w:szCs w:val="20"/>
                <w:color w:val="auto"/>
              </w:rPr>
            </w:pPr>
            <w:r>
              <w:rPr>
                <w:rFonts w:ascii="Arial" w:cs="Arial" w:eastAsia="Arial" w:hAnsi="Arial"/>
                <w:sz w:val="16"/>
                <w:szCs w:val="16"/>
                <w:b w:val="1"/>
                <w:bCs w:val="1"/>
                <w:color w:val="auto"/>
              </w:rPr>
              <w:t>(210)</w:t>
            </w:r>
          </w:p>
        </w:tc>
        <w:tc>
          <w:tcPr>
            <w:tcW w:w="166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33"/>
        </w:trPr>
        <w:tc>
          <w:tcPr>
            <w:tcW w:w="76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issuances under stock compensation plans</w:t>
            </w:r>
          </w:p>
        </w:tc>
        <w:tc>
          <w:tcPr>
            <w:tcW w:w="21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19</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Tax withholding on share-based awards</w:t>
            </w:r>
          </w:p>
        </w:tc>
        <w:tc>
          <w:tcPr>
            <w:tcW w:w="2100" w:type="dxa"/>
            <w:vAlign w:val="bottom"/>
          </w:tcPr>
          <w:p>
            <w:pPr>
              <w:jc w:val="right"/>
              <w:ind w:right="239"/>
              <w:spacing w:after="0"/>
              <w:rPr>
                <w:sz w:val="20"/>
                <w:szCs w:val="20"/>
                <w:color w:val="auto"/>
              </w:rPr>
            </w:pPr>
            <w:r>
              <w:rPr>
                <w:rFonts w:ascii="Arial" w:cs="Arial" w:eastAsia="Arial" w:hAnsi="Arial"/>
                <w:sz w:val="16"/>
                <w:szCs w:val="16"/>
                <w:b w:val="1"/>
                <w:bCs w:val="1"/>
                <w:color w:val="auto"/>
              </w:rPr>
              <w:t>(17)</w:t>
            </w:r>
          </w:p>
        </w:tc>
        <w:tc>
          <w:tcPr>
            <w:tcW w:w="16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33"/>
        </w:trPr>
        <w:tc>
          <w:tcPr>
            <w:tcW w:w="76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net</w:t>
            </w:r>
          </w:p>
        </w:tc>
        <w:tc>
          <w:tcPr>
            <w:tcW w:w="21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31"/>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cash used in financing activities</w:t>
            </w:r>
          </w:p>
        </w:tc>
        <w:tc>
          <w:tcPr>
            <w:tcW w:w="21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(322)</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(248)</w:t>
            </w:r>
          </w:p>
        </w:tc>
      </w:tr>
      <w:tr>
        <w:trPr>
          <w:trHeight w:val="33"/>
        </w:trPr>
        <w:tc>
          <w:tcPr>
            <w:tcW w:w="76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4"/>
        </w:trPr>
        <w:tc>
          <w:tcPr>
            <w:tcW w:w="7660" w:type="dxa"/>
            <w:vAlign w:val="bottom"/>
            <w:shd w:val="clear" w:color="auto" w:fill="CCEEFF"/>
          </w:tcPr>
          <w:p>
            <w:pPr>
              <w:spacing w:after="0"/>
              <w:rPr>
                <w:sz w:val="22"/>
                <w:szCs w:val="22"/>
                <w:color w:val="auto"/>
              </w:rPr>
            </w:pPr>
          </w:p>
        </w:tc>
        <w:tc>
          <w:tcPr>
            <w:tcW w:w="21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100" w:type="dxa"/>
            <w:vAlign w:val="bottom"/>
          </w:tcPr>
          <w:p>
            <w:pPr>
              <w:jc w:val="right"/>
              <w:ind w:right="239"/>
              <w:spacing w:after="0"/>
              <w:rPr>
                <w:sz w:val="20"/>
                <w:szCs w:val="20"/>
                <w:color w:val="auto"/>
              </w:rPr>
            </w:pPr>
            <w:r>
              <w:rPr>
                <w:rFonts w:ascii="Arial" w:cs="Arial" w:eastAsia="Arial" w:hAnsi="Arial"/>
                <w:sz w:val="16"/>
                <w:szCs w:val="16"/>
                <w:b w:val="1"/>
                <w:bCs w:val="1"/>
                <w:color w:val="auto"/>
              </w:rPr>
              <w:t>(470)</w:t>
            </w:r>
          </w:p>
        </w:tc>
        <w:tc>
          <w:tcPr>
            <w:tcW w:w="16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33"/>
        </w:trPr>
        <w:tc>
          <w:tcPr>
            <w:tcW w:w="76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1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957</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1,181</w:t>
            </w:r>
          </w:p>
        </w:tc>
      </w:tr>
      <w:tr>
        <w:trPr>
          <w:trHeight w:val="231"/>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210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$487</w:t>
            </w:r>
          </w:p>
        </w:tc>
        <w:tc>
          <w:tcPr>
            <w:tcW w:w="1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$1,127</w:t>
            </w:r>
          </w:p>
        </w:tc>
      </w:tr>
      <w:tr>
        <w:trPr>
          <w:trHeight w:val="33"/>
        </w:trPr>
        <w:tc>
          <w:tcPr>
            <w:tcW w:w="76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auto"/>
            </w:tcBorders>
            <w:shd w:val="clear" w:color="auto" w:fill="CCEEFF"/>
          </w:tcPr>
          <w:p>
            <w:pPr>
              <w:spacing w:after="0"/>
              <w:rPr>
                <w:sz w:val="22"/>
                <w:szCs w:val="22"/>
                <w:color w:val="auto"/>
              </w:rPr>
            </w:pPr>
          </w:p>
        </w:tc>
        <w:tc>
          <w:tcPr>
            <w:tcW w:w="210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spacing w:after="0"/>
              <w:rPr>
                <w:sz w:val="22"/>
                <w:szCs w:val="22"/>
                <w:color w:val="auto"/>
              </w:rPr>
            </w:pPr>
          </w:p>
        </w:tc>
      </w:tr>
      <w:tr>
        <w:trPr>
          <w:trHeight w:val="231"/>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Supplemental Cash Flow Information</w:t>
            </w:r>
          </w:p>
        </w:tc>
        <w:tc>
          <w:tcPr>
            <w:tcW w:w="2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during the period for:</w:t>
            </w:r>
          </w:p>
        </w:tc>
        <w:tc>
          <w:tcPr>
            <w:tcW w:w="2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Income taxes, net</w:t>
            </w:r>
          </w:p>
        </w:tc>
        <w:tc>
          <w:tcPr>
            <w:tcW w:w="2100" w:type="dxa"/>
            <w:vAlign w:val="bottom"/>
          </w:tcPr>
          <w:p>
            <w:pPr>
              <w:jc w:val="right"/>
              <w:ind w:right="279"/>
              <w:spacing w:after="0"/>
              <w:rPr>
                <w:sz w:val="20"/>
                <w:szCs w:val="20"/>
                <w:color w:val="auto"/>
              </w:rPr>
            </w:pPr>
            <w:r>
              <w:rPr>
                <w:rFonts w:ascii="Arial" w:cs="Arial" w:eastAsia="Arial" w:hAnsi="Arial"/>
                <w:sz w:val="16"/>
                <w:szCs w:val="16"/>
                <w:b w:val="1"/>
                <w:bCs w:val="1"/>
                <w:color w:val="auto"/>
              </w:rPr>
              <w:t>$162</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$278</w:t>
            </w:r>
          </w:p>
        </w:tc>
      </w:tr>
      <w:tr>
        <w:trPr>
          <w:trHeight w:val="33"/>
        </w:trPr>
        <w:tc>
          <w:tcPr>
            <w:tcW w:w="76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net of capitalized interest</w:t>
            </w:r>
          </w:p>
        </w:tc>
        <w:tc>
          <w:tcPr>
            <w:tcW w:w="21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76</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r>
      <w:tr>
        <w:trPr>
          <w:trHeight w:val="20"/>
        </w:trPr>
        <w:tc>
          <w:tcPr>
            <w:tcW w:w="766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ectPr>
          <w:pgSz w:w="11900" w:h="16838" w:orient="portrait"/>
          <w:cols w:equalWidth="0" w:num="1">
            <w:col w:w="11420"/>
          </w:cols>
          <w:pgMar w:left="240" w:top="279" w:right="239" w:bottom="474"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 of 28</w:t>
      </w:r>
    </w:p>
    <w:p>
      <w:pPr>
        <w:sectPr>
          <w:pgSz w:w="11900" w:h="16838" w:orient="portrait"/>
          <w:cols w:equalWidth="0" w:num="1">
            <w:col w:w="11420"/>
          </w:cols>
          <w:pgMar w:left="240" w:top="279" w:right="239" w:bottom="474" w:gutter="0" w:footer="0" w:header="0"/>
          <w:type w:val="continuous"/>
        </w:sectPr>
      </w:pPr>
    </w:p>
    <w:bookmarkStart w:id="10" w:name="page11"/>
    <w:bookmarkEnd w:id="1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accompanying Condensed Consolidated Financial Statements include the balances of Nordstrom, Inc. and its subsidiaries. All intercompany transactions and balances are eliminated in consolidation. The interim Condensed Consolidated Financial Statements have been prepared on a basis consistent in all material respects with the accounting policies described and applied in our 2018 Annual Report, except as described in Note 2: Leases, and reflect all adjustments of a normal recurring nature that are, in management’s opinion, necessary for the fair presentation of the results of operations, financial position and cash flows for the periods presented.</w:t>
      </w:r>
    </w:p>
    <w:p>
      <w:pPr>
        <w:spacing w:after="0" w:line="13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Condensed Consolidated Financial Statements as of and for the periods ended November 2, 2019 and November 3, 2018 are unaudited. The Condensed Consolidated Balance Sheet as of February 2, 2019 has been derived from the audited Consolidated Financial Statements included in our 2018 Annual Report. The interim Condensed Consolidated Financial Statements should be read together with the Consolidated Financial Statements and related footnote disclosures contained in our 2018 Annual Report.</w:t>
      </w:r>
    </w:p>
    <w:p>
      <w:pPr>
        <w:spacing w:after="0" w:line="133"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The preparation of our financial statements requires management to make estimates and assumptions that affect the reported amounts of assets, liabilities, revenues and expenses, and disclosure of contingent assets and liabilities. We base our estimates on historical experience and other assumptions that we believe to be reasonable under the circumstances. Actual results may differ from these estimates and assumptions.</w:t>
      </w:r>
    </w:p>
    <w:p>
      <w:pPr>
        <w:spacing w:after="0" w:line="1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business, like that of other retailers, is subject to seasonal fluctuations. Our sales are typically higher during our Anniversary Sale in July and the holidays in the fourth quarter. Results for any one quarter may not be indicative of the results that may be achieved for a full fiscal year.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LEASES</w:t>
      </w:r>
    </w:p>
    <w:p>
      <w:pPr>
        <w:spacing w:after="0" w:line="2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 xml:space="preserve">During the first quarter of fiscal 2019, we adopted the Lease Standard using the transition method provided in ASU 2018-11. As a result, reporting periods beginning in the first quarter of 2019 are presented under the Lease Standard while prior period amounts are not adjusted and continue to be reported in accordance with our historic accounting under ASC 840 —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3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Adoption of the Lease Standard did not have a material impact on our Condensed Consolidated Statement of Earnings, Condensed Consolidated Statement of Comprehensive Earnings, Condensed Consolidated Statement of Cash Flows or Condensed Consolidated Statement of Shareholders’ Equity. The impact of adopting the Lease Standard resulted in the following on February 3, 2019:</w:t>
      </w:r>
    </w:p>
    <w:p>
      <w:pPr>
        <w:spacing w:after="0" w:line="127" w:lineRule="exact"/>
        <w:rPr>
          <w:sz w:val="20"/>
          <w:szCs w:val="20"/>
          <w:color w:val="auto"/>
        </w:rPr>
      </w:pPr>
    </w:p>
    <w:p>
      <w:pPr>
        <w:ind w:left="340" w:right="260" w:hanging="170"/>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in total assets and total liabilities of $1,849 primarily due to recognizing ROU assets and operating lease liabilities for most leases previously classified as operating leases.</w:t>
      </w:r>
    </w:p>
    <w:p>
      <w:pPr>
        <w:spacing w:after="0" w:line="8" w:lineRule="exact"/>
        <w:rPr>
          <w:rFonts w:ascii="Arial" w:cs="Arial" w:eastAsia="Arial" w:hAnsi="Arial"/>
          <w:sz w:val="18"/>
          <w:szCs w:val="18"/>
          <w:color w:val="auto"/>
        </w:rPr>
      </w:pPr>
    </w:p>
    <w:p>
      <w:pPr>
        <w:ind w:left="340" w:hanging="170"/>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Reclassification of deferred property incentives, net of $568 to ROU assets on the Condensed Consolidated Balance Sheet.</w:t>
      </w:r>
    </w:p>
    <w:p>
      <w:pPr>
        <w:spacing w:after="0" w:line="63" w:lineRule="exact"/>
        <w:rPr>
          <w:rFonts w:ascii="Arial" w:cs="Arial" w:eastAsia="Arial" w:hAnsi="Arial"/>
          <w:sz w:val="18"/>
          <w:szCs w:val="18"/>
          <w:color w:val="auto"/>
        </w:rPr>
      </w:pPr>
    </w:p>
    <w:p>
      <w:pPr>
        <w:ind w:left="340" w:right="160" w:hanging="170"/>
        <w:spacing w:after="0" w:line="286"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Reclassification of deferred property incentives, net of $339 from ROU assets to other current liabilities and other liabilities on the Condensed Consolidated Balance Sheet for property incentives that exceed the associated ROU asset. Property incentives that exceed the associated ROU asset are primarily due to leases with low fixed lease costs that may also have variable lease costs that are excluded from the ROU asset.</w:t>
      </w:r>
    </w:p>
    <w:p>
      <w:pPr>
        <w:spacing w:after="0" w:line="3" w:lineRule="exact"/>
        <w:rPr>
          <w:rFonts w:ascii="Arial" w:cs="Arial" w:eastAsia="Arial" w:hAnsi="Arial"/>
          <w:sz w:val="17"/>
          <w:szCs w:val="17"/>
          <w:color w:val="auto"/>
        </w:rPr>
      </w:pPr>
    </w:p>
    <w:p>
      <w:pPr>
        <w:ind w:left="340" w:right="240" w:hanging="170"/>
        <w:spacing w:after="0" w:line="342"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Increase in beginning accumulated deficit of $25 primarily due to the net impact of removing a building and associated financial obligation from land, property and equipment and long-term debt, net on the Condensed Consolidated Balance Sheet related to a failed sale-leaseback transaction.</w:t>
      </w:r>
    </w:p>
    <w:p>
      <w:pPr>
        <w:spacing w:after="0" w:line="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Upon adoption of the Lease Standard, we record leases, which consist primarily of operating leases, on the Condensed Consolidated Balance Sheet as operating lease ROU assets, current portion of operating lease liabilities and non-current operating lease liabilities. Operating lease liabilities are initially recognized based on the net present value of the fixed portion of our lease and common area maintenance payments from lease commencement through the lease term. To calculate the net present value, we apply an incremental borrowing rate. The incremental borrowing rate is determined using a portfolio approach based on the rate of interest we would pay to borrow an amount equal to the lease payments on a collateralized basis over a similar term. We use quoted interest rates obtained from financial institutions as an input to derive our incremental borrowing rate as the discount rate for the lease. We recognize ROU assets based on operating lease liabilities reduced by property incentives. ROU assets are tested for impairment in the same manner as long-lived assets.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 of 28</w:t>
      </w:r>
    </w:p>
    <w:p>
      <w:pPr>
        <w:sectPr>
          <w:pgSz w:w="11900" w:h="16838" w:orient="portrait"/>
          <w:cols w:equalWidth="0" w:num="1">
            <w:col w:w="11400"/>
          </w:cols>
          <w:pgMar w:left="240" w:top="279" w:right="2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We elected the following practical expedients permitted under the Lease Standard:</w:t>
      </w:r>
    </w:p>
    <w:p>
      <w:pPr>
        <w:spacing w:after="0" w:line="63" w:lineRule="exact"/>
        <w:rPr>
          <w:sz w:val="20"/>
          <w:szCs w:val="20"/>
          <w:color w:val="auto"/>
        </w:rPr>
      </w:pPr>
    </w:p>
    <w:p>
      <w:pPr>
        <w:ind w:left="340" w:right="700" w:hanging="170"/>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Upon adoption, we did not reassess our prior conclusions about lease identification, lease classification or initial direct costs, and we did not use hindsight for leases existing at adoption date.</w:t>
      </w:r>
    </w:p>
    <w:p>
      <w:pPr>
        <w:spacing w:after="0" w:line="8" w:lineRule="exact"/>
        <w:rPr>
          <w:rFonts w:ascii="Arial" w:cs="Arial" w:eastAsia="Arial" w:hAnsi="Arial"/>
          <w:sz w:val="18"/>
          <w:szCs w:val="18"/>
          <w:color w:val="auto"/>
        </w:rPr>
      </w:pPr>
    </w:p>
    <w:p>
      <w:pPr>
        <w:ind w:left="340" w:right="100" w:hanging="170"/>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do not record leases with an initial term of 12 months or less on the balance sheet but continue to expense them on a straight-line basis over the lease term.</w:t>
      </w:r>
    </w:p>
    <w:p>
      <w:pPr>
        <w:spacing w:after="0" w:line="8" w:lineRule="exact"/>
        <w:rPr>
          <w:rFonts w:ascii="Arial" w:cs="Arial" w:eastAsia="Arial" w:hAnsi="Arial"/>
          <w:sz w:val="18"/>
          <w:szCs w:val="18"/>
          <w:color w:val="auto"/>
        </w:rPr>
      </w:pP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combine lease and non-lease components.</w:t>
      </w:r>
    </w:p>
    <w:p>
      <w:pPr>
        <w:spacing w:after="0" w:line="17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lease the land, buildings, or land and buildings for many of our stores, office facilities and Supply Chain Network facilities. We also lease equipment and have service contracts including transportation agreements and warehouse agreements where we control identified assets such as vehicles, warehouse space and equipment and therefore represent embedded leases under the Lease Standard.</w:t>
      </w:r>
    </w:p>
    <w:p>
      <w:pPr>
        <w:spacing w:after="0" w:line="12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majority of our fixed, non-cancellable lease terms are 15 to 30 years for Nordstrom FLS, approximately 10 years for Nordstrom Rack stores and 5 to 20 years for office facilities and Supply Chain Network facilities. Many of our leases include options that allow us to extend the lease term beyond the initial commitment period. At the commencement of a lease, we generally include only the initial lease term as we have determined that options to extend are not reasonably certain to occur. The exercise of lease renewal options is generally at our sole discretion. At the renewal of an expiring lease, we reassess our options in the agreement and include all reasonably certain extensions in the measurement of our lease term.</w:t>
      </w:r>
    </w:p>
    <w:p>
      <w:pPr>
        <w:spacing w:after="0" w:line="11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Most of our leases also require we pay certain expenses, such as common area maintenance charges, real estate taxes and other executory costs, the fixed portion of which is included in Operating Lease Cost. We recognize Operating Lease Cost, which is primarily included in occupancy costs, on a straight-line basis over the lease term. Variable lease cost includes payments for variable common area maintenance charges and additional payments based on a percentage of sales, which are recognized when probable. Our lease agreements do not contain any material residual value guarantees or material restrictive covenants.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lease cost: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3760" w:type="dxa"/>
            <w:vAlign w:val="bottom"/>
            <w:gridSpan w:val="2"/>
          </w:tcPr>
          <w:p>
            <w:pPr>
              <w:jc w:val="right"/>
              <w:ind w:right="1159"/>
              <w:spacing w:after="0"/>
              <w:rPr>
                <w:sz w:val="20"/>
                <w:szCs w:val="20"/>
                <w:color w:val="auto"/>
              </w:rPr>
            </w:pPr>
            <w:r>
              <w:rPr>
                <w:rFonts w:ascii="Arial" w:cs="Arial" w:eastAsia="Arial" w:hAnsi="Arial"/>
                <w:sz w:val="16"/>
                <w:szCs w:val="16"/>
                <w:b w:val="1"/>
                <w:bCs w:val="1"/>
                <w:color w:val="auto"/>
              </w:rPr>
              <w:t>November 2, 2019</w:t>
            </w:r>
          </w:p>
        </w:tc>
      </w:tr>
      <w:tr>
        <w:trPr>
          <w:trHeight w:val="47"/>
        </w:trPr>
        <w:tc>
          <w:tcPr>
            <w:tcW w:w="7660" w:type="dxa"/>
            <w:vAlign w:val="bottom"/>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r>
      <w:tr>
        <w:trPr>
          <w:trHeight w:val="231"/>
        </w:trPr>
        <w:tc>
          <w:tcPr>
            <w:tcW w:w="7660" w:type="dxa"/>
            <w:vAlign w:val="bottom"/>
          </w:tcPr>
          <w:p>
            <w:pPr>
              <w:spacing w:after="0"/>
              <w:rPr>
                <w:sz w:val="20"/>
                <w:szCs w:val="20"/>
                <w:color w:val="auto"/>
              </w:rPr>
            </w:pPr>
          </w:p>
        </w:tc>
        <w:tc>
          <w:tcPr>
            <w:tcW w:w="2020" w:type="dxa"/>
            <w:vAlign w:val="bottom"/>
          </w:tcPr>
          <w:p>
            <w:pPr>
              <w:jc w:val="right"/>
              <w:ind w:right="199"/>
              <w:spacing w:after="0"/>
              <w:rPr>
                <w:sz w:val="20"/>
                <w:szCs w:val="20"/>
                <w:color w:val="auto"/>
              </w:rPr>
            </w:pPr>
            <w:r>
              <w:rPr>
                <w:rFonts w:ascii="Arial" w:cs="Arial" w:eastAsia="Arial" w:hAnsi="Arial"/>
                <w:sz w:val="16"/>
                <w:szCs w:val="16"/>
                <w:b w:val="1"/>
                <w:bCs w:val="1"/>
                <w:color w:val="auto"/>
              </w:rPr>
              <w:t>Quarter Ended</w:t>
            </w:r>
          </w:p>
        </w:tc>
        <w:tc>
          <w:tcPr>
            <w:tcW w:w="1740" w:type="dxa"/>
            <w:vAlign w:val="bottom"/>
          </w:tcPr>
          <w:p>
            <w:pPr>
              <w:jc w:val="right"/>
              <w:ind w:right="1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76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Cost</w:t>
            </w:r>
          </w:p>
        </w:tc>
        <w:tc>
          <w:tcPr>
            <w:tcW w:w="20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$70</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$209</w:t>
            </w:r>
          </w:p>
        </w:tc>
      </w:tr>
      <w:tr>
        <w:trPr>
          <w:trHeight w:val="270"/>
        </w:trPr>
        <w:tc>
          <w:tcPr>
            <w:tcW w:w="7660" w:type="dxa"/>
            <w:vAlign w:val="bottom"/>
          </w:tcPr>
          <w:p>
            <w:pPr>
              <w:ind w:left="40"/>
              <w:spacing w:after="0"/>
              <w:rPr>
                <w:sz w:val="20"/>
                <w:szCs w:val="20"/>
                <w:color w:val="auto"/>
              </w:rPr>
            </w:pPr>
            <w:r>
              <w:rPr>
                <w:rFonts w:ascii="Arial" w:cs="Arial" w:eastAsia="Arial" w:hAnsi="Arial"/>
                <w:sz w:val="16"/>
                <w:szCs w:val="16"/>
                <w:color w:val="auto"/>
              </w:rPr>
              <w:t>Variable lease cost</w:t>
            </w:r>
            <w:r>
              <w:rPr>
                <w:rFonts w:ascii="Arial" w:cs="Arial" w:eastAsia="Arial" w:hAnsi="Arial"/>
                <w:sz w:val="21"/>
                <w:szCs w:val="21"/>
                <w:color w:val="auto"/>
                <w:vertAlign w:val="superscript"/>
              </w:rPr>
              <w:t>1</w:t>
            </w:r>
          </w:p>
        </w:tc>
        <w:tc>
          <w:tcPr>
            <w:tcW w:w="2020" w:type="dxa"/>
            <w:vAlign w:val="bottom"/>
          </w:tcPr>
          <w:p>
            <w:pPr>
              <w:jc w:val="right"/>
              <w:ind w:right="199"/>
              <w:spacing w:after="0"/>
              <w:rPr>
                <w:sz w:val="20"/>
                <w:szCs w:val="20"/>
                <w:color w:val="auto"/>
              </w:rPr>
            </w:pPr>
            <w:r>
              <w:rPr>
                <w:rFonts w:ascii="Arial" w:cs="Arial" w:eastAsia="Arial" w:hAnsi="Arial"/>
                <w:sz w:val="16"/>
                <w:szCs w:val="16"/>
                <w:b w:val="1"/>
                <w:bCs w:val="1"/>
                <w:color w:val="auto"/>
              </w:rPr>
              <w:t>10</w:t>
            </w:r>
          </w:p>
        </w:tc>
        <w:tc>
          <w:tcPr>
            <w:tcW w:w="1740" w:type="dxa"/>
            <w:vAlign w:val="bottom"/>
          </w:tcPr>
          <w:p>
            <w:pPr>
              <w:jc w:val="right"/>
              <w:ind w:right="19"/>
              <w:spacing w:after="0"/>
              <w:rPr>
                <w:sz w:val="20"/>
                <w:szCs w:val="20"/>
                <w:color w:val="auto"/>
              </w:rPr>
            </w:pPr>
            <w:r>
              <w:rPr>
                <w:rFonts w:ascii="Arial" w:cs="Arial" w:eastAsia="Arial" w:hAnsi="Arial"/>
                <w:sz w:val="16"/>
                <w:szCs w:val="16"/>
                <w:b w:val="1"/>
                <w:bCs w:val="1"/>
                <w:color w:val="auto"/>
              </w:rPr>
              <w:t>34</w:t>
            </w: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Sublease income</w:t>
            </w:r>
          </w:p>
        </w:tc>
        <w:tc>
          <w:tcPr>
            <w:tcW w:w="20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(4)</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r>
      <w:tr>
        <w:trPr>
          <w:trHeight w:val="231"/>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lease cost</w:t>
            </w:r>
          </w:p>
        </w:tc>
        <w:tc>
          <w:tcPr>
            <w:tcW w:w="202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$76</w:t>
            </w:r>
          </w:p>
        </w:tc>
        <w:tc>
          <w:tcPr>
            <w:tcW w:w="1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$235</w:t>
            </w:r>
          </w:p>
        </w:tc>
      </w:tr>
      <w:tr>
        <w:trPr>
          <w:trHeight w:val="33"/>
        </w:trPr>
        <w:tc>
          <w:tcPr>
            <w:tcW w:w="76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197" w:lineRule="exact"/>
        <w:rPr>
          <w:sz w:val="20"/>
          <w:szCs w:val="20"/>
          <w:color w:val="auto"/>
        </w:rPr>
      </w:pPr>
    </w:p>
    <w:p>
      <w:pPr>
        <w:ind w:left="80" w:hanging="72"/>
        <w:spacing w:after="0"/>
        <w:tabs>
          <w:tab w:leader="none" w:pos="80" w:val="left"/>
        </w:tabs>
        <w:numPr>
          <w:ilvl w:val="0"/>
          <w:numId w:val="8"/>
        </w:numPr>
        <w:rPr>
          <w:rFonts w:ascii="Arial" w:cs="Arial" w:eastAsia="Arial" w:hAnsi="Arial"/>
          <w:sz w:val="9"/>
          <w:szCs w:val="9"/>
          <w:color w:val="auto"/>
        </w:rPr>
      </w:pPr>
      <w:r>
        <w:rPr>
          <w:rFonts w:ascii="Arial" w:cs="Arial" w:eastAsia="Arial" w:hAnsi="Arial"/>
          <w:sz w:val="14"/>
          <w:szCs w:val="14"/>
          <w:color w:val="auto"/>
        </w:rPr>
        <w:t>Variable lease cost includes short-term lease cost, which was immaterial for the quarter and nine months ended November 2, 2019.</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future lease payments as of November 2,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0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4420" w:type="dxa"/>
            <w:vAlign w:val="bottom"/>
          </w:tcPr>
          <w:p>
            <w:pPr>
              <w:jc w:val="right"/>
              <w:ind w:right="19"/>
              <w:spacing w:after="0"/>
              <w:rPr>
                <w:sz w:val="20"/>
                <w:szCs w:val="20"/>
                <w:color w:val="auto"/>
              </w:rPr>
            </w:pPr>
            <w:r>
              <w:rPr>
                <w:rFonts w:ascii="Arial" w:cs="Arial" w:eastAsia="Arial" w:hAnsi="Arial"/>
                <w:sz w:val="16"/>
                <w:szCs w:val="16"/>
                <w:b w:val="1"/>
                <w:bCs w:val="1"/>
                <w:color w:val="auto"/>
              </w:rPr>
              <w:t>Operating Leases</w:t>
            </w:r>
          </w:p>
        </w:tc>
      </w:tr>
      <w:tr>
        <w:trPr>
          <w:trHeight w:val="33"/>
        </w:trPr>
        <w:tc>
          <w:tcPr>
            <w:tcW w:w="700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 (excluding the nine months ended November 2, 2019)</w:t>
            </w:r>
          </w:p>
        </w:tc>
        <w:tc>
          <w:tcPr>
            <w:tcW w:w="4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$64</w:t>
            </w:r>
          </w:p>
        </w:tc>
      </w:tr>
      <w:tr>
        <w:trPr>
          <w:trHeight w:val="224"/>
        </w:trPr>
        <w:tc>
          <w:tcPr>
            <w:tcW w:w="7000" w:type="dxa"/>
            <w:vAlign w:val="bottom"/>
          </w:tcPr>
          <w:p>
            <w:pPr>
              <w:ind w:left="40"/>
              <w:spacing w:after="0"/>
              <w:rPr>
                <w:sz w:val="20"/>
                <w:szCs w:val="20"/>
                <w:color w:val="auto"/>
              </w:rPr>
            </w:pPr>
            <w:r>
              <w:rPr>
                <w:rFonts w:ascii="Arial" w:cs="Arial" w:eastAsia="Arial" w:hAnsi="Arial"/>
                <w:sz w:val="16"/>
                <w:szCs w:val="16"/>
                <w:color w:val="auto"/>
              </w:rPr>
              <w:t>2020</w:t>
            </w:r>
          </w:p>
        </w:tc>
        <w:tc>
          <w:tcPr>
            <w:tcW w:w="4420" w:type="dxa"/>
            <w:vAlign w:val="bottom"/>
          </w:tcPr>
          <w:p>
            <w:pPr>
              <w:jc w:val="right"/>
              <w:ind w:right="19"/>
              <w:spacing w:after="0"/>
              <w:rPr>
                <w:sz w:val="20"/>
                <w:szCs w:val="20"/>
                <w:color w:val="auto"/>
              </w:rPr>
            </w:pPr>
            <w:r>
              <w:rPr>
                <w:rFonts w:ascii="Arial" w:cs="Arial" w:eastAsia="Arial" w:hAnsi="Arial"/>
                <w:sz w:val="16"/>
                <w:szCs w:val="16"/>
                <w:b w:val="1"/>
                <w:bCs w:val="1"/>
                <w:color w:val="auto"/>
              </w:rPr>
              <w:t>358</w:t>
            </w:r>
          </w:p>
        </w:tc>
      </w:tr>
      <w:tr>
        <w:trPr>
          <w:trHeight w:val="33"/>
        </w:trPr>
        <w:tc>
          <w:tcPr>
            <w:tcW w:w="7000" w:type="dxa"/>
            <w:vAlign w:val="bottom"/>
          </w:tcPr>
          <w:p>
            <w:pPr>
              <w:spacing w:after="0"/>
              <w:rPr>
                <w:sz w:val="2"/>
                <w:szCs w:val="2"/>
                <w:color w:val="auto"/>
              </w:rPr>
            </w:pPr>
          </w:p>
        </w:tc>
        <w:tc>
          <w:tcPr>
            <w:tcW w:w="4420" w:type="dxa"/>
            <w:vAlign w:val="bottom"/>
          </w:tcPr>
          <w:p>
            <w:pPr>
              <w:spacing w:after="0"/>
              <w:rPr>
                <w:sz w:val="2"/>
                <w:szCs w:val="2"/>
                <w:color w:val="auto"/>
              </w:rPr>
            </w:pPr>
          </w:p>
        </w:tc>
      </w:tr>
      <w:tr>
        <w:trPr>
          <w:trHeight w:val="237"/>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4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348</w:t>
            </w:r>
          </w:p>
        </w:tc>
      </w:tr>
      <w:tr>
        <w:trPr>
          <w:trHeight w:val="224"/>
        </w:trPr>
        <w:tc>
          <w:tcPr>
            <w:tcW w:w="7000" w:type="dxa"/>
            <w:vAlign w:val="bottom"/>
          </w:tcPr>
          <w:p>
            <w:pPr>
              <w:ind w:left="40"/>
              <w:spacing w:after="0"/>
              <w:rPr>
                <w:sz w:val="20"/>
                <w:szCs w:val="20"/>
                <w:color w:val="auto"/>
              </w:rPr>
            </w:pPr>
            <w:r>
              <w:rPr>
                <w:rFonts w:ascii="Arial" w:cs="Arial" w:eastAsia="Arial" w:hAnsi="Arial"/>
                <w:sz w:val="16"/>
                <w:szCs w:val="16"/>
                <w:color w:val="auto"/>
              </w:rPr>
              <w:t>2022</w:t>
            </w:r>
          </w:p>
        </w:tc>
        <w:tc>
          <w:tcPr>
            <w:tcW w:w="4420" w:type="dxa"/>
            <w:vAlign w:val="bottom"/>
          </w:tcPr>
          <w:p>
            <w:pPr>
              <w:jc w:val="right"/>
              <w:ind w:right="19"/>
              <w:spacing w:after="0"/>
              <w:rPr>
                <w:sz w:val="20"/>
                <w:szCs w:val="20"/>
                <w:color w:val="auto"/>
              </w:rPr>
            </w:pPr>
            <w:r>
              <w:rPr>
                <w:rFonts w:ascii="Arial" w:cs="Arial" w:eastAsia="Arial" w:hAnsi="Arial"/>
                <w:sz w:val="16"/>
                <w:szCs w:val="16"/>
                <w:b w:val="1"/>
                <w:bCs w:val="1"/>
                <w:color w:val="auto"/>
              </w:rPr>
              <w:t>323</w:t>
            </w:r>
          </w:p>
        </w:tc>
      </w:tr>
      <w:tr>
        <w:trPr>
          <w:trHeight w:val="33"/>
        </w:trPr>
        <w:tc>
          <w:tcPr>
            <w:tcW w:w="7000" w:type="dxa"/>
            <w:vAlign w:val="bottom"/>
          </w:tcPr>
          <w:p>
            <w:pPr>
              <w:spacing w:after="0"/>
              <w:rPr>
                <w:sz w:val="2"/>
                <w:szCs w:val="2"/>
                <w:color w:val="auto"/>
              </w:rPr>
            </w:pPr>
          </w:p>
        </w:tc>
        <w:tc>
          <w:tcPr>
            <w:tcW w:w="4420" w:type="dxa"/>
            <w:vAlign w:val="bottom"/>
          </w:tcPr>
          <w:p>
            <w:pPr>
              <w:spacing w:after="0"/>
              <w:rPr>
                <w:sz w:val="2"/>
                <w:szCs w:val="2"/>
                <w:color w:val="auto"/>
              </w:rPr>
            </w:pPr>
          </w:p>
        </w:tc>
      </w:tr>
      <w:tr>
        <w:trPr>
          <w:trHeight w:val="237"/>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4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295</w:t>
            </w:r>
          </w:p>
        </w:tc>
      </w:tr>
      <w:tr>
        <w:trPr>
          <w:trHeight w:val="224"/>
        </w:trPr>
        <w:tc>
          <w:tcPr>
            <w:tcW w:w="7000" w:type="dxa"/>
            <w:vAlign w:val="bottom"/>
          </w:tcPr>
          <w:p>
            <w:pPr>
              <w:ind w:left="40"/>
              <w:spacing w:after="0"/>
              <w:rPr>
                <w:sz w:val="20"/>
                <w:szCs w:val="20"/>
                <w:color w:val="auto"/>
              </w:rPr>
            </w:pPr>
            <w:r>
              <w:rPr>
                <w:rFonts w:ascii="Arial" w:cs="Arial" w:eastAsia="Arial" w:hAnsi="Arial"/>
                <w:sz w:val="16"/>
                <w:szCs w:val="16"/>
                <w:color w:val="auto"/>
              </w:rPr>
              <w:t>2024</w:t>
            </w:r>
          </w:p>
        </w:tc>
        <w:tc>
          <w:tcPr>
            <w:tcW w:w="4420" w:type="dxa"/>
            <w:vAlign w:val="bottom"/>
          </w:tcPr>
          <w:p>
            <w:pPr>
              <w:jc w:val="right"/>
              <w:ind w:right="19"/>
              <w:spacing w:after="0"/>
              <w:rPr>
                <w:sz w:val="20"/>
                <w:szCs w:val="20"/>
                <w:color w:val="auto"/>
              </w:rPr>
            </w:pPr>
            <w:r>
              <w:rPr>
                <w:rFonts w:ascii="Arial" w:cs="Arial" w:eastAsia="Arial" w:hAnsi="Arial"/>
                <w:sz w:val="16"/>
                <w:szCs w:val="16"/>
                <w:b w:val="1"/>
                <w:bCs w:val="1"/>
                <w:color w:val="auto"/>
              </w:rPr>
              <w:t>248</w:t>
            </w:r>
          </w:p>
        </w:tc>
      </w:tr>
      <w:tr>
        <w:trPr>
          <w:trHeight w:val="33"/>
        </w:trPr>
        <w:tc>
          <w:tcPr>
            <w:tcW w:w="7000" w:type="dxa"/>
            <w:vAlign w:val="bottom"/>
          </w:tcPr>
          <w:p>
            <w:pPr>
              <w:spacing w:after="0"/>
              <w:rPr>
                <w:sz w:val="2"/>
                <w:szCs w:val="2"/>
                <w:color w:val="auto"/>
              </w:rPr>
            </w:pPr>
          </w:p>
        </w:tc>
        <w:tc>
          <w:tcPr>
            <w:tcW w:w="4420" w:type="dxa"/>
            <w:vAlign w:val="bottom"/>
          </w:tcPr>
          <w:p>
            <w:pPr>
              <w:spacing w:after="0"/>
              <w:rPr>
                <w:sz w:val="2"/>
                <w:szCs w:val="2"/>
                <w:color w:val="auto"/>
              </w:rPr>
            </w:pPr>
          </w:p>
        </w:tc>
      </w:tr>
      <w:tr>
        <w:trPr>
          <w:trHeight w:val="262"/>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Thereafter</w:t>
            </w:r>
          </w:p>
        </w:tc>
        <w:tc>
          <w:tcPr>
            <w:tcW w:w="4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1,086</w:t>
            </w:r>
          </w:p>
        </w:tc>
      </w:tr>
      <w:tr>
        <w:trPr>
          <w:trHeight w:val="217"/>
        </w:trPr>
        <w:tc>
          <w:tcPr>
            <w:tcW w:w="70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lease payments</w:t>
            </w:r>
          </w:p>
        </w:tc>
        <w:tc>
          <w:tcPr>
            <w:tcW w:w="4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2,722</w:t>
            </w:r>
          </w:p>
        </w:tc>
      </w:tr>
      <w:tr>
        <w:trPr>
          <w:trHeight w:val="33"/>
        </w:trPr>
        <w:tc>
          <w:tcPr>
            <w:tcW w:w="700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291"/>
        </w:trPr>
        <w:tc>
          <w:tcPr>
            <w:tcW w:w="7000" w:type="dxa"/>
            <w:vAlign w:val="bottom"/>
            <w:shd w:val="clear" w:color="auto" w:fill="CCEEFF"/>
          </w:tcPr>
          <w:p>
            <w:pPr>
              <w:spacing w:after="0"/>
              <w:rPr>
                <w:sz w:val="24"/>
                <w:szCs w:val="24"/>
                <w:color w:val="auto"/>
              </w:rPr>
            </w:pPr>
          </w:p>
        </w:tc>
        <w:tc>
          <w:tcPr>
            <w:tcW w:w="4420" w:type="dxa"/>
            <w:vAlign w:val="bottom"/>
            <w:shd w:val="clear" w:color="auto" w:fill="CCEEFF"/>
          </w:tcPr>
          <w:p>
            <w:pPr>
              <w:spacing w:after="0"/>
              <w:rPr>
                <w:sz w:val="24"/>
                <w:szCs w:val="24"/>
                <w:color w:val="auto"/>
              </w:rPr>
            </w:pPr>
          </w:p>
        </w:tc>
      </w:tr>
      <w:tr>
        <w:trPr>
          <w:trHeight w:val="224"/>
        </w:trPr>
        <w:tc>
          <w:tcPr>
            <w:tcW w:w="7000" w:type="dxa"/>
            <w:vAlign w:val="bottom"/>
          </w:tcPr>
          <w:p>
            <w:pPr>
              <w:ind w:left="40"/>
              <w:spacing w:after="0"/>
              <w:rPr>
                <w:sz w:val="20"/>
                <w:szCs w:val="20"/>
                <w:color w:val="auto"/>
              </w:rPr>
            </w:pPr>
            <w:r>
              <w:rPr>
                <w:rFonts w:ascii="Arial" w:cs="Arial" w:eastAsia="Arial" w:hAnsi="Arial"/>
                <w:sz w:val="16"/>
                <w:szCs w:val="16"/>
                <w:color w:val="auto"/>
              </w:rPr>
              <w:t>Less: amount representing interest</w:t>
            </w:r>
          </w:p>
        </w:tc>
        <w:tc>
          <w:tcPr>
            <w:tcW w:w="4420" w:type="dxa"/>
            <w:vAlign w:val="bottom"/>
          </w:tcPr>
          <w:p>
            <w:pPr>
              <w:jc w:val="right"/>
              <w:spacing w:after="0"/>
              <w:rPr>
                <w:sz w:val="20"/>
                <w:szCs w:val="20"/>
                <w:color w:val="auto"/>
              </w:rPr>
            </w:pPr>
            <w:r>
              <w:rPr>
                <w:rFonts w:ascii="Arial" w:cs="Arial" w:eastAsia="Arial" w:hAnsi="Arial"/>
                <w:sz w:val="16"/>
                <w:szCs w:val="16"/>
                <w:b w:val="1"/>
                <w:bCs w:val="1"/>
                <w:color w:val="auto"/>
              </w:rPr>
              <w:t>(589)</w:t>
            </w:r>
          </w:p>
        </w:tc>
      </w:tr>
      <w:tr>
        <w:trPr>
          <w:trHeight w:val="33"/>
        </w:trPr>
        <w:tc>
          <w:tcPr>
            <w:tcW w:w="700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264"/>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Present value of net lease payments</w:t>
            </w:r>
            <w:r>
              <w:rPr>
                <w:rFonts w:ascii="Arial" w:cs="Arial" w:eastAsia="Arial" w:hAnsi="Arial"/>
                <w:sz w:val="17"/>
                <w:szCs w:val="17"/>
                <w:color w:val="auto"/>
                <w:vertAlign w:val="superscript"/>
              </w:rPr>
              <w:t>1</w:t>
            </w:r>
          </w:p>
        </w:tc>
        <w:tc>
          <w:tcPr>
            <w:tcW w:w="44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hanging="72"/>
        <w:spacing w:after="0"/>
        <w:tabs>
          <w:tab w:leader="none" w:pos="80" w:val="left"/>
        </w:tabs>
        <w:numPr>
          <w:ilvl w:val="0"/>
          <w:numId w:val="9"/>
        </w:numPr>
        <w:rPr>
          <w:rFonts w:ascii="Arial" w:cs="Arial" w:eastAsia="Arial" w:hAnsi="Arial"/>
          <w:sz w:val="9"/>
          <w:szCs w:val="9"/>
          <w:color w:val="auto"/>
        </w:rPr>
      </w:pPr>
      <w:r>
        <w:rPr>
          <w:rFonts w:ascii="Arial" w:cs="Arial" w:eastAsia="Arial" w:hAnsi="Arial"/>
          <w:sz w:val="14"/>
          <w:szCs w:val="14"/>
          <w:color w:val="auto"/>
        </w:rPr>
        <w:t>Total lease payments exclude $12 of lease payments for operating leases that were signed but have not yet commenced.</w:t>
      </w:r>
    </w:p>
    <w:p>
      <w:pPr>
        <w:sectPr>
          <w:pgSz w:w="11900" w:h="16838" w:orient="portrait"/>
          <w:cols w:equalWidth="0" w:num="1">
            <w:col w:w="11420"/>
          </w:cols>
          <w:pgMar w:left="240" w:top="279" w:right="2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 of 28</w:t>
      </w:r>
    </w:p>
    <w:p>
      <w:pPr>
        <w:sectPr>
          <w:pgSz w:w="11900" w:h="16838" w:orient="portrait"/>
          <w:cols w:equalWidth="0" w:num="1">
            <w:col w:w="11420"/>
          </w:cols>
          <w:pgMar w:left="240" w:top="279" w:right="239" w:bottom="1440" w:gutter="0" w:footer="0" w:header="0"/>
          <w:type w:val="continuous"/>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supplemental information: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40" w:type="dxa"/>
            <w:vAlign w:val="bottom"/>
          </w:tcPr>
          <w:p>
            <w:pPr>
              <w:spacing w:after="0"/>
              <w:rPr>
                <w:sz w:val="18"/>
                <w:szCs w:val="18"/>
                <w:color w:val="auto"/>
              </w:rPr>
            </w:pPr>
          </w:p>
        </w:tc>
        <w:tc>
          <w:tcPr>
            <w:tcW w:w="3380" w:type="dxa"/>
            <w:vAlign w:val="bottom"/>
          </w:tcPr>
          <w:p>
            <w:pPr>
              <w:jc w:val="right"/>
              <w:ind w:right="99"/>
              <w:spacing w:after="0"/>
              <w:rPr>
                <w:sz w:val="20"/>
                <w:szCs w:val="20"/>
                <w:color w:val="auto"/>
              </w:rPr>
            </w:pPr>
            <w:r>
              <w:rPr>
                <w:rFonts w:ascii="Arial" w:cs="Arial" w:eastAsia="Arial" w:hAnsi="Arial"/>
                <w:sz w:val="16"/>
                <w:szCs w:val="16"/>
                <w:b w:val="1"/>
                <w:bCs w:val="1"/>
                <w:color w:val="auto"/>
              </w:rPr>
              <w:t>Nine Months Ended November 2, 2019</w:t>
            </w:r>
          </w:p>
        </w:tc>
      </w:tr>
      <w:tr>
        <w:trPr>
          <w:trHeight w:val="33"/>
        </w:trPr>
        <w:tc>
          <w:tcPr>
            <w:tcW w:w="80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44"/>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related to operating lease liabilities</w:t>
            </w:r>
          </w:p>
        </w:tc>
        <w:tc>
          <w:tcPr>
            <w:tcW w:w="3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$267</w:t>
            </w: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Operating lease interest</w:t>
            </w:r>
          </w:p>
        </w:tc>
        <w:tc>
          <w:tcPr>
            <w:tcW w:w="3380" w:type="dxa"/>
            <w:vAlign w:val="bottom"/>
          </w:tcPr>
          <w:p>
            <w:pPr>
              <w:jc w:val="right"/>
              <w:ind w:right="99"/>
              <w:spacing w:after="0"/>
              <w:rPr>
                <w:sz w:val="20"/>
                <w:szCs w:val="20"/>
                <w:color w:val="auto"/>
              </w:rPr>
            </w:pPr>
            <w:r>
              <w:rPr>
                <w:rFonts w:ascii="Arial" w:cs="Arial" w:eastAsia="Arial" w:hAnsi="Arial"/>
                <w:sz w:val="16"/>
                <w:szCs w:val="16"/>
                <w:b w:val="1"/>
                <w:bCs w:val="1"/>
                <w:color w:val="auto"/>
              </w:rPr>
              <w:t>76</w:t>
            </w:r>
          </w:p>
        </w:tc>
      </w:tr>
      <w:tr>
        <w:trPr>
          <w:trHeight w:val="33"/>
        </w:trPr>
        <w:tc>
          <w:tcPr>
            <w:tcW w:w="8040" w:type="dxa"/>
            <w:vAlign w:val="bottom"/>
          </w:tcPr>
          <w:p>
            <w:pPr>
              <w:spacing w:after="0"/>
              <w:rPr>
                <w:sz w:val="2"/>
                <w:szCs w:val="2"/>
                <w:color w:val="auto"/>
              </w:rPr>
            </w:pPr>
          </w:p>
        </w:tc>
        <w:tc>
          <w:tcPr>
            <w:tcW w:w="3380" w:type="dxa"/>
            <w:vAlign w:val="bottom"/>
          </w:tcPr>
          <w:p>
            <w:pPr>
              <w:spacing w:after="0"/>
              <w:rPr>
                <w:sz w:val="2"/>
                <w:szCs w:val="2"/>
                <w:color w:val="auto"/>
              </w:rPr>
            </w:pPr>
          </w:p>
        </w:tc>
      </w:tr>
      <w:tr>
        <w:trPr>
          <w:trHeight w:val="23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liabilities arising from obtaining ROU assets</w:t>
            </w:r>
          </w:p>
        </w:tc>
        <w:tc>
          <w:tcPr>
            <w:tcW w:w="3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2,326</w:t>
            </w: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Cash received from developer reimbursements</w:t>
            </w:r>
          </w:p>
        </w:tc>
        <w:tc>
          <w:tcPr>
            <w:tcW w:w="3380" w:type="dxa"/>
            <w:vAlign w:val="bottom"/>
          </w:tcPr>
          <w:p>
            <w:pPr>
              <w:jc w:val="right"/>
              <w:ind w:right="99"/>
              <w:spacing w:after="0"/>
              <w:rPr>
                <w:sz w:val="20"/>
                <w:szCs w:val="20"/>
                <w:color w:val="auto"/>
              </w:rPr>
            </w:pPr>
            <w:r>
              <w:rPr>
                <w:rFonts w:ascii="Arial" w:cs="Arial" w:eastAsia="Arial" w:hAnsi="Arial"/>
                <w:sz w:val="16"/>
                <w:szCs w:val="16"/>
                <w:b w:val="1"/>
                <w:bCs w:val="1"/>
                <w:color w:val="auto"/>
              </w:rPr>
              <w:t>61</w:t>
            </w:r>
          </w:p>
        </w:tc>
      </w:tr>
      <w:tr>
        <w:trPr>
          <w:trHeight w:val="33"/>
        </w:trPr>
        <w:tc>
          <w:tcPr>
            <w:tcW w:w="8040" w:type="dxa"/>
            <w:vAlign w:val="bottom"/>
          </w:tcPr>
          <w:p>
            <w:pPr>
              <w:spacing w:after="0"/>
              <w:rPr>
                <w:sz w:val="2"/>
                <w:szCs w:val="2"/>
                <w:color w:val="auto"/>
              </w:rPr>
            </w:pPr>
          </w:p>
        </w:tc>
        <w:tc>
          <w:tcPr>
            <w:tcW w:w="3380" w:type="dxa"/>
            <w:vAlign w:val="bottom"/>
          </w:tcPr>
          <w:p>
            <w:pPr>
              <w:spacing w:after="0"/>
              <w:rPr>
                <w:sz w:val="2"/>
                <w:szCs w:val="2"/>
                <w:color w:val="auto"/>
              </w:rPr>
            </w:pPr>
          </w:p>
        </w:tc>
      </w:tr>
      <w:tr>
        <w:trPr>
          <w:trHeight w:val="23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developer reimbursements</w:t>
            </w:r>
          </w:p>
        </w:tc>
        <w:tc>
          <w:tcPr>
            <w:tcW w:w="3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56</w:t>
            </w:r>
          </w:p>
        </w:tc>
      </w:tr>
      <w:tr>
        <w:trPr>
          <w:trHeight w:val="521"/>
        </w:trPr>
        <w:tc>
          <w:tcPr>
            <w:tcW w:w="8040" w:type="dxa"/>
            <w:vAlign w:val="bottom"/>
          </w:tcPr>
          <w:p>
            <w:pPr>
              <w:spacing w:after="0"/>
              <w:rPr>
                <w:sz w:val="24"/>
                <w:szCs w:val="24"/>
                <w:color w:val="auto"/>
              </w:rPr>
            </w:pPr>
          </w:p>
        </w:tc>
        <w:tc>
          <w:tcPr>
            <w:tcW w:w="3380" w:type="dxa"/>
            <w:vAlign w:val="bottom"/>
          </w:tcPr>
          <w:p>
            <w:pPr>
              <w:jc w:val="right"/>
              <w:ind w:right="99"/>
              <w:spacing w:after="0"/>
              <w:rPr>
                <w:sz w:val="20"/>
                <w:szCs w:val="20"/>
                <w:color w:val="auto"/>
              </w:rPr>
            </w:pPr>
            <w:r>
              <w:rPr>
                <w:rFonts w:ascii="Arial" w:cs="Arial" w:eastAsia="Arial" w:hAnsi="Arial"/>
                <w:sz w:val="16"/>
                <w:szCs w:val="16"/>
                <w:b w:val="1"/>
                <w:bCs w:val="1"/>
                <w:color w:val="auto"/>
              </w:rPr>
              <w:t>November 2, 2019</w:t>
            </w:r>
          </w:p>
        </w:tc>
      </w:tr>
      <w:tr>
        <w:trPr>
          <w:trHeight w:val="33"/>
        </w:trPr>
        <w:tc>
          <w:tcPr>
            <w:tcW w:w="8040" w:type="dxa"/>
            <w:vAlign w:val="bottom"/>
            <w:tcBorders>
              <w:bottom w:val="single" w:sz="8" w:color="CCEEFF"/>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3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remaining lease term</w:t>
            </w:r>
          </w:p>
        </w:tc>
        <w:tc>
          <w:tcPr>
            <w:tcW w:w="3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10 years</w:t>
            </w: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Weighted-average discount rate</w:t>
            </w:r>
          </w:p>
        </w:tc>
        <w:tc>
          <w:tcPr>
            <w:tcW w:w="3380" w:type="dxa"/>
            <w:vAlign w:val="bottom"/>
          </w:tcPr>
          <w:p>
            <w:pPr>
              <w:jc w:val="right"/>
              <w:spacing w:after="0"/>
              <w:rPr>
                <w:sz w:val="20"/>
                <w:szCs w:val="20"/>
                <w:color w:val="auto"/>
              </w:rPr>
            </w:pPr>
            <w:r>
              <w:rPr>
                <w:rFonts w:ascii="Arial" w:cs="Arial" w:eastAsia="Arial" w:hAnsi="Arial"/>
                <w:sz w:val="16"/>
                <w:szCs w:val="16"/>
                <w:b w:val="1"/>
                <w:bCs w:val="1"/>
                <w:color w:val="auto"/>
              </w:rPr>
              <w:t>4.7%</w:t>
            </w:r>
          </w:p>
        </w:tc>
      </w:tr>
      <w:tr>
        <w:trPr>
          <w:trHeight w:val="33"/>
        </w:trPr>
        <w:tc>
          <w:tcPr>
            <w:tcW w:w="80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Previous Lease Standard Disclosures</w:t>
      </w:r>
    </w:p>
    <w:p>
      <w:pPr>
        <w:spacing w:after="0" w:line="2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Before fiscal year 2019, we recognized minimum rent expense, net of developer reimbursements, on a straight-line basis over the minimum lease term from the time we controlled the leased property. For scheduled rent escalation clauses during the lease terms, we recorded minimum rent expense on a straight-line basis over the terms of the leases, with the adjustments accrued as current and non-current deferred rent and included in other current liabilities and other liabilities on our Condensed Consolidated Balance Sheet. Contingent rental payments, typically based on a percentage of sales, were recognized in rent expense primarily in occupancy costs when payment of the contingent rent was probable.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rent expense for the quarter and nine months ended November 3, 2018, before adoption of the Lease Standard: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3760" w:type="dxa"/>
            <w:vAlign w:val="bottom"/>
            <w:gridSpan w:val="2"/>
          </w:tcPr>
          <w:p>
            <w:pPr>
              <w:jc w:val="right"/>
              <w:ind w:right="1159"/>
              <w:spacing w:after="0"/>
              <w:rPr>
                <w:sz w:val="20"/>
                <w:szCs w:val="20"/>
                <w:color w:val="auto"/>
              </w:rPr>
            </w:pPr>
            <w:r>
              <w:rPr>
                <w:rFonts w:ascii="Arial" w:cs="Arial" w:eastAsia="Arial" w:hAnsi="Arial"/>
                <w:sz w:val="16"/>
                <w:szCs w:val="16"/>
                <w:b w:val="1"/>
                <w:bCs w:val="1"/>
                <w:color w:val="auto"/>
              </w:rPr>
              <w:t>November 3, 2018</w:t>
            </w:r>
          </w:p>
        </w:tc>
      </w:tr>
      <w:tr>
        <w:trPr>
          <w:trHeight w:val="47"/>
        </w:trPr>
        <w:tc>
          <w:tcPr>
            <w:tcW w:w="7660" w:type="dxa"/>
            <w:vAlign w:val="bottom"/>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r>
      <w:tr>
        <w:trPr>
          <w:trHeight w:val="231"/>
        </w:trPr>
        <w:tc>
          <w:tcPr>
            <w:tcW w:w="7660" w:type="dxa"/>
            <w:vAlign w:val="bottom"/>
          </w:tcPr>
          <w:p>
            <w:pPr>
              <w:spacing w:after="0"/>
              <w:rPr>
                <w:sz w:val="20"/>
                <w:szCs w:val="20"/>
                <w:color w:val="auto"/>
              </w:rPr>
            </w:pPr>
          </w:p>
        </w:tc>
        <w:tc>
          <w:tcPr>
            <w:tcW w:w="2020" w:type="dxa"/>
            <w:vAlign w:val="bottom"/>
          </w:tcPr>
          <w:p>
            <w:pPr>
              <w:jc w:val="right"/>
              <w:ind w:right="199"/>
              <w:spacing w:after="0"/>
              <w:rPr>
                <w:sz w:val="20"/>
                <w:szCs w:val="20"/>
                <w:color w:val="auto"/>
              </w:rPr>
            </w:pPr>
            <w:r>
              <w:rPr>
                <w:rFonts w:ascii="Arial" w:cs="Arial" w:eastAsia="Arial" w:hAnsi="Arial"/>
                <w:sz w:val="16"/>
                <w:szCs w:val="16"/>
                <w:b w:val="1"/>
                <w:bCs w:val="1"/>
                <w:color w:val="auto"/>
              </w:rPr>
              <w:t>Quarter Ended</w:t>
            </w:r>
          </w:p>
        </w:tc>
        <w:tc>
          <w:tcPr>
            <w:tcW w:w="1740" w:type="dxa"/>
            <w:vAlign w:val="bottom"/>
          </w:tcPr>
          <w:p>
            <w:pPr>
              <w:jc w:val="right"/>
              <w:ind w:right="1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76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Minimum rent</w:t>
            </w:r>
          </w:p>
        </w:tc>
        <w:tc>
          <w:tcPr>
            <w:tcW w:w="20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$78</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$237</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Percentage rent</w:t>
            </w:r>
          </w:p>
        </w:tc>
        <w:tc>
          <w:tcPr>
            <w:tcW w:w="2020" w:type="dxa"/>
            <w:vAlign w:val="bottom"/>
          </w:tcPr>
          <w:p>
            <w:pPr>
              <w:jc w:val="right"/>
              <w:ind w:right="199"/>
              <w:spacing w:after="0"/>
              <w:rPr>
                <w:sz w:val="20"/>
                <w:szCs w:val="20"/>
                <w:color w:val="auto"/>
              </w:rPr>
            </w:pPr>
            <w:r>
              <w:rPr>
                <w:rFonts w:ascii="Arial" w:cs="Arial" w:eastAsia="Arial" w:hAnsi="Arial"/>
                <w:sz w:val="16"/>
                <w:szCs w:val="16"/>
                <w:b w:val="1"/>
                <w:bCs w:val="1"/>
                <w:color w:val="auto"/>
              </w:rPr>
              <w:t>2</w:t>
            </w:r>
          </w:p>
        </w:tc>
        <w:tc>
          <w:tcPr>
            <w:tcW w:w="1740" w:type="dxa"/>
            <w:vAlign w:val="bottom"/>
          </w:tcPr>
          <w:p>
            <w:pPr>
              <w:jc w:val="right"/>
              <w:ind w:right="19"/>
              <w:spacing w:after="0"/>
              <w:rPr>
                <w:sz w:val="20"/>
                <w:szCs w:val="20"/>
                <w:color w:val="auto"/>
              </w:rPr>
            </w:pPr>
            <w:r>
              <w:rPr>
                <w:rFonts w:ascii="Arial" w:cs="Arial" w:eastAsia="Arial" w:hAnsi="Arial"/>
                <w:sz w:val="16"/>
                <w:szCs w:val="16"/>
                <w:b w:val="1"/>
                <w:bCs w:val="1"/>
                <w:color w:val="auto"/>
              </w:rPr>
              <w:t>7</w:t>
            </w:r>
          </w:p>
        </w:tc>
      </w:tr>
      <w:tr>
        <w:trPr>
          <w:trHeight w:val="33"/>
        </w:trPr>
        <w:tc>
          <w:tcPr>
            <w:tcW w:w="76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incentives</w:t>
            </w:r>
          </w:p>
        </w:tc>
        <w:tc>
          <w:tcPr>
            <w:tcW w:w="20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(20)</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w:t>
            </w:r>
          </w:p>
        </w:tc>
      </w:tr>
      <w:tr>
        <w:trPr>
          <w:trHeight w:val="231"/>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rent expense</w:t>
            </w:r>
          </w:p>
        </w:tc>
        <w:tc>
          <w:tcPr>
            <w:tcW w:w="202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$60</w:t>
            </w:r>
          </w:p>
        </w:tc>
        <w:tc>
          <w:tcPr>
            <w:tcW w:w="1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$184</w:t>
            </w:r>
          </w:p>
        </w:tc>
      </w:tr>
      <w:tr>
        <w:trPr>
          <w:trHeight w:val="33"/>
        </w:trPr>
        <w:tc>
          <w:tcPr>
            <w:tcW w:w="76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rent expense above does not include common area maintenance charges, real estate taxes and other executory costs, which were $38 for the quarter and $112 for the nine months ended November 3,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future minimum lease payments as of February 2, 2019, before adoption of the Lease Standard: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4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5280" w:type="dxa"/>
            <w:vAlign w:val="bottom"/>
          </w:tcPr>
          <w:p>
            <w:pPr>
              <w:jc w:val="right"/>
              <w:ind w:right="19"/>
              <w:spacing w:after="0"/>
              <w:rPr>
                <w:sz w:val="20"/>
                <w:szCs w:val="20"/>
                <w:color w:val="auto"/>
              </w:rPr>
            </w:pPr>
            <w:r>
              <w:rPr>
                <w:rFonts w:ascii="Arial" w:cs="Arial" w:eastAsia="Arial" w:hAnsi="Arial"/>
                <w:sz w:val="16"/>
                <w:szCs w:val="16"/>
                <w:b w:val="1"/>
                <w:bCs w:val="1"/>
                <w:color w:val="auto"/>
              </w:rPr>
              <w:t>Operating Leases</w:t>
            </w:r>
          </w:p>
        </w:tc>
      </w:tr>
      <w:tr>
        <w:trPr>
          <w:trHeight w:val="33"/>
        </w:trPr>
        <w:tc>
          <w:tcPr>
            <w:tcW w:w="614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5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$322</w:t>
            </w:r>
          </w:p>
        </w:tc>
      </w:tr>
      <w:tr>
        <w:trPr>
          <w:trHeight w:val="224"/>
        </w:trPr>
        <w:tc>
          <w:tcPr>
            <w:tcW w:w="6140" w:type="dxa"/>
            <w:vAlign w:val="bottom"/>
          </w:tcPr>
          <w:p>
            <w:pPr>
              <w:ind w:left="40"/>
              <w:spacing w:after="0"/>
              <w:rPr>
                <w:sz w:val="20"/>
                <w:szCs w:val="20"/>
                <w:color w:val="auto"/>
              </w:rPr>
            </w:pPr>
            <w:r>
              <w:rPr>
                <w:rFonts w:ascii="Arial" w:cs="Arial" w:eastAsia="Arial" w:hAnsi="Arial"/>
                <w:sz w:val="16"/>
                <w:szCs w:val="16"/>
                <w:color w:val="auto"/>
              </w:rPr>
              <w:t>2020</w:t>
            </w:r>
          </w:p>
        </w:tc>
        <w:tc>
          <w:tcPr>
            <w:tcW w:w="5280" w:type="dxa"/>
            <w:vAlign w:val="bottom"/>
          </w:tcPr>
          <w:p>
            <w:pPr>
              <w:jc w:val="right"/>
              <w:ind w:right="19"/>
              <w:spacing w:after="0"/>
              <w:rPr>
                <w:sz w:val="20"/>
                <w:szCs w:val="20"/>
                <w:color w:val="auto"/>
              </w:rPr>
            </w:pPr>
            <w:r>
              <w:rPr>
                <w:rFonts w:ascii="Arial" w:cs="Arial" w:eastAsia="Arial" w:hAnsi="Arial"/>
                <w:sz w:val="16"/>
                <w:szCs w:val="16"/>
                <w:b w:val="1"/>
                <w:bCs w:val="1"/>
                <w:color w:val="auto"/>
              </w:rPr>
              <w:t>313</w:t>
            </w:r>
          </w:p>
        </w:tc>
      </w:tr>
      <w:tr>
        <w:trPr>
          <w:trHeight w:val="33"/>
        </w:trPr>
        <w:tc>
          <w:tcPr>
            <w:tcW w:w="614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37"/>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5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294</w:t>
            </w:r>
          </w:p>
        </w:tc>
      </w:tr>
      <w:tr>
        <w:trPr>
          <w:trHeight w:val="224"/>
        </w:trPr>
        <w:tc>
          <w:tcPr>
            <w:tcW w:w="6140" w:type="dxa"/>
            <w:vAlign w:val="bottom"/>
          </w:tcPr>
          <w:p>
            <w:pPr>
              <w:ind w:left="40"/>
              <w:spacing w:after="0"/>
              <w:rPr>
                <w:sz w:val="20"/>
                <w:szCs w:val="20"/>
                <w:color w:val="auto"/>
              </w:rPr>
            </w:pPr>
            <w:r>
              <w:rPr>
                <w:rFonts w:ascii="Arial" w:cs="Arial" w:eastAsia="Arial" w:hAnsi="Arial"/>
                <w:sz w:val="16"/>
                <w:szCs w:val="16"/>
                <w:color w:val="auto"/>
              </w:rPr>
              <w:t>2022</w:t>
            </w:r>
          </w:p>
        </w:tc>
        <w:tc>
          <w:tcPr>
            <w:tcW w:w="5280" w:type="dxa"/>
            <w:vAlign w:val="bottom"/>
          </w:tcPr>
          <w:p>
            <w:pPr>
              <w:jc w:val="right"/>
              <w:ind w:right="19"/>
              <w:spacing w:after="0"/>
              <w:rPr>
                <w:sz w:val="20"/>
                <w:szCs w:val="20"/>
                <w:color w:val="auto"/>
              </w:rPr>
            </w:pPr>
            <w:r>
              <w:rPr>
                <w:rFonts w:ascii="Arial" w:cs="Arial" w:eastAsia="Arial" w:hAnsi="Arial"/>
                <w:sz w:val="16"/>
                <w:szCs w:val="16"/>
                <w:b w:val="1"/>
                <w:bCs w:val="1"/>
                <w:color w:val="auto"/>
              </w:rPr>
              <w:t>271</w:t>
            </w:r>
          </w:p>
        </w:tc>
      </w:tr>
      <w:tr>
        <w:trPr>
          <w:trHeight w:val="33"/>
        </w:trPr>
        <w:tc>
          <w:tcPr>
            <w:tcW w:w="614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37"/>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5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249</w:t>
            </w:r>
          </w:p>
        </w:tc>
      </w:tr>
      <w:tr>
        <w:trPr>
          <w:trHeight w:val="224"/>
        </w:trPr>
        <w:tc>
          <w:tcPr>
            <w:tcW w:w="614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5280" w:type="dxa"/>
            <w:vAlign w:val="bottom"/>
          </w:tcPr>
          <w:p>
            <w:pPr>
              <w:jc w:val="right"/>
              <w:ind w:right="19"/>
              <w:spacing w:after="0"/>
              <w:rPr>
                <w:sz w:val="20"/>
                <w:szCs w:val="20"/>
                <w:color w:val="auto"/>
              </w:rPr>
            </w:pPr>
            <w:r>
              <w:rPr>
                <w:rFonts w:ascii="Arial" w:cs="Arial" w:eastAsia="Arial" w:hAnsi="Arial"/>
                <w:sz w:val="16"/>
                <w:szCs w:val="16"/>
                <w:b w:val="1"/>
                <w:bCs w:val="1"/>
                <w:color w:val="auto"/>
              </w:rPr>
              <w:t>1,160</w:t>
            </w:r>
          </w:p>
        </w:tc>
      </w:tr>
      <w:tr>
        <w:trPr>
          <w:trHeight w:val="33"/>
        </w:trPr>
        <w:tc>
          <w:tcPr>
            <w:tcW w:w="614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minimum lease payments</w:t>
            </w:r>
          </w:p>
        </w:tc>
        <w:tc>
          <w:tcPr>
            <w:tcW w:w="5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$2,609</w:t>
            </w:r>
          </w:p>
        </w:tc>
      </w:tr>
      <w:tr>
        <w:trPr>
          <w:trHeight w:val="20"/>
        </w:trPr>
        <w:tc>
          <w:tcPr>
            <w:tcW w:w="6140" w:type="dxa"/>
            <w:vAlign w:val="bottom"/>
            <w:shd w:val="clear" w:color="auto" w:fill="000000"/>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of 28</w:t>
      </w:r>
    </w:p>
    <w:p>
      <w:pPr>
        <w:sectPr>
          <w:pgSz w:w="11900" w:h="16838" w:orient="portrait"/>
          <w:cols w:equalWidth="0" w:num="1">
            <w:col w:w="11420"/>
          </w:cols>
          <w:pgMar w:left="240" w:top="279"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Liabilities</w:t>
      </w:r>
    </w:p>
    <w:p>
      <w:pPr>
        <w:spacing w:after="0" w:line="27"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Contract liabilities represent our obligation to transfer goods or services to customers and include deferred revenue for The Nordy Club (including loyalty points and Nordstrom Notes) and gift cards. Our contract liabilities are classified as current on the Condensed Consolidated Balance Sheet and are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00" w:type="dxa"/>
            <w:vAlign w:val="bottom"/>
          </w:tcPr>
          <w:p>
            <w:pPr>
              <w:spacing w:after="0"/>
              <w:rPr>
                <w:sz w:val="18"/>
                <w:szCs w:val="18"/>
                <w:color w:val="auto"/>
              </w:rPr>
            </w:pPr>
          </w:p>
        </w:tc>
        <w:tc>
          <w:tcPr>
            <w:tcW w:w="5120" w:type="dxa"/>
            <w:vAlign w:val="bottom"/>
          </w:tcPr>
          <w:p>
            <w:pPr>
              <w:jc w:val="right"/>
              <w:ind w:right="19"/>
              <w:spacing w:after="0"/>
              <w:rPr>
                <w:sz w:val="20"/>
                <w:szCs w:val="20"/>
                <w:color w:val="auto"/>
              </w:rPr>
            </w:pPr>
            <w:r>
              <w:rPr>
                <w:rFonts w:ascii="Arial" w:cs="Arial" w:eastAsia="Arial" w:hAnsi="Arial"/>
                <w:sz w:val="16"/>
                <w:szCs w:val="16"/>
                <w:b w:val="1"/>
                <w:bCs w:val="1"/>
                <w:color w:val="auto"/>
              </w:rPr>
              <w:t>Contract Liabilities</w:t>
            </w:r>
          </w:p>
        </w:tc>
      </w:tr>
      <w:tr>
        <w:trPr>
          <w:trHeight w:val="33"/>
        </w:trPr>
        <w:tc>
          <w:tcPr>
            <w:tcW w:w="630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Opening balance as of February 4, 2018</w:t>
            </w:r>
          </w:p>
        </w:tc>
        <w:tc>
          <w:tcPr>
            <w:tcW w:w="5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w:t>
            </w:r>
          </w:p>
        </w:tc>
      </w:tr>
      <w:tr>
        <w:trPr>
          <w:trHeight w:val="224"/>
        </w:trPr>
        <w:tc>
          <w:tcPr>
            <w:tcW w:w="6300" w:type="dxa"/>
            <w:vAlign w:val="bottom"/>
          </w:tcPr>
          <w:p>
            <w:pPr>
              <w:ind w:left="40"/>
              <w:spacing w:after="0"/>
              <w:rPr>
                <w:sz w:val="20"/>
                <w:szCs w:val="20"/>
                <w:color w:val="auto"/>
              </w:rPr>
            </w:pPr>
            <w:r>
              <w:rPr>
                <w:rFonts w:ascii="Arial" w:cs="Arial" w:eastAsia="Arial" w:hAnsi="Arial"/>
                <w:sz w:val="16"/>
                <w:szCs w:val="16"/>
                <w:color w:val="auto"/>
              </w:rPr>
              <w:t>Balance as of May 5, 2018</w:t>
            </w:r>
          </w:p>
        </w:tc>
        <w:tc>
          <w:tcPr>
            <w:tcW w:w="5120" w:type="dxa"/>
            <w:vAlign w:val="bottom"/>
          </w:tcPr>
          <w:p>
            <w:pPr>
              <w:jc w:val="right"/>
              <w:ind w:right="19"/>
              <w:spacing w:after="0"/>
              <w:rPr>
                <w:sz w:val="20"/>
                <w:szCs w:val="20"/>
                <w:color w:val="auto"/>
              </w:rPr>
            </w:pPr>
            <w:r>
              <w:rPr>
                <w:rFonts w:ascii="Arial" w:cs="Arial" w:eastAsia="Arial" w:hAnsi="Arial"/>
                <w:sz w:val="16"/>
                <w:szCs w:val="16"/>
                <w:color w:val="auto"/>
              </w:rPr>
              <w:t>460</w:t>
            </w:r>
          </w:p>
        </w:tc>
      </w:tr>
      <w:tr>
        <w:trPr>
          <w:trHeight w:val="33"/>
        </w:trPr>
        <w:tc>
          <w:tcPr>
            <w:tcW w:w="6300" w:type="dxa"/>
            <w:vAlign w:val="bottom"/>
          </w:tcPr>
          <w:p>
            <w:pPr>
              <w:spacing w:after="0"/>
              <w:rPr>
                <w:sz w:val="2"/>
                <w:szCs w:val="2"/>
                <w:color w:val="auto"/>
              </w:rPr>
            </w:pPr>
          </w:p>
        </w:tc>
        <w:tc>
          <w:tcPr>
            <w:tcW w:w="5120" w:type="dxa"/>
            <w:vAlign w:val="bottom"/>
          </w:tcPr>
          <w:p>
            <w:pPr>
              <w:spacing w:after="0"/>
              <w:rPr>
                <w:sz w:val="2"/>
                <w:szCs w:val="2"/>
                <w:color w:val="auto"/>
              </w:rPr>
            </w:pPr>
          </w:p>
        </w:tc>
      </w:tr>
      <w:tr>
        <w:trPr>
          <w:trHeight w:val="23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August 4, 2018</w:t>
            </w:r>
          </w:p>
        </w:tc>
        <w:tc>
          <w:tcPr>
            <w:tcW w:w="5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w:t>
            </w:r>
          </w:p>
        </w:tc>
      </w:tr>
      <w:tr>
        <w:trPr>
          <w:trHeight w:val="224"/>
        </w:trPr>
        <w:tc>
          <w:tcPr>
            <w:tcW w:w="6300" w:type="dxa"/>
            <w:vAlign w:val="bottom"/>
          </w:tcPr>
          <w:p>
            <w:pPr>
              <w:ind w:left="40"/>
              <w:spacing w:after="0"/>
              <w:rPr>
                <w:sz w:val="20"/>
                <w:szCs w:val="20"/>
                <w:color w:val="auto"/>
              </w:rPr>
            </w:pPr>
            <w:r>
              <w:rPr>
                <w:rFonts w:ascii="Arial" w:cs="Arial" w:eastAsia="Arial" w:hAnsi="Arial"/>
                <w:sz w:val="16"/>
                <w:szCs w:val="16"/>
                <w:color w:val="auto"/>
              </w:rPr>
              <w:t>Balance as of November 3, 2018</w:t>
            </w:r>
          </w:p>
        </w:tc>
        <w:tc>
          <w:tcPr>
            <w:tcW w:w="5120" w:type="dxa"/>
            <w:vAlign w:val="bottom"/>
          </w:tcPr>
          <w:p>
            <w:pPr>
              <w:jc w:val="right"/>
              <w:ind w:right="19"/>
              <w:spacing w:after="0"/>
              <w:rPr>
                <w:sz w:val="20"/>
                <w:szCs w:val="20"/>
                <w:color w:val="auto"/>
              </w:rPr>
            </w:pPr>
            <w:r>
              <w:rPr>
                <w:rFonts w:ascii="Arial" w:cs="Arial" w:eastAsia="Arial" w:hAnsi="Arial"/>
                <w:sz w:val="16"/>
                <w:szCs w:val="16"/>
                <w:color w:val="auto"/>
              </w:rPr>
              <w:t>450</w:t>
            </w:r>
          </w:p>
        </w:tc>
      </w:tr>
      <w:tr>
        <w:trPr>
          <w:trHeight w:val="33"/>
        </w:trPr>
        <w:tc>
          <w:tcPr>
            <w:tcW w:w="6300" w:type="dxa"/>
            <w:vAlign w:val="bottom"/>
          </w:tcPr>
          <w:p>
            <w:pPr>
              <w:spacing w:after="0"/>
              <w:rPr>
                <w:sz w:val="2"/>
                <w:szCs w:val="2"/>
                <w:color w:val="auto"/>
              </w:rPr>
            </w:pPr>
          </w:p>
        </w:tc>
        <w:tc>
          <w:tcPr>
            <w:tcW w:w="5120" w:type="dxa"/>
            <w:vAlign w:val="bottom"/>
          </w:tcPr>
          <w:p>
            <w:pPr>
              <w:spacing w:after="0"/>
              <w:rPr>
                <w:sz w:val="2"/>
                <w:szCs w:val="2"/>
                <w:color w:val="auto"/>
              </w:rPr>
            </w:pPr>
          </w:p>
        </w:tc>
      </w:tr>
      <w:tr>
        <w:trPr>
          <w:trHeight w:val="297"/>
        </w:trPr>
        <w:tc>
          <w:tcPr>
            <w:tcW w:w="6300" w:type="dxa"/>
            <w:vAlign w:val="bottom"/>
            <w:shd w:val="clear" w:color="auto" w:fill="CCEEFF"/>
          </w:tcPr>
          <w:p>
            <w:pPr>
              <w:spacing w:after="0"/>
              <w:rPr>
                <w:sz w:val="24"/>
                <w:szCs w:val="24"/>
                <w:color w:val="auto"/>
              </w:rPr>
            </w:pPr>
          </w:p>
        </w:tc>
        <w:tc>
          <w:tcPr>
            <w:tcW w:w="5120" w:type="dxa"/>
            <w:vAlign w:val="bottom"/>
            <w:shd w:val="clear" w:color="auto" w:fill="CCEEFF"/>
          </w:tcPr>
          <w:p>
            <w:pPr>
              <w:spacing w:after="0"/>
              <w:rPr>
                <w:sz w:val="24"/>
                <w:szCs w:val="24"/>
                <w:color w:val="auto"/>
              </w:rPr>
            </w:pPr>
          </w:p>
        </w:tc>
      </w:tr>
      <w:tr>
        <w:trPr>
          <w:trHeight w:val="224"/>
        </w:trPr>
        <w:tc>
          <w:tcPr>
            <w:tcW w:w="6300" w:type="dxa"/>
            <w:vAlign w:val="bottom"/>
          </w:tcPr>
          <w:p>
            <w:pPr>
              <w:ind w:left="40"/>
              <w:spacing w:after="0"/>
              <w:rPr>
                <w:sz w:val="20"/>
                <w:szCs w:val="20"/>
                <w:color w:val="auto"/>
              </w:rPr>
            </w:pPr>
            <w:r>
              <w:rPr>
                <w:rFonts w:ascii="Arial" w:cs="Arial" w:eastAsia="Arial" w:hAnsi="Arial"/>
                <w:sz w:val="16"/>
                <w:szCs w:val="16"/>
                <w:color w:val="auto"/>
              </w:rPr>
              <w:t>Balance as of February 2, 2019</w:t>
            </w:r>
          </w:p>
        </w:tc>
        <w:tc>
          <w:tcPr>
            <w:tcW w:w="5120" w:type="dxa"/>
            <w:vAlign w:val="bottom"/>
          </w:tcPr>
          <w:p>
            <w:pPr>
              <w:jc w:val="right"/>
              <w:ind w:right="19"/>
              <w:spacing w:after="0"/>
              <w:rPr>
                <w:sz w:val="20"/>
                <w:szCs w:val="20"/>
                <w:color w:val="auto"/>
              </w:rPr>
            </w:pPr>
            <w:r>
              <w:rPr>
                <w:rFonts w:ascii="Arial" w:cs="Arial" w:eastAsia="Arial" w:hAnsi="Arial"/>
                <w:sz w:val="16"/>
                <w:szCs w:val="16"/>
                <w:color w:val="auto"/>
              </w:rPr>
              <w:t>548</w:t>
            </w:r>
          </w:p>
        </w:tc>
      </w:tr>
      <w:tr>
        <w:trPr>
          <w:trHeight w:val="33"/>
        </w:trPr>
        <w:tc>
          <w:tcPr>
            <w:tcW w:w="6300" w:type="dxa"/>
            <w:vAlign w:val="bottom"/>
          </w:tcPr>
          <w:p>
            <w:pPr>
              <w:spacing w:after="0"/>
              <w:rPr>
                <w:sz w:val="2"/>
                <w:szCs w:val="2"/>
                <w:color w:val="auto"/>
              </w:rPr>
            </w:pPr>
          </w:p>
        </w:tc>
        <w:tc>
          <w:tcPr>
            <w:tcW w:w="5120" w:type="dxa"/>
            <w:vAlign w:val="bottom"/>
          </w:tcPr>
          <w:p>
            <w:pPr>
              <w:spacing w:after="0"/>
              <w:rPr>
                <w:sz w:val="2"/>
                <w:szCs w:val="2"/>
                <w:color w:val="auto"/>
              </w:rPr>
            </w:pPr>
          </w:p>
        </w:tc>
      </w:tr>
      <w:tr>
        <w:trPr>
          <w:trHeight w:val="23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May 4, 2019</w:t>
            </w:r>
          </w:p>
        </w:tc>
        <w:tc>
          <w:tcPr>
            <w:tcW w:w="5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w:t>
            </w:r>
          </w:p>
        </w:tc>
      </w:tr>
      <w:tr>
        <w:trPr>
          <w:trHeight w:val="224"/>
        </w:trPr>
        <w:tc>
          <w:tcPr>
            <w:tcW w:w="6300" w:type="dxa"/>
            <w:vAlign w:val="bottom"/>
          </w:tcPr>
          <w:p>
            <w:pPr>
              <w:ind w:left="40"/>
              <w:spacing w:after="0"/>
              <w:rPr>
                <w:sz w:val="20"/>
                <w:szCs w:val="20"/>
                <w:color w:val="auto"/>
              </w:rPr>
            </w:pPr>
            <w:r>
              <w:rPr>
                <w:rFonts w:ascii="Arial" w:cs="Arial" w:eastAsia="Arial" w:hAnsi="Arial"/>
                <w:sz w:val="16"/>
                <w:szCs w:val="16"/>
                <w:color w:val="auto"/>
              </w:rPr>
              <w:t>Balance as of August 3, 2019</w:t>
            </w:r>
          </w:p>
        </w:tc>
        <w:tc>
          <w:tcPr>
            <w:tcW w:w="5120" w:type="dxa"/>
            <w:vAlign w:val="bottom"/>
          </w:tcPr>
          <w:p>
            <w:pPr>
              <w:jc w:val="right"/>
              <w:ind w:right="19"/>
              <w:spacing w:after="0"/>
              <w:rPr>
                <w:sz w:val="20"/>
                <w:szCs w:val="20"/>
                <w:color w:val="auto"/>
              </w:rPr>
            </w:pPr>
            <w:r>
              <w:rPr>
                <w:rFonts w:ascii="Arial" w:cs="Arial" w:eastAsia="Arial" w:hAnsi="Arial"/>
                <w:sz w:val="16"/>
                <w:szCs w:val="16"/>
                <w:color w:val="auto"/>
              </w:rPr>
              <w:t>488</w:t>
            </w:r>
          </w:p>
        </w:tc>
      </w:tr>
      <w:tr>
        <w:trPr>
          <w:trHeight w:val="33"/>
        </w:trPr>
        <w:tc>
          <w:tcPr>
            <w:tcW w:w="6300" w:type="dxa"/>
            <w:vAlign w:val="bottom"/>
          </w:tcPr>
          <w:p>
            <w:pPr>
              <w:spacing w:after="0"/>
              <w:rPr>
                <w:sz w:val="2"/>
                <w:szCs w:val="2"/>
                <w:color w:val="auto"/>
              </w:rPr>
            </w:pPr>
          </w:p>
        </w:tc>
        <w:tc>
          <w:tcPr>
            <w:tcW w:w="5120" w:type="dxa"/>
            <w:vAlign w:val="bottom"/>
          </w:tcPr>
          <w:p>
            <w:pPr>
              <w:spacing w:after="0"/>
              <w:rPr>
                <w:sz w:val="2"/>
                <w:szCs w:val="2"/>
                <w:color w:val="auto"/>
              </w:rPr>
            </w:pPr>
          </w:p>
        </w:tc>
      </w:tr>
      <w:tr>
        <w:trPr>
          <w:trHeight w:val="23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November 2, 2019</w:t>
            </w:r>
          </w:p>
        </w:tc>
        <w:tc>
          <w:tcPr>
            <w:tcW w:w="5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483</w:t>
            </w:r>
          </w:p>
        </w:tc>
      </w:tr>
      <w:tr>
        <w:trPr>
          <w:trHeight w:val="20"/>
        </w:trPr>
        <w:tc>
          <w:tcPr>
            <w:tcW w:w="6300" w:type="dxa"/>
            <w:vAlign w:val="bottom"/>
            <w:shd w:val="clear" w:color="auto" w:fill="000000"/>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r>
    </w:tbl>
    <w:p>
      <w:pPr>
        <w:spacing w:after="0" w:line="36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Revenues recognized from our beginning contract liability balance were $110 and $269 for the quarter and nine months ended November 2, 2019 and $116 and $272 for the quarter and nine months ended November 3,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disaggregated net sales: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4060" w:type="dxa"/>
            <w:vAlign w:val="bottom"/>
            <w:gridSpan w:val="3"/>
          </w:tcPr>
          <w:p>
            <w:pPr>
              <w:ind w:left="1460"/>
              <w:spacing w:after="0"/>
              <w:rPr>
                <w:sz w:val="20"/>
                <w:szCs w:val="20"/>
                <w:color w:val="auto"/>
              </w:rPr>
            </w:pPr>
            <w:r>
              <w:rPr>
                <w:rFonts w:ascii="Arial" w:cs="Arial" w:eastAsia="Arial" w:hAnsi="Arial"/>
                <w:sz w:val="16"/>
                <w:szCs w:val="16"/>
                <w:b w:val="1"/>
                <w:bCs w:val="1"/>
                <w:color w:val="auto"/>
              </w:rPr>
              <w:t>Quarter Ended</w:t>
            </w:r>
          </w:p>
        </w:tc>
        <w:tc>
          <w:tcPr>
            <w:tcW w:w="3980" w:type="dxa"/>
            <w:vAlign w:val="bottom"/>
            <w:gridSpan w:val="2"/>
          </w:tcPr>
          <w:p>
            <w:pPr>
              <w:jc w:val="right"/>
              <w:ind w:right="119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38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1"/>
        </w:trPr>
        <w:tc>
          <w:tcPr>
            <w:tcW w:w="3380" w:type="dxa"/>
            <w:vAlign w:val="bottom"/>
          </w:tcPr>
          <w:p>
            <w:pPr>
              <w:spacing w:after="0"/>
              <w:rPr>
                <w:sz w:val="20"/>
                <w:szCs w:val="20"/>
                <w:color w:val="auto"/>
              </w:rPr>
            </w:pPr>
          </w:p>
        </w:tc>
        <w:tc>
          <w:tcPr>
            <w:tcW w:w="2100" w:type="dxa"/>
            <w:vAlign w:val="bottom"/>
          </w:tcPr>
          <w:p>
            <w:pPr>
              <w:jc w:val="right"/>
              <w:ind w:right="399"/>
              <w:spacing w:after="0"/>
              <w:rPr>
                <w:sz w:val="20"/>
                <w:szCs w:val="20"/>
                <w:color w:val="auto"/>
              </w:rPr>
            </w:pPr>
            <w:r>
              <w:rPr>
                <w:rFonts w:ascii="Arial" w:cs="Arial" w:eastAsia="Arial" w:hAnsi="Arial"/>
                <w:sz w:val="16"/>
                <w:szCs w:val="16"/>
                <w:b w:val="1"/>
                <w:bCs w:val="1"/>
                <w:color w:val="auto"/>
              </w:rPr>
              <w:t>November 2, 2019</w:t>
            </w:r>
          </w:p>
        </w:tc>
        <w:tc>
          <w:tcPr>
            <w:tcW w:w="1960" w:type="dxa"/>
            <w:vAlign w:val="bottom"/>
            <w:gridSpan w:val="2"/>
          </w:tcPr>
          <w:p>
            <w:pPr>
              <w:ind w:left="320"/>
              <w:spacing w:after="0"/>
              <w:rPr>
                <w:sz w:val="20"/>
                <w:szCs w:val="20"/>
                <w:color w:val="auto"/>
              </w:rPr>
            </w:pPr>
            <w:r>
              <w:rPr>
                <w:rFonts w:ascii="Arial" w:cs="Arial" w:eastAsia="Arial" w:hAnsi="Arial"/>
                <w:sz w:val="16"/>
                <w:szCs w:val="16"/>
                <w:b w:val="1"/>
                <w:bCs w:val="1"/>
                <w:color w:val="auto"/>
              </w:rPr>
              <w:t>November 3, 2018</w:t>
            </w:r>
          </w:p>
        </w:tc>
        <w:tc>
          <w:tcPr>
            <w:tcW w:w="2120" w:type="dxa"/>
            <w:vAlign w:val="bottom"/>
          </w:tcPr>
          <w:p>
            <w:pPr>
              <w:jc w:val="right"/>
              <w:ind w:right="399"/>
              <w:spacing w:after="0"/>
              <w:rPr>
                <w:sz w:val="20"/>
                <w:szCs w:val="20"/>
                <w:color w:val="auto"/>
              </w:rPr>
            </w:pPr>
            <w:r>
              <w:rPr>
                <w:rFonts w:ascii="Arial" w:cs="Arial" w:eastAsia="Arial" w:hAnsi="Arial"/>
                <w:sz w:val="16"/>
                <w:szCs w:val="16"/>
                <w:b w:val="1"/>
                <w:bCs w:val="1"/>
                <w:color w:val="auto"/>
              </w:rPr>
              <w:t>November 2, 2019</w:t>
            </w:r>
          </w:p>
        </w:tc>
        <w:tc>
          <w:tcPr>
            <w:tcW w:w="1860" w:type="dxa"/>
            <w:vAlign w:val="bottom"/>
          </w:tcPr>
          <w:p>
            <w:pPr>
              <w:jc w:val="right"/>
              <w:ind w:right="219"/>
              <w:spacing w:after="0"/>
              <w:rPr>
                <w:sz w:val="20"/>
                <w:szCs w:val="20"/>
                <w:color w:val="auto"/>
              </w:rPr>
            </w:pPr>
            <w:r>
              <w:rPr>
                <w:rFonts w:ascii="Arial" w:cs="Arial" w:eastAsia="Arial" w:hAnsi="Arial"/>
                <w:sz w:val="16"/>
                <w:szCs w:val="16"/>
                <w:b w:val="1"/>
                <w:bCs w:val="1"/>
                <w:color w:val="auto"/>
              </w:rPr>
              <w:t>November 3, 2018</w:t>
            </w:r>
          </w:p>
        </w:tc>
      </w:tr>
      <w:tr>
        <w:trPr>
          <w:trHeight w:val="33"/>
        </w:trPr>
        <w:tc>
          <w:tcPr>
            <w:tcW w:w="3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Full-Price</w:t>
            </w:r>
          </w:p>
        </w:tc>
        <w:tc>
          <w:tcPr>
            <w:tcW w:w="21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$2,270</w:t>
            </w:r>
          </w:p>
        </w:tc>
        <w:tc>
          <w:tcPr>
            <w:tcW w:w="18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$2,367</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$6,928</w:t>
            </w:r>
          </w:p>
        </w:tc>
        <w:tc>
          <w:tcPr>
            <w:tcW w:w="18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$7,314</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Off-Price</w:t>
            </w:r>
          </w:p>
        </w:tc>
        <w:tc>
          <w:tcPr>
            <w:tcW w:w="2100" w:type="dxa"/>
            <w:vAlign w:val="bottom"/>
          </w:tcPr>
          <w:p>
            <w:pPr>
              <w:jc w:val="right"/>
              <w:ind w:right="399"/>
              <w:spacing w:after="0"/>
              <w:rPr>
                <w:sz w:val="20"/>
                <w:szCs w:val="20"/>
                <w:color w:val="auto"/>
              </w:rPr>
            </w:pPr>
            <w:r>
              <w:rPr>
                <w:rFonts w:ascii="Arial" w:cs="Arial" w:eastAsia="Arial" w:hAnsi="Arial"/>
                <w:sz w:val="16"/>
                <w:szCs w:val="16"/>
                <w:b w:val="1"/>
                <w:bCs w:val="1"/>
                <w:color w:val="auto"/>
              </w:rPr>
              <w:t>1,296</w:t>
            </w:r>
          </w:p>
        </w:tc>
        <w:tc>
          <w:tcPr>
            <w:tcW w:w="1860" w:type="dxa"/>
            <w:vAlign w:val="bottom"/>
          </w:tcPr>
          <w:p>
            <w:pPr>
              <w:jc w:val="right"/>
              <w:ind w:right="219"/>
              <w:spacing w:after="0"/>
              <w:rPr>
                <w:sz w:val="20"/>
                <w:szCs w:val="20"/>
                <w:color w:val="auto"/>
              </w:rPr>
            </w:pPr>
            <w:r>
              <w:rPr>
                <w:rFonts w:ascii="Arial" w:cs="Arial" w:eastAsia="Arial" w:hAnsi="Arial"/>
                <w:sz w:val="16"/>
                <w:szCs w:val="16"/>
                <w:color w:val="auto"/>
              </w:rPr>
              <w:t>1,281</w:t>
            </w:r>
          </w:p>
        </w:tc>
        <w:tc>
          <w:tcPr>
            <w:tcW w:w="100" w:type="dxa"/>
            <w:vAlign w:val="bottom"/>
          </w:tcPr>
          <w:p>
            <w:pPr>
              <w:spacing w:after="0"/>
              <w:rPr>
                <w:sz w:val="20"/>
                <w:szCs w:val="20"/>
                <w:color w:val="auto"/>
              </w:rPr>
            </w:pPr>
          </w:p>
        </w:tc>
        <w:tc>
          <w:tcPr>
            <w:tcW w:w="2120" w:type="dxa"/>
            <w:vAlign w:val="bottom"/>
          </w:tcPr>
          <w:p>
            <w:pPr>
              <w:jc w:val="right"/>
              <w:ind w:right="399"/>
              <w:spacing w:after="0"/>
              <w:rPr>
                <w:sz w:val="20"/>
                <w:szCs w:val="20"/>
                <w:color w:val="auto"/>
              </w:rPr>
            </w:pPr>
            <w:r>
              <w:rPr>
                <w:rFonts w:ascii="Arial" w:cs="Arial" w:eastAsia="Arial" w:hAnsi="Arial"/>
                <w:sz w:val="16"/>
                <w:szCs w:val="16"/>
                <w:b w:val="1"/>
                <w:bCs w:val="1"/>
                <w:color w:val="auto"/>
              </w:rPr>
              <w:t>3,766</w:t>
            </w:r>
          </w:p>
        </w:tc>
        <w:tc>
          <w:tcPr>
            <w:tcW w:w="1860" w:type="dxa"/>
            <w:vAlign w:val="bottom"/>
          </w:tcPr>
          <w:p>
            <w:pPr>
              <w:jc w:val="right"/>
              <w:ind w:right="219"/>
              <w:spacing w:after="0"/>
              <w:rPr>
                <w:sz w:val="20"/>
                <w:szCs w:val="20"/>
                <w:color w:val="auto"/>
              </w:rPr>
            </w:pPr>
            <w:r>
              <w:rPr>
                <w:rFonts w:ascii="Arial" w:cs="Arial" w:eastAsia="Arial" w:hAnsi="Arial"/>
                <w:sz w:val="16"/>
                <w:szCs w:val="16"/>
                <w:color w:val="auto"/>
              </w:rPr>
              <w:t>3,783</w:t>
            </w:r>
          </w:p>
        </w:tc>
      </w:tr>
      <w:tr>
        <w:trPr>
          <w:trHeight w:val="33"/>
        </w:trPr>
        <w:tc>
          <w:tcPr>
            <w:tcW w:w="3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net sales</w:t>
            </w:r>
          </w:p>
        </w:tc>
        <w:tc>
          <w:tcPr>
            <w:tcW w:w="21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$3,566</w:t>
            </w:r>
          </w:p>
        </w:tc>
        <w:tc>
          <w:tcPr>
            <w:tcW w:w="18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$3,648</w:t>
            </w:r>
          </w:p>
        </w:tc>
        <w:tc>
          <w:tcPr>
            <w:tcW w:w="10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$10,694</w:t>
            </w:r>
          </w:p>
        </w:tc>
        <w:tc>
          <w:tcPr>
            <w:tcW w:w="18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$11,097</w:t>
            </w:r>
          </w:p>
        </w:tc>
      </w:tr>
      <w:tr>
        <w:trPr>
          <w:trHeight w:val="291"/>
        </w:trPr>
        <w:tc>
          <w:tcPr>
            <w:tcW w:w="338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r>
      <w:tr>
        <w:trPr>
          <w:trHeight w:val="270"/>
        </w:trPr>
        <w:tc>
          <w:tcPr>
            <w:tcW w:w="3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Digital sales as a % of total net sales</w:t>
            </w:r>
            <w:r>
              <w:rPr>
                <w:rFonts w:ascii="Arial" w:cs="Arial" w:eastAsia="Arial" w:hAnsi="Arial"/>
                <w:sz w:val="21"/>
                <w:szCs w:val="21"/>
                <w:color w:val="auto"/>
                <w:vertAlign w:val="superscript"/>
              </w:rPr>
              <w:t>1</w:t>
            </w:r>
          </w:p>
        </w:tc>
        <w:tc>
          <w:tcPr>
            <w:tcW w:w="21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34%</w:t>
            </w:r>
          </w:p>
        </w:tc>
        <w:tc>
          <w:tcPr>
            <w:tcW w:w="1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auto"/>
            </w:tcBorders>
            <w:shd w:val="clear" w:color="auto" w:fill="CCEEFF"/>
          </w:tcPr>
          <w:p>
            <w:pPr>
              <w:spacing w:after="0"/>
              <w:rPr>
                <w:sz w:val="23"/>
                <w:szCs w:val="23"/>
                <w:color w:val="auto"/>
              </w:rPr>
            </w:pPr>
          </w:p>
        </w:tc>
        <w:tc>
          <w:tcPr>
            <w:tcW w:w="21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32%</w:t>
            </w:r>
          </w:p>
        </w:tc>
        <w:tc>
          <w:tcPr>
            <w:tcW w:w="1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29%</w:t>
            </w:r>
          </w:p>
        </w:tc>
      </w:tr>
    </w:tbl>
    <w:p>
      <w:pPr>
        <w:spacing w:after="0" w:line="197" w:lineRule="exact"/>
        <w:rPr>
          <w:sz w:val="20"/>
          <w:szCs w:val="20"/>
          <w:color w:val="auto"/>
        </w:rPr>
      </w:pPr>
    </w:p>
    <w:p>
      <w:pPr>
        <w:ind w:left="80" w:right="320" w:hanging="72"/>
        <w:spacing w:after="0" w:line="312" w:lineRule="auto"/>
        <w:tabs>
          <w:tab w:leader="none" w:pos="102" w:val="left"/>
        </w:tabs>
        <w:numPr>
          <w:ilvl w:val="0"/>
          <w:numId w:val="10"/>
        </w:numPr>
        <w:rPr>
          <w:rFonts w:ascii="Arial" w:cs="Arial" w:eastAsia="Arial" w:hAnsi="Arial"/>
          <w:sz w:val="8"/>
          <w:szCs w:val="8"/>
          <w:color w:val="auto"/>
        </w:rPr>
      </w:pPr>
      <w:r>
        <w:rPr>
          <w:rFonts w:ascii="Arial" w:cs="Arial" w:eastAsia="Arial" w:hAnsi="Arial"/>
          <w:sz w:val="13"/>
          <w:szCs w:val="13"/>
          <w:color w:val="auto"/>
        </w:rPr>
        <w:t>In 2019, we updated our digital sales calculation to include accounting adjustments consistent with our net sales calculation. Prior year amounts have been reclassified to conform with current period presentation. We do not expect this change to be material for the full year, though some timing differences occurred between the second and third quarters.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percent of net sales by merchandise category: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3920" w:type="dxa"/>
            <w:vAlign w:val="bottom"/>
            <w:gridSpan w:val="3"/>
          </w:tcPr>
          <w:p>
            <w:pPr>
              <w:ind w:left="1400"/>
              <w:spacing w:after="0"/>
              <w:rPr>
                <w:sz w:val="20"/>
                <w:szCs w:val="20"/>
                <w:color w:val="auto"/>
              </w:rPr>
            </w:pPr>
            <w:r>
              <w:rPr>
                <w:rFonts w:ascii="Arial" w:cs="Arial" w:eastAsia="Arial" w:hAnsi="Arial"/>
                <w:sz w:val="16"/>
                <w:szCs w:val="16"/>
                <w:b w:val="1"/>
                <w:bCs w:val="1"/>
                <w:color w:val="auto"/>
              </w:rPr>
              <w:t>Quarter Ended</w:t>
            </w:r>
          </w:p>
        </w:tc>
        <w:tc>
          <w:tcPr>
            <w:tcW w:w="3840" w:type="dxa"/>
            <w:vAlign w:val="bottom"/>
            <w:gridSpan w:val="2"/>
          </w:tcPr>
          <w:p>
            <w:pPr>
              <w:jc w:val="right"/>
              <w:ind w:right="113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66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3660" w:type="dxa"/>
            <w:vAlign w:val="bottom"/>
          </w:tcPr>
          <w:p>
            <w:pPr>
              <w:spacing w:after="0"/>
              <w:rPr>
                <w:sz w:val="20"/>
                <w:szCs w:val="20"/>
                <w:color w:val="auto"/>
              </w:rPr>
            </w:pPr>
          </w:p>
        </w:tc>
        <w:tc>
          <w:tcPr>
            <w:tcW w:w="2120" w:type="dxa"/>
            <w:vAlign w:val="bottom"/>
          </w:tcPr>
          <w:p>
            <w:pPr>
              <w:jc w:val="right"/>
              <w:ind w:right="379"/>
              <w:spacing w:after="0"/>
              <w:rPr>
                <w:sz w:val="20"/>
                <w:szCs w:val="20"/>
                <w:color w:val="auto"/>
              </w:rPr>
            </w:pPr>
            <w:r>
              <w:rPr>
                <w:rFonts w:ascii="Arial" w:cs="Arial" w:eastAsia="Arial" w:hAnsi="Arial"/>
                <w:sz w:val="16"/>
                <w:szCs w:val="16"/>
                <w:b w:val="1"/>
                <w:bCs w:val="1"/>
                <w:color w:val="auto"/>
              </w:rPr>
              <w:t>November 2, 2019</w:t>
            </w:r>
          </w:p>
        </w:tc>
        <w:tc>
          <w:tcPr>
            <w:tcW w:w="1800" w:type="dxa"/>
            <w:vAlign w:val="bottom"/>
            <w:gridSpan w:val="2"/>
          </w:tcPr>
          <w:p>
            <w:pPr>
              <w:ind w:left="300"/>
              <w:spacing w:after="0"/>
              <w:rPr>
                <w:sz w:val="20"/>
                <w:szCs w:val="20"/>
                <w:color w:val="auto"/>
              </w:rPr>
            </w:pPr>
            <w:r>
              <w:rPr>
                <w:rFonts w:ascii="Arial" w:cs="Arial" w:eastAsia="Arial" w:hAnsi="Arial"/>
                <w:sz w:val="16"/>
                <w:szCs w:val="16"/>
                <w:b w:val="1"/>
                <w:bCs w:val="1"/>
                <w:color w:val="auto"/>
              </w:rPr>
              <w:t>November 3, 2018</w:t>
            </w:r>
          </w:p>
        </w:tc>
        <w:tc>
          <w:tcPr>
            <w:tcW w:w="2140" w:type="dxa"/>
            <w:vAlign w:val="bottom"/>
          </w:tcPr>
          <w:p>
            <w:pPr>
              <w:jc w:val="right"/>
              <w:ind w:right="359"/>
              <w:spacing w:after="0"/>
              <w:rPr>
                <w:sz w:val="20"/>
                <w:szCs w:val="20"/>
                <w:color w:val="auto"/>
              </w:rPr>
            </w:pPr>
            <w:r>
              <w:rPr>
                <w:rFonts w:ascii="Arial" w:cs="Arial" w:eastAsia="Arial" w:hAnsi="Arial"/>
                <w:sz w:val="16"/>
                <w:szCs w:val="16"/>
                <w:b w:val="1"/>
                <w:bCs w:val="1"/>
                <w:color w:val="auto"/>
              </w:rPr>
              <w:t>November 2, 2019</w:t>
            </w:r>
          </w:p>
        </w:tc>
        <w:tc>
          <w:tcPr>
            <w:tcW w:w="1700" w:type="dxa"/>
            <w:vAlign w:val="bottom"/>
          </w:tcPr>
          <w:p>
            <w:pPr>
              <w:jc w:val="right"/>
              <w:ind w:right="79"/>
              <w:spacing w:after="0"/>
              <w:rPr>
                <w:sz w:val="20"/>
                <w:szCs w:val="20"/>
                <w:color w:val="auto"/>
              </w:rPr>
            </w:pPr>
            <w:r>
              <w:rPr>
                <w:rFonts w:ascii="Arial" w:cs="Arial" w:eastAsia="Arial" w:hAnsi="Arial"/>
                <w:sz w:val="16"/>
                <w:szCs w:val="16"/>
                <w:b w:val="1"/>
                <w:bCs w:val="1"/>
                <w:color w:val="auto"/>
              </w:rPr>
              <w:t>November 3, 2018</w:t>
            </w:r>
          </w:p>
        </w:tc>
      </w:tr>
      <w:tr>
        <w:trPr>
          <w:trHeight w:val="33"/>
        </w:trPr>
        <w:tc>
          <w:tcPr>
            <w:tcW w:w="36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Women’s Apparel</w:t>
            </w:r>
          </w:p>
        </w:tc>
        <w:tc>
          <w:tcPr>
            <w:tcW w:w="21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32%</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33%</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Shoes</w:t>
            </w:r>
          </w:p>
        </w:tc>
        <w:tc>
          <w:tcPr>
            <w:tcW w:w="2120" w:type="dxa"/>
            <w:vAlign w:val="bottom"/>
          </w:tcPr>
          <w:p>
            <w:pPr>
              <w:jc w:val="right"/>
              <w:ind w:right="199"/>
              <w:spacing w:after="0"/>
              <w:rPr>
                <w:sz w:val="20"/>
                <w:szCs w:val="20"/>
                <w:color w:val="auto"/>
              </w:rPr>
            </w:pPr>
            <w:r>
              <w:rPr>
                <w:rFonts w:ascii="Arial" w:cs="Arial" w:eastAsia="Arial" w:hAnsi="Arial"/>
                <w:sz w:val="16"/>
                <w:szCs w:val="16"/>
                <w:b w:val="1"/>
                <w:bCs w:val="1"/>
                <w:color w:val="auto"/>
              </w:rPr>
              <w:t>25%</w:t>
            </w:r>
          </w:p>
        </w:tc>
        <w:tc>
          <w:tcPr>
            <w:tcW w:w="17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2140" w:type="dxa"/>
            <w:vAlign w:val="bottom"/>
          </w:tcPr>
          <w:p>
            <w:pPr>
              <w:jc w:val="right"/>
              <w:ind w:right="199"/>
              <w:spacing w:after="0"/>
              <w:rPr>
                <w:sz w:val="20"/>
                <w:szCs w:val="20"/>
                <w:color w:val="auto"/>
              </w:rPr>
            </w:pPr>
            <w:r>
              <w:rPr>
                <w:rFonts w:ascii="Arial" w:cs="Arial" w:eastAsia="Arial" w:hAnsi="Arial"/>
                <w:sz w:val="16"/>
                <w:szCs w:val="16"/>
                <w:b w:val="1"/>
                <w:bCs w:val="1"/>
                <w:color w:val="auto"/>
              </w:rPr>
              <w:t>24%</w:t>
            </w:r>
          </w:p>
        </w:tc>
        <w:tc>
          <w:tcPr>
            <w:tcW w:w="17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36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Men’s Apparel</w:t>
            </w:r>
          </w:p>
        </w:tc>
        <w:tc>
          <w:tcPr>
            <w:tcW w:w="21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16%</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16%</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Women’s Accessories</w:t>
            </w:r>
          </w:p>
        </w:tc>
        <w:tc>
          <w:tcPr>
            <w:tcW w:w="2120" w:type="dxa"/>
            <w:vAlign w:val="bottom"/>
          </w:tcPr>
          <w:p>
            <w:pPr>
              <w:jc w:val="right"/>
              <w:ind w:right="199"/>
              <w:spacing w:after="0"/>
              <w:rPr>
                <w:sz w:val="20"/>
                <w:szCs w:val="20"/>
                <w:color w:val="auto"/>
              </w:rPr>
            </w:pPr>
            <w:r>
              <w:rPr>
                <w:rFonts w:ascii="Arial" w:cs="Arial" w:eastAsia="Arial" w:hAnsi="Arial"/>
                <w:sz w:val="16"/>
                <w:szCs w:val="16"/>
                <w:b w:val="1"/>
                <w:bCs w:val="1"/>
                <w:color w:val="auto"/>
              </w:rPr>
              <w:t>10%</w:t>
            </w:r>
          </w:p>
        </w:tc>
        <w:tc>
          <w:tcPr>
            <w:tcW w:w="17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140" w:type="dxa"/>
            <w:vAlign w:val="bottom"/>
          </w:tcPr>
          <w:p>
            <w:pPr>
              <w:jc w:val="right"/>
              <w:ind w:right="199"/>
              <w:spacing w:after="0"/>
              <w:rPr>
                <w:sz w:val="20"/>
                <w:szCs w:val="20"/>
                <w:color w:val="auto"/>
              </w:rPr>
            </w:pPr>
            <w:r>
              <w:rPr>
                <w:rFonts w:ascii="Arial" w:cs="Arial" w:eastAsia="Arial" w:hAnsi="Arial"/>
                <w:sz w:val="16"/>
                <w:szCs w:val="16"/>
                <w:b w:val="1"/>
                <w:bCs w:val="1"/>
                <w:color w:val="auto"/>
              </w:rPr>
              <w:t>11%</w:t>
            </w:r>
          </w:p>
        </w:tc>
        <w:tc>
          <w:tcPr>
            <w:tcW w:w="17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36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Beauty</w:t>
            </w:r>
          </w:p>
        </w:tc>
        <w:tc>
          <w:tcPr>
            <w:tcW w:w="21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Kids’ Apparel</w:t>
            </w:r>
          </w:p>
        </w:tc>
        <w:tc>
          <w:tcPr>
            <w:tcW w:w="2120" w:type="dxa"/>
            <w:vAlign w:val="bottom"/>
          </w:tcPr>
          <w:p>
            <w:pPr>
              <w:jc w:val="right"/>
              <w:ind w:right="199"/>
              <w:spacing w:after="0"/>
              <w:rPr>
                <w:sz w:val="20"/>
                <w:szCs w:val="20"/>
                <w:color w:val="auto"/>
              </w:rPr>
            </w:pPr>
            <w:r>
              <w:rPr>
                <w:rFonts w:ascii="Arial" w:cs="Arial" w:eastAsia="Arial" w:hAnsi="Arial"/>
                <w:sz w:val="16"/>
                <w:szCs w:val="16"/>
                <w:b w:val="1"/>
                <w:bCs w:val="1"/>
                <w:color w:val="auto"/>
              </w:rPr>
              <w:t>4%</w:t>
            </w:r>
          </w:p>
        </w:tc>
        <w:tc>
          <w:tcPr>
            <w:tcW w:w="17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140" w:type="dxa"/>
            <w:vAlign w:val="bottom"/>
          </w:tcPr>
          <w:p>
            <w:pPr>
              <w:jc w:val="right"/>
              <w:ind w:right="199"/>
              <w:spacing w:after="0"/>
              <w:rPr>
                <w:sz w:val="20"/>
                <w:szCs w:val="20"/>
                <w:color w:val="auto"/>
              </w:rPr>
            </w:pPr>
            <w:r>
              <w:rPr>
                <w:rFonts w:ascii="Arial" w:cs="Arial" w:eastAsia="Arial" w:hAnsi="Arial"/>
                <w:sz w:val="16"/>
                <w:szCs w:val="16"/>
                <w:b w:val="1"/>
                <w:bCs w:val="1"/>
                <w:color w:val="auto"/>
              </w:rPr>
              <w:t>4%</w:t>
            </w:r>
          </w:p>
        </w:tc>
        <w:tc>
          <w:tcPr>
            <w:tcW w:w="17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36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5"/>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1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1"/>
        </w:trPr>
        <w:tc>
          <w:tcPr>
            <w:tcW w:w="36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net sales</w:t>
            </w:r>
          </w:p>
        </w:tc>
        <w:tc>
          <w:tcPr>
            <w:tcW w:w="212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100%</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top w:val="single" w:sz="8" w:color="auto"/>
            </w:tcBorders>
          </w:tcPr>
          <w:p>
            <w:pPr>
              <w:spacing w:after="0"/>
              <w:rPr>
                <w:sz w:val="20"/>
                <w:szCs w:val="20"/>
                <w:color w:val="auto"/>
              </w:rPr>
            </w:pPr>
          </w:p>
        </w:tc>
        <w:tc>
          <w:tcPr>
            <w:tcW w:w="21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100%</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33"/>
        </w:trPr>
        <w:tc>
          <w:tcPr>
            <w:tcW w:w="36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279" w:right="2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 of 28</w:t>
      </w:r>
    </w:p>
    <w:p>
      <w:pPr>
        <w:sectPr>
          <w:pgSz w:w="11900" w:h="16838" w:orient="portrait"/>
          <w:cols w:equalWidth="0" w:num="1">
            <w:col w:w="11420"/>
          </w:cols>
          <w:pgMar w:left="240" w:top="279" w:right="239" w:bottom="1440" w:gutter="0" w:footer="0" w:header="0"/>
          <w:type w:val="continuous"/>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SEGMENT REPORTING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for our reportable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700" w:type="dxa"/>
            <w:vAlign w:val="bottom"/>
            <w:gridSpan w:val="3"/>
          </w:tcPr>
          <w:p>
            <w:pPr>
              <w:ind w:left="1260"/>
              <w:spacing w:after="0"/>
              <w:rPr>
                <w:sz w:val="20"/>
                <w:szCs w:val="20"/>
                <w:color w:val="auto"/>
              </w:rPr>
            </w:pPr>
            <w:r>
              <w:rPr>
                <w:rFonts w:ascii="Arial" w:cs="Arial" w:eastAsia="Arial" w:hAnsi="Arial"/>
                <w:sz w:val="16"/>
                <w:szCs w:val="16"/>
                <w:b w:val="1"/>
                <w:bCs w:val="1"/>
                <w:color w:val="auto"/>
              </w:rPr>
              <w:t>Quarter Ended</w:t>
            </w:r>
          </w:p>
        </w:tc>
        <w:tc>
          <w:tcPr>
            <w:tcW w:w="3480" w:type="dxa"/>
            <w:vAlign w:val="bottom"/>
            <w:gridSpan w:val="2"/>
          </w:tcPr>
          <w:p>
            <w:pPr>
              <w:jc w:val="right"/>
              <w:ind w:right="95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42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940" w:type="dxa"/>
            <w:vAlign w:val="bottom"/>
          </w:tcPr>
          <w:p>
            <w:pPr>
              <w:jc w:val="right"/>
              <w:ind w:right="259"/>
              <w:spacing w:after="0"/>
              <w:rPr>
                <w:sz w:val="20"/>
                <w:szCs w:val="20"/>
                <w:color w:val="auto"/>
              </w:rPr>
            </w:pPr>
            <w:r>
              <w:rPr>
                <w:rFonts w:ascii="Arial" w:cs="Arial" w:eastAsia="Arial" w:hAnsi="Arial"/>
                <w:sz w:val="16"/>
                <w:szCs w:val="16"/>
                <w:b w:val="1"/>
                <w:bCs w:val="1"/>
                <w:color w:val="auto"/>
              </w:rPr>
              <w:t>November 2, 2019</w:t>
            </w:r>
          </w:p>
        </w:tc>
        <w:tc>
          <w:tcPr>
            <w:tcW w:w="1760" w:type="dxa"/>
            <w:vAlign w:val="bottom"/>
            <w:gridSpan w:val="2"/>
          </w:tcPr>
          <w:p>
            <w:pPr>
              <w:ind w:left="260"/>
              <w:spacing w:after="0"/>
              <w:rPr>
                <w:sz w:val="20"/>
                <w:szCs w:val="20"/>
                <w:color w:val="auto"/>
              </w:rPr>
            </w:pPr>
            <w:r>
              <w:rPr>
                <w:rFonts w:ascii="Arial" w:cs="Arial" w:eastAsia="Arial" w:hAnsi="Arial"/>
                <w:sz w:val="16"/>
                <w:szCs w:val="16"/>
                <w:b w:val="1"/>
                <w:bCs w:val="1"/>
                <w:color w:val="auto"/>
              </w:rPr>
              <w:t>November 3, 2018</w:t>
            </w:r>
          </w:p>
        </w:tc>
        <w:tc>
          <w:tcPr>
            <w:tcW w:w="1880" w:type="dxa"/>
            <w:vAlign w:val="bottom"/>
          </w:tcPr>
          <w:p>
            <w:pPr>
              <w:jc w:val="right"/>
              <w:ind w:right="219"/>
              <w:spacing w:after="0"/>
              <w:rPr>
                <w:sz w:val="20"/>
                <w:szCs w:val="20"/>
                <w:color w:val="auto"/>
              </w:rPr>
            </w:pPr>
            <w:r>
              <w:rPr>
                <w:rFonts w:ascii="Arial" w:cs="Arial" w:eastAsia="Arial" w:hAnsi="Arial"/>
                <w:sz w:val="16"/>
                <w:szCs w:val="16"/>
                <w:b w:val="1"/>
                <w:bCs w:val="1"/>
                <w:color w:val="auto"/>
              </w:rPr>
              <w:t>November 2, 2019</w:t>
            </w:r>
          </w:p>
        </w:tc>
        <w:tc>
          <w:tcPr>
            <w:tcW w:w="1600" w:type="dxa"/>
            <w:vAlign w:val="bottom"/>
          </w:tcPr>
          <w:p>
            <w:pPr>
              <w:jc w:val="right"/>
              <w:ind w:right="19"/>
              <w:spacing w:after="0"/>
              <w:rPr>
                <w:sz w:val="20"/>
                <w:szCs w:val="20"/>
                <w:color w:val="auto"/>
              </w:rPr>
            </w:pPr>
            <w:r>
              <w:rPr>
                <w:rFonts w:ascii="Arial" w:cs="Arial" w:eastAsia="Arial" w:hAnsi="Arial"/>
                <w:sz w:val="16"/>
                <w:szCs w:val="16"/>
                <w:b w:val="1"/>
                <w:bCs w:val="1"/>
                <w:color w:val="auto"/>
              </w:rPr>
              <w:t>November 3, 2018</w:t>
            </w:r>
          </w:p>
        </w:tc>
      </w:tr>
      <w:tr>
        <w:trPr>
          <w:trHeight w:val="33"/>
        </w:trPr>
        <w:tc>
          <w:tcPr>
            <w:tcW w:w="4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Retail segment EBIT</w:t>
            </w:r>
            <w:r>
              <w:rPr>
                <w:rFonts w:ascii="Arial" w:cs="Arial" w:eastAsia="Arial" w:hAnsi="Arial"/>
                <w:sz w:val="21"/>
                <w:szCs w:val="21"/>
                <w:color w:val="auto"/>
                <w:vertAlign w:val="superscript"/>
              </w:rPr>
              <w:t>1</w:t>
            </w:r>
          </w:p>
        </w:tc>
        <w:tc>
          <w:tcPr>
            <w:tcW w:w="194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$257</w:t>
            </w: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$162</w:t>
            </w:r>
          </w:p>
        </w:tc>
        <w:tc>
          <w:tcPr>
            <w:tcW w:w="120" w:type="dxa"/>
            <w:vAlign w:val="bottom"/>
            <w:shd w:val="clear" w:color="auto" w:fill="CCEEFF"/>
          </w:tcPr>
          <w:p>
            <w:pPr>
              <w:spacing w:after="0"/>
              <w:rPr>
                <w:sz w:val="22"/>
                <w:szCs w:val="22"/>
                <w:color w:val="auto"/>
              </w:rPr>
            </w:pPr>
          </w:p>
        </w:tc>
        <w:tc>
          <w:tcPr>
            <w:tcW w:w="188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$671</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$674</w:t>
            </w:r>
          </w:p>
        </w:tc>
      </w:tr>
      <w:tr>
        <w:trPr>
          <w:trHeight w:val="270"/>
        </w:trPr>
        <w:tc>
          <w:tcPr>
            <w:tcW w:w="4240" w:type="dxa"/>
            <w:vAlign w:val="bottom"/>
          </w:tcPr>
          <w:p>
            <w:pPr>
              <w:ind w:left="40"/>
              <w:spacing w:after="0"/>
              <w:rPr>
                <w:sz w:val="20"/>
                <w:szCs w:val="20"/>
                <w:color w:val="auto"/>
              </w:rPr>
            </w:pPr>
            <w:r>
              <w:rPr>
                <w:rFonts w:ascii="Arial" w:cs="Arial" w:eastAsia="Arial" w:hAnsi="Arial"/>
                <w:sz w:val="16"/>
                <w:szCs w:val="16"/>
                <w:color w:val="auto"/>
              </w:rPr>
              <w:t>Corporate/Other loss before interest and income taxes</w:t>
            </w:r>
            <w:r>
              <w:rPr>
                <w:rFonts w:ascii="Arial" w:cs="Arial" w:eastAsia="Arial" w:hAnsi="Arial"/>
                <w:sz w:val="21"/>
                <w:szCs w:val="21"/>
                <w:color w:val="auto"/>
                <w:vertAlign w:val="superscript"/>
              </w:rPr>
              <w:t>1</w:t>
            </w:r>
          </w:p>
        </w:tc>
        <w:tc>
          <w:tcPr>
            <w:tcW w:w="1940" w:type="dxa"/>
            <w:vAlign w:val="bottom"/>
          </w:tcPr>
          <w:p>
            <w:pPr>
              <w:jc w:val="right"/>
              <w:ind w:right="199"/>
              <w:spacing w:after="0"/>
              <w:rPr>
                <w:sz w:val="20"/>
                <w:szCs w:val="20"/>
                <w:color w:val="auto"/>
              </w:rPr>
            </w:pPr>
            <w:r>
              <w:rPr>
                <w:rFonts w:ascii="Arial" w:cs="Arial" w:eastAsia="Arial" w:hAnsi="Arial"/>
                <w:sz w:val="16"/>
                <w:szCs w:val="16"/>
                <w:b w:val="1"/>
                <w:bCs w:val="1"/>
                <w:color w:val="auto"/>
              </w:rPr>
              <w:t>(64)</w:t>
            </w:r>
          </w:p>
        </w:tc>
        <w:tc>
          <w:tcPr>
            <w:tcW w:w="164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3"/>
                <w:szCs w:val="23"/>
                <w:color w:val="auto"/>
              </w:rPr>
            </w:pPr>
          </w:p>
        </w:tc>
        <w:tc>
          <w:tcPr>
            <w:tcW w:w="1880" w:type="dxa"/>
            <w:vAlign w:val="bottom"/>
          </w:tcPr>
          <w:p>
            <w:pPr>
              <w:jc w:val="right"/>
              <w:ind w:right="179"/>
              <w:spacing w:after="0"/>
              <w:rPr>
                <w:sz w:val="20"/>
                <w:szCs w:val="20"/>
                <w:color w:val="auto"/>
              </w:rPr>
            </w:pPr>
            <w:r>
              <w:rPr>
                <w:rFonts w:ascii="Arial" w:cs="Arial" w:eastAsia="Arial" w:hAnsi="Arial"/>
                <w:sz w:val="16"/>
                <w:szCs w:val="16"/>
                <w:b w:val="1"/>
                <w:bCs w:val="1"/>
                <w:color w:val="auto"/>
              </w:rPr>
              <w:t>(186)</w:t>
            </w:r>
          </w:p>
        </w:tc>
        <w:tc>
          <w:tcPr>
            <w:tcW w:w="160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75"/>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(20)</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(66)</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31"/>
        </w:trPr>
        <w:tc>
          <w:tcPr>
            <w:tcW w:w="4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Earnings before income taxes</w:t>
            </w:r>
          </w:p>
        </w:tc>
        <w:tc>
          <w:tcPr>
            <w:tcW w:w="19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$173</w:t>
            </w: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w:t>
            </w:r>
          </w:p>
        </w:tc>
        <w:tc>
          <w:tcPr>
            <w:tcW w:w="12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$419</w:t>
            </w: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$423</w:t>
            </w:r>
          </w:p>
        </w:tc>
      </w:tr>
    </w:tbl>
    <w:p>
      <w:pPr>
        <w:spacing w:after="0" w:line="28" w:lineRule="exact"/>
        <w:rPr>
          <w:sz w:val="20"/>
          <w:szCs w:val="20"/>
          <w:color w:val="auto"/>
        </w:rPr>
      </w:pPr>
    </w:p>
    <w:p>
      <w:pPr>
        <w:ind w:left="80" w:hanging="72"/>
        <w:spacing w:after="0"/>
        <w:tabs>
          <w:tab w:leader="none" w:pos="80" w:val="left"/>
        </w:tabs>
        <w:numPr>
          <w:ilvl w:val="0"/>
          <w:numId w:val="11"/>
        </w:numPr>
        <w:rPr>
          <w:rFonts w:ascii="Arial" w:cs="Arial" w:eastAsia="Arial" w:hAnsi="Arial"/>
          <w:sz w:val="9"/>
          <w:szCs w:val="9"/>
          <w:color w:val="auto"/>
        </w:rPr>
      </w:pPr>
      <w:r>
        <w:rPr>
          <w:rFonts w:ascii="Arial" w:cs="Arial" w:eastAsia="Arial" w:hAnsi="Arial"/>
          <w:sz w:val="14"/>
          <w:szCs w:val="14"/>
          <w:color w:val="auto"/>
        </w:rPr>
        <w:t>Certain reclassifications were made to fiscal 2018 amounts to conform with current period presentation, which is the way that management views our results internally.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about disaggregated revenues, see Note 3: Revenue.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 AND CREDIT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long-term debt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40" w:type="dxa"/>
            <w:vAlign w:val="bottom"/>
          </w:tcPr>
          <w:p>
            <w:pPr>
              <w:spacing w:after="0"/>
              <w:rPr>
                <w:sz w:val="18"/>
                <w:szCs w:val="18"/>
                <w:color w:val="auto"/>
              </w:rPr>
            </w:pPr>
          </w:p>
        </w:tc>
        <w:tc>
          <w:tcPr>
            <w:tcW w:w="3220" w:type="dxa"/>
            <w:vAlign w:val="bottom"/>
          </w:tcPr>
          <w:p>
            <w:pPr>
              <w:jc w:val="right"/>
              <w:ind w:right="339"/>
              <w:spacing w:after="0"/>
              <w:rPr>
                <w:sz w:val="20"/>
                <w:szCs w:val="20"/>
                <w:color w:val="auto"/>
              </w:rPr>
            </w:pPr>
            <w:r>
              <w:rPr>
                <w:rFonts w:ascii="Arial" w:cs="Arial" w:eastAsia="Arial" w:hAnsi="Arial"/>
                <w:sz w:val="16"/>
                <w:szCs w:val="16"/>
                <w:b w:val="1"/>
                <w:bCs w:val="1"/>
                <w:color w:val="auto"/>
              </w:rPr>
              <w:t>November 2, 2019</w:t>
            </w:r>
          </w:p>
        </w:tc>
        <w:tc>
          <w:tcPr>
            <w:tcW w:w="1900" w:type="dxa"/>
            <w:vAlign w:val="bottom"/>
          </w:tcPr>
          <w:p>
            <w:pPr>
              <w:jc w:val="right"/>
              <w:ind w:right="279"/>
              <w:spacing w:after="0"/>
              <w:rPr>
                <w:sz w:val="20"/>
                <w:szCs w:val="20"/>
                <w:color w:val="auto"/>
              </w:rPr>
            </w:pPr>
            <w:r>
              <w:rPr>
                <w:rFonts w:ascii="Arial" w:cs="Arial" w:eastAsia="Arial" w:hAnsi="Arial"/>
                <w:sz w:val="16"/>
                <w:szCs w:val="16"/>
                <w:b w:val="1"/>
                <w:bCs w:val="1"/>
                <w:color w:val="auto"/>
              </w:rPr>
              <w:t>February 2, 2019</w:t>
            </w:r>
          </w:p>
        </w:tc>
        <w:tc>
          <w:tcPr>
            <w:tcW w:w="1660" w:type="dxa"/>
            <w:vAlign w:val="bottom"/>
          </w:tcPr>
          <w:p>
            <w:pPr>
              <w:jc w:val="right"/>
              <w:ind w:right="19"/>
              <w:spacing w:after="0"/>
              <w:rPr>
                <w:sz w:val="20"/>
                <w:szCs w:val="20"/>
                <w:color w:val="auto"/>
              </w:rPr>
            </w:pPr>
            <w:r>
              <w:rPr>
                <w:rFonts w:ascii="Arial" w:cs="Arial" w:eastAsia="Arial" w:hAnsi="Arial"/>
                <w:sz w:val="16"/>
                <w:szCs w:val="16"/>
                <w:b w:val="1"/>
                <w:bCs w:val="1"/>
                <w:color w:val="auto"/>
              </w:rPr>
              <w:t>November 3, 2018</w:t>
            </w:r>
          </w:p>
        </w:tc>
      </w:tr>
      <w:tr>
        <w:trPr>
          <w:trHeight w:val="33"/>
        </w:trPr>
        <w:tc>
          <w:tcPr>
            <w:tcW w:w="46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 of unamortized discount:</w:t>
            </w:r>
          </w:p>
        </w:tc>
        <w:tc>
          <w:tcPr>
            <w:tcW w:w="32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37"/>
        </w:trPr>
        <w:tc>
          <w:tcPr>
            <w:tcW w:w="4640" w:type="dxa"/>
            <w:vAlign w:val="bottom"/>
          </w:tcPr>
          <w:p>
            <w:pPr>
              <w:ind w:left="280"/>
              <w:spacing w:after="0"/>
              <w:rPr>
                <w:sz w:val="20"/>
                <w:szCs w:val="20"/>
                <w:color w:val="auto"/>
              </w:rPr>
            </w:pPr>
            <w:r>
              <w:rPr>
                <w:rFonts w:ascii="Arial" w:cs="Arial" w:eastAsia="Arial" w:hAnsi="Arial"/>
                <w:sz w:val="16"/>
                <w:szCs w:val="16"/>
                <w:color w:val="auto"/>
              </w:rPr>
              <w:t>Senior notes, 4.75%, due May 2020</w:t>
            </w:r>
          </w:p>
        </w:tc>
        <w:tc>
          <w:tcPr>
            <w:tcW w:w="3220" w:type="dxa"/>
            <w:vAlign w:val="bottom"/>
          </w:tcPr>
          <w:p>
            <w:pPr>
              <w:jc w:val="right"/>
              <w:ind w:right="339"/>
              <w:spacing w:after="0"/>
              <w:rPr>
                <w:sz w:val="20"/>
                <w:szCs w:val="20"/>
                <w:color w:val="auto"/>
              </w:rPr>
            </w:pPr>
            <w:r>
              <w:rPr>
                <w:rFonts w:ascii="Arial" w:cs="Arial" w:eastAsia="Arial" w:hAnsi="Arial"/>
                <w:sz w:val="16"/>
                <w:szCs w:val="16"/>
                <w:b w:val="1"/>
                <w:bCs w:val="1"/>
                <w:color w:val="auto"/>
              </w:rPr>
              <w:t>$500</w:t>
            </w:r>
          </w:p>
        </w:tc>
        <w:tc>
          <w:tcPr>
            <w:tcW w:w="1900" w:type="dxa"/>
            <w:vAlign w:val="bottom"/>
          </w:tcPr>
          <w:p>
            <w:pPr>
              <w:jc w:val="right"/>
              <w:ind w:right="279"/>
              <w:spacing w:after="0"/>
              <w:rPr>
                <w:sz w:val="20"/>
                <w:szCs w:val="20"/>
                <w:color w:val="auto"/>
              </w:rPr>
            </w:pPr>
            <w:r>
              <w:rPr>
                <w:rFonts w:ascii="Arial" w:cs="Arial" w:eastAsia="Arial" w:hAnsi="Arial"/>
                <w:sz w:val="16"/>
                <w:szCs w:val="16"/>
                <w:color w:val="auto"/>
              </w:rPr>
              <w:t>$500</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$500</w:t>
            </w:r>
          </w:p>
        </w:tc>
      </w:tr>
      <w:tr>
        <w:trPr>
          <w:trHeight w:val="33"/>
        </w:trPr>
        <w:tc>
          <w:tcPr>
            <w:tcW w:w="46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Senior notes, 4.00%, due October 2021</w:t>
            </w:r>
          </w:p>
        </w:tc>
        <w:tc>
          <w:tcPr>
            <w:tcW w:w="32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500</w:t>
            </w:r>
          </w:p>
        </w:tc>
        <w:tc>
          <w:tcPr>
            <w:tcW w:w="19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500</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r>
      <w:tr>
        <w:trPr>
          <w:trHeight w:val="237"/>
        </w:trPr>
        <w:tc>
          <w:tcPr>
            <w:tcW w:w="4640" w:type="dxa"/>
            <w:vAlign w:val="bottom"/>
          </w:tcPr>
          <w:p>
            <w:pPr>
              <w:ind w:left="280"/>
              <w:spacing w:after="0"/>
              <w:rPr>
                <w:sz w:val="20"/>
                <w:szCs w:val="20"/>
                <w:color w:val="auto"/>
              </w:rPr>
            </w:pPr>
            <w:r>
              <w:rPr>
                <w:rFonts w:ascii="Arial" w:cs="Arial" w:eastAsia="Arial" w:hAnsi="Arial"/>
                <w:sz w:val="16"/>
                <w:szCs w:val="16"/>
                <w:color w:val="auto"/>
              </w:rPr>
              <w:t>Senior notes, 4.00%, due March 2027</w:t>
            </w:r>
          </w:p>
        </w:tc>
        <w:tc>
          <w:tcPr>
            <w:tcW w:w="3220" w:type="dxa"/>
            <w:vAlign w:val="bottom"/>
          </w:tcPr>
          <w:p>
            <w:pPr>
              <w:jc w:val="right"/>
              <w:ind w:right="339"/>
              <w:spacing w:after="0"/>
              <w:rPr>
                <w:sz w:val="20"/>
                <w:szCs w:val="20"/>
                <w:color w:val="auto"/>
              </w:rPr>
            </w:pPr>
            <w:r>
              <w:rPr>
                <w:rFonts w:ascii="Arial" w:cs="Arial" w:eastAsia="Arial" w:hAnsi="Arial"/>
                <w:sz w:val="16"/>
                <w:szCs w:val="16"/>
                <w:b w:val="1"/>
                <w:bCs w:val="1"/>
                <w:color w:val="auto"/>
              </w:rPr>
              <w:t>349</w:t>
            </w:r>
          </w:p>
        </w:tc>
        <w:tc>
          <w:tcPr>
            <w:tcW w:w="1900" w:type="dxa"/>
            <w:vAlign w:val="bottom"/>
          </w:tcPr>
          <w:p>
            <w:pPr>
              <w:jc w:val="right"/>
              <w:ind w:right="279"/>
              <w:spacing w:after="0"/>
              <w:rPr>
                <w:sz w:val="20"/>
                <w:szCs w:val="20"/>
                <w:color w:val="auto"/>
              </w:rPr>
            </w:pPr>
            <w:r>
              <w:rPr>
                <w:rFonts w:ascii="Arial" w:cs="Arial" w:eastAsia="Arial" w:hAnsi="Arial"/>
                <w:sz w:val="16"/>
                <w:szCs w:val="16"/>
                <w:color w:val="auto"/>
              </w:rPr>
              <w:t>349</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349</w:t>
            </w:r>
          </w:p>
        </w:tc>
      </w:tr>
      <w:tr>
        <w:trPr>
          <w:trHeight w:val="33"/>
        </w:trPr>
        <w:tc>
          <w:tcPr>
            <w:tcW w:w="46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Senior debentures, 6.95%, due March 2028</w:t>
            </w:r>
          </w:p>
        </w:tc>
        <w:tc>
          <w:tcPr>
            <w:tcW w:w="32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300</w:t>
            </w:r>
          </w:p>
        </w:tc>
        <w:tc>
          <w:tcPr>
            <w:tcW w:w="19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300</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r>
      <w:tr>
        <w:trPr>
          <w:trHeight w:val="237"/>
        </w:trPr>
        <w:tc>
          <w:tcPr>
            <w:tcW w:w="4640" w:type="dxa"/>
            <w:vAlign w:val="bottom"/>
          </w:tcPr>
          <w:p>
            <w:pPr>
              <w:ind w:left="280"/>
              <w:spacing w:after="0"/>
              <w:rPr>
                <w:sz w:val="20"/>
                <w:szCs w:val="20"/>
                <w:color w:val="auto"/>
              </w:rPr>
            </w:pPr>
            <w:r>
              <w:rPr>
                <w:rFonts w:ascii="Arial" w:cs="Arial" w:eastAsia="Arial" w:hAnsi="Arial"/>
                <w:sz w:val="16"/>
                <w:szCs w:val="16"/>
                <w:color w:val="auto"/>
              </w:rPr>
              <w:t>Senior notes, 7.00%, due January 2038</w:t>
            </w:r>
          </w:p>
        </w:tc>
        <w:tc>
          <w:tcPr>
            <w:tcW w:w="3220" w:type="dxa"/>
            <w:vAlign w:val="bottom"/>
          </w:tcPr>
          <w:p>
            <w:pPr>
              <w:jc w:val="right"/>
              <w:ind w:right="339"/>
              <w:spacing w:after="0"/>
              <w:rPr>
                <w:sz w:val="20"/>
                <w:szCs w:val="20"/>
                <w:color w:val="auto"/>
              </w:rPr>
            </w:pPr>
            <w:r>
              <w:rPr>
                <w:rFonts w:ascii="Arial" w:cs="Arial" w:eastAsia="Arial" w:hAnsi="Arial"/>
                <w:sz w:val="16"/>
                <w:szCs w:val="16"/>
                <w:b w:val="1"/>
                <w:bCs w:val="1"/>
                <w:color w:val="auto"/>
              </w:rPr>
              <w:t>147</w:t>
            </w:r>
          </w:p>
        </w:tc>
        <w:tc>
          <w:tcPr>
            <w:tcW w:w="1900" w:type="dxa"/>
            <w:vAlign w:val="bottom"/>
          </w:tcPr>
          <w:p>
            <w:pPr>
              <w:jc w:val="right"/>
              <w:ind w:right="279"/>
              <w:spacing w:after="0"/>
              <w:rPr>
                <w:sz w:val="20"/>
                <w:szCs w:val="20"/>
                <w:color w:val="auto"/>
              </w:rPr>
            </w:pPr>
            <w:r>
              <w:rPr>
                <w:rFonts w:ascii="Arial" w:cs="Arial" w:eastAsia="Arial" w:hAnsi="Arial"/>
                <w:sz w:val="16"/>
                <w:szCs w:val="16"/>
                <w:color w:val="auto"/>
              </w:rPr>
              <w:t>146</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146</w:t>
            </w:r>
          </w:p>
        </w:tc>
      </w:tr>
      <w:tr>
        <w:trPr>
          <w:trHeight w:val="33"/>
        </w:trPr>
        <w:tc>
          <w:tcPr>
            <w:tcW w:w="46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Senior notes, 5.00%, due January 2044</w:t>
            </w:r>
          </w:p>
        </w:tc>
        <w:tc>
          <w:tcPr>
            <w:tcW w:w="32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897</w:t>
            </w:r>
          </w:p>
        </w:tc>
        <w:tc>
          <w:tcPr>
            <w:tcW w:w="19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895</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894</w:t>
            </w:r>
          </w:p>
        </w:tc>
      </w:tr>
      <w:tr>
        <w:trPr>
          <w:trHeight w:val="270"/>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3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(14)</w:t>
            </w:r>
          </w:p>
        </w:tc>
        <w:tc>
          <w:tcPr>
            <w:tcW w:w="1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69"/>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long-term debt</w:t>
            </w:r>
          </w:p>
        </w:tc>
        <w:tc>
          <w:tcPr>
            <w:tcW w:w="32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2,679</w:t>
            </w:r>
          </w:p>
        </w:tc>
        <w:tc>
          <w:tcPr>
            <w:tcW w:w="19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2,685</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2,686</w:t>
            </w:r>
          </w:p>
        </w:tc>
      </w:tr>
      <w:tr>
        <w:trPr>
          <w:trHeight w:val="291"/>
        </w:trPr>
        <w:tc>
          <w:tcPr>
            <w:tcW w:w="4640" w:type="dxa"/>
            <w:vAlign w:val="bottom"/>
            <w:tcBorders>
              <w:top w:val="single" w:sz="8" w:color="auto"/>
            </w:tcBorders>
          </w:tcPr>
          <w:p>
            <w:pPr>
              <w:spacing w:after="0"/>
              <w:rPr>
                <w:sz w:val="24"/>
                <w:szCs w:val="24"/>
                <w:color w:val="auto"/>
              </w:rPr>
            </w:pPr>
          </w:p>
        </w:tc>
        <w:tc>
          <w:tcPr>
            <w:tcW w:w="322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r>
      <w:tr>
        <w:trPr>
          <w:trHeight w:val="275"/>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w:t>
            </w:r>
          </w:p>
        </w:tc>
        <w:tc>
          <w:tcPr>
            <w:tcW w:w="32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19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(8)</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31"/>
        </w:trPr>
        <w:tc>
          <w:tcPr>
            <w:tcW w:w="46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due beyond one year</w:t>
            </w:r>
          </w:p>
        </w:tc>
        <w:tc>
          <w:tcPr>
            <w:tcW w:w="32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$2,679</w:t>
            </w:r>
          </w:p>
        </w:tc>
        <w:tc>
          <w:tcPr>
            <w:tcW w:w="190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$2,677</w:t>
            </w:r>
          </w:p>
        </w:tc>
        <w:tc>
          <w:tcPr>
            <w:tcW w:w="1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$2,678</w:t>
            </w:r>
          </w:p>
        </w:tc>
      </w:tr>
    </w:tbl>
    <w:p>
      <w:pPr>
        <w:spacing w:after="0" w:line="28" w:lineRule="exact"/>
        <w:rPr>
          <w:sz w:val="20"/>
          <w:szCs w:val="20"/>
          <w:color w:val="auto"/>
        </w:rPr>
      </w:pPr>
    </w:p>
    <w:p>
      <w:pPr>
        <w:ind w:left="80" w:hanging="72"/>
        <w:spacing w:after="0"/>
        <w:tabs>
          <w:tab w:leader="none" w:pos="80" w:val="left"/>
        </w:tabs>
        <w:numPr>
          <w:ilvl w:val="0"/>
          <w:numId w:val="12"/>
        </w:numPr>
        <w:rPr>
          <w:rFonts w:ascii="Arial" w:cs="Arial" w:eastAsia="Arial" w:hAnsi="Arial"/>
          <w:sz w:val="9"/>
          <w:szCs w:val="9"/>
          <w:color w:val="auto"/>
        </w:rPr>
      </w:pPr>
      <w:r>
        <w:rPr>
          <w:rFonts w:ascii="Arial" w:cs="Arial" w:eastAsia="Arial" w:hAnsi="Arial"/>
          <w:sz w:val="14"/>
          <w:szCs w:val="14"/>
          <w:color w:val="auto"/>
        </w:rPr>
        <w:t>Other primarily includes deferred bond issue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Subsequent to the end of the third quarter, we issued $500 aggregate principal amount of 4.375% senior unsecured notes due April 2030. We intend to use all of the net proceeds of the notes to prepay all $500 aggregate principal amount of outstanding 4.75% Senior Notes due May 2020. On November 6, 2019 we provided a Notice of Redemption to the holders of the May 2020 Notes to pay the outstanding principal and interest on December 6, 2019. As a result, the May 2020 Notes are classified as long-term on our Condensed Consolidated Balance Sheet as of November 2, 2019.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7"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As of November 2, 2019, we had total short-term borrowing capacity of $800 under the Revolver that expires in September 2023. The Revolver contains customary representations, warranties, covenants and terms, including paying a variable rate of interest and a commitment fee based on our debt rating. The Revolver is available for working capital, capital expenditures and general corporate purposes. Provided that we obtain written consent from the lenders, we have the option to increase the Revolver by up to $200, to a total of $1,000, and two options to extend the Revolver by one year.</w:t>
      </w:r>
    </w:p>
    <w:p>
      <w:pPr>
        <w:spacing w:after="0" w:line="107"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The Revolver requires that we maintain an adjusted debt to EBITDAR leverage ratio of no more than four times. The Revolver’s ratio calculation methodology has not been impacted by the adoption of the new Lease Standard. As of November 2, 2019, we were in compliance with this covenant.</w:t>
      </w:r>
    </w:p>
    <w:p>
      <w:pPr>
        <w:spacing w:after="0" w:line="70"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Our $800 commercial paper program allows us to use the proceeds to fund operating cash requirements. Under the terms of the commercial paper agreement, we pay a rate of interest based on, among other factors, the maturity of the issuance and market conditions. The issuance of commercial paper has the effect, while it is outstanding, of reducing available liquidity under the Revolver by an amount equal to the principal amount of commercial paper.</w:t>
      </w:r>
    </w:p>
    <w:p>
      <w:pPr>
        <w:sectPr>
          <w:pgSz w:w="11900" w:h="16838" w:orient="portrait"/>
          <w:cols w:equalWidth="0" w:num="1">
            <w:col w:w="11420"/>
          </w:cols>
          <w:pgMar w:left="240" w:top="279" w:right="239" w:bottom="1440" w:gutter="0" w:footer="0" w:header="0"/>
        </w:sect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 of 28</w:t>
      </w:r>
    </w:p>
    <w:p>
      <w:pPr>
        <w:sectPr>
          <w:pgSz w:w="11900" w:h="16838" w:orient="portrait"/>
          <w:cols w:equalWidth="0" w:num="1">
            <w:col w:w="11420"/>
          </w:cols>
          <w:pgMar w:left="240" w:top="279" w:right="239" w:bottom="1440" w:gutter="0" w:footer="0" w:header="0"/>
          <w:type w:val="continuous"/>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As of November 2, 2019, we had no issuances outstanding under our commercial paper program and no borrowings outstanding under our Revolver.</w:t>
      </w:r>
    </w:p>
    <w:p>
      <w:pPr>
        <w:spacing w:after="0" w:line="18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Our wholly owned subsidiary in Puerto Rico maintained a $52 unsecured borrowing facility to support our expansion into that market. Borrowings on this facility incurred interest at an annual rate based upon LIBOR plus 1.275% and also incurred a fee based on any unused commitment. In September 2018, we fully repaid $47 outstanding on this facility and did not renew the facility upon expiration in the fourth quarter of 2018.</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2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We disclose our financial assets and liabilities that are measured at fair value in our Condensed Consolidated Balance Sheets by level within the fair value hierarchy as defined by applicable accounting standards: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Other observable market-based inputs or unobservable inputs that are corroborated by market data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Unobservable inputs that cannot be corroborated by market data that reflect the reporting entity’s own assumptions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Carrying Value</w:t>
      </w:r>
    </w:p>
    <w:p>
      <w:pPr>
        <w:spacing w:after="0" w:line="2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Financial instruments measured at carrying value on a recurring basis include cash and cash equivalents, accounts receivable and accounts payable, which approximate fair value due to their short-term nature.</w:t>
      </w:r>
    </w:p>
    <w:p>
      <w:pPr>
        <w:spacing w:after="0" w:line="13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Long term-debt is recorded at carrying value. If long-term debt was measured at fair value, we would use quoted market prices of the same or similar issues, which is considered a Level 2 fair value measurement. The following table summarizes the carrying value and fair value estimate of our long-term debt, including current maturities: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0" w:type="dxa"/>
            <w:vAlign w:val="bottom"/>
          </w:tcPr>
          <w:p>
            <w:pPr>
              <w:spacing w:after="0"/>
              <w:rPr>
                <w:sz w:val="18"/>
                <w:szCs w:val="18"/>
                <w:color w:val="auto"/>
              </w:rPr>
            </w:pPr>
          </w:p>
        </w:tc>
        <w:tc>
          <w:tcPr>
            <w:tcW w:w="3620" w:type="dxa"/>
            <w:vAlign w:val="bottom"/>
          </w:tcPr>
          <w:p>
            <w:pPr>
              <w:jc w:val="right"/>
              <w:ind w:right="299"/>
              <w:spacing w:after="0"/>
              <w:rPr>
                <w:sz w:val="20"/>
                <w:szCs w:val="20"/>
                <w:color w:val="auto"/>
              </w:rPr>
            </w:pPr>
            <w:r>
              <w:rPr>
                <w:rFonts w:ascii="Arial" w:cs="Arial" w:eastAsia="Arial" w:hAnsi="Arial"/>
                <w:sz w:val="16"/>
                <w:szCs w:val="16"/>
                <w:b w:val="1"/>
                <w:bCs w:val="1"/>
                <w:color w:val="auto"/>
              </w:rPr>
              <w:t>November 2, 2019</w:t>
            </w:r>
          </w:p>
        </w:tc>
        <w:tc>
          <w:tcPr>
            <w:tcW w:w="1920" w:type="dxa"/>
            <w:vAlign w:val="bottom"/>
          </w:tcPr>
          <w:p>
            <w:pPr>
              <w:jc w:val="right"/>
              <w:ind w:right="259"/>
              <w:spacing w:after="0"/>
              <w:rPr>
                <w:sz w:val="20"/>
                <w:szCs w:val="20"/>
                <w:color w:val="auto"/>
              </w:rPr>
            </w:pPr>
            <w:r>
              <w:rPr>
                <w:rFonts w:ascii="Arial" w:cs="Arial" w:eastAsia="Arial" w:hAnsi="Arial"/>
                <w:sz w:val="16"/>
                <w:szCs w:val="16"/>
                <w:b w:val="1"/>
                <w:bCs w:val="1"/>
                <w:color w:val="auto"/>
              </w:rPr>
              <w:t>February 2, 2019</w:t>
            </w:r>
          </w:p>
        </w:tc>
        <w:tc>
          <w:tcPr>
            <w:tcW w:w="1680" w:type="dxa"/>
            <w:vAlign w:val="bottom"/>
          </w:tcPr>
          <w:p>
            <w:pPr>
              <w:jc w:val="right"/>
              <w:ind w:right="19"/>
              <w:spacing w:after="0"/>
              <w:rPr>
                <w:sz w:val="20"/>
                <w:szCs w:val="20"/>
                <w:color w:val="auto"/>
              </w:rPr>
            </w:pPr>
            <w:r>
              <w:rPr>
                <w:rFonts w:ascii="Arial" w:cs="Arial" w:eastAsia="Arial" w:hAnsi="Arial"/>
                <w:sz w:val="16"/>
                <w:szCs w:val="16"/>
                <w:b w:val="1"/>
                <w:bCs w:val="1"/>
                <w:color w:val="auto"/>
              </w:rPr>
              <w:t>November 3, 2018</w:t>
            </w:r>
          </w:p>
        </w:tc>
      </w:tr>
      <w:tr>
        <w:trPr>
          <w:trHeight w:val="33"/>
        </w:trPr>
        <w:tc>
          <w:tcPr>
            <w:tcW w:w="42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Carrying value of long-term debt</w:t>
            </w:r>
          </w:p>
        </w:tc>
        <w:tc>
          <w:tcPr>
            <w:tcW w:w="362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$2,679</w:t>
            </w:r>
          </w:p>
        </w:tc>
        <w:tc>
          <w:tcPr>
            <w:tcW w:w="19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$2,685</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$2,686</w:t>
            </w:r>
          </w:p>
        </w:tc>
      </w:tr>
      <w:tr>
        <w:trPr>
          <w:trHeight w:val="237"/>
        </w:trPr>
        <w:tc>
          <w:tcPr>
            <w:tcW w:w="4200" w:type="dxa"/>
            <w:vAlign w:val="bottom"/>
          </w:tcPr>
          <w:p>
            <w:pPr>
              <w:ind w:left="40"/>
              <w:spacing w:after="0"/>
              <w:rPr>
                <w:sz w:val="20"/>
                <w:szCs w:val="20"/>
                <w:color w:val="auto"/>
              </w:rPr>
            </w:pPr>
            <w:r>
              <w:rPr>
                <w:rFonts w:ascii="Arial" w:cs="Arial" w:eastAsia="Arial" w:hAnsi="Arial"/>
                <w:sz w:val="16"/>
                <w:szCs w:val="16"/>
                <w:color w:val="auto"/>
              </w:rPr>
              <w:t>Fair value of long-term debt</w:t>
            </w:r>
          </w:p>
        </w:tc>
        <w:tc>
          <w:tcPr>
            <w:tcW w:w="3620" w:type="dxa"/>
            <w:vAlign w:val="bottom"/>
          </w:tcPr>
          <w:p>
            <w:pPr>
              <w:jc w:val="right"/>
              <w:ind w:right="299"/>
              <w:spacing w:after="0"/>
              <w:rPr>
                <w:sz w:val="20"/>
                <w:szCs w:val="20"/>
                <w:color w:val="auto"/>
              </w:rPr>
            </w:pPr>
            <w:r>
              <w:rPr>
                <w:rFonts w:ascii="Arial" w:cs="Arial" w:eastAsia="Arial" w:hAnsi="Arial"/>
                <w:sz w:val="16"/>
                <w:szCs w:val="16"/>
                <w:b w:val="1"/>
                <w:bCs w:val="1"/>
                <w:color w:val="auto"/>
              </w:rPr>
              <w:t>2,831</w:t>
            </w:r>
          </w:p>
        </w:tc>
        <w:tc>
          <w:tcPr>
            <w:tcW w:w="1920" w:type="dxa"/>
            <w:vAlign w:val="bottom"/>
          </w:tcPr>
          <w:p>
            <w:pPr>
              <w:jc w:val="right"/>
              <w:ind w:right="259"/>
              <w:spacing w:after="0"/>
              <w:rPr>
                <w:sz w:val="20"/>
                <w:szCs w:val="20"/>
                <w:color w:val="auto"/>
              </w:rPr>
            </w:pPr>
            <w:r>
              <w:rPr>
                <w:rFonts w:ascii="Arial" w:cs="Arial" w:eastAsia="Arial" w:hAnsi="Arial"/>
                <w:sz w:val="16"/>
                <w:szCs w:val="16"/>
                <w:color w:val="auto"/>
              </w:rPr>
              <w:t>2,692</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2,700</w:t>
            </w:r>
          </w:p>
        </w:tc>
      </w:tr>
      <w:tr>
        <w:trPr>
          <w:trHeight w:val="33"/>
        </w:trPr>
        <w:tc>
          <w:tcPr>
            <w:tcW w:w="42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Non-financial Assets Measured at Fair Value on a Nonrecurring Basis</w:t>
      </w:r>
    </w:p>
    <w:p>
      <w:pPr>
        <w:spacing w:after="0" w:line="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also measure certain non-financial assets at fair value on a nonrecurring basis, primarily goodwill, long-lived tangible, right-of-use and intangible assets, in connection with periodic evaluations for potential impairment. We estimate the fair value of these assets using primarily unobservable inputs and, as such, these are considered Level 3 fair value measurements. There were no material impairment charges for these assets for the nine months ended November 2, 2019 and November 3, 2018.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7"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color w:val="auto"/>
        </w:rPr>
        <w:t>Our New York City flagship store opened in October 2019 and the related building and equipment assets were placed into service as of the end of the third quarter. While our store has opened, construction continues in the residential condominium units above the store. As of November 2, 2019, we had approximately $386 of fee interest in land, which is expected to convert to the condominium interest once the mixed-use tower is fully completed. We are committed to make one remaining installment payment based on the developer meeting final pre-established construction and development milestones.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SHAREHOLDERS’ EQUITY</w:t>
      </w:r>
    </w:p>
    <w:p>
      <w:pPr>
        <w:spacing w:after="0" w:line="27"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In August 2018, our Board of Directors authorized a program to repurchase up to $1,500 of our outstanding common stock, with no expiration date. The following is a summary of share repurchase activity:</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3920" w:type="dxa"/>
            <w:vAlign w:val="bottom"/>
            <w:gridSpan w:val="3"/>
          </w:tcPr>
          <w:p>
            <w:pPr>
              <w:ind w:left="1380"/>
              <w:spacing w:after="0"/>
              <w:rPr>
                <w:sz w:val="20"/>
                <w:szCs w:val="20"/>
                <w:color w:val="auto"/>
              </w:rPr>
            </w:pPr>
            <w:r>
              <w:rPr>
                <w:rFonts w:ascii="Arial" w:cs="Arial" w:eastAsia="Arial" w:hAnsi="Arial"/>
                <w:sz w:val="16"/>
                <w:szCs w:val="16"/>
                <w:b w:val="1"/>
                <w:bCs w:val="1"/>
                <w:color w:val="auto"/>
              </w:rPr>
              <w:t>Quarter Ended</w:t>
            </w:r>
          </w:p>
        </w:tc>
        <w:tc>
          <w:tcPr>
            <w:tcW w:w="3720" w:type="dxa"/>
            <w:vAlign w:val="bottom"/>
            <w:gridSpan w:val="2"/>
          </w:tcPr>
          <w:p>
            <w:pPr>
              <w:jc w:val="right"/>
              <w:ind w:right="107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78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080" w:type="dxa"/>
            <w:vAlign w:val="bottom"/>
          </w:tcPr>
          <w:p>
            <w:pPr>
              <w:jc w:val="right"/>
              <w:ind w:right="279"/>
              <w:spacing w:after="0"/>
              <w:rPr>
                <w:sz w:val="20"/>
                <w:szCs w:val="20"/>
                <w:color w:val="auto"/>
              </w:rPr>
            </w:pPr>
            <w:r>
              <w:rPr>
                <w:rFonts w:ascii="Arial" w:cs="Arial" w:eastAsia="Arial" w:hAnsi="Arial"/>
                <w:sz w:val="16"/>
                <w:szCs w:val="16"/>
                <w:b w:val="1"/>
                <w:bCs w:val="1"/>
                <w:color w:val="auto"/>
              </w:rPr>
              <w:t>November 2, 2019</w:t>
            </w:r>
          </w:p>
        </w:tc>
        <w:tc>
          <w:tcPr>
            <w:tcW w:w="1840" w:type="dxa"/>
            <w:vAlign w:val="bottom"/>
            <w:gridSpan w:val="2"/>
          </w:tcPr>
          <w:p>
            <w:pPr>
              <w:ind w:left="360"/>
              <w:spacing w:after="0"/>
              <w:rPr>
                <w:sz w:val="20"/>
                <w:szCs w:val="20"/>
                <w:color w:val="auto"/>
              </w:rPr>
            </w:pPr>
            <w:r>
              <w:rPr>
                <w:rFonts w:ascii="Arial" w:cs="Arial" w:eastAsia="Arial" w:hAnsi="Arial"/>
                <w:sz w:val="16"/>
                <w:szCs w:val="16"/>
                <w:b w:val="1"/>
                <w:bCs w:val="1"/>
                <w:color w:val="auto"/>
              </w:rPr>
              <w:t>November 3, 2018</w:t>
            </w:r>
          </w:p>
        </w:tc>
        <w:tc>
          <w:tcPr>
            <w:tcW w:w="2040" w:type="dxa"/>
            <w:vAlign w:val="bottom"/>
          </w:tcPr>
          <w:p>
            <w:pPr>
              <w:jc w:val="right"/>
              <w:ind w:right="259"/>
              <w:spacing w:after="0"/>
              <w:rPr>
                <w:sz w:val="20"/>
                <w:szCs w:val="20"/>
                <w:color w:val="auto"/>
              </w:rPr>
            </w:pPr>
            <w:r>
              <w:rPr>
                <w:rFonts w:ascii="Arial" w:cs="Arial" w:eastAsia="Arial" w:hAnsi="Arial"/>
                <w:sz w:val="16"/>
                <w:szCs w:val="16"/>
                <w:b w:val="1"/>
                <w:bCs w:val="1"/>
                <w:color w:val="auto"/>
              </w:rPr>
              <w:t>November 2, 2019</w:t>
            </w:r>
          </w:p>
        </w:tc>
        <w:tc>
          <w:tcPr>
            <w:tcW w:w="1680" w:type="dxa"/>
            <w:vAlign w:val="bottom"/>
          </w:tcPr>
          <w:p>
            <w:pPr>
              <w:jc w:val="right"/>
              <w:ind w:right="19"/>
              <w:spacing w:after="0"/>
              <w:rPr>
                <w:sz w:val="20"/>
                <w:szCs w:val="20"/>
                <w:color w:val="auto"/>
              </w:rPr>
            </w:pPr>
            <w:r>
              <w:rPr>
                <w:rFonts w:ascii="Arial" w:cs="Arial" w:eastAsia="Arial" w:hAnsi="Arial"/>
                <w:sz w:val="16"/>
                <w:szCs w:val="16"/>
                <w:b w:val="1"/>
                <w:bCs w:val="1"/>
                <w:color w:val="auto"/>
              </w:rPr>
              <w:t>November 3, 2018</w:t>
            </w:r>
          </w:p>
        </w:tc>
      </w:tr>
      <w:tr>
        <w:trPr>
          <w:trHeight w:val="33"/>
        </w:trPr>
        <w:tc>
          <w:tcPr>
            <w:tcW w:w="37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2018 Program</w:t>
            </w:r>
          </w:p>
        </w:tc>
        <w:tc>
          <w:tcPr>
            <w:tcW w:w="20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Shares of common stock repurchased</w:t>
            </w:r>
          </w:p>
        </w:tc>
        <w:tc>
          <w:tcPr>
            <w:tcW w:w="208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040" w:type="dxa"/>
            <w:vAlign w:val="bottom"/>
          </w:tcPr>
          <w:p>
            <w:pPr>
              <w:jc w:val="right"/>
              <w:ind w:right="259"/>
              <w:spacing w:after="0"/>
              <w:rPr>
                <w:sz w:val="20"/>
                <w:szCs w:val="20"/>
                <w:color w:val="auto"/>
              </w:rPr>
            </w:pPr>
            <w:r>
              <w:rPr>
                <w:rFonts w:ascii="Arial" w:cs="Arial" w:eastAsia="Arial" w:hAnsi="Arial"/>
                <w:sz w:val="16"/>
                <w:szCs w:val="16"/>
                <w:b w:val="1"/>
                <w:bCs w:val="1"/>
                <w:color w:val="auto"/>
              </w:rPr>
              <w:t>4.1</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33"/>
        </w:trPr>
        <w:tc>
          <w:tcPr>
            <w:tcW w:w="37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Aggregate amount of common stock repurchased</w:t>
            </w:r>
          </w:p>
        </w:tc>
        <w:tc>
          <w:tcPr>
            <w:tcW w:w="20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$186</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r>
      <w:tr>
        <w:trPr>
          <w:trHeight w:val="20"/>
        </w:trPr>
        <w:tc>
          <w:tcPr>
            <w:tcW w:w="378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bl>
    <w:p>
      <w:pPr>
        <w:spacing w:after="0" w:line="36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had $707 remaining in share repurchase capacity as of November 2, 2019. The actual timing, price, manner and amounts of future share repurchases, if any, will be subject to market and economic conditions and applicable SEC rules.</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November 2019, subsequent to quarter end, we declared a quarterly dividend of $0.37 per share, which will be paid on December 16, 2019 to shareholders of record at the close of business on November 29, 2019.</w:t>
      </w:r>
    </w:p>
    <w:p>
      <w:pPr>
        <w:sectPr>
          <w:pgSz w:w="11900" w:h="16838" w:orient="portrait"/>
          <w:cols w:equalWidth="0" w:num="1">
            <w:col w:w="11420"/>
          </w:cols>
          <w:pgMar w:left="240" w:top="279" w:right="23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 of 28</w:t>
      </w:r>
    </w:p>
    <w:p>
      <w:pPr>
        <w:sectPr>
          <w:pgSz w:w="11900" w:h="16838" w:orient="portrait"/>
          <w:cols w:equalWidth="0" w:num="1">
            <w:col w:w="11420"/>
          </w:cols>
          <w:pgMar w:left="240" w:top="279" w:right="239" w:bottom="1440" w:gutter="0" w:footer="0" w:header="0"/>
          <w:type w:val="continuous"/>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2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May 2019, our shareholders approved the adoption of the 2019 Plan, which replaced the 2002 Plan and the 2010 Plan. The 2019 Plan authorizes the grant of stock options, PSUs, RSUs, stock appreciation rights and both restricted and unrestricted shares of common stock to employees and nonemployee directors. The aggregate number of shares to be issued under the 2019 Plan may not exceed 9.5 plus any shares currently outstanding under the 2010 Plan that are forfeited or expire during the term of the 2019 Plan. No future grants will be made under the 2002 Plan and the 2010 Plan.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stock-based compensation expense: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Arial" w:cs="Arial" w:eastAsia="Arial" w:hAnsi="Arial"/>
                <w:sz w:val="16"/>
                <w:szCs w:val="16"/>
                <w:b w:val="1"/>
                <w:bCs w:val="1"/>
                <w:color w:val="auto"/>
              </w:rPr>
              <w:t>Quarter Ended</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gridSpan w:val="2"/>
          </w:tcPr>
          <w:p>
            <w:pPr>
              <w:jc w:val="right"/>
              <w:ind w:right="10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780" w:type="dxa"/>
            <w:vAlign w:val="bottom"/>
          </w:tcPr>
          <w:p>
            <w:pPr>
              <w:spacing w:after="0"/>
              <w:rPr>
                <w:sz w:val="20"/>
                <w:szCs w:val="20"/>
                <w:color w:val="auto"/>
              </w:rPr>
            </w:pPr>
          </w:p>
        </w:tc>
        <w:tc>
          <w:tcPr>
            <w:tcW w:w="2440" w:type="dxa"/>
            <w:vAlign w:val="bottom"/>
          </w:tcPr>
          <w:p>
            <w:pPr>
              <w:jc w:val="right"/>
              <w:ind w:right="639"/>
              <w:spacing w:after="0"/>
              <w:rPr>
                <w:sz w:val="20"/>
                <w:szCs w:val="20"/>
                <w:color w:val="auto"/>
              </w:rPr>
            </w:pPr>
            <w:r>
              <w:rPr>
                <w:rFonts w:ascii="Arial" w:cs="Arial" w:eastAsia="Arial" w:hAnsi="Arial"/>
                <w:sz w:val="16"/>
                <w:szCs w:val="16"/>
                <w:b w:val="1"/>
                <w:bCs w:val="1"/>
                <w:color w:val="auto"/>
              </w:rPr>
              <w:t>November 2, 2019</w:t>
            </w: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November 3, 2018</w:t>
            </w:r>
          </w:p>
        </w:tc>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November 2, 2019</w:t>
            </w:r>
          </w:p>
        </w:tc>
        <w:tc>
          <w:tcPr>
            <w:tcW w:w="1660" w:type="dxa"/>
            <w:vAlign w:val="bottom"/>
          </w:tcPr>
          <w:p>
            <w:pPr>
              <w:jc w:val="right"/>
              <w:ind w:right="19"/>
              <w:spacing w:after="0"/>
              <w:rPr>
                <w:sz w:val="20"/>
                <w:szCs w:val="20"/>
                <w:color w:val="auto"/>
              </w:rPr>
            </w:pPr>
            <w:r>
              <w:rPr>
                <w:rFonts w:ascii="Arial" w:cs="Arial" w:eastAsia="Arial" w:hAnsi="Arial"/>
                <w:sz w:val="16"/>
                <w:szCs w:val="16"/>
                <w:b w:val="1"/>
                <w:bCs w:val="1"/>
                <w:color w:val="auto"/>
              </w:rPr>
              <w:t>November 3, 2018</w:t>
            </w:r>
          </w:p>
        </w:tc>
        <w:tc>
          <w:tcPr>
            <w:tcW w:w="0" w:type="dxa"/>
            <w:vAlign w:val="bottom"/>
          </w:tcPr>
          <w:p>
            <w:pPr>
              <w:spacing w:after="0"/>
              <w:rPr>
                <w:sz w:val="1"/>
                <w:szCs w:val="1"/>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RSUs</w:t>
            </w:r>
          </w:p>
        </w:tc>
        <w:tc>
          <w:tcPr>
            <w:tcW w:w="24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$11</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$39</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Stock options</w:t>
            </w:r>
          </w:p>
        </w:tc>
        <w:tc>
          <w:tcPr>
            <w:tcW w:w="2440" w:type="dxa"/>
            <w:vAlign w:val="bottom"/>
          </w:tcPr>
          <w:p>
            <w:pPr>
              <w:jc w:val="right"/>
              <w:ind w:right="639"/>
              <w:spacing w:after="0"/>
              <w:rPr>
                <w:sz w:val="20"/>
                <w:szCs w:val="20"/>
                <w:color w:val="auto"/>
              </w:rPr>
            </w:pPr>
            <w:r>
              <w:rPr>
                <w:rFonts w:ascii="Arial" w:cs="Arial" w:eastAsia="Arial" w:hAnsi="Arial"/>
                <w:sz w:val="16"/>
                <w:szCs w:val="16"/>
                <w:b w:val="1"/>
                <w:bCs w:val="1"/>
                <w:color w:val="auto"/>
              </w:rPr>
              <w:t>2</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9</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4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2</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auto"/>
            </w:tcBorders>
            <w:shd w:val="clear" w:color="auto" w:fill="CCEEFF"/>
          </w:tcPr>
          <w:p>
            <w:pPr>
              <w:spacing w:after="0"/>
              <w:rPr>
                <w:sz w:val="23"/>
                <w:szCs w:val="23"/>
                <w:color w:val="auto"/>
              </w:rPr>
            </w:pPr>
          </w:p>
        </w:tc>
        <w:tc>
          <w:tcPr>
            <w:tcW w:w="20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7</w:t>
            </w: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3780" w:type="dxa"/>
            <w:vAlign w:val="bottom"/>
          </w:tcPr>
          <w:p>
            <w:pPr>
              <w:ind w:left="40"/>
              <w:spacing w:after="0"/>
              <w:rPr>
                <w:sz w:val="20"/>
                <w:szCs w:val="20"/>
                <w:color w:val="auto"/>
              </w:rPr>
            </w:pPr>
            <w:r>
              <w:rPr>
                <w:rFonts w:ascii="Arial" w:cs="Arial" w:eastAsia="Arial" w:hAnsi="Arial"/>
                <w:sz w:val="16"/>
                <w:szCs w:val="16"/>
                <w:color w:val="auto"/>
                <w:w w:val="91"/>
              </w:rPr>
              <w:t>Total stock-based compensation expense, before income</w:t>
            </w:r>
          </w:p>
        </w:tc>
        <w:tc>
          <w:tcPr>
            <w:tcW w:w="2440" w:type="dxa"/>
            <w:vAlign w:val="bottom"/>
            <w:vMerge w:val="restart"/>
          </w:tcPr>
          <w:p>
            <w:pPr>
              <w:jc w:val="right"/>
              <w:ind w:right="639"/>
              <w:spacing w:after="0"/>
              <w:rPr>
                <w:sz w:val="20"/>
                <w:szCs w:val="20"/>
                <w:color w:val="auto"/>
              </w:rPr>
            </w:pPr>
            <w:r>
              <w:rPr>
                <w:rFonts w:ascii="Arial" w:cs="Arial" w:eastAsia="Arial" w:hAnsi="Arial"/>
                <w:sz w:val="16"/>
                <w:szCs w:val="16"/>
                <w:b w:val="1"/>
                <w:bCs w:val="1"/>
                <w:color w:val="auto"/>
              </w:rPr>
              <w:t>15</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55</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780" w:type="dxa"/>
            <w:vAlign w:val="bottom"/>
          </w:tcPr>
          <w:p>
            <w:pPr>
              <w:ind w:left="280"/>
              <w:spacing w:after="0"/>
              <w:rPr>
                <w:sz w:val="20"/>
                <w:szCs w:val="20"/>
                <w:color w:val="auto"/>
              </w:rPr>
            </w:pPr>
            <w:r>
              <w:rPr>
                <w:rFonts w:ascii="Arial" w:cs="Arial" w:eastAsia="Arial" w:hAnsi="Arial"/>
                <w:sz w:val="16"/>
                <w:szCs w:val="16"/>
                <w:color w:val="auto"/>
              </w:rPr>
              <w:t>tax benefit</w:t>
            </w:r>
          </w:p>
        </w:tc>
        <w:tc>
          <w:tcPr>
            <w:tcW w:w="2440" w:type="dxa"/>
            <w:vAlign w:val="bottom"/>
            <w:vMerge w:val="continue"/>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2060" w:type="dxa"/>
            <w:vAlign w:val="bottom"/>
            <w:vMerge w:val="continue"/>
          </w:tcPr>
          <w:p>
            <w:pPr>
              <w:spacing w:after="0"/>
              <w:rPr>
                <w:sz w:val="17"/>
                <w:szCs w:val="17"/>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w:t>
            </w:r>
          </w:p>
        </w:tc>
        <w:tc>
          <w:tcPr>
            <w:tcW w:w="244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(14)</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9"/>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stock-based compensation expense, net of</w:t>
            </w:r>
          </w:p>
        </w:tc>
        <w:tc>
          <w:tcPr>
            <w:tcW w:w="24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280"/>
              <w:spacing w:after="0"/>
              <w:rPr>
                <w:sz w:val="20"/>
                <w:szCs w:val="20"/>
                <w:color w:val="auto"/>
              </w:rPr>
            </w:pPr>
            <w:r>
              <w:rPr>
                <w:rFonts w:ascii="Arial" w:cs="Arial" w:eastAsia="Arial" w:hAnsi="Arial"/>
                <w:sz w:val="16"/>
                <w:szCs w:val="16"/>
                <w:b w:val="1"/>
                <w:bCs w:val="1"/>
                <w:color w:val="auto"/>
              </w:rPr>
              <w:t>income tax benefit</w:t>
            </w:r>
          </w:p>
        </w:tc>
        <w:tc>
          <w:tcPr>
            <w:tcW w:w="2440" w:type="dxa"/>
            <w:vAlign w:val="bottom"/>
          </w:tcPr>
          <w:p>
            <w:pPr>
              <w:jc w:val="right"/>
              <w:ind w:right="639"/>
              <w:spacing w:after="0"/>
              <w:rPr>
                <w:sz w:val="20"/>
                <w:szCs w:val="20"/>
                <w:color w:val="auto"/>
              </w:rPr>
            </w:pPr>
            <w:r>
              <w:rPr>
                <w:rFonts w:ascii="Arial" w:cs="Arial" w:eastAsia="Arial" w:hAnsi="Arial"/>
                <w:sz w:val="16"/>
                <w:szCs w:val="16"/>
                <w:b w:val="1"/>
                <w:bCs w:val="1"/>
                <w:color w:val="auto"/>
              </w:rPr>
              <w:t>$11</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$41</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80" w:hanging="72"/>
        <w:spacing w:after="0"/>
        <w:tabs>
          <w:tab w:leader="none" w:pos="80" w:val="left"/>
        </w:tabs>
        <w:numPr>
          <w:ilvl w:val="0"/>
          <w:numId w:val="13"/>
        </w:numPr>
        <w:rPr>
          <w:rFonts w:ascii="Arial" w:cs="Arial" w:eastAsia="Arial" w:hAnsi="Arial"/>
          <w:sz w:val="9"/>
          <w:szCs w:val="9"/>
          <w:color w:val="auto"/>
        </w:rPr>
      </w:pPr>
      <w:r>
        <w:rPr>
          <w:rFonts w:ascii="Arial" w:cs="Arial" w:eastAsia="Arial" w:hAnsi="Arial"/>
          <w:sz w:val="14"/>
          <w:szCs w:val="14"/>
          <w:color w:val="auto"/>
        </w:rPr>
        <w:t>Other stock-based compensation expense includes PSUs, ESPP and nonemployee director stock awards.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grant allocations: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0" w:type="dxa"/>
            <w:vAlign w:val="bottom"/>
            <w:gridSpan w:val="3"/>
          </w:tcPr>
          <w:p>
            <w:pPr>
              <w:ind w:left="1140"/>
              <w:spacing w:after="0"/>
              <w:rPr>
                <w:sz w:val="20"/>
                <w:szCs w:val="20"/>
                <w:color w:val="auto"/>
              </w:rPr>
            </w:pPr>
            <w:r>
              <w:rPr>
                <w:rFonts w:ascii="Arial" w:cs="Arial" w:eastAsia="Arial" w:hAnsi="Arial"/>
                <w:sz w:val="16"/>
                <w:szCs w:val="16"/>
                <w:b w:val="1"/>
                <w:bCs w:val="1"/>
                <w:color w:val="auto"/>
              </w:rPr>
              <w:t>Nine Months Ended</w:t>
            </w:r>
          </w:p>
        </w:tc>
        <w:tc>
          <w:tcPr>
            <w:tcW w:w="10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4780" w:type="dxa"/>
            <w:vAlign w:val="bottom"/>
            <w:tcBorders>
              <w:bottom w:val="single" w:sz="8" w:color="auto"/>
            </w:tcBorders>
            <w:gridSpan w:val="4"/>
          </w:tcPr>
          <w:p>
            <w:pPr>
              <w:spacing w:after="0"/>
              <w:rPr>
                <w:sz w:val="2"/>
                <w:szCs w:val="2"/>
                <w:color w:val="auto"/>
              </w:rPr>
            </w:pPr>
          </w:p>
        </w:tc>
        <w:tc>
          <w:tcPr>
            <w:tcW w:w="2860" w:type="dxa"/>
            <w:vAlign w:val="bottom"/>
            <w:tcBorders>
              <w:bottom w:val="single" w:sz="8" w:color="auto"/>
            </w:tcBorders>
            <w:gridSpan w:val="2"/>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4780" w:type="dxa"/>
            <w:vAlign w:val="bottom"/>
            <w:gridSpan w:val="4"/>
          </w:tcPr>
          <w:p>
            <w:pPr>
              <w:ind w:left="1280"/>
              <w:spacing w:after="0"/>
              <w:rPr>
                <w:sz w:val="20"/>
                <w:szCs w:val="20"/>
                <w:color w:val="auto"/>
              </w:rPr>
            </w:pPr>
            <w:r>
              <w:rPr>
                <w:rFonts w:ascii="Arial" w:cs="Arial" w:eastAsia="Arial" w:hAnsi="Arial"/>
                <w:sz w:val="16"/>
                <w:szCs w:val="16"/>
                <w:b w:val="1"/>
                <w:bCs w:val="1"/>
                <w:color w:val="auto"/>
              </w:rPr>
              <w:t>November 2, 2019</w:t>
            </w:r>
          </w:p>
        </w:tc>
        <w:tc>
          <w:tcPr>
            <w:tcW w:w="2860" w:type="dxa"/>
            <w:vAlign w:val="bottom"/>
            <w:gridSpan w:val="2"/>
          </w:tcPr>
          <w:p>
            <w:pPr>
              <w:jc w:val="right"/>
              <w:ind w:right="1159"/>
              <w:spacing w:after="0"/>
              <w:rPr>
                <w:sz w:val="20"/>
                <w:szCs w:val="20"/>
                <w:color w:val="auto"/>
              </w:rPr>
            </w:pPr>
            <w:r>
              <w:rPr>
                <w:rFonts w:ascii="Arial" w:cs="Arial" w:eastAsia="Arial" w:hAnsi="Arial"/>
                <w:sz w:val="16"/>
                <w:szCs w:val="16"/>
                <w:b w:val="1"/>
                <w:bCs w:val="1"/>
                <w:color w:val="auto"/>
              </w:rPr>
              <w:t>November 3, 2018</w:t>
            </w:r>
          </w:p>
        </w:tc>
      </w:tr>
      <w:tr>
        <w:trPr>
          <w:trHeight w:val="33"/>
        </w:trPr>
        <w:tc>
          <w:tcPr>
            <w:tcW w:w="378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9"/>
        </w:trPr>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0" w:type="dxa"/>
            <w:vAlign w:val="bottom"/>
            <w:gridSpan w:val="3"/>
          </w:tcPr>
          <w:p>
            <w:pPr>
              <w:jc w:val="right"/>
              <w:ind w:right="1100"/>
              <w:spacing w:after="0"/>
              <w:rPr>
                <w:sz w:val="20"/>
                <w:szCs w:val="20"/>
                <w:color w:val="auto"/>
              </w:rPr>
            </w:pPr>
            <w:r>
              <w:rPr>
                <w:rFonts w:ascii="Arial" w:cs="Arial" w:eastAsia="Arial" w:hAnsi="Arial"/>
                <w:sz w:val="16"/>
                <w:szCs w:val="16"/>
                <w:b w:val="1"/>
                <w:bCs w:val="1"/>
                <w:color w:val="auto"/>
              </w:rPr>
              <w:t>Weighted-average</w:t>
            </w:r>
          </w:p>
        </w:tc>
        <w:tc>
          <w:tcPr>
            <w:tcW w:w="1080" w:type="dxa"/>
            <w:vAlign w:val="bottom"/>
          </w:tcPr>
          <w:p>
            <w:pPr>
              <w:spacing w:after="0"/>
              <w:rPr>
                <w:sz w:val="18"/>
                <w:szCs w:val="18"/>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b w:val="1"/>
                <w:bCs w:val="1"/>
                <w:color w:val="auto"/>
              </w:rPr>
              <w:t>Weighted-average</w:t>
            </w:r>
          </w:p>
        </w:tc>
      </w:tr>
      <w:tr>
        <w:trPr>
          <w:trHeight w:val="203"/>
        </w:trPr>
        <w:tc>
          <w:tcPr>
            <w:tcW w:w="3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00" w:type="dxa"/>
            <w:vAlign w:val="bottom"/>
            <w:gridSpan w:val="3"/>
          </w:tcPr>
          <w:p>
            <w:pPr>
              <w:jc w:val="right"/>
              <w:ind w:right="1100"/>
              <w:spacing w:after="0"/>
              <w:rPr>
                <w:sz w:val="20"/>
                <w:szCs w:val="20"/>
                <w:color w:val="auto"/>
              </w:rPr>
            </w:pPr>
            <w:r>
              <w:rPr>
                <w:rFonts w:ascii="Arial" w:cs="Arial" w:eastAsia="Arial" w:hAnsi="Arial"/>
                <w:sz w:val="16"/>
                <w:szCs w:val="16"/>
                <w:b w:val="1"/>
                <w:bCs w:val="1"/>
                <w:color w:val="auto"/>
              </w:rPr>
              <w:t>grant-date fair value</w:t>
            </w:r>
          </w:p>
        </w:tc>
        <w:tc>
          <w:tcPr>
            <w:tcW w:w="1080" w:type="dxa"/>
            <w:vAlign w:val="bottom"/>
          </w:tcPr>
          <w:p>
            <w:pPr>
              <w:spacing w:after="0"/>
              <w:rPr>
                <w:sz w:val="17"/>
                <w:szCs w:val="17"/>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b w:val="1"/>
                <w:bCs w:val="1"/>
                <w:color w:val="auto"/>
              </w:rPr>
              <w:t>grant-date fair value</w:t>
            </w:r>
          </w:p>
        </w:tc>
      </w:tr>
      <w:tr>
        <w:trPr>
          <w:trHeight w:val="210"/>
        </w:trPr>
        <w:tc>
          <w:tcPr>
            <w:tcW w:w="3780" w:type="dxa"/>
            <w:vAlign w:val="bottom"/>
          </w:tcPr>
          <w:p>
            <w:pPr>
              <w:spacing w:after="0"/>
              <w:rPr>
                <w:sz w:val="18"/>
                <w:szCs w:val="18"/>
                <w:color w:val="auto"/>
              </w:rPr>
            </w:pPr>
          </w:p>
        </w:tc>
        <w:tc>
          <w:tcPr>
            <w:tcW w:w="1980" w:type="dxa"/>
            <w:vAlign w:val="bottom"/>
          </w:tcPr>
          <w:p>
            <w:pPr>
              <w:jc w:val="right"/>
              <w:ind w:right="179"/>
              <w:spacing w:after="0"/>
              <w:rPr>
                <w:sz w:val="20"/>
                <w:szCs w:val="20"/>
                <w:color w:val="auto"/>
              </w:rPr>
            </w:pPr>
            <w:r>
              <w:rPr>
                <w:rFonts w:ascii="Arial" w:cs="Arial" w:eastAsia="Arial" w:hAnsi="Arial"/>
                <w:sz w:val="16"/>
                <w:szCs w:val="16"/>
                <w:b w:val="1"/>
                <w:bCs w:val="1"/>
                <w:color w:val="auto"/>
              </w:rPr>
              <w:t>Granted</w:t>
            </w:r>
          </w:p>
        </w:tc>
        <w:tc>
          <w:tcPr>
            <w:tcW w:w="2800" w:type="dxa"/>
            <w:vAlign w:val="bottom"/>
            <w:gridSpan w:val="3"/>
          </w:tcPr>
          <w:p>
            <w:pPr>
              <w:jc w:val="right"/>
              <w:ind w:right="1100"/>
              <w:spacing w:after="0"/>
              <w:rPr>
                <w:sz w:val="20"/>
                <w:szCs w:val="20"/>
                <w:color w:val="auto"/>
              </w:rPr>
            </w:pPr>
            <w:r>
              <w:rPr>
                <w:rFonts w:ascii="Arial" w:cs="Arial" w:eastAsia="Arial" w:hAnsi="Arial"/>
                <w:sz w:val="16"/>
                <w:szCs w:val="16"/>
                <w:b w:val="1"/>
                <w:bCs w:val="1"/>
                <w:color w:val="auto"/>
              </w:rPr>
              <w:t>per unit</w:t>
            </w:r>
          </w:p>
        </w:tc>
        <w:tc>
          <w:tcPr>
            <w:tcW w:w="1080" w:type="dxa"/>
            <w:vAlign w:val="bottom"/>
          </w:tcPr>
          <w:p>
            <w:pPr>
              <w:jc w:val="right"/>
              <w:ind w:right="159"/>
              <w:spacing w:after="0"/>
              <w:rPr>
                <w:sz w:val="20"/>
                <w:szCs w:val="20"/>
                <w:color w:val="auto"/>
              </w:rPr>
            </w:pPr>
            <w:r>
              <w:rPr>
                <w:rFonts w:ascii="Arial" w:cs="Arial" w:eastAsia="Arial" w:hAnsi="Arial"/>
                <w:sz w:val="16"/>
                <w:szCs w:val="16"/>
                <w:b w:val="1"/>
                <w:bCs w:val="1"/>
                <w:color w:val="auto"/>
              </w:rPr>
              <w:t>Granted</w:t>
            </w:r>
          </w:p>
        </w:tc>
        <w:tc>
          <w:tcPr>
            <w:tcW w:w="1780" w:type="dxa"/>
            <w:vAlign w:val="bottom"/>
          </w:tcPr>
          <w:p>
            <w:pPr>
              <w:jc w:val="right"/>
              <w:ind w:right="19"/>
              <w:spacing w:after="0"/>
              <w:rPr>
                <w:sz w:val="20"/>
                <w:szCs w:val="20"/>
                <w:color w:val="auto"/>
              </w:rPr>
            </w:pPr>
            <w:r>
              <w:rPr>
                <w:rFonts w:ascii="Arial" w:cs="Arial" w:eastAsia="Arial" w:hAnsi="Arial"/>
                <w:sz w:val="16"/>
                <w:szCs w:val="16"/>
                <w:b w:val="1"/>
                <w:bCs w:val="1"/>
                <w:color w:val="auto"/>
              </w:rPr>
              <w:t>per unit</w:t>
            </w:r>
          </w:p>
        </w:tc>
      </w:tr>
      <w:tr>
        <w:trPr>
          <w:trHeight w:val="33"/>
        </w:trPr>
        <w:tc>
          <w:tcPr>
            <w:tcW w:w="37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RSUs</w:t>
            </w:r>
          </w:p>
        </w:tc>
        <w:tc>
          <w:tcPr>
            <w:tcW w:w="1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1.2</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2.2</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Stock options</w:t>
            </w:r>
          </w:p>
        </w:tc>
        <w:tc>
          <w:tcPr>
            <w:tcW w:w="1980" w:type="dxa"/>
            <w:vAlign w:val="bottom"/>
          </w:tcPr>
          <w:p>
            <w:pPr>
              <w:jc w:val="right"/>
              <w:ind w:right="179"/>
              <w:spacing w:after="0"/>
              <w:rPr>
                <w:sz w:val="20"/>
                <w:szCs w:val="20"/>
                <w:color w:val="auto"/>
              </w:rPr>
            </w:pPr>
            <w:r>
              <w:rPr>
                <w:rFonts w:ascii="Arial" w:cs="Arial" w:eastAsia="Arial" w:hAnsi="Arial"/>
                <w:sz w:val="16"/>
                <w:szCs w:val="16"/>
                <w:b w:val="1"/>
                <w:bCs w:val="1"/>
                <w:color w:val="auto"/>
              </w:rPr>
              <w:t>1.0</w:t>
            </w:r>
          </w:p>
        </w:tc>
        <w:tc>
          <w:tcPr>
            <w:tcW w:w="1820" w:type="dxa"/>
            <w:vAlign w:val="bottom"/>
          </w:tcPr>
          <w:p>
            <w:pPr>
              <w:jc w:val="right"/>
              <w:ind w:right="39"/>
              <w:spacing w:after="0"/>
              <w:rPr>
                <w:sz w:val="20"/>
                <w:szCs w:val="20"/>
                <w:color w:val="auto"/>
              </w:rPr>
            </w:pPr>
            <w:r>
              <w:rPr>
                <w:rFonts w:ascii="Arial" w:cs="Arial" w:eastAsia="Arial" w:hAnsi="Arial"/>
                <w:sz w:val="16"/>
                <w:szCs w:val="16"/>
                <w:b w:val="1"/>
                <w:bCs w:val="1"/>
                <w:color w:val="auto"/>
              </w:rPr>
              <w:t>$15</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7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PSUs</w:t>
            </w:r>
          </w:p>
        </w:tc>
        <w:tc>
          <w:tcPr>
            <w:tcW w:w="1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0.3</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378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bl>
    <w:p>
      <w:pPr>
        <w:spacing w:after="0" w:line="36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Under our deferred and stock-based compensation plan arrangements, the Company issued 0.3 and 1.7 shares of common stock during the quarter and nine months ended November 2, 2019 and 2.5 and 4.8 shares during the quarter and nine months ended November 3,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EPS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Arial" w:cs="Arial" w:eastAsia="Arial" w:hAnsi="Arial"/>
                <w:sz w:val="16"/>
                <w:szCs w:val="16"/>
                <w:b w:val="1"/>
                <w:bCs w:val="1"/>
                <w:color w:val="auto"/>
              </w:rPr>
              <w:t>Quarter Ended</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gridSpan w:val="2"/>
          </w:tcPr>
          <w:p>
            <w:pPr>
              <w:jc w:val="right"/>
              <w:ind w:right="107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78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440" w:type="dxa"/>
            <w:vAlign w:val="bottom"/>
          </w:tcPr>
          <w:p>
            <w:pPr>
              <w:jc w:val="right"/>
              <w:ind w:right="639"/>
              <w:spacing w:after="0"/>
              <w:rPr>
                <w:sz w:val="20"/>
                <w:szCs w:val="20"/>
                <w:color w:val="auto"/>
              </w:rPr>
            </w:pPr>
            <w:r>
              <w:rPr>
                <w:rFonts w:ascii="Arial" w:cs="Arial" w:eastAsia="Arial" w:hAnsi="Arial"/>
                <w:sz w:val="16"/>
                <w:szCs w:val="16"/>
                <w:b w:val="1"/>
                <w:bCs w:val="1"/>
                <w:color w:val="auto"/>
              </w:rPr>
              <w:t>November 2, 2019</w:t>
            </w: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November 3, 2018</w:t>
            </w:r>
          </w:p>
        </w:tc>
        <w:tc>
          <w:tcPr>
            <w:tcW w:w="2040" w:type="dxa"/>
            <w:vAlign w:val="bottom"/>
          </w:tcPr>
          <w:p>
            <w:pPr>
              <w:jc w:val="right"/>
              <w:ind w:right="259"/>
              <w:spacing w:after="0"/>
              <w:rPr>
                <w:sz w:val="20"/>
                <w:szCs w:val="20"/>
                <w:color w:val="auto"/>
              </w:rPr>
            </w:pPr>
            <w:r>
              <w:rPr>
                <w:rFonts w:ascii="Arial" w:cs="Arial" w:eastAsia="Arial" w:hAnsi="Arial"/>
                <w:sz w:val="16"/>
                <w:szCs w:val="16"/>
                <w:b w:val="1"/>
                <w:bCs w:val="1"/>
                <w:color w:val="auto"/>
              </w:rPr>
              <w:t>November 2, 2019</w:t>
            </w:r>
          </w:p>
        </w:tc>
        <w:tc>
          <w:tcPr>
            <w:tcW w:w="1680" w:type="dxa"/>
            <w:vAlign w:val="bottom"/>
          </w:tcPr>
          <w:p>
            <w:pPr>
              <w:jc w:val="right"/>
              <w:ind w:right="19"/>
              <w:spacing w:after="0"/>
              <w:rPr>
                <w:sz w:val="20"/>
                <w:szCs w:val="20"/>
                <w:color w:val="auto"/>
              </w:rPr>
            </w:pPr>
            <w:r>
              <w:rPr>
                <w:rFonts w:ascii="Arial" w:cs="Arial" w:eastAsia="Arial" w:hAnsi="Arial"/>
                <w:sz w:val="16"/>
                <w:szCs w:val="16"/>
                <w:b w:val="1"/>
                <w:bCs w:val="1"/>
                <w:color w:val="auto"/>
              </w:rPr>
              <w:t>November 3, 2018</w:t>
            </w:r>
          </w:p>
        </w:tc>
      </w:tr>
      <w:tr>
        <w:trPr>
          <w:trHeight w:val="33"/>
        </w:trPr>
        <w:tc>
          <w:tcPr>
            <w:tcW w:w="37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4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$126</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$304</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w:t>
            </w:r>
          </w:p>
        </w:tc>
      </w:tr>
      <w:tr>
        <w:trPr>
          <w:trHeight w:val="291"/>
        </w:trPr>
        <w:tc>
          <w:tcPr>
            <w:tcW w:w="378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shares</w:t>
            </w:r>
          </w:p>
        </w:tc>
        <w:tc>
          <w:tcPr>
            <w:tcW w:w="24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155.2</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168.8</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155.1</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168.1</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Dilutive effect of common stock equivalents</w:t>
            </w:r>
          </w:p>
        </w:tc>
        <w:tc>
          <w:tcPr>
            <w:tcW w:w="2440" w:type="dxa"/>
            <w:vAlign w:val="bottom"/>
          </w:tcPr>
          <w:p>
            <w:pPr>
              <w:jc w:val="right"/>
              <w:ind w:right="639"/>
              <w:spacing w:after="0"/>
              <w:rPr>
                <w:sz w:val="20"/>
                <w:szCs w:val="20"/>
                <w:color w:val="auto"/>
              </w:rPr>
            </w:pPr>
            <w:r>
              <w:rPr>
                <w:rFonts w:ascii="Arial" w:cs="Arial" w:eastAsia="Arial" w:hAnsi="Arial"/>
                <w:sz w:val="16"/>
                <w:szCs w:val="16"/>
                <w:b w:val="1"/>
                <w:bCs w:val="1"/>
                <w:color w:val="auto"/>
              </w:rPr>
              <w:t>0.6</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2040" w:type="dxa"/>
            <w:vAlign w:val="bottom"/>
          </w:tcPr>
          <w:p>
            <w:pPr>
              <w:jc w:val="right"/>
              <w:ind w:right="259"/>
              <w:spacing w:after="0"/>
              <w:rPr>
                <w:sz w:val="20"/>
                <w:szCs w:val="20"/>
                <w:color w:val="auto"/>
              </w:rPr>
            </w:pPr>
            <w:r>
              <w:rPr>
                <w:rFonts w:ascii="Arial" w:cs="Arial" w:eastAsia="Arial" w:hAnsi="Arial"/>
                <w:sz w:val="16"/>
                <w:szCs w:val="16"/>
                <w:b w:val="1"/>
                <w:bCs w:val="1"/>
                <w:color w:val="auto"/>
              </w:rPr>
              <w:t>0.8</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33"/>
        </w:trPr>
        <w:tc>
          <w:tcPr>
            <w:tcW w:w="37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shares</w:t>
            </w:r>
          </w:p>
        </w:tc>
        <w:tc>
          <w:tcPr>
            <w:tcW w:w="24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155.8</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172.4</w:t>
            </w:r>
          </w:p>
        </w:tc>
        <w:tc>
          <w:tcPr>
            <w:tcW w:w="1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155.9</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171.0</w:t>
            </w:r>
          </w:p>
        </w:tc>
      </w:tr>
      <w:tr>
        <w:trPr>
          <w:trHeight w:val="291"/>
        </w:trPr>
        <w:tc>
          <w:tcPr>
            <w:tcW w:w="378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basic share</w:t>
            </w:r>
          </w:p>
        </w:tc>
        <w:tc>
          <w:tcPr>
            <w:tcW w:w="24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$0.81</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$1.96</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Earnings per diluted share</w:t>
            </w:r>
          </w:p>
        </w:tc>
        <w:tc>
          <w:tcPr>
            <w:tcW w:w="2440" w:type="dxa"/>
            <w:vAlign w:val="bottom"/>
          </w:tcPr>
          <w:p>
            <w:pPr>
              <w:jc w:val="right"/>
              <w:ind w:right="639"/>
              <w:spacing w:after="0"/>
              <w:rPr>
                <w:sz w:val="20"/>
                <w:szCs w:val="20"/>
                <w:color w:val="auto"/>
              </w:rPr>
            </w:pPr>
            <w:r>
              <w:rPr>
                <w:rFonts w:ascii="Arial" w:cs="Arial" w:eastAsia="Arial" w:hAnsi="Arial"/>
                <w:sz w:val="16"/>
                <w:szCs w:val="16"/>
                <w:b w:val="1"/>
                <w:bCs w:val="1"/>
                <w:color w:val="auto"/>
              </w:rPr>
              <w:t>$0.81</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$0.39</w:t>
            </w:r>
          </w:p>
        </w:tc>
        <w:tc>
          <w:tcPr>
            <w:tcW w:w="120" w:type="dxa"/>
            <w:vAlign w:val="bottom"/>
          </w:tcPr>
          <w:p>
            <w:pPr>
              <w:spacing w:after="0"/>
              <w:rPr>
                <w:sz w:val="20"/>
                <w:szCs w:val="20"/>
                <w:color w:val="auto"/>
              </w:rPr>
            </w:pPr>
          </w:p>
        </w:tc>
        <w:tc>
          <w:tcPr>
            <w:tcW w:w="2040" w:type="dxa"/>
            <w:vAlign w:val="bottom"/>
          </w:tcPr>
          <w:p>
            <w:pPr>
              <w:jc w:val="right"/>
              <w:ind w:right="259"/>
              <w:spacing w:after="0"/>
              <w:rPr>
                <w:sz w:val="20"/>
                <w:szCs w:val="20"/>
                <w:color w:val="auto"/>
              </w:rPr>
            </w:pPr>
            <w:r>
              <w:rPr>
                <w:rFonts w:ascii="Arial" w:cs="Arial" w:eastAsia="Arial" w:hAnsi="Arial"/>
                <w:sz w:val="16"/>
                <w:szCs w:val="16"/>
                <w:b w:val="1"/>
                <w:bCs w:val="1"/>
                <w:color w:val="auto"/>
              </w:rPr>
              <w:t>$1.95</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$1.85</w:t>
            </w:r>
          </w:p>
        </w:tc>
      </w:tr>
      <w:tr>
        <w:trPr>
          <w:trHeight w:val="33"/>
        </w:trPr>
        <w:tc>
          <w:tcPr>
            <w:tcW w:w="37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97"/>
        </w:trPr>
        <w:tc>
          <w:tcPr>
            <w:tcW w:w="378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Anti-dilutive common stock equivalents</w:t>
            </w:r>
          </w:p>
        </w:tc>
        <w:tc>
          <w:tcPr>
            <w:tcW w:w="2440" w:type="dxa"/>
            <w:vAlign w:val="bottom"/>
          </w:tcPr>
          <w:p>
            <w:pPr>
              <w:jc w:val="right"/>
              <w:ind w:right="639"/>
              <w:spacing w:after="0"/>
              <w:rPr>
                <w:sz w:val="20"/>
                <w:szCs w:val="20"/>
                <w:color w:val="auto"/>
              </w:rPr>
            </w:pPr>
            <w:r>
              <w:rPr>
                <w:rFonts w:ascii="Arial" w:cs="Arial" w:eastAsia="Arial" w:hAnsi="Arial"/>
                <w:sz w:val="16"/>
                <w:szCs w:val="16"/>
                <w:b w:val="1"/>
                <w:bCs w:val="1"/>
                <w:color w:val="auto"/>
              </w:rPr>
              <w:t>10.6</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2040" w:type="dxa"/>
            <w:vAlign w:val="bottom"/>
          </w:tcPr>
          <w:p>
            <w:pPr>
              <w:jc w:val="right"/>
              <w:ind w:right="259"/>
              <w:spacing w:after="0"/>
              <w:rPr>
                <w:sz w:val="20"/>
                <w:szCs w:val="20"/>
                <w:color w:val="auto"/>
              </w:rPr>
            </w:pPr>
            <w:r>
              <w:rPr>
                <w:rFonts w:ascii="Arial" w:cs="Arial" w:eastAsia="Arial" w:hAnsi="Arial"/>
                <w:sz w:val="16"/>
                <w:szCs w:val="16"/>
                <w:b w:val="1"/>
                <w:bCs w:val="1"/>
                <w:color w:val="auto"/>
              </w:rPr>
              <w:t>10.5</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33"/>
        </w:trPr>
        <w:tc>
          <w:tcPr>
            <w:tcW w:w="37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279" w:right="2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 of 28</w:t>
      </w:r>
    </w:p>
    <w:p>
      <w:pPr>
        <w:sectPr>
          <w:pgSz w:w="11900" w:h="16838" w:orient="portrait"/>
          <w:cols w:equalWidth="0" w:num="1">
            <w:col w:w="11420"/>
          </w:cols>
          <w:pgMar w:left="240" w:top="279" w:right="239" w:bottom="1440" w:gutter="0" w:footer="0" w:header="0"/>
          <w:type w:val="continuous"/>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(Dollar and share amounts in millions except per share amounts)</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the third quarter of 2019, net earnings of $126, or $0.81 per diluted share, exceeded our expectations, demonstrating substantial progress in the implementation of our strategy and strength of our operating discipline. Our net sales decrease of 2.2% was in-line with our expectations, reflecting improved sales trends across our Full-Price and Off-Price businesses from the first half of the year. The consistent strength of our inventory and expense execution contributed to increased profitability for the quarter. We maintained a positive spread between sales and inventory for the third consecutive quarter. Additionally, we realized $170 in expense savings year-to-date, expecting to exceed our plan of $150 to $200 for the year.</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achievements demonstrate our continued focus on the customer and execution:</w:t>
      </w:r>
    </w:p>
    <w:p>
      <w:pPr>
        <w:spacing w:after="0" w:line="167" w:lineRule="exact"/>
        <w:rPr>
          <w:sz w:val="20"/>
          <w:szCs w:val="20"/>
          <w:color w:val="auto"/>
        </w:rPr>
      </w:pPr>
    </w:p>
    <w:p>
      <w:pPr>
        <w:ind w:left="340" w:right="220"/>
        <w:spacing w:after="0" w:line="314" w:lineRule="auto"/>
        <w:rPr>
          <w:sz w:val="20"/>
          <w:szCs w:val="20"/>
          <w:color w:val="auto"/>
        </w:rPr>
      </w:pPr>
      <w:r>
        <w:rPr>
          <w:rFonts w:ascii="Arial" w:cs="Arial" w:eastAsia="Arial" w:hAnsi="Arial"/>
          <w:sz w:val="16"/>
          <w:szCs w:val="16"/>
          <w:b w:val="1"/>
          <w:bCs w:val="1"/>
          <w:color w:val="auto"/>
        </w:rPr>
        <w:t xml:space="preserve">Key Events </w:t>
      </w:r>
      <w:r>
        <w:rPr>
          <w:rFonts w:ascii="Arial" w:cs="Arial" w:eastAsia="Arial" w:hAnsi="Arial"/>
          <w:sz w:val="16"/>
          <w:szCs w:val="16"/>
          <w:color w:val="auto"/>
        </w:rPr>
        <w:t>— To drive our top and bottom-line results, we made notable changes to two key events: Anniversary Sale and Holiday. We improved the</w:t>
      </w:r>
      <w:r>
        <w:rPr>
          <w:rFonts w:ascii="Arial" w:cs="Arial" w:eastAsia="Arial" w:hAnsi="Arial"/>
          <w:sz w:val="16"/>
          <w:szCs w:val="16"/>
          <w:b w:val="1"/>
          <w:bCs w:val="1"/>
          <w:color w:val="auto"/>
        </w:rPr>
        <w:t xml:space="preserve"> </w:t>
      </w:r>
      <w:r>
        <w:rPr>
          <w:rFonts w:ascii="Arial" w:cs="Arial" w:eastAsia="Arial" w:hAnsi="Arial"/>
          <w:sz w:val="16"/>
          <w:szCs w:val="16"/>
          <w:color w:val="auto"/>
        </w:rPr>
        <w:t>economics of our Anniversary Sale event, which positively contributed to merchandise margins in the third quarter. For the Holidays, we are meaningfully expanding our gifting offer across Full-Price and Off-Price, making it easier for customers to find gifts by recipient and price point.</w:t>
      </w:r>
    </w:p>
    <w:p>
      <w:pPr>
        <w:spacing w:after="0" w:line="88" w:lineRule="exact"/>
        <w:rPr>
          <w:sz w:val="20"/>
          <w:szCs w:val="20"/>
          <w:color w:val="auto"/>
        </w:rPr>
      </w:pPr>
    </w:p>
    <w:p>
      <w:pPr>
        <w:ind w:left="340"/>
        <w:spacing w:after="0" w:line="266" w:lineRule="auto"/>
        <w:rPr>
          <w:sz w:val="20"/>
          <w:szCs w:val="20"/>
          <w:color w:val="auto"/>
        </w:rPr>
      </w:pPr>
      <w:r>
        <w:rPr>
          <w:rFonts w:ascii="Arial" w:cs="Arial" w:eastAsia="Arial" w:hAnsi="Arial"/>
          <w:sz w:val="18"/>
          <w:szCs w:val="18"/>
          <w:b w:val="1"/>
          <w:bCs w:val="1"/>
          <w:color w:val="auto"/>
        </w:rPr>
        <w:t xml:space="preserve">Off-Price </w:t>
      </w:r>
      <w:r>
        <w:rPr>
          <w:rFonts w:ascii="Arial" w:cs="Arial" w:eastAsia="Arial" w:hAnsi="Arial"/>
          <w:sz w:val="18"/>
          <w:szCs w:val="18"/>
          <w:color w:val="auto"/>
        </w:rPr>
        <w:t>— We improved inventory flow, refined product allocation and emphasized seasonally relevant merchandise. As a result, we delivered positive</w:t>
      </w:r>
      <w:r>
        <w:rPr>
          <w:rFonts w:ascii="Arial" w:cs="Arial" w:eastAsia="Arial" w:hAnsi="Arial"/>
          <w:sz w:val="18"/>
          <w:szCs w:val="18"/>
          <w:b w:val="1"/>
          <w:bCs w:val="1"/>
          <w:color w:val="auto"/>
        </w:rPr>
        <w:t xml:space="preserve"> </w:t>
      </w:r>
      <w:r>
        <w:rPr>
          <w:rFonts w:ascii="Arial" w:cs="Arial" w:eastAsia="Arial" w:hAnsi="Arial"/>
          <w:sz w:val="18"/>
          <w:szCs w:val="18"/>
          <w:color w:val="auto"/>
        </w:rPr>
        <w:t>sales growth on less inventory and increased inventory turn for the eighth consecutive quarter. Combined with our strong expense execution, we exceeded our bottom-line expectations.</w:t>
      </w:r>
    </w:p>
    <w:p>
      <w:pPr>
        <w:spacing w:after="0" w:line="122" w:lineRule="exact"/>
        <w:rPr>
          <w:sz w:val="20"/>
          <w:szCs w:val="20"/>
          <w:color w:val="auto"/>
        </w:rPr>
      </w:pPr>
    </w:p>
    <w:p>
      <w:pPr>
        <w:ind w:left="340" w:right="80"/>
        <w:spacing w:after="0" w:line="303" w:lineRule="auto"/>
        <w:rPr>
          <w:sz w:val="20"/>
          <w:szCs w:val="20"/>
          <w:color w:val="auto"/>
        </w:rPr>
      </w:pPr>
      <w:r>
        <w:rPr>
          <w:rFonts w:ascii="Arial" w:cs="Arial" w:eastAsia="Arial" w:hAnsi="Arial"/>
          <w:sz w:val="16"/>
          <w:szCs w:val="16"/>
          <w:b w:val="1"/>
          <w:bCs w:val="1"/>
          <w:color w:val="auto"/>
        </w:rPr>
        <w:t xml:space="preserve">Market Strategy </w:t>
      </w:r>
      <w:r>
        <w:rPr>
          <w:rFonts w:ascii="Arial" w:cs="Arial" w:eastAsia="Arial" w:hAnsi="Arial"/>
          <w:sz w:val="16"/>
          <w:szCs w:val="16"/>
          <w:color w:val="auto"/>
        </w:rPr>
        <w:t>— Our market strategy leverages inventory to serve customers on their terms through investments in digital capabilities and in people,</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and place. Our goal is to gain market share while driving customer engagement and inventory efficiencies. There are two elements to this strategy: first, we are providing customers a greater selection of product available for next-day pickup or delivery, without increasing inventory levels. Second, we are increasing engagement with customers by offering express services such as order pickup, returns and alterations at additional locations.</w:t>
      </w:r>
    </w:p>
    <w:p>
      <w:pPr>
        <w:spacing w:after="0" w:line="101" w:lineRule="exact"/>
        <w:rPr>
          <w:sz w:val="20"/>
          <w:szCs w:val="20"/>
          <w:color w:val="auto"/>
        </w:rPr>
      </w:pPr>
    </w:p>
    <w:p>
      <w:pPr>
        <w:ind w:left="340" w:right="200"/>
        <w:spacing w:after="0" w:line="342" w:lineRule="auto"/>
        <w:rPr>
          <w:sz w:val="20"/>
          <w:szCs w:val="20"/>
          <w:color w:val="auto"/>
        </w:rPr>
      </w:pPr>
      <w:r>
        <w:rPr>
          <w:rFonts w:ascii="Arial" w:cs="Arial" w:eastAsia="Arial" w:hAnsi="Arial"/>
          <w:sz w:val="16"/>
          <w:szCs w:val="16"/>
          <w:color w:val="auto"/>
        </w:rPr>
        <w:t>Since scaling our market strategy in Los Angeles, third quarter sales growth outpaced other markets by approximately 100 basis points. We recently accelerated our market strategy to New York, San Francisco, Chicago and Dallas and will expand to our remaining top ten markets by the end of 2020.</w:t>
      </w:r>
    </w:p>
    <w:p>
      <w:pPr>
        <w:spacing w:after="0" w:line="66" w:lineRule="exact"/>
        <w:rPr>
          <w:sz w:val="20"/>
          <w:szCs w:val="20"/>
          <w:color w:val="auto"/>
        </w:rPr>
      </w:pPr>
    </w:p>
    <w:p>
      <w:pPr>
        <w:ind w:left="340" w:right="240"/>
        <w:spacing w:after="0" w:line="281" w:lineRule="auto"/>
        <w:rPr>
          <w:sz w:val="20"/>
          <w:szCs w:val="20"/>
          <w:color w:val="auto"/>
        </w:rPr>
      </w:pPr>
      <w:r>
        <w:rPr>
          <w:rFonts w:ascii="Arial" w:cs="Arial" w:eastAsia="Arial" w:hAnsi="Arial"/>
          <w:sz w:val="17"/>
          <w:szCs w:val="17"/>
          <w:b w:val="1"/>
          <w:bCs w:val="1"/>
          <w:color w:val="auto"/>
        </w:rPr>
        <w:t xml:space="preserve">New York </w:t>
      </w:r>
      <w:r>
        <w:rPr>
          <w:rFonts w:ascii="Arial" w:cs="Arial" w:eastAsia="Arial" w:hAnsi="Arial"/>
          <w:sz w:val="17"/>
          <w:szCs w:val="17"/>
          <w:color w:val="auto"/>
        </w:rPr>
        <w:t>— We achieved an important milestone with the opening of our New York City flagship store, significantly increasing our presence in the</w:t>
      </w:r>
      <w:r>
        <w:rPr>
          <w:rFonts w:ascii="Arial" w:cs="Arial" w:eastAsia="Arial" w:hAnsi="Arial"/>
          <w:sz w:val="17"/>
          <w:szCs w:val="17"/>
          <w:b w:val="1"/>
          <w:bCs w:val="1"/>
          <w:color w:val="auto"/>
        </w:rPr>
        <w:t xml:space="preserve"> </w:t>
      </w:r>
      <w:r>
        <w:rPr>
          <w:rFonts w:ascii="Arial" w:cs="Arial" w:eastAsia="Arial" w:hAnsi="Arial"/>
          <w:sz w:val="17"/>
          <w:szCs w:val="17"/>
          <w:color w:val="auto"/>
        </w:rPr>
        <w:t>world’s top retail market. We saw a strong customer response with 85,000 visits during the opening weekend alone. In the broader New York City market, customers have faster access to inventory across eight FLS stores, including our flagship and fulfillment center. Additionally, we are engaging with customers by offering express services at Nordstrom Local and Nordstrom Rack locations.</w:t>
      </w:r>
    </w:p>
    <w:p>
      <w:pPr>
        <w:spacing w:after="0" w:line="11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made meaningful progress in improving the customer experience and continuing our operational discipline. We are encouraged by the momentum in our Full-Price and Off-Price businesses as we execute our holiday strategy to establish Nordstrom as a gifting destination for customers.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 of 28</w:t>
      </w:r>
    </w:p>
    <w:p>
      <w:pPr>
        <w:sectPr>
          <w:pgSz w:w="11900" w:h="16838" w:orient="portrait"/>
          <w:cols w:equalWidth="0" w:num="1">
            <w:col w:w="11400"/>
          </w:cols>
          <w:pgMar w:left="240" w:top="279" w:right="2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our ongoing effort to enhance the customer experience, we are focused on providing customers with a seamless experience across our channels. We invested early in our Omni-channel capabilities, integrating our operations, merchandising and technology across our stores and online, in both our Full-Price and Off-Price businesses. While our customers may engage with us through multiple channels, we know they value the overall Nordstrom brand experience and view us simply as Nordstrom, which is ultimately how we view our business. We have one Retail reportable segment and analyze our results on a total company basis.</w:t>
      </w:r>
    </w:p>
    <w:p>
      <w:pPr>
        <w:spacing w:after="0" w:line="4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measure our performance through market share, operational and net sales metrics. As this is how we measure our performance, and as comparable sales growth is expected to approximate net sales growth in 2019, we only report changes in net sales.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sales by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60" w:type="dxa"/>
            <w:vAlign w:val="bottom"/>
          </w:tcPr>
          <w:p>
            <w:pPr>
              <w:spacing w:after="0"/>
              <w:rPr>
                <w:sz w:val="18"/>
                <w:szCs w:val="18"/>
                <w:color w:val="auto"/>
              </w:rPr>
            </w:pPr>
          </w:p>
        </w:tc>
        <w:tc>
          <w:tcPr>
            <w:tcW w:w="3880" w:type="dxa"/>
            <w:vAlign w:val="bottom"/>
            <w:gridSpan w:val="3"/>
          </w:tcPr>
          <w:p>
            <w:pPr>
              <w:ind w:left="1380"/>
              <w:spacing w:after="0"/>
              <w:rPr>
                <w:sz w:val="20"/>
                <w:szCs w:val="20"/>
                <w:color w:val="auto"/>
              </w:rPr>
            </w:pPr>
            <w:r>
              <w:rPr>
                <w:rFonts w:ascii="Arial" w:cs="Arial" w:eastAsia="Arial" w:hAnsi="Arial"/>
                <w:sz w:val="16"/>
                <w:szCs w:val="16"/>
                <w:b w:val="1"/>
                <w:bCs w:val="1"/>
                <w:color w:val="auto"/>
              </w:rPr>
              <w:t>Quarter Ended</w:t>
            </w:r>
          </w:p>
        </w:tc>
        <w:tc>
          <w:tcPr>
            <w:tcW w:w="3780" w:type="dxa"/>
            <w:vAlign w:val="bottom"/>
            <w:gridSpan w:val="2"/>
          </w:tcPr>
          <w:p>
            <w:pPr>
              <w:jc w:val="right"/>
              <w:ind w:right="109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76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1"/>
        </w:trPr>
        <w:tc>
          <w:tcPr>
            <w:tcW w:w="3760" w:type="dxa"/>
            <w:vAlign w:val="bottom"/>
          </w:tcPr>
          <w:p>
            <w:pPr>
              <w:spacing w:after="0"/>
              <w:rPr>
                <w:sz w:val="20"/>
                <w:szCs w:val="20"/>
                <w:color w:val="auto"/>
              </w:rPr>
            </w:pPr>
          </w:p>
        </w:tc>
        <w:tc>
          <w:tcPr>
            <w:tcW w:w="1860" w:type="dxa"/>
            <w:vAlign w:val="bottom"/>
          </w:tcPr>
          <w:p>
            <w:pPr>
              <w:jc w:val="right"/>
              <w:ind w:right="299"/>
              <w:spacing w:after="0"/>
              <w:rPr>
                <w:sz w:val="20"/>
                <w:szCs w:val="20"/>
                <w:color w:val="auto"/>
              </w:rPr>
            </w:pPr>
            <w:r>
              <w:rPr>
                <w:rFonts w:ascii="Arial" w:cs="Arial" w:eastAsia="Arial" w:hAnsi="Arial"/>
                <w:sz w:val="16"/>
                <w:szCs w:val="16"/>
                <w:b w:val="1"/>
                <w:bCs w:val="1"/>
                <w:color w:val="auto"/>
              </w:rPr>
              <w:t>November 2, 2019</w:t>
            </w:r>
          </w:p>
        </w:tc>
        <w:tc>
          <w:tcPr>
            <w:tcW w:w="2020" w:type="dxa"/>
            <w:vAlign w:val="bottom"/>
            <w:gridSpan w:val="2"/>
          </w:tcPr>
          <w:p>
            <w:pPr>
              <w:ind w:left="360"/>
              <w:spacing w:after="0"/>
              <w:rPr>
                <w:sz w:val="20"/>
                <w:szCs w:val="20"/>
                <w:color w:val="auto"/>
              </w:rPr>
            </w:pPr>
            <w:r>
              <w:rPr>
                <w:rFonts w:ascii="Arial" w:cs="Arial" w:eastAsia="Arial" w:hAnsi="Arial"/>
                <w:sz w:val="16"/>
                <w:szCs w:val="16"/>
                <w:b w:val="1"/>
                <w:bCs w:val="1"/>
                <w:color w:val="auto"/>
              </w:rPr>
              <w:t>November 3, 2018</w:t>
            </w:r>
          </w:p>
        </w:tc>
        <w:tc>
          <w:tcPr>
            <w:tcW w:w="1860" w:type="dxa"/>
            <w:vAlign w:val="bottom"/>
          </w:tcPr>
          <w:p>
            <w:pPr>
              <w:jc w:val="right"/>
              <w:ind w:right="279"/>
              <w:spacing w:after="0"/>
              <w:rPr>
                <w:sz w:val="20"/>
                <w:szCs w:val="20"/>
                <w:color w:val="auto"/>
              </w:rPr>
            </w:pPr>
            <w:r>
              <w:rPr>
                <w:rFonts w:ascii="Arial" w:cs="Arial" w:eastAsia="Arial" w:hAnsi="Arial"/>
                <w:sz w:val="16"/>
                <w:szCs w:val="16"/>
                <w:b w:val="1"/>
                <w:bCs w:val="1"/>
                <w:color w:val="auto"/>
              </w:rPr>
              <w:t>November 2, 2019</w:t>
            </w:r>
          </w:p>
        </w:tc>
        <w:tc>
          <w:tcPr>
            <w:tcW w:w="1920" w:type="dxa"/>
            <w:vAlign w:val="bottom"/>
          </w:tcPr>
          <w:p>
            <w:pPr>
              <w:jc w:val="right"/>
              <w:ind w:right="219"/>
              <w:spacing w:after="0"/>
              <w:rPr>
                <w:sz w:val="20"/>
                <w:szCs w:val="20"/>
                <w:color w:val="auto"/>
              </w:rPr>
            </w:pPr>
            <w:r>
              <w:rPr>
                <w:rFonts w:ascii="Arial" w:cs="Arial" w:eastAsia="Arial" w:hAnsi="Arial"/>
                <w:sz w:val="16"/>
                <w:szCs w:val="16"/>
                <w:b w:val="1"/>
                <w:bCs w:val="1"/>
                <w:color w:val="auto"/>
              </w:rPr>
              <w:t>November 3, 2018</w:t>
            </w:r>
          </w:p>
        </w:tc>
      </w:tr>
      <w:tr>
        <w:trPr>
          <w:trHeight w:val="33"/>
        </w:trPr>
        <w:tc>
          <w:tcPr>
            <w:tcW w:w="37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 by business:</w:t>
            </w:r>
          </w:p>
        </w:tc>
        <w:tc>
          <w:tcPr>
            <w:tcW w:w="18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37"/>
        </w:trPr>
        <w:tc>
          <w:tcPr>
            <w:tcW w:w="3760" w:type="dxa"/>
            <w:vAlign w:val="bottom"/>
          </w:tcPr>
          <w:p>
            <w:pPr>
              <w:ind w:left="40"/>
              <w:spacing w:after="0"/>
              <w:rPr>
                <w:sz w:val="20"/>
                <w:szCs w:val="20"/>
                <w:color w:val="auto"/>
              </w:rPr>
            </w:pPr>
            <w:r>
              <w:rPr>
                <w:rFonts w:ascii="Arial" w:cs="Arial" w:eastAsia="Arial" w:hAnsi="Arial"/>
                <w:sz w:val="16"/>
                <w:szCs w:val="16"/>
                <w:color w:val="auto"/>
              </w:rPr>
              <w:t>Full-Price</w:t>
            </w:r>
          </w:p>
        </w:tc>
        <w:tc>
          <w:tcPr>
            <w:tcW w:w="1860" w:type="dxa"/>
            <w:vAlign w:val="bottom"/>
          </w:tcPr>
          <w:p>
            <w:pPr>
              <w:jc w:val="right"/>
              <w:ind w:right="299"/>
              <w:spacing w:after="0"/>
              <w:rPr>
                <w:sz w:val="20"/>
                <w:szCs w:val="20"/>
                <w:color w:val="auto"/>
              </w:rPr>
            </w:pPr>
            <w:r>
              <w:rPr>
                <w:rFonts w:ascii="Arial" w:cs="Arial" w:eastAsia="Arial" w:hAnsi="Arial"/>
                <w:sz w:val="16"/>
                <w:szCs w:val="16"/>
                <w:b w:val="1"/>
                <w:bCs w:val="1"/>
                <w:color w:val="auto"/>
              </w:rPr>
              <w:t>$2,270</w:t>
            </w:r>
          </w:p>
        </w:tc>
        <w:tc>
          <w:tcPr>
            <w:tcW w:w="1920" w:type="dxa"/>
            <w:vAlign w:val="bottom"/>
          </w:tcPr>
          <w:p>
            <w:pPr>
              <w:jc w:val="right"/>
              <w:ind w:right="219"/>
              <w:spacing w:after="0"/>
              <w:rPr>
                <w:sz w:val="20"/>
                <w:szCs w:val="20"/>
                <w:color w:val="auto"/>
              </w:rPr>
            </w:pPr>
            <w:r>
              <w:rPr>
                <w:rFonts w:ascii="Arial" w:cs="Arial" w:eastAsia="Arial" w:hAnsi="Arial"/>
                <w:sz w:val="16"/>
                <w:szCs w:val="16"/>
                <w:color w:val="auto"/>
              </w:rPr>
              <w:t>$2,367</w:t>
            </w:r>
          </w:p>
        </w:tc>
        <w:tc>
          <w:tcPr>
            <w:tcW w:w="100" w:type="dxa"/>
            <w:vAlign w:val="bottom"/>
          </w:tcPr>
          <w:p>
            <w:pPr>
              <w:spacing w:after="0"/>
              <w:rPr>
                <w:sz w:val="20"/>
                <w:szCs w:val="20"/>
                <w:color w:val="auto"/>
              </w:rPr>
            </w:pPr>
          </w:p>
        </w:tc>
        <w:tc>
          <w:tcPr>
            <w:tcW w:w="1860" w:type="dxa"/>
            <w:vAlign w:val="bottom"/>
          </w:tcPr>
          <w:p>
            <w:pPr>
              <w:jc w:val="right"/>
              <w:ind w:right="279"/>
              <w:spacing w:after="0"/>
              <w:rPr>
                <w:sz w:val="20"/>
                <w:szCs w:val="20"/>
                <w:color w:val="auto"/>
              </w:rPr>
            </w:pPr>
            <w:r>
              <w:rPr>
                <w:rFonts w:ascii="Arial" w:cs="Arial" w:eastAsia="Arial" w:hAnsi="Arial"/>
                <w:sz w:val="16"/>
                <w:szCs w:val="16"/>
                <w:b w:val="1"/>
                <w:bCs w:val="1"/>
                <w:color w:val="auto"/>
              </w:rPr>
              <w:t>$6,928</w:t>
            </w:r>
          </w:p>
        </w:tc>
        <w:tc>
          <w:tcPr>
            <w:tcW w:w="1920" w:type="dxa"/>
            <w:vAlign w:val="bottom"/>
          </w:tcPr>
          <w:p>
            <w:pPr>
              <w:jc w:val="right"/>
              <w:ind w:right="219"/>
              <w:spacing w:after="0"/>
              <w:rPr>
                <w:sz w:val="20"/>
                <w:szCs w:val="20"/>
                <w:color w:val="auto"/>
              </w:rPr>
            </w:pPr>
            <w:r>
              <w:rPr>
                <w:rFonts w:ascii="Arial" w:cs="Arial" w:eastAsia="Arial" w:hAnsi="Arial"/>
                <w:sz w:val="16"/>
                <w:szCs w:val="16"/>
                <w:color w:val="auto"/>
              </w:rPr>
              <w:t>$7,314</w:t>
            </w:r>
          </w:p>
        </w:tc>
      </w:tr>
      <w:tr>
        <w:trPr>
          <w:trHeight w:val="33"/>
        </w:trPr>
        <w:tc>
          <w:tcPr>
            <w:tcW w:w="37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5"/>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Off-Price</w:t>
            </w:r>
          </w:p>
        </w:tc>
        <w:tc>
          <w:tcPr>
            <w:tcW w:w="18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1,296</w:t>
            </w:r>
          </w:p>
        </w:tc>
        <w:tc>
          <w:tcPr>
            <w:tcW w:w="19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1,281</w:t>
            </w:r>
          </w:p>
        </w:tc>
        <w:tc>
          <w:tcPr>
            <w:tcW w:w="1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3,766</w:t>
            </w:r>
          </w:p>
        </w:tc>
        <w:tc>
          <w:tcPr>
            <w:tcW w:w="19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3,783</w:t>
            </w:r>
          </w:p>
        </w:tc>
      </w:tr>
      <w:tr>
        <w:trPr>
          <w:trHeight w:val="231"/>
        </w:trPr>
        <w:tc>
          <w:tcPr>
            <w:tcW w:w="37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net sales</w:t>
            </w:r>
          </w:p>
        </w:tc>
        <w:tc>
          <w:tcPr>
            <w:tcW w:w="18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$3,566</w:t>
            </w:r>
          </w:p>
        </w:tc>
        <w:tc>
          <w:tcPr>
            <w:tcW w:w="19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$3,648</w:t>
            </w:r>
          </w:p>
        </w:tc>
        <w:tc>
          <w:tcPr>
            <w:tcW w:w="1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$10,694</w:t>
            </w:r>
          </w:p>
        </w:tc>
        <w:tc>
          <w:tcPr>
            <w:tcW w:w="19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$11,097</w:t>
            </w:r>
          </w:p>
        </w:tc>
      </w:tr>
      <w:tr>
        <w:trPr>
          <w:trHeight w:val="33"/>
        </w:trPr>
        <w:tc>
          <w:tcPr>
            <w:tcW w:w="37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91"/>
        </w:trPr>
        <w:tc>
          <w:tcPr>
            <w:tcW w:w="376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r>
    </w:tbl>
    <w:p>
      <w:pPr>
        <w:spacing w:after="0" w:line="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sales increase (decrease) by business: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Full-Price</w:t>
            </w:r>
          </w:p>
        </w:tc>
        <w:tc>
          <w:tcPr>
            <w:tcW w:w="25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(4.1%)</w:t>
            </w:r>
          </w:p>
        </w:tc>
        <w:tc>
          <w:tcPr>
            <w:tcW w:w="1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rPr>
              <w:t>0.4%</w:t>
            </w:r>
          </w:p>
        </w:tc>
        <w:tc>
          <w:tcPr>
            <w:tcW w:w="202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(5.3%)</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Off-Price</w:t>
            </w:r>
          </w:p>
        </w:tc>
        <w:tc>
          <w:tcPr>
            <w:tcW w:w="2580" w:type="dxa"/>
            <w:vAlign w:val="bottom"/>
          </w:tcPr>
          <w:p>
            <w:pPr>
              <w:jc w:val="right"/>
              <w:ind w:right="739"/>
              <w:spacing w:after="0"/>
              <w:rPr>
                <w:sz w:val="20"/>
                <w:szCs w:val="20"/>
                <w:color w:val="auto"/>
              </w:rPr>
            </w:pPr>
            <w:r>
              <w:rPr>
                <w:rFonts w:ascii="Arial" w:cs="Arial" w:eastAsia="Arial" w:hAnsi="Arial"/>
                <w:sz w:val="16"/>
                <w:szCs w:val="16"/>
                <w:b w:val="1"/>
                <w:bCs w:val="1"/>
                <w:color w:val="auto"/>
              </w:rPr>
              <w:t>1.2%</w:t>
            </w:r>
          </w:p>
        </w:tc>
        <w:tc>
          <w:tcPr>
            <w:tcW w:w="1880" w:type="dxa"/>
            <w:vAlign w:val="bottom"/>
          </w:tcPr>
          <w:p>
            <w:pPr>
              <w:jc w:val="right"/>
              <w:ind w:right="679"/>
              <w:spacing w:after="0"/>
              <w:rPr>
                <w:sz w:val="20"/>
                <w:szCs w:val="20"/>
                <w:color w:val="auto"/>
              </w:rPr>
            </w:pPr>
            <w:r>
              <w:rPr>
                <w:rFonts w:ascii="Arial" w:cs="Arial" w:eastAsia="Arial" w:hAnsi="Arial"/>
                <w:sz w:val="16"/>
                <w:szCs w:val="16"/>
                <w:color w:val="auto"/>
              </w:rPr>
              <w:t>5.8%</w:t>
            </w:r>
          </w:p>
        </w:tc>
        <w:tc>
          <w:tcPr>
            <w:tcW w:w="2020" w:type="dxa"/>
            <w:vAlign w:val="bottom"/>
          </w:tcPr>
          <w:p>
            <w:pPr>
              <w:jc w:val="right"/>
              <w:ind w:right="699"/>
              <w:spacing w:after="0"/>
              <w:rPr>
                <w:sz w:val="20"/>
                <w:szCs w:val="20"/>
                <w:color w:val="auto"/>
              </w:rPr>
            </w:pPr>
            <w:r>
              <w:rPr>
                <w:rFonts w:ascii="Arial" w:cs="Arial" w:eastAsia="Arial" w:hAnsi="Arial"/>
                <w:sz w:val="16"/>
                <w:szCs w:val="16"/>
                <w:b w:val="1"/>
                <w:bCs w:val="1"/>
                <w:color w:val="auto"/>
              </w:rPr>
              <w:t>(0.4%)</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3.4%</w:t>
            </w:r>
          </w:p>
        </w:tc>
      </w:tr>
      <w:tr>
        <w:trPr>
          <w:trHeight w:val="33"/>
        </w:trPr>
        <w:tc>
          <w:tcPr>
            <w:tcW w:w="3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Company</w:t>
            </w:r>
          </w:p>
        </w:tc>
        <w:tc>
          <w:tcPr>
            <w:tcW w:w="25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(2.2%)</w:t>
            </w:r>
          </w:p>
        </w:tc>
        <w:tc>
          <w:tcPr>
            <w:tcW w:w="1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rPr>
              <w:t>2.3%</w:t>
            </w:r>
          </w:p>
        </w:tc>
        <w:tc>
          <w:tcPr>
            <w:tcW w:w="202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(3.6%)</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w:t>
            </w:r>
          </w:p>
        </w:tc>
      </w:tr>
      <w:tr>
        <w:trPr>
          <w:trHeight w:val="297"/>
        </w:trPr>
        <w:tc>
          <w:tcPr>
            <w:tcW w:w="36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Digital sales as % of total net sales</w:t>
            </w:r>
            <w:r>
              <w:rPr>
                <w:rFonts w:ascii="Arial" w:cs="Arial" w:eastAsia="Arial" w:hAnsi="Arial"/>
                <w:sz w:val="21"/>
                <w:szCs w:val="21"/>
                <w:color w:val="auto"/>
                <w:vertAlign w:val="superscript"/>
              </w:rPr>
              <w:t>1</w:t>
            </w:r>
          </w:p>
        </w:tc>
        <w:tc>
          <w:tcPr>
            <w:tcW w:w="2580" w:type="dxa"/>
            <w:vAlign w:val="bottom"/>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34%</w:t>
            </w:r>
          </w:p>
        </w:tc>
        <w:tc>
          <w:tcPr>
            <w:tcW w:w="18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31%</w:t>
            </w:r>
          </w:p>
        </w:tc>
        <w:tc>
          <w:tcPr>
            <w:tcW w:w="2020" w:type="dxa"/>
            <w:vAlign w:val="bottom"/>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32%</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 w:lineRule="exact"/>
        <w:rPr>
          <w:sz w:val="20"/>
          <w:szCs w:val="20"/>
          <w:color w:val="auto"/>
        </w:rPr>
      </w:pPr>
    </w:p>
    <w:p>
      <w:pPr>
        <w:ind w:left="80" w:right="300" w:hanging="72"/>
        <w:spacing w:after="0" w:line="288" w:lineRule="auto"/>
        <w:tabs>
          <w:tab w:leader="none" w:pos="125" w:val="left"/>
        </w:tabs>
        <w:numPr>
          <w:ilvl w:val="0"/>
          <w:numId w:val="14"/>
        </w:numPr>
        <w:rPr>
          <w:rFonts w:ascii="Arial" w:cs="Arial" w:eastAsia="Arial" w:hAnsi="Arial"/>
          <w:sz w:val="19"/>
          <w:szCs w:val="19"/>
          <w:color w:val="auto"/>
          <w:vertAlign w:val="superscript"/>
        </w:rPr>
      </w:pPr>
      <w:r>
        <w:rPr>
          <w:rFonts w:ascii="Arial" w:cs="Arial" w:eastAsia="Arial" w:hAnsi="Arial"/>
          <w:sz w:val="13"/>
          <w:szCs w:val="13"/>
          <w:color w:val="auto"/>
        </w:rPr>
        <w:t>In 2019, we updated our digital sales calculation to include accounting adjustments consistent with our net sales calculation. Prior year amounts have been reclassified to conform with current period presentation. We do not expect this change to be material for the full year, though some timing differences occurred between the second and third quarters.</w:t>
      </w:r>
    </w:p>
    <w:p>
      <w:pPr>
        <w:spacing w:after="0" w:line="13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Total Company net sales decreased 2.2% and 3.6% for the third quarter and nine months ended November 2, 2019, compared with the same periods in 2018. Sales trends improved by more than 200 basis points from the first half of the year, driven by aggressive action taken related to loyalty, digital marketing and merchandise assortment. Digital sales increased 7% for the third quarter of 2019 and 6% for the nine months ended November 2, 2019, compared with the same periods in 2018. We saw sequential improvement in digital trends throughout the quarter. In October 2019, we expanded Nordstrom NYC with the opening of our flagship store. Additionally, during the nine months ended November 2, 2019, we opened one FLS store, five Nordstrom Rack stores and two Nordstrom Locals and closed six FLS stores.</w:t>
      </w:r>
    </w:p>
    <w:p>
      <w:pPr>
        <w:spacing w:after="0" w:line="13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Full-Price net sales decreased 4.1% and 5.3% for the third quarter and nine months ended November 2, 2019, compared with the same periods in 2018. Full-Price sales reflected a decrease in number of items sold, partially offset by an increase in average selling price per item sold for the third quarter and nine months ended November 2, 2019. The top-performing merchandise categories were Accessories and Shoes for the third quarter and Shoes and Accessories for the nine months ended November 2, 2019.</w:t>
      </w:r>
    </w:p>
    <w:p>
      <w:pPr>
        <w:spacing w:after="0" w:line="13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Off-Price net sales increased 1.2% for the third quarter of 2019 and decreased 0.4% for the nine months ended November 2, 2019, compared with the same periods in 2018. Off-Price sales reflected an increase in the average selling price per item sold, partially offset by a decrease in the number of items sold for the third quarter of 2019. Men’s and Women’s were the top-performing merchandise categories for the third quarter and for the nine months ended November 2, 2019.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Card Revenues, Net</w:t>
      </w:r>
    </w:p>
    <w:p>
      <w:pPr>
        <w:spacing w:after="0" w:line="27"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TD is the exclusive issuer of our consumer credit cards and we perform account servicing functions. Credit card revenues, net include our portion of the ongoing credit card revenue, net of credit losses, pursuant to our program agreement with TD. Credit card revenues, net was $106 for the third quarter, compared with $100 for the same period in 2018 and $293 for the nine months ended November 2, 2019, compared with $280 for the same period in 2018. The increases of $6 and $13 for the quarter and nine months ended November 2, 2019 were primarily a result of growing the related receivables and associated revenue.</w:t>
      </w:r>
    </w:p>
    <w:p>
      <w:pPr>
        <w:sectPr>
          <w:pgSz w:w="11900" w:h="16838" w:orient="portrait"/>
          <w:cols w:equalWidth="0" w:num="1">
            <w:col w:w="11420"/>
          </w:cols>
          <w:pgMar w:left="240" w:top="279" w:right="239"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 of 28</w:t>
      </w:r>
    </w:p>
    <w:p>
      <w:pPr>
        <w:sectPr>
          <w:pgSz w:w="11900" w:h="16838" w:orient="portrait"/>
          <w:cols w:equalWidth="0" w:num="1">
            <w:col w:w="11420"/>
          </w:cols>
          <w:pgMar w:left="240" w:top="279" w:right="239" w:bottom="1440" w:gutter="0" w:footer="0" w:header="0"/>
          <w:type w:val="continuous"/>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gross profit: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4060" w:type="dxa"/>
            <w:vAlign w:val="bottom"/>
            <w:gridSpan w:val="3"/>
          </w:tcPr>
          <w:p>
            <w:pPr>
              <w:ind w:left="1460"/>
              <w:spacing w:after="0"/>
              <w:rPr>
                <w:sz w:val="20"/>
                <w:szCs w:val="20"/>
                <w:color w:val="auto"/>
              </w:rPr>
            </w:pPr>
            <w:r>
              <w:rPr>
                <w:rFonts w:ascii="Arial" w:cs="Arial" w:eastAsia="Arial" w:hAnsi="Arial"/>
                <w:sz w:val="16"/>
                <w:szCs w:val="16"/>
                <w:b w:val="1"/>
                <w:bCs w:val="1"/>
                <w:color w:val="auto"/>
              </w:rPr>
              <w:t>Quarter Ended</w:t>
            </w:r>
          </w:p>
        </w:tc>
        <w:tc>
          <w:tcPr>
            <w:tcW w:w="3940" w:type="dxa"/>
            <w:vAlign w:val="bottom"/>
            <w:gridSpan w:val="2"/>
          </w:tcPr>
          <w:p>
            <w:pPr>
              <w:jc w:val="right"/>
              <w:ind w:right="117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42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1"/>
        </w:trPr>
        <w:tc>
          <w:tcPr>
            <w:tcW w:w="3420" w:type="dxa"/>
            <w:vAlign w:val="bottom"/>
          </w:tcPr>
          <w:p>
            <w:pPr>
              <w:spacing w:after="0"/>
              <w:rPr>
                <w:sz w:val="20"/>
                <w:szCs w:val="20"/>
                <w:color w:val="auto"/>
              </w:rPr>
            </w:pPr>
          </w:p>
        </w:tc>
        <w:tc>
          <w:tcPr>
            <w:tcW w:w="2100" w:type="dxa"/>
            <w:vAlign w:val="bottom"/>
          </w:tcPr>
          <w:p>
            <w:pPr>
              <w:jc w:val="right"/>
              <w:ind w:right="399"/>
              <w:spacing w:after="0"/>
              <w:rPr>
                <w:sz w:val="20"/>
                <w:szCs w:val="20"/>
                <w:color w:val="auto"/>
              </w:rPr>
            </w:pPr>
            <w:r>
              <w:rPr>
                <w:rFonts w:ascii="Arial" w:cs="Arial" w:eastAsia="Arial" w:hAnsi="Arial"/>
                <w:sz w:val="16"/>
                <w:szCs w:val="16"/>
                <w:b w:val="1"/>
                <w:bCs w:val="1"/>
                <w:color w:val="auto"/>
              </w:rPr>
              <w:t>November 2, 2019</w:t>
            </w:r>
          </w:p>
        </w:tc>
        <w:tc>
          <w:tcPr>
            <w:tcW w:w="1960" w:type="dxa"/>
            <w:vAlign w:val="bottom"/>
            <w:gridSpan w:val="2"/>
          </w:tcPr>
          <w:p>
            <w:pPr>
              <w:ind w:left="300"/>
              <w:spacing w:after="0"/>
              <w:rPr>
                <w:sz w:val="20"/>
                <w:szCs w:val="20"/>
                <w:color w:val="auto"/>
              </w:rPr>
            </w:pPr>
            <w:r>
              <w:rPr>
                <w:rFonts w:ascii="Arial" w:cs="Arial" w:eastAsia="Arial" w:hAnsi="Arial"/>
                <w:sz w:val="16"/>
                <w:szCs w:val="16"/>
                <w:b w:val="1"/>
                <w:bCs w:val="1"/>
                <w:color w:val="auto"/>
              </w:rPr>
              <w:t>November 3, 2018</w:t>
            </w:r>
          </w:p>
        </w:tc>
        <w:tc>
          <w:tcPr>
            <w:tcW w:w="2080" w:type="dxa"/>
            <w:vAlign w:val="bottom"/>
          </w:tcPr>
          <w:p>
            <w:pPr>
              <w:jc w:val="right"/>
              <w:ind w:right="399"/>
              <w:spacing w:after="0"/>
              <w:rPr>
                <w:sz w:val="20"/>
                <w:szCs w:val="20"/>
                <w:color w:val="auto"/>
              </w:rPr>
            </w:pPr>
            <w:r>
              <w:rPr>
                <w:rFonts w:ascii="Arial" w:cs="Arial" w:eastAsia="Arial" w:hAnsi="Arial"/>
                <w:sz w:val="16"/>
                <w:szCs w:val="16"/>
                <w:b w:val="1"/>
                <w:bCs w:val="1"/>
                <w:color w:val="auto"/>
              </w:rPr>
              <w:t>November 2, 2019</w:t>
            </w:r>
          </w:p>
        </w:tc>
        <w:tc>
          <w:tcPr>
            <w:tcW w:w="1860" w:type="dxa"/>
            <w:vAlign w:val="bottom"/>
          </w:tcPr>
          <w:p>
            <w:pPr>
              <w:jc w:val="right"/>
              <w:ind w:right="219"/>
              <w:spacing w:after="0"/>
              <w:rPr>
                <w:sz w:val="20"/>
                <w:szCs w:val="20"/>
                <w:color w:val="auto"/>
              </w:rPr>
            </w:pPr>
            <w:r>
              <w:rPr>
                <w:rFonts w:ascii="Arial" w:cs="Arial" w:eastAsia="Arial" w:hAnsi="Arial"/>
                <w:sz w:val="16"/>
                <w:szCs w:val="16"/>
                <w:b w:val="1"/>
                <w:bCs w:val="1"/>
                <w:color w:val="auto"/>
              </w:rPr>
              <w:t>November 3, 2018</w:t>
            </w:r>
          </w:p>
        </w:tc>
      </w:tr>
      <w:tr>
        <w:trPr>
          <w:trHeight w:val="33"/>
        </w:trPr>
        <w:tc>
          <w:tcPr>
            <w:tcW w:w="34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1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$1,222</w:t>
            </w:r>
          </w:p>
        </w:tc>
        <w:tc>
          <w:tcPr>
            <w:tcW w:w="18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$1,213</w:t>
            </w:r>
          </w:p>
        </w:tc>
        <w:tc>
          <w:tcPr>
            <w:tcW w:w="1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$3,645</w:t>
            </w:r>
          </w:p>
        </w:tc>
        <w:tc>
          <w:tcPr>
            <w:tcW w:w="18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$3,786</w:t>
            </w:r>
          </w:p>
        </w:tc>
      </w:tr>
      <w:tr>
        <w:trPr>
          <w:trHeight w:val="237"/>
        </w:trPr>
        <w:tc>
          <w:tcPr>
            <w:tcW w:w="3420" w:type="dxa"/>
            <w:vAlign w:val="bottom"/>
          </w:tcPr>
          <w:p>
            <w:pPr>
              <w:ind w:left="40"/>
              <w:spacing w:after="0"/>
              <w:rPr>
                <w:sz w:val="20"/>
                <w:szCs w:val="20"/>
                <w:color w:val="auto"/>
              </w:rPr>
            </w:pPr>
            <w:r>
              <w:rPr>
                <w:rFonts w:ascii="Arial" w:cs="Arial" w:eastAsia="Arial" w:hAnsi="Arial"/>
                <w:sz w:val="16"/>
                <w:szCs w:val="16"/>
                <w:color w:val="auto"/>
              </w:rPr>
              <w:t>Gross profit as a % of net sales</w:t>
            </w:r>
          </w:p>
        </w:tc>
        <w:tc>
          <w:tcPr>
            <w:tcW w:w="2100" w:type="dxa"/>
            <w:vAlign w:val="bottom"/>
          </w:tcPr>
          <w:p>
            <w:pPr>
              <w:jc w:val="right"/>
              <w:ind w:right="239"/>
              <w:spacing w:after="0"/>
              <w:rPr>
                <w:sz w:val="20"/>
                <w:szCs w:val="20"/>
                <w:color w:val="auto"/>
              </w:rPr>
            </w:pPr>
            <w:r>
              <w:rPr>
                <w:rFonts w:ascii="Arial" w:cs="Arial" w:eastAsia="Arial" w:hAnsi="Arial"/>
                <w:sz w:val="16"/>
                <w:szCs w:val="16"/>
                <w:b w:val="1"/>
                <w:bCs w:val="1"/>
                <w:color w:val="auto"/>
              </w:rPr>
              <w:t>34.3%</w:t>
            </w:r>
          </w:p>
        </w:tc>
        <w:tc>
          <w:tcPr>
            <w:tcW w:w="1840" w:type="dxa"/>
            <w:vAlign w:val="bottom"/>
          </w:tcPr>
          <w:p>
            <w:pPr>
              <w:jc w:val="right"/>
              <w:ind w:right="79"/>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20"/>
                <w:szCs w:val="20"/>
                <w:color w:val="auto"/>
              </w:rPr>
            </w:pPr>
          </w:p>
        </w:tc>
        <w:tc>
          <w:tcPr>
            <w:tcW w:w="2080" w:type="dxa"/>
            <w:vAlign w:val="bottom"/>
          </w:tcPr>
          <w:p>
            <w:pPr>
              <w:jc w:val="right"/>
              <w:ind w:right="239"/>
              <w:spacing w:after="0"/>
              <w:rPr>
                <w:sz w:val="20"/>
                <w:szCs w:val="20"/>
                <w:color w:val="auto"/>
              </w:rPr>
            </w:pPr>
            <w:r>
              <w:rPr>
                <w:rFonts w:ascii="Arial" w:cs="Arial" w:eastAsia="Arial" w:hAnsi="Arial"/>
                <w:sz w:val="16"/>
                <w:szCs w:val="16"/>
                <w:b w:val="1"/>
                <w:bCs w:val="1"/>
                <w:color w:val="auto"/>
              </w:rPr>
              <w:t>34.1%</w:t>
            </w:r>
          </w:p>
        </w:tc>
        <w:tc>
          <w:tcPr>
            <w:tcW w:w="1860" w:type="dxa"/>
            <w:vAlign w:val="bottom"/>
          </w:tcPr>
          <w:p>
            <w:pPr>
              <w:jc w:val="right"/>
              <w:ind w:right="79"/>
              <w:spacing w:after="0"/>
              <w:rPr>
                <w:sz w:val="20"/>
                <w:szCs w:val="20"/>
                <w:color w:val="auto"/>
              </w:rPr>
            </w:pPr>
            <w:r>
              <w:rPr>
                <w:rFonts w:ascii="Arial" w:cs="Arial" w:eastAsia="Arial" w:hAnsi="Arial"/>
                <w:sz w:val="16"/>
                <w:szCs w:val="16"/>
                <w:color w:val="auto"/>
              </w:rPr>
              <w:t>34.1%</w:t>
            </w:r>
          </w:p>
        </w:tc>
      </w:tr>
      <w:tr>
        <w:trPr>
          <w:trHeight w:val="33"/>
        </w:trPr>
        <w:tc>
          <w:tcPr>
            <w:tcW w:w="34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97"/>
        </w:trPr>
        <w:tc>
          <w:tcPr>
            <w:tcW w:w="342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r>
      <w:tr>
        <w:trPr>
          <w:trHeight w:val="237"/>
        </w:trPr>
        <w:tc>
          <w:tcPr>
            <w:tcW w:w="34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jc w:val="right"/>
              <w:ind w:right="399"/>
              <w:spacing w:after="0"/>
              <w:rPr>
                <w:sz w:val="20"/>
                <w:szCs w:val="20"/>
                <w:color w:val="auto"/>
              </w:rPr>
            </w:pPr>
            <w:r>
              <w:rPr>
                <w:rFonts w:ascii="Arial" w:cs="Arial" w:eastAsia="Arial" w:hAnsi="Arial"/>
                <w:sz w:val="16"/>
                <w:szCs w:val="16"/>
                <w:b w:val="1"/>
                <w:bCs w:val="1"/>
                <w:color w:val="auto"/>
              </w:rPr>
              <w:t>November 2, 2019</w:t>
            </w:r>
          </w:p>
        </w:tc>
        <w:tc>
          <w:tcPr>
            <w:tcW w:w="1860" w:type="dxa"/>
            <w:vAlign w:val="bottom"/>
          </w:tcPr>
          <w:p>
            <w:pPr>
              <w:jc w:val="right"/>
              <w:ind w:right="219"/>
              <w:spacing w:after="0"/>
              <w:rPr>
                <w:sz w:val="20"/>
                <w:szCs w:val="20"/>
                <w:color w:val="auto"/>
              </w:rPr>
            </w:pPr>
            <w:r>
              <w:rPr>
                <w:rFonts w:ascii="Arial" w:cs="Arial" w:eastAsia="Arial" w:hAnsi="Arial"/>
                <w:sz w:val="16"/>
                <w:szCs w:val="16"/>
                <w:b w:val="1"/>
                <w:bCs w:val="1"/>
                <w:color w:val="auto"/>
              </w:rPr>
              <w:t>November 3, 2018</w:t>
            </w:r>
          </w:p>
        </w:tc>
      </w:tr>
      <w:tr>
        <w:trPr>
          <w:trHeight w:val="33"/>
        </w:trPr>
        <w:tc>
          <w:tcPr>
            <w:tcW w:w="34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Inventory turnover rate</w:t>
            </w:r>
          </w:p>
        </w:tc>
        <w:tc>
          <w:tcPr>
            <w:tcW w:w="2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4.47</w:t>
            </w:r>
          </w:p>
        </w:tc>
        <w:tc>
          <w:tcPr>
            <w:tcW w:w="18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4.56</w:t>
            </w:r>
          </w:p>
        </w:tc>
      </w:tr>
      <w:tr>
        <w:trPr>
          <w:trHeight w:val="20"/>
        </w:trPr>
        <w:tc>
          <w:tcPr>
            <w:tcW w:w="34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gross profit rate increased 100 basis points for the third quarter of 2019, compared with the same period in 2018, primarily due to fewer markdowns from continued inventory discipline in Off-Price and higher sell-through of Anniversary Sale product in Full-Price.</w:t>
      </w:r>
    </w:p>
    <w:p>
      <w:pPr>
        <w:spacing w:after="0" w:line="11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Lower sales volume led to a decrease in inventory turnover rate as of November 2, 2019. Ending inventory as of November 2, 2019 decreased 2.7% compared with the prior period, reflecting three consecutive quarters of maintaining a positive spread between the change in inventory and sales.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SG&amp;A is summarized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4040" w:type="dxa"/>
            <w:vAlign w:val="bottom"/>
            <w:gridSpan w:val="3"/>
          </w:tcPr>
          <w:p>
            <w:pPr>
              <w:ind w:left="1440"/>
              <w:spacing w:after="0"/>
              <w:rPr>
                <w:sz w:val="20"/>
                <w:szCs w:val="20"/>
                <w:color w:val="auto"/>
              </w:rPr>
            </w:pPr>
            <w:r>
              <w:rPr>
                <w:rFonts w:ascii="Arial" w:cs="Arial" w:eastAsia="Arial" w:hAnsi="Arial"/>
                <w:sz w:val="16"/>
                <w:szCs w:val="16"/>
                <w:b w:val="1"/>
                <w:bCs w:val="1"/>
                <w:color w:val="auto"/>
              </w:rPr>
              <w:t>Quarter Ended</w:t>
            </w:r>
          </w:p>
        </w:tc>
        <w:tc>
          <w:tcPr>
            <w:tcW w:w="4040" w:type="dxa"/>
            <w:vAlign w:val="bottom"/>
            <w:gridSpan w:val="2"/>
          </w:tcPr>
          <w:p>
            <w:pPr>
              <w:jc w:val="right"/>
              <w:ind w:right="123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34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080" w:type="dxa"/>
            <w:vAlign w:val="bottom"/>
          </w:tcPr>
          <w:p>
            <w:pPr>
              <w:jc w:val="right"/>
              <w:ind w:right="399"/>
              <w:spacing w:after="0"/>
              <w:rPr>
                <w:sz w:val="20"/>
                <w:szCs w:val="20"/>
                <w:color w:val="auto"/>
              </w:rPr>
            </w:pPr>
            <w:r>
              <w:rPr>
                <w:rFonts w:ascii="Arial" w:cs="Arial" w:eastAsia="Arial" w:hAnsi="Arial"/>
                <w:sz w:val="16"/>
                <w:szCs w:val="16"/>
                <w:b w:val="1"/>
                <w:bCs w:val="1"/>
                <w:color w:val="auto"/>
              </w:rPr>
              <w:t>November 2, 2019</w:t>
            </w:r>
          </w:p>
        </w:tc>
        <w:tc>
          <w:tcPr>
            <w:tcW w:w="1960" w:type="dxa"/>
            <w:vAlign w:val="bottom"/>
            <w:gridSpan w:val="2"/>
          </w:tcPr>
          <w:p>
            <w:pPr>
              <w:ind w:left="320"/>
              <w:spacing w:after="0"/>
              <w:rPr>
                <w:sz w:val="20"/>
                <w:szCs w:val="20"/>
                <w:color w:val="auto"/>
              </w:rPr>
            </w:pPr>
            <w:r>
              <w:rPr>
                <w:rFonts w:ascii="Arial" w:cs="Arial" w:eastAsia="Arial" w:hAnsi="Arial"/>
                <w:sz w:val="16"/>
                <w:szCs w:val="16"/>
                <w:b w:val="1"/>
                <w:bCs w:val="1"/>
                <w:color w:val="auto"/>
              </w:rPr>
              <w:t>November 3, 2018</w:t>
            </w:r>
          </w:p>
        </w:tc>
        <w:tc>
          <w:tcPr>
            <w:tcW w:w="2140" w:type="dxa"/>
            <w:vAlign w:val="bottom"/>
          </w:tcPr>
          <w:p>
            <w:pPr>
              <w:jc w:val="right"/>
              <w:ind w:right="459"/>
              <w:spacing w:after="0"/>
              <w:rPr>
                <w:sz w:val="20"/>
                <w:szCs w:val="20"/>
                <w:color w:val="auto"/>
              </w:rPr>
            </w:pPr>
            <w:r>
              <w:rPr>
                <w:rFonts w:ascii="Arial" w:cs="Arial" w:eastAsia="Arial" w:hAnsi="Arial"/>
                <w:sz w:val="16"/>
                <w:szCs w:val="16"/>
                <w:b w:val="1"/>
                <w:bCs w:val="1"/>
                <w:color w:val="auto"/>
              </w:rPr>
              <w:t>November 2, 2019</w:t>
            </w:r>
          </w:p>
        </w:tc>
        <w:tc>
          <w:tcPr>
            <w:tcW w:w="1900" w:type="dxa"/>
            <w:vAlign w:val="bottom"/>
          </w:tcPr>
          <w:p>
            <w:pPr>
              <w:jc w:val="right"/>
              <w:ind w:right="219"/>
              <w:spacing w:after="0"/>
              <w:rPr>
                <w:sz w:val="20"/>
                <w:szCs w:val="20"/>
                <w:color w:val="auto"/>
              </w:rPr>
            </w:pPr>
            <w:r>
              <w:rPr>
                <w:rFonts w:ascii="Arial" w:cs="Arial" w:eastAsia="Arial" w:hAnsi="Arial"/>
                <w:sz w:val="16"/>
                <w:szCs w:val="16"/>
                <w:b w:val="1"/>
                <w:bCs w:val="1"/>
                <w:color w:val="auto"/>
              </w:rPr>
              <w:t>November 3, 2018</w:t>
            </w:r>
          </w:p>
        </w:tc>
      </w:tr>
      <w:tr>
        <w:trPr>
          <w:trHeight w:val="33"/>
        </w:trPr>
        <w:tc>
          <w:tcPr>
            <w:tcW w:w="33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SG&amp;A expenses</w:t>
            </w:r>
          </w:p>
        </w:tc>
        <w:tc>
          <w:tcPr>
            <w:tcW w:w="20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$1,135</w:t>
            </w:r>
          </w:p>
        </w:tc>
        <w:tc>
          <w:tcPr>
            <w:tcW w:w="18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$3,453</w:t>
            </w:r>
          </w:p>
        </w:tc>
        <w:tc>
          <w:tcPr>
            <w:tcW w:w="19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$3,562</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SG&amp;A expenses as a % of net sales</w:t>
            </w:r>
          </w:p>
        </w:tc>
        <w:tc>
          <w:tcPr>
            <w:tcW w:w="2080" w:type="dxa"/>
            <w:vAlign w:val="bottom"/>
          </w:tcPr>
          <w:p>
            <w:pPr>
              <w:jc w:val="right"/>
              <w:ind w:right="239"/>
              <w:spacing w:after="0"/>
              <w:rPr>
                <w:sz w:val="20"/>
                <w:szCs w:val="20"/>
                <w:color w:val="auto"/>
              </w:rPr>
            </w:pPr>
            <w:r>
              <w:rPr>
                <w:rFonts w:ascii="Arial" w:cs="Arial" w:eastAsia="Arial" w:hAnsi="Arial"/>
                <w:sz w:val="16"/>
                <w:szCs w:val="16"/>
                <w:b w:val="1"/>
                <w:bCs w:val="1"/>
                <w:color w:val="auto"/>
              </w:rPr>
              <w:t>31.8%</w:t>
            </w:r>
          </w:p>
        </w:tc>
        <w:tc>
          <w:tcPr>
            <w:tcW w:w="1860" w:type="dxa"/>
            <w:vAlign w:val="bottom"/>
          </w:tcPr>
          <w:p>
            <w:pPr>
              <w:jc w:val="right"/>
              <w:ind w:right="79"/>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20"/>
                <w:szCs w:val="20"/>
                <w:color w:val="auto"/>
              </w:rPr>
            </w:pPr>
          </w:p>
        </w:tc>
        <w:tc>
          <w:tcPr>
            <w:tcW w:w="2140" w:type="dxa"/>
            <w:vAlign w:val="bottom"/>
          </w:tcPr>
          <w:p>
            <w:pPr>
              <w:jc w:val="right"/>
              <w:ind w:right="279"/>
              <w:spacing w:after="0"/>
              <w:rPr>
                <w:sz w:val="20"/>
                <w:szCs w:val="20"/>
                <w:color w:val="auto"/>
              </w:rPr>
            </w:pPr>
            <w:r>
              <w:rPr>
                <w:rFonts w:ascii="Arial" w:cs="Arial" w:eastAsia="Arial" w:hAnsi="Arial"/>
                <w:sz w:val="16"/>
                <w:szCs w:val="16"/>
                <w:b w:val="1"/>
                <w:bCs w:val="1"/>
                <w:color w:val="auto"/>
              </w:rPr>
              <w:t>32.3%</w:t>
            </w:r>
          </w:p>
        </w:tc>
        <w:tc>
          <w:tcPr>
            <w:tcW w:w="1900" w:type="dxa"/>
            <w:vAlign w:val="bottom"/>
          </w:tcPr>
          <w:p>
            <w:pPr>
              <w:jc w:val="right"/>
              <w:ind w:right="79"/>
              <w:spacing w:after="0"/>
              <w:rPr>
                <w:sz w:val="20"/>
                <w:szCs w:val="20"/>
                <w:color w:val="auto"/>
              </w:rPr>
            </w:pPr>
            <w:r>
              <w:rPr>
                <w:rFonts w:ascii="Arial" w:cs="Arial" w:eastAsia="Arial" w:hAnsi="Arial"/>
                <w:sz w:val="16"/>
                <w:szCs w:val="16"/>
                <w:color w:val="auto"/>
              </w:rPr>
              <w:t>32.1%</w:t>
            </w:r>
          </w:p>
        </w:tc>
      </w:tr>
      <w:tr>
        <w:trPr>
          <w:trHeight w:val="33"/>
        </w:trPr>
        <w:tc>
          <w:tcPr>
            <w:tcW w:w="33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SG&amp;A decreased 132 basis points and $73 for the third quarter of 2019, compared with the same period in 2018. Excluding the Estimated Non-recurring Charge of $72 in 2018, expenses deleveraged by approximately 60 basis points, which was primarily driven by New York City flagship pre-opening costs. SG&amp;A increased 19 basis points for the nine months ended November 2, 2019, primarily due to our fixed expense deleverage and higher marketing spend. SG&amp;A decreased $109 for the nine months ended November 2, 2019, primarily due to our continued expense efficiencies and the $72 Estimated Non-recurring Charge.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Interest and Income Taxes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EBIT is summarized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4060" w:type="dxa"/>
            <w:vAlign w:val="bottom"/>
            <w:gridSpan w:val="3"/>
          </w:tcPr>
          <w:p>
            <w:pPr>
              <w:ind w:left="1460"/>
              <w:spacing w:after="0"/>
              <w:rPr>
                <w:sz w:val="20"/>
                <w:szCs w:val="20"/>
                <w:color w:val="auto"/>
              </w:rPr>
            </w:pPr>
            <w:r>
              <w:rPr>
                <w:rFonts w:ascii="Arial" w:cs="Arial" w:eastAsia="Arial" w:hAnsi="Arial"/>
                <w:sz w:val="16"/>
                <w:szCs w:val="16"/>
                <w:b w:val="1"/>
                <w:bCs w:val="1"/>
                <w:color w:val="auto"/>
              </w:rPr>
              <w:t>Quarter Ended</w:t>
            </w:r>
          </w:p>
        </w:tc>
        <w:tc>
          <w:tcPr>
            <w:tcW w:w="3980" w:type="dxa"/>
            <w:vAlign w:val="bottom"/>
            <w:gridSpan w:val="2"/>
          </w:tcPr>
          <w:p>
            <w:pPr>
              <w:jc w:val="right"/>
              <w:ind w:right="119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38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1"/>
        </w:trPr>
        <w:tc>
          <w:tcPr>
            <w:tcW w:w="3380" w:type="dxa"/>
            <w:vAlign w:val="bottom"/>
          </w:tcPr>
          <w:p>
            <w:pPr>
              <w:spacing w:after="0"/>
              <w:rPr>
                <w:sz w:val="20"/>
                <w:szCs w:val="20"/>
                <w:color w:val="auto"/>
              </w:rPr>
            </w:pPr>
          </w:p>
        </w:tc>
        <w:tc>
          <w:tcPr>
            <w:tcW w:w="2100" w:type="dxa"/>
            <w:vAlign w:val="bottom"/>
          </w:tcPr>
          <w:p>
            <w:pPr>
              <w:jc w:val="right"/>
              <w:ind w:right="399"/>
              <w:spacing w:after="0"/>
              <w:rPr>
                <w:sz w:val="20"/>
                <w:szCs w:val="20"/>
                <w:color w:val="auto"/>
              </w:rPr>
            </w:pPr>
            <w:r>
              <w:rPr>
                <w:rFonts w:ascii="Arial" w:cs="Arial" w:eastAsia="Arial" w:hAnsi="Arial"/>
                <w:sz w:val="16"/>
                <w:szCs w:val="16"/>
                <w:b w:val="1"/>
                <w:bCs w:val="1"/>
                <w:color w:val="auto"/>
              </w:rPr>
              <w:t>November 2, 2019</w:t>
            </w:r>
          </w:p>
        </w:tc>
        <w:tc>
          <w:tcPr>
            <w:tcW w:w="1960" w:type="dxa"/>
            <w:vAlign w:val="bottom"/>
            <w:gridSpan w:val="2"/>
          </w:tcPr>
          <w:p>
            <w:pPr>
              <w:ind w:left="320"/>
              <w:spacing w:after="0"/>
              <w:rPr>
                <w:sz w:val="20"/>
                <w:szCs w:val="20"/>
                <w:color w:val="auto"/>
              </w:rPr>
            </w:pPr>
            <w:r>
              <w:rPr>
                <w:rFonts w:ascii="Arial" w:cs="Arial" w:eastAsia="Arial" w:hAnsi="Arial"/>
                <w:sz w:val="16"/>
                <w:szCs w:val="16"/>
                <w:b w:val="1"/>
                <w:bCs w:val="1"/>
                <w:color w:val="auto"/>
              </w:rPr>
              <w:t>November 3, 2018</w:t>
            </w:r>
          </w:p>
        </w:tc>
        <w:tc>
          <w:tcPr>
            <w:tcW w:w="2120" w:type="dxa"/>
            <w:vAlign w:val="bottom"/>
          </w:tcPr>
          <w:p>
            <w:pPr>
              <w:jc w:val="right"/>
              <w:ind w:right="399"/>
              <w:spacing w:after="0"/>
              <w:rPr>
                <w:sz w:val="20"/>
                <w:szCs w:val="20"/>
                <w:color w:val="auto"/>
              </w:rPr>
            </w:pPr>
            <w:r>
              <w:rPr>
                <w:rFonts w:ascii="Arial" w:cs="Arial" w:eastAsia="Arial" w:hAnsi="Arial"/>
                <w:sz w:val="16"/>
                <w:szCs w:val="16"/>
                <w:b w:val="1"/>
                <w:bCs w:val="1"/>
                <w:color w:val="auto"/>
              </w:rPr>
              <w:t>November 2, 2019</w:t>
            </w:r>
          </w:p>
        </w:tc>
        <w:tc>
          <w:tcPr>
            <w:tcW w:w="1860" w:type="dxa"/>
            <w:vAlign w:val="bottom"/>
          </w:tcPr>
          <w:p>
            <w:pPr>
              <w:jc w:val="right"/>
              <w:ind w:right="219"/>
              <w:spacing w:after="0"/>
              <w:rPr>
                <w:sz w:val="20"/>
                <w:szCs w:val="20"/>
                <w:color w:val="auto"/>
              </w:rPr>
            </w:pPr>
            <w:r>
              <w:rPr>
                <w:rFonts w:ascii="Arial" w:cs="Arial" w:eastAsia="Arial" w:hAnsi="Arial"/>
                <w:sz w:val="16"/>
                <w:szCs w:val="16"/>
                <w:b w:val="1"/>
                <w:bCs w:val="1"/>
                <w:color w:val="auto"/>
              </w:rPr>
              <w:t>November 3, 2018</w:t>
            </w:r>
          </w:p>
        </w:tc>
      </w:tr>
      <w:tr>
        <w:trPr>
          <w:trHeight w:val="33"/>
        </w:trPr>
        <w:tc>
          <w:tcPr>
            <w:tcW w:w="3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w:t>
            </w:r>
          </w:p>
        </w:tc>
        <w:tc>
          <w:tcPr>
            <w:tcW w:w="21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$193</w:t>
            </w:r>
          </w:p>
        </w:tc>
        <w:tc>
          <w:tcPr>
            <w:tcW w:w="18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$485</w:t>
            </w:r>
          </w:p>
        </w:tc>
        <w:tc>
          <w:tcPr>
            <w:tcW w:w="18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$504</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EBIT as a % of sales</w:t>
            </w:r>
          </w:p>
        </w:tc>
        <w:tc>
          <w:tcPr>
            <w:tcW w:w="2100" w:type="dxa"/>
            <w:vAlign w:val="bottom"/>
          </w:tcPr>
          <w:p>
            <w:pPr>
              <w:jc w:val="right"/>
              <w:ind w:right="239"/>
              <w:spacing w:after="0"/>
              <w:rPr>
                <w:sz w:val="20"/>
                <w:szCs w:val="20"/>
                <w:color w:val="auto"/>
              </w:rPr>
            </w:pPr>
            <w:r>
              <w:rPr>
                <w:rFonts w:ascii="Arial" w:cs="Arial" w:eastAsia="Arial" w:hAnsi="Arial"/>
                <w:sz w:val="16"/>
                <w:szCs w:val="16"/>
                <w:b w:val="1"/>
                <w:bCs w:val="1"/>
                <w:color w:val="auto"/>
              </w:rPr>
              <w:t>5.4%</w:t>
            </w:r>
          </w:p>
        </w:tc>
        <w:tc>
          <w:tcPr>
            <w:tcW w:w="1860" w:type="dxa"/>
            <w:vAlign w:val="bottom"/>
          </w:tcPr>
          <w:p>
            <w:pPr>
              <w:jc w:val="right"/>
              <w:ind w:right="7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2120" w:type="dxa"/>
            <w:vAlign w:val="bottom"/>
          </w:tcPr>
          <w:p>
            <w:pPr>
              <w:jc w:val="right"/>
              <w:ind w:right="239"/>
              <w:spacing w:after="0"/>
              <w:rPr>
                <w:sz w:val="20"/>
                <w:szCs w:val="20"/>
                <w:color w:val="auto"/>
              </w:rPr>
            </w:pPr>
            <w:r>
              <w:rPr>
                <w:rFonts w:ascii="Arial" w:cs="Arial" w:eastAsia="Arial" w:hAnsi="Arial"/>
                <w:sz w:val="16"/>
                <w:szCs w:val="16"/>
                <w:b w:val="1"/>
                <w:bCs w:val="1"/>
                <w:color w:val="auto"/>
              </w:rPr>
              <w:t>4.5%</w:t>
            </w:r>
          </w:p>
        </w:tc>
        <w:tc>
          <w:tcPr>
            <w:tcW w:w="1860" w:type="dxa"/>
            <w:vAlign w:val="bottom"/>
          </w:tcPr>
          <w:p>
            <w:pPr>
              <w:jc w:val="right"/>
              <w:ind w:right="79"/>
              <w:spacing w:after="0"/>
              <w:rPr>
                <w:sz w:val="20"/>
                <w:szCs w:val="20"/>
                <w:color w:val="auto"/>
              </w:rPr>
            </w:pPr>
            <w:r>
              <w:rPr>
                <w:rFonts w:ascii="Arial" w:cs="Arial" w:eastAsia="Arial" w:hAnsi="Arial"/>
                <w:sz w:val="16"/>
                <w:szCs w:val="16"/>
                <w:color w:val="auto"/>
              </w:rPr>
              <w:t>4.5%</w:t>
            </w:r>
          </w:p>
        </w:tc>
      </w:tr>
      <w:tr>
        <w:trPr>
          <w:trHeight w:val="33"/>
        </w:trPr>
        <w:tc>
          <w:tcPr>
            <w:tcW w:w="3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EBIT increased $88 and 252 basis points for the third quarter of 2019, compared with the same period in 2018. Excluding a $72 Estimated Non-recurring Charge in 2018, EBIT margin expanded by approximately 50 basis points, which was primarily due to our ongoing inventory discipline and progress in bending the expense curve. EBIT decreased $19 for the nine months ended November 2, 2019, compared with the same period in 2018, primarily due to lower sales volume.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7"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Interest expense, net was $20 for the third quarter of 2019, compared with $25 for the same period in 2018, and $66 for the nine months ended November 2, 2019, compared with $81 for the same period in 2018. The decrease for the third quarter of 2019 and nine months ended November 2, 2019 was primarily due to higher capitalized interest in 2019 associated with our New York City flagship store and Supply Chain Networks.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 of 28</w:t>
      </w:r>
    </w:p>
    <w:p>
      <w:pPr>
        <w:sectPr>
          <w:pgSz w:w="11900" w:h="16838" w:orient="portrait"/>
          <w:cols w:equalWidth="0" w:num="1">
            <w:col w:w="11420"/>
          </w:cols>
          <w:pgMar w:left="240" w:top="279"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is summarized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4060" w:type="dxa"/>
            <w:vAlign w:val="bottom"/>
            <w:gridSpan w:val="3"/>
          </w:tcPr>
          <w:p>
            <w:pPr>
              <w:ind w:left="1460"/>
              <w:spacing w:after="0"/>
              <w:rPr>
                <w:sz w:val="20"/>
                <w:szCs w:val="20"/>
                <w:color w:val="auto"/>
              </w:rPr>
            </w:pPr>
            <w:r>
              <w:rPr>
                <w:rFonts w:ascii="Arial" w:cs="Arial" w:eastAsia="Arial" w:hAnsi="Arial"/>
                <w:sz w:val="16"/>
                <w:szCs w:val="16"/>
                <w:b w:val="1"/>
                <w:bCs w:val="1"/>
                <w:color w:val="auto"/>
              </w:rPr>
              <w:t>Quarter Ended</w:t>
            </w:r>
          </w:p>
        </w:tc>
        <w:tc>
          <w:tcPr>
            <w:tcW w:w="3980" w:type="dxa"/>
            <w:vAlign w:val="bottom"/>
            <w:gridSpan w:val="2"/>
          </w:tcPr>
          <w:p>
            <w:pPr>
              <w:jc w:val="right"/>
              <w:ind w:right="119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38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1"/>
        </w:trPr>
        <w:tc>
          <w:tcPr>
            <w:tcW w:w="3380" w:type="dxa"/>
            <w:vAlign w:val="bottom"/>
          </w:tcPr>
          <w:p>
            <w:pPr>
              <w:spacing w:after="0"/>
              <w:rPr>
                <w:sz w:val="20"/>
                <w:szCs w:val="20"/>
                <w:color w:val="auto"/>
              </w:rPr>
            </w:pPr>
          </w:p>
        </w:tc>
        <w:tc>
          <w:tcPr>
            <w:tcW w:w="2100" w:type="dxa"/>
            <w:vAlign w:val="bottom"/>
          </w:tcPr>
          <w:p>
            <w:pPr>
              <w:jc w:val="right"/>
              <w:ind w:right="399"/>
              <w:spacing w:after="0"/>
              <w:rPr>
                <w:sz w:val="20"/>
                <w:szCs w:val="20"/>
                <w:color w:val="auto"/>
              </w:rPr>
            </w:pPr>
            <w:r>
              <w:rPr>
                <w:rFonts w:ascii="Arial" w:cs="Arial" w:eastAsia="Arial" w:hAnsi="Arial"/>
                <w:sz w:val="16"/>
                <w:szCs w:val="16"/>
                <w:b w:val="1"/>
                <w:bCs w:val="1"/>
                <w:color w:val="auto"/>
              </w:rPr>
              <w:t>November 2, 2019</w:t>
            </w:r>
          </w:p>
        </w:tc>
        <w:tc>
          <w:tcPr>
            <w:tcW w:w="1960" w:type="dxa"/>
            <w:vAlign w:val="bottom"/>
            <w:gridSpan w:val="2"/>
          </w:tcPr>
          <w:p>
            <w:pPr>
              <w:ind w:left="320"/>
              <w:spacing w:after="0"/>
              <w:rPr>
                <w:sz w:val="20"/>
                <w:szCs w:val="20"/>
                <w:color w:val="auto"/>
              </w:rPr>
            </w:pPr>
            <w:r>
              <w:rPr>
                <w:rFonts w:ascii="Arial" w:cs="Arial" w:eastAsia="Arial" w:hAnsi="Arial"/>
                <w:sz w:val="16"/>
                <w:szCs w:val="16"/>
                <w:b w:val="1"/>
                <w:bCs w:val="1"/>
                <w:color w:val="auto"/>
              </w:rPr>
              <w:t>November 3, 2018</w:t>
            </w:r>
          </w:p>
        </w:tc>
        <w:tc>
          <w:tcPr>
            <w:tcW w:w="2120" w:type="dxa"/>
            <w:vAlign w:val="bottom"/>
          </w:tcPr>
          <w:p>
            <w:pPr>
              <w:jc w:val="right"/>
              <w:ind w:right="399"/>
              <w:spacing w:after="0"/>
              <w:rPr>
                <w:sz w:val="20"/>
                <w:szCs w:val="20"/>
                <w:color w:val="auto"/>
              </w:rPr>
            </w:pPr>
            <w:r>
              <w:rPr>
                <w:rFonts w:ascii="Arial" w:cs="Arial" w:eastAsia="Arial" w:hAnsi="Arial"/>
                <w:sz w:val="16"/>
                <w:szCs w:val="16"/>
                <w:b w:val="1"/>
                <w:bCs w:val="1"/>
                <w:color w:val="auto"/>
              </w:rPr>
              <w:t>November 2, 2019</w:t>
            </w:r>
          </w:p>
        </w:tc>
        <w:tc>
          <w:tcPr>
            <w:tcW w:w="1860" w:type="dxa"/>
            <w:vAlign w:val="bottom"/>
          </w:tcPr>
          <w:p>
            <w:pPr>
              <w:jc w:val="right"/>
              <w:ind w:right="219"/>
              <w:spacing w:after="0"/>
              <w:rPr>
                <w:sz w:val="20"/>
                <w:szCs w:val="20"/>
                <w:color w:val="auto"/>
              </w:rPr>
            </w:pPr>
            <w:r>
              <w:rPr>
                <w:rFonts w:ascii="Arial" w:cs="Arial" w:eastAsia="Arial" w:hAnsi="Arial"/>
                <w:sz w:val="16"/>
                <w:szCs w:val="16"/>
                <w:b w:val="1"/>
                <w:bCs w:val="1"/>
                <w:color w:val="auto"/>
              </w:rPr>
              <w:t>November 3, 2018</w:t>
            </w:r>
          </w:p>
        </w:tc>
      </w:tr>
      <w:tr>
        <w:trPr>
          <w:trHeight w:val="33"/>
        </w:trPr>
        <w:tc>
          <w:tcPr>
            <w:tcW w:w="3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1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$47</w:t>
            </w:r>
          </w:p>
        </w:tc>
        <w:tc>
          <w:tcPr>
            <w:tcW w:w="18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$115</w:t>
            </w:r>
          </w:p>
        </w:tc>
        <w:tc>
          <w:tcPr>
            <w:tcW w:w="18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$107</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2100" w:type="dxa"/>
            <w:vAlign w:val="bottom"/>
          </w:tcPr>
          <w:p>
            <w:pPr>
              <w:jc w:val="right"/>
              <w:ind w:right="239"/>
              <w:spacing w:after="0"/>
              <w:rPr>
                <w:sz w:val="20"/>
                <w:szCs w:val="20"/>
                <w:color w:val="auto"/>
              </w:rPr>
            </w:pPr>
            <w:r>
              <w:rPr>
                <w:rFonts w:ascii="Arial" w:cs="Arial" w:eastAsia="Arial" w:hAnsi="Arial"/>
                <w:sz w:val="16"/>
                <w:szCs w:val="16"/>
                <w:b w:val="1"/>
                <w:bCs w:val="1"/>
                <w:color w:val="auto"/>
              </w:rPr>
              <w:t>26.9%</w:t>
            </w:r>
          </w:p>
        </w:tc>
        <w:tc>
          <w:tcPr>
            <w:tcW w:w="1860" w:type="dxa"/>
            <w:vAlign w:val="bottom"/>
          </w:tcPr>
          <w:p>
            <w:pPr>
              <w:jc w:val="right"/>
              <w:ind w:right="79"/>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2120" w:type="dxa"/>
            <w:vAlign w:val="bottom"/>
          </w:tcPr>
          <w:p>
            <w:pPr>
              <w:jc w:val="right"/>
              <w:ind w:right="239"/>
              <w:spacing w:after="0"/>
              <w:rPr>
                <w:sz w:val="20"/>
                <w:szCs w:val="20"/>
                <w:color w:val="auto"/>
              </w:rPr>
            </w:pPr>
            <w:r>
              <w:rPr>
                <w:rFonts w:ascii="Arial" w:cs="Arial" w:eastAsia="Arial" w:hAnsi="Arial"/>
                <w:sz w:val="16"/>
                <w:szCs w:val="16"/>
                <w:b w:val="1"/>
                <w:bCs w:val="1"/>
                <w:color w:val="auto"/>
              </w:rPr>
              <w:t>27.6%</w:t>
            </w:r>
          </w:p>
        </w:tc>
        <w:tc>
          <w:tcPr>
            <w:tcW w:w="1860" w:type="dxa"/>
            <w:vAlign w:val="bottom"/>
          </w:tcPr>
          <w:p>
            <w:pPr>
              <w:jc w:val="right"/>
              <w:ind w:right="79"/>
              <w:spacing w:after="0"/>
              <w:rPr>
                <w:sz w:val="20"/>
                <w:szCs w:val="20"/>
                <w:color w:val="auto"/>
              </w:rPr>
            </w:pPr>
            <w:r>
              <w:rPr>
                <w:rFonts w:ascii="Arial" w:cs="Arial" w:eastAsia="Arial" w:hAnsi="Arial"/>
                <w:sz w:val="16"/>
                <w:szCs w:val="16"/>
                <w:color w:val="auto"/>
              </w:rPr>
              <w:t>25.3%</w:t>
            </w:r>
          </w:p>
        </w:tc>
      </w:tr>
      <w:tr>
        <w:trPr>
          <w:trHeight w:val="33"/>
        </w:trPr>
        <w:tc>
          <w:tcPr>
            <w:tcW w:w="3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effective tax rate increased for the third quarter of 2019, compared with the same period in 2018, primarily due to the tax benefit recorded in the third quarter of 2018 for the Estimated Non-recurring Charge. The effective tax rate increased for the nine months ended November 2, 2019, compared with the same period in 2018, primarily due to decreased tax benefits from stock compensation.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Arial" w:cs="Arial" w:eastAsia="Arial" w:hAnsi="Arial"/>
                <w:sz w:val="16"/>
                <w:szCs w:val="16"/>
                <w:b w:val="1"/>
                <w:bCs w:val="1"/>
                <w:color w:val="auto"/>
              </w:rPr>
              <w:t>Quarter Ended</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gridSpan w:val="2"/>
          </w:tcPr>
          <w:p>
            <w:pPr>
              <w:jc w:val="right"/>
              <w:ind w:right="107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78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440" w:type="dxa"/>
            <w:vAlign w:val="bottom"/>
          </w:tcPr>
          <w:p>
            <w:pPr>
              <w:jc w:val="right"/>
              <w:ind w:right="639"/>
              <w:spacing w:after="0"/>
              <w:rPr>
                <w:sz w:val="20"/>
                <w:szCs w:val="20"/>
                <w:color w:val="auto"/>
              </w:rPr>
            </w:pPr>
            <w:r>
              <w:rPr>
                <w:rFonts w:ascii="Arial" w:cs="Arial" w:eastAsia="Arial" w:hAnsi="Arial"/>
                <w:sz w:val="16"/>
                <w:szCs w:val="16"/>
                <w:b w:val="1"/>
                <w:bCs w:val="1"/>
                <w:color w:val="auto"/>
              </w:rPr>
              <w:t>November 2, 2019</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1"/>
              </w:rPr>
              <w:t>November 3, 2018</w:t>
            </w:r>
          </w:p>
        </w:tc>
        <w:tc>
          <w:tcPr>
            <w:tcW w:w="2040" w:type="dxa"/>
            <w:vAlign w:val="bottom"/>
          </w:tcPr>
          <w:p>
            <w:pPr>
              <w:jc w:val="right"/>
              <w:ind w:right="259"/>
              <w:spacing w:after="0"/>
              <w:rPr>
                <w:sz w:val="20"/>
                <w:szCs w:val="20"/>
                <w:color w:val="auto"/>
              </w:rPr>
            </w:pPr>
            <w:r>
              <w:rPr>
                <w:rFonts w:ascii="Arial" w:cs="Arial" w:eastAsia="Arial" w:hAnsi="Arial"/>
                <w:sz w:val="16"/>
                <w:szCs w:val="16"/>
                <w:b w:val="1"/>
                <w:bCs w:val="1"/>
                <w:color w:val="auto"/>
              </w:rPr>
              <w:t>November 2, 2019</w:t>
            </w:r>
          </w:p>
        </w:tc>
        <w:tc>
          <w:tcPr>
            <w:tcW w:w="1680" w:type="dxa"/>
            <w:vAlign w:val="bottom"/>
          </w:tcPr>
          <w:p>
            <w:pPr>
              <w:jc w:val="right"/>
              <w:ind w:right="19"/>
              <w:spacing w:after="0"/>
              <w:rPr>
                <w:sz w:val="20"/>
                <w:szCs w:val="20"/>
                <w:color w:val="auto"/>
              </w:rPr>
            </w:pPr>
            <w:r>
              <w:rPr>
                <w:rFonts w:ascii="Arial" w:cs="Arial" w:eastAsia="Arial" w:hAnsi="Arial"/>
                <w:sz w:val="16"/>
                <w:szCs w:val="16"/>
                <w:b w:val="1"/>
                <w:bCs w:val="1"/>
                <w:color w:val="auto"/>
              </w:rPr>
              <w:t>November 3, 2018</w:t>
            </w:r>
          </w:p>
        </w:tc>
      </w:tr>
      <w:tr>
        <w:trPr>
          <w:trHeight w:val="33"/>
        </w:trPr>
        <w:tc>
          <w:tcPr>
            <w:tcW w:w="37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24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$0.81</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$1.96</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Diluted</w:t>
            </w:r>
          </w:p>
        </w:tc>
        <w:tc>
          <w:tcPr>
            <w:tcW w:w="2440" w:type="dxa"/>
            <w:vAlign w:val="bottom"/>
          </w:tcPr>
          <w:p>
            <w:pPr>
              <w:jc w:val="right"/>
              <w:ind w:right="639"/>
              <w:spacing w:after="0"/>
              <w:rPr>
                <w:sz w:val="20"/>
                <w:szCs w:val="20"/>
                <w:color w:val="auto"/>
              </w:rPr>
            </w:pPr>
            <w:r>
              <w:rPr>
                <w:rFonts w:ascii="Arial" w:cs="Arial" w:eastAsia="Arial" w:hAnsi="Arial"/>
                <w:sz w:val="16"/>
                <w:szCs w:val="16"/>
                <w:b w:val="1"/>
                <w:bCs w:val="1"/>
                <w:color w:val="auto"/>
              </w:rPr>
              <w:t>$0.81</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$0.39</w:t>
            </w:r>
          </w:p>
        </w:tc>
        <w:tc>
          <w:tcPr>
            <w:tcW w:w="120" w:type="dxa"/>
            <w:vAlign w:val="bottom"/>
          </w:tcPr>
          <w:p>
            <w:pPr>
              <w:spacing w:after="0"/>
              <w:rPr>
                <w:sz w:val="20"/>
                <w:szCs w:val="20"/>
                <w:color w:val="auto"/>
              </w:rPr>
            </w:pPr>
          </w:p>
        </w:tc>
        <w:tc>
          <w:tcPr>
            <w:tcW w:w="2040" w:type="dxa"/>
            <w:vAlign w:val="bottom"/>
          </w:tcPr>
          <w:p>
            <w:pPr>
              <w:jc w:val="right"/>
              <w:ind w:right="259"/>
              <w:spacing w:after="0"/>
              <w:rPr>
                <w:sz w:val="20"/>
                <w:szCs w:val="20"/>
                <w:color w:val="auto"/>
              </w:rPr>
            </w:pPr>
            <w:r>
              <w:rPr>
                <w:rFonts w:ascii="Arial" w:cs="Arial" w:eastAsia="Arial" w:hAnsi="Arial"/>
                <w:sz w:val="16"/>
                <w:szCs w:val="16"/>
                <w:b w:val="1"/>
                <w:bCs w:val="1"/>
                <w:color w:val="auto"/>
              </w:rPr>
              <w:t>$1.95</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$1.85</w:t>
            </w:r>
          </w:p>
        </w:tc>
      </w:tr>
      <w:tr>
        <w:trPr>
          <w:trHeight w:val="33"/>
        </w:trPr>
        <w:tc>
          <w:tcPr>
            <w:tcW w:w="37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Earnings per diluted share increased $0.42 for the third quarter of 2019, compared with the same period in 2018, primarily due to the Estimated Non-recurring Charge in the third quarter of 2018, in addition to strong inventory and expense execution in the third quarter of 2019. Earnings per diluted share increased $0.10 for the nine months ended November 2, 2019, primarily due to the Estimated Non-recurring Charge in the third quarter of 2018 and the impact of share repurchases in 2018, partially offset by lower sales volumes.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2019 Outlook</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revised annual earnings per diluted share outlook of $3.30 to $3.50 does not include an estimated one-time charge of approximately $0.04 related to our debt refinancing in the fourth quarter. The impact of tariffs is not expected to be material for the year.</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80" w:type="dxa"/>
            <w:vAlign w:val="bottom"/>
          </w:tcPr>
          <w:p>
            <w:pPr>
              <w:spacing w:after="0"/>
              <w:rPr>
                <w:sz w:val="18"/>
                <w:szCs w:val="18"/>
                <w:color w:val="auto"/>
              </w:rPr>
            </w:pPr>
          </w:p>
        </w:tc>
        <w:tc>
          <w:tcPr>
            <w:tcW w:w="3180" w:type="dxa"/>
            <w:vAlign w:val="bottom"/>
          </w:tcPr>
          <w:p>
            <w:pPr>
              <w:jc w:val="right"/>
              <w:ind w:right="239"/>
              <w:spacing w:after="0"/>
              <w:rPr>
                <w:sz w:val="20"/>
                <w:szCs w:val="20"/>
                <w:color w:val="auto"/>
              </w:rPr>
            </w:pPr>
            <w:r>
              <w:rPr>
                <w:rFonts w:ascii="Arial" w:cs="Arial" w:eastAsia="Arial" w:hAnsi="Arial"/>
                <w:sz w:val="16"/>
                <w:szCs w:val="16"/>
                <w:b w:val="1"/>
                <w:bCs w:val="1"/>
                <w:color w:val="auto"/>
              </w:rPr>
              <w:t>Prior Outlook</w:t>
            </w:r>
          </w:p>
        </w:tc>
        <w:tc>
          <w:tcPr>
            <w:tcW w:w="2560" w:type="dxa"/>
            <w:vAlign w:val="bottom"/>
          </w:tcPr>
          <w:p>
            <w:pPr>
              <w:jc w:val="right"/>
              <w:spacing w:after="0"/>
              <w:rPr>
                <w:sz w:val="20"/>
                <w:szCs w:val="20"/>
                <w:color w:val="auto"/>
              </w:rPr>
            </w:pPr>
            <w:r>
              <w:rPr>
                <w:rFonts w:ascii="Arial" w:cs="Arial" w:eastAsia="Arial" w:hAnsi="Arial"/>
                <w:sz w:val="16"/>
                <w:szCs w:val="16"/>
                <w:b w:val="1"/>
                <w:bCs w:val="1"/>
                <w:color w:val="auto"/>
              </w:rPr>
              <w:t>Current Outlook</w:t>
            </w:r>
          </w:p>
        </w:tc>
      </w:tr>
      <w:tr>
        <w:trPr>
          <w:trHeight w:val="33"/>
        </w:trPr>
        <w:tc>
          <w:tcPr>
            <w:tcW w:w="56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3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31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Approximately 2 percent decrease</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Approximately 2 percent decrease</w:t>
            </w:r>
          </w:p>
        </w:tc>
      </w:tr>
      <w:tr>
        <w:trPr>
          <w:trHeight w:val="224"/>
        </w:trPr>
        <w:tc>
          <w:tcPr>
            <w:tcW w:w="5680" w:type="dxa"/>
            <w:vAlign w:val="bottom"/>
          </w:tcPr>
          <w:p>
            <w:pPr>
              <w:ind w:left="40"/>
              <w:spacing w:after="0"/>
              <w:rPr>
                <w:sz w:val="20"/>
                <w:szCs w:val="20"/>
                <w:color w:val="auto"/>
              </w:rPr>
            </w:pPr>
            <w:r>
              <w:rPr>
                <w:rFonts w:ascii="Arial" w:cs="Arial" w:eastAsia="Arial" w:hAnsi="Arial"/>
                <w:sz w:val="16"/>
                <w:szCs w:val="16"/>
                <w:color w:val="auto"/>
              </w:rPr>
              <w:t>Credit card revenues, net</w:t>
            </w:r>
          </w:p>
        </w:tc>
        <w:tc>
          <w:tcPr>
            <w:tcW w:w="3180" w:type="dxa"/>
            <w:vAlign w:val="bottom"/>
          </w:tcPr>
          <w:p>
            <w:pPr>
              <w:jc w:val="right"/>
              <w:ind w:right="239"/>
              <w:spacing w:after="0"/>
              <w:rPr>
                <w:sz w:val="20"/>
                <w:szCs w:val="20"/>
                <w:color w:val="auto"/>
              </w:rPr>
            </w:pPr>
            <w:r>
              <w:rPr>
                <w:rFonts w:ascii="Arial" w:cs="Arial" w:eastAsia="Arial" w:hAnsi="Arial"/>
                <w:sz w:val="16"/>
                <w:szCs w:val="16"/>
                <w:color w:val="auto"/>
              </w:rPr>
              <w:t>Low to mid single-digit growth</w:t>
            </w:r>
          </w:p>
        </w:tc>
        <w:tc>
          <w:tcPr>
            <w:tcW w:w="2560" w:type="dxa"/>
            <w:vAlign w:val="bottom"/>
          </w:tcPr>
          <w:p>
            <w:pPr>
              <w:jc w:val="right"/>
              <w:spacing w:after="0"/>
              <w:rPr>
                <w:sz w:val="20"/>
                <w:szCs w:val="20"/>
                <w:color w:val="auto"/>
              </w:rPr>
            </w:pPr>
            <w:r>
              <w:rPr>
                <w:rFonts w:ascii="Arial" w:cs="Arial" w:eastAsia="Arial" w:hAnsi="Arial"/>
                <w:sz w:val="16"/>
                <w:szCs w:val="16"/>
                <w:color w:val="auto"/>
              </w:rPr>
              <w:t>Mid single-digit growth</w:t>
            </w:r>
          </w:p>
        </w:tc>
      </w:tr>
      <w:tr>
        <w:trPr>
          <w:trHeight w:val="33"/>
        </w:trPr>
        <w:tc>
          <w:tcPr>
            <w:tcW w:w="56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37"/>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w:t>
            </w:r>
          </w:p>
        </w:tc>
        <w:tc>
          <w:tcPr>
            <w:tcW w:w="31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$805 to $855 million</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$815 to $855 million</w:t>
            </w:r>
          </w:p>
        </w:tc>
      </w:tr>
      <w:tr>
        <w:trPr>
          <w:trHeight w:val="224"/>
        </w:trPr>
        <w:tc>
          <w:tcPr>
            <w:tcW w:w="5680" w:type="dxa"/>
            <w:vAlign w:val="bottom"/>
          </w:tcPr>
          <w:p>
            <w:pPr>
              <w:ind w:left="40"/>
              <w:spacing w:after="0"/>
              <w:rPr>
                <w:sz w:val="20"/>
                <w:szCs w:val="20"/>
                <w:color w:val="auto"/>
              </w:rPr>
            </w:pPr>
            <w:r>
              <w:rPr>
                <w:rFonts w:ascii="Arial" w:cs="Arial" w:eastAsia="Arial" w:hAnsi="Arial"/>
                <w:sz w:val="16"/>
                <w:szCs w:val="16"/>
                <w:color w:val="auto"/>
              </w:rPr>
              <w:t>EBIT margin</w:t>
            </w:r>
          </w:p>
        </w:tc>
        <w:tc>
          <w:tcPr>
            <w:tcW w:w="3180" w:type="dxa"/>
            <w:vAlign w:val="bottom"/>
          </w:tcPr>
          <w:p>
            <w:pPr>
              <w:jc w:val="right"/>
              <w:ind w:right="239"/>
              <w:spacing w:after="0"/>
              <w:rPr>
                <w:sz w:val="20"/>
                <w:szCs w:val="20"/>
                <w:color w:val="auto"/>
              </w:rPr>
            </w:pPr>
            <w:r>
              <w:rPr>
                <w:rFonts w:ascii="Arial" w:cs="Arial" w:eastAsia="Arial" w:hAnsi="Arial"/>
                <w:sz w:val="16"/>
                <w:szCs w:val="16"/>
                <w:color w:val="auto"/>
              </w:rPr>
              <w:t>5.3 to 5.6 percent</w:t>
            </w:r>
          </w:p>
        </w:tc>
        <w:tc>
          <w:tcPr>
            <w:tcW w:w="2560" w:type="dxa"/>
            <w:vAlign w:val="bottom"/>
          </w:tcPr>
          <w:p>
            <w:pPr>
              <w:jc w:val="right"/>
              <w:spacing w:after="0"/>
              <w:rPr>
                <w:sz w:val="20"/>
                <w:szCs w:val="20"/>
                <w:color w:val="auto"/>
              </w:rPr>
            </w:pPr>
            <w:r>
              <w:rPr>
                <w:rFonts w:ascii="Arial" w:cs="Arial" w:eastAsia="Arial" w:hAnsi="Arial"/>
                <w:sz w:val="16"/>
                <w:szCs w:val="16"/>
                <w:color w:val="auto"/>
              </w:rPr>
              <w:t>5.4 to 5.6 percent</w:t>
            </w:r>
          </w:p>
        </w:tc>
      </w:tr>
      <w:tr>
        <w:trPr>
          <w:trHeight w:val="33"/>
        </w:trPr>
        <w:tc>
          <w:tcPr>
            <w:tcW w:w="56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20"/>
        </w:trPr>
        <w:tc>
          <w:tcPr>
            <w:tcW w:w="5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Earnings per diluted share (excluding the impact of any potential future share</w:t>
            </w:r>
          </w:p>
        </w:tc>
        <w:tc>
          <w:tcPr>
            <w:tcW w:w="318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r>
      <w:tr>
        <w:trPr>
          <w:trHeight w:val="219"/>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repurchases)</w:t>
            </w:r>
          </w:p>
        </w:tc>
        <w:tc>
          <w:tcPr>
            <w:tcW w:w="31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$3.25 to $3.50</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 to $3.50</w:t>
            </w:r>
          </w:p>
        </w:tc>
      </w:tr>
      <w:tr>
        <w:trPr>
          <w:trHeight w:val="20"/>
        </w:trPr>
        <w:tc>
          <w:tcPr>
            <w:tcW w:w="5680" w:type="dxa"/>
            <w:vAlign w:val="bottom"/>
            <w:shd w:val="clear" w:color="auto" w:fill="000000"/>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 of 28</w:t>
      </w:r>
    </w:p>
    <w:p>
      <w:pPr>
        <w:sectPr>
          <w:pgSz w:w="11900" w:h="16838" w:orient="portrait"/>
          <w:cols w:equalWidth="0" w:num="1">
            <w:col w:w="11420"/>
          </w:cols>
          <w:pgMar w:left="240" w:top="279"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ROIC (Non-GAAP financial measure)</w:t>
      </w:r>
    </w:p>
    <w:p>
      <w:pPr>
        <w:spacing w:after="0" w:line="2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believe that Adjusted ROIC is a useful financial measure for investors and credit agencies in evaluating the efficiency and effectiveness of the capital we have invested in our business to generate returns over time. In addition, we have incorporated it in our executive incentive measures and we believe it is an important indicator of shareholders’ return over the long term.</w:t>
      </w:r>
    </w:p>
    <w:p>
      <w:pPr>
        <w:spacing w:after="0" w:line="13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2019, income statement activity for adjusted net operating profit and balance sheet amounts for average invested capital are comprised of three quarters of activity under the Lease Standard for 2019, and the fourth quarter of 2018 under the previous lease standard. Under the previous lease standard, we estimated the value of our operating leases as if they met the criteria for capital leases or we had purchased the properties. This provided additional supplemental information that estimated the investment in our operating leases. Estimated depreciation on capitalized operating leases and average estimated asset base of capitalized operating leases are not calculated in accordance with, nor an alternative for, GAAP and should not be considered in isolation or as a substitution for our results as reported under GAAP.</w:t>
      </w:r>
    </w:p>
    <w:p>
      <w:pPr>
        <w:spacing w:after="0" w:line="13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Adjusted ROIC is not a measure of financial performance under GAAP and should be considered in addition to, and not as a substitute for, return on assets, net earnings, total assets or other GAAP financial measures. Our method of determining non-GAAP financial measures may differ from other companies’ methods and therefore may not be comparable to those used by other companies. The financial measure calculated under GAAP which is most directly comparable to Adjusted ROIC is return on assets.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return on assets to Adjusted ROIC:</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80" w:type="dxa"/>
            <w:vAlign w:val="bottom"/>
          </w:tcPr>
          <w:p>
            <w:pPr>
              <w:spacing w:after="0"/>
              <w:rPr>
                <w:sz w:val="18"/>
                <w:szCs w:val="18"/>
                <w:color w:val="auto"/>
              </w:rPr>
            </w:pPr>
          </w:p>
        </w:tc>
        <w:tc>
          <w:tcPr>
            <w:tcW w:w="4140" w:type="dxa"/>
            <w:vAlign w:val="bottom"/>
            <w:gridSpan w:val="2"/>
          </w:tcPr>
          <w:p>
            <w:pPr>
              <w:jc w:val="right"/>
              <w:ind w:right="1219"/>
              <w:spacing w:after="0"/>
              <w:rPr>
                <w:sz w:val="20"/>
                <w:szCs w:val="20"/>
                <w:color w:val="auto"/>
              </w:rPr>
            </w:pPr>
            <w:r>
              <w:rPr>
                <w:rFonts w:ascii="Arial" w:cs="Arial" w:eastAsia="Arial" w:hAnsi="Arial"/>
                <w:sz w:val="16"/>
                <w:szCs w:val="16"/>
                <w:b w:val="1"/>
                <w:bCs w:val="1"/>
                <w:color w:val="auto"/>
              </w:rPr>
              <w:t>Four Quarters Ended</w:t>
            </w:r>
          </w:p>
        </w:tc>
      </w:tr>
      <w:tr>
        <w:trPr>
          <w:trHeight w:val="33"/>
        </w:trPr>
        <w:tc>
          <w:tcPr>
            <w:tcW w:w="728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7"/>
        </w:trPr>
        <w:tc>
          <w:tcPr>
            <w:tcW w:w="7280" w:type="dxa"/>
            <w:vAlign w:val="bottom"/>
          </w:tcPr>
          <w:p>
            <w:pPr>
              <w:spacing w:after="0"/>
              <w:rPr>
                <w:sz w:val="18"/>
                <w:szCs w:val="18"/>
                <w:color w:val="auto"/>
              </w:rPr>
            </w:pPr>
          </w:p>
        </w:tc>
        <w:tc>
          <w:tcPr>
            <w:tcW w:w="2200" w:type="dxa"/>
            <w:vAlign w:val="bottom"/>
          </w:tcPr>
          <w:p>
            <w:pPr>
              <w:jc w:val="right"/>
              <w:ind w:right="459"/>
              <w:spacing w:after="0"/>
              <w:rPr>
                <w:sz w:val="20"/>
                <w:szCs w:val="20"/>
                <w:color w:val="auto"/>
              </w:rPr>
            </w:pPr>
            <w:r>
              <w:rPr>
                <w:rFonts w:ascii="Arial" w:cs="Arial" w:eastAsia="Arial" w:hAnsi="Arial"/>
                <w:sz w:val="16"/>
                <w:szCs w:val="16"/>
                <w:b w:val="1"/>
                <w:bCs w:val="1"/>
                <w:color w:val="auto"/>
              </w:rPr>
              <w:t>November 2, 2019</w:t>
            </w:r>
          </w:p>
        </w:tc>
        <w:tc>
          <w:tcPr>
            <w:tcW w:w="1940" w:type="dxa"/>
            <w:vAlign w:val="bottom"/>
          </w:tcPr>
          <w:p>
            <w:pPr>
              <w:jc w:val="right"/>
              <w:ind w:right="219"/>
              <w:spacing w:after="0"/>
              <w:rPr>
                <w:sz w:val="20"/>
                <w:szCs w:val="20"/>
                <w:color w:val="auto"/>
              </w:rPr>
            </w:pPr>
            <w:r>
              <w:rPr>
                <w:rFonts w:ascii="Arial" w:cs="Arial" w:eastAsia="Arial" w:hAnsi="Arial"/>
                <w:sz w:val="16"/>
                <w:szCs w:val="16"/>
                <w:b w:val="1"/>
                <w:bCs w:val="1"/>
                <w:color w:val="auto"/>
              </w:rPr>
              <w:t>November 3, 2018</w:t>
            </w:r>
          </w:p>
        </w:tc>
      </w:tr>
      <w:tr>
        <w:trPr>
          <w:trHeight w:val="33"/>
        </w:trPr>
        <w:tc>
          <w:tcPr>
            <w:tcW w:w="72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w:t>
            </w:r>
          </w:p>
        </w:tc>
        <w:tc>
          <w:tcPr>
            <w:tcW w:w="220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$551</w:t>
            </w:r>
          </w:p>
        </w:tc>
        <w:tc>
          <w:tcPr>
            <w:tcW w:w="19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$467</w:t>
            </w:r>
          </w:p>
        </w:tc>
      </w:tr>
      <w:tr>
        <w:trPr>
          <w:trHeight w:val="237"/>
        </w:trPr>
        <w:tc>
          <w:tcPr>
            <w:tcW w:w="7280" w:type="dxa"/>
            <w:vAlign w:val="bottom"/>
          </w:tcPr>
          <w:p>
            <w:pPr>
              <w:ind w:left="40"/>
              <w:spacing w:after="0"/>
              <w:rPr>
                <w:sz w:val="20"/>
                <w:szCs w:val="20"/>
                <w:color w:val="auto"/>
              </w:rPr>
            </w:pPr>
            <w:r>
              <w:rPr>
                <w:rFonts w:ascii="Arial" w:cs="Arial" w:eastAsia="Arial" w:hAnsi="Arial"/>
                <w:sz w:val="16"/>
                <w:szCs w:val="16"/>
                <w:color w:val="auto"/>
              </w:rPr>
              <w:t>Add: income tax expense</w:t>
            </w:r>
          </w:p>
        </w:tc>
        <w:tc>
          <w:tcPr>
            <w:tcW w:w="2200" w:type="dxa"/>
            <w:vAlign w:val="bottom"/>
          </w:tcPr>
          <w:p>
            <w:pPr>
              <w:jc w:val="right"/>
              <w:ind w:right="459"/>
              <w:spacing w:after="0"/>
              <w:rPr>
                <w:sz w:val="20"/>
                <w:szCs w:val="20"/>
                <w:color w:val="auto"/>
              </w:rPr>
            </w:pPr>
            <w:r>
              <w:rPr>
                <w:rFonts w:ascii="Arial" w:cs="Arial" w:eastAsia="Arial" w:hAnsi="Arial"/>
                <w:sz w:val="16"/>
                <w:szCs w:val="16"/>
                <w:b w:val="1"/>
                <w:bCs w:val="1"/>
                <w:color w:val="auto"/>
              </w:rPr>
              <w:t>178</w:t>
            </w:r>
          </w:p>
        </w:tc>
        <w:tc>
          <w:tcPr>
            <w:tcW w:w="1940" w:type="dxa"/>
            <w:vAlign w:val="bottom"/>
          </w:tcPr>
          <w:p>
            <w:pPr>
              <w:jc w:val="right"/>
              <w:ind w:right="219"/>
              <w:spacing w:after="0"/>
              <w:rPr>
                <w:sz w:val="20"/>
                <w:szCs w:val="20"/>
                <w:color w:val="auto"/>
              </w:rPr>
            </w:pPr>
            <w:r>
              <w:rPr>
                <w:rFonts w:ascii="Arial" w:cs="Arial" w:eastAsia="Arial" w:hAnsi="Arial"/>
                <w:sz w:val="16"/>
                <w:szCs w:val="16"/>
                <w:color w:val="auto"/>
              </w:rPr>
              <w:t>276</w:t>
            </w:r>
          </w:p>
        </w:tc>
      </w:tr>
      <w:tr>
        <w:trPr>
          <w:trHeight w:val="33"/>
        </w:trPr>
        <w:tc>
          <w:tcPr>
            <w:tcW w:w="7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5"/>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interest expense</w:t>
            </w:r>
          </w:p>
        </w:tc>
        <w:tc>
          <w:tcPr>
            <w:tcW w:w="220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101</w:t>
            </w:r>
          </w:p>
        </w:tc>
        <w:tc>
          <w:tcPr>
            <w:tcW w:w="19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124</w:t>
            </w:r>
          </w:p>
        </w:tc>
      </w:tr>
      <w:tr>
        <w:trPr>
          <w:trHeight w:val="231"/>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Earnings before interest and income tax expense</w:t>
            </w:r>
          </w:p>
        </w:tc>
        <w:tc>
          <w:tcPr>
            <w:tcW w:w="220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830</w:t>
            </w:r>
          </w:p>
        </w:tc>
        <w:tc>
          <w:tcPr>
            <w:tcW w:w="19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867</w:t>
            </w:r>
          </w:p>
        </w:tc>
      </w:tr>
      <w:tr>
        <w:trPr>
          <w:trHeight w:val="33"/>
        </w:trPr>
        <w:tc>
          <w:tcPr>
            <w:tcW w:w="7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97"/>
        </w:trPr>
        <w:tc>
          <w:tcPr>
            <w:tcW w:w="728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r>
      <w:tr>
        <w:trPr>
          <w:trHeight w:val="270"/>
        </w:trPr>
        <w:tc>
          <w:tcPr>
            <w:tcW w:w="7280" w:type="dxa"/>
            <w:vAlign w:val="bottom"/>
          </w:tcPr>
          <w:p>
            <w:pPr>
              <w:ind w:left="40"/>
              <w:spacing w:after="0"/>
              <w:rPr>
                <w:sz w:val="20"/>
                <w:szCs w:val="20"/>
                <w:color w:val="auto"/>
              </w:rPr>
            </w:pPr>
            <w:r>
              <w:rPr>
                <w:rFonts w:ascii="Arial" w:cs="Arial" w:eastAsia="Arial" w:hAnsi="Arial"/>
                <w:sz w:val="16"/>
                <w:szCs w:val="16"/>
                <w:color w:val="auto"/>
              </w:rPr>
              <w:t>Add: operating lease interest</w:t>
            </w:r>
            <w:r>
              <w:rPr>
                <w:rFonts w:ascii="Arial" w:cs="Arial" w:eastAsia="Arial" w:hAnsi="Arial"/>
                <w:sz w:val="21"/>
                <w:szCs w:val="21"/>
                <w:color w:val="auto"/>
                <w:vertAlign w:val="superscript"/>
              </w:rPr>
              <w:t>1</w:t>
            </w:r>
          </w:p>
        </w:tc>
        <w:tc>
          <w:tcPr>
            <w:tcW w:w="2200" w:type="dxa"/>
            <w:vAlign w:val="bottom"/>
          </w:tcPr>
          <w:p>
            <w:pPr>
              <w:jc w:val="right"/>
              <w:ind w:right="459"/>
              <w:spacing w:after="0"/>
              <w:rPr>
                <w:sz w:val="20"/>
                <w:szCs w:val="20"/>
                <w:color w:val="auto"/>
              </w:rPr>
            </w:pPr>
            <w:r>
              <w:rPr>
                <w:rFonts w:ascii="Arial" w:cs="Arial" w:eastAsia="Arial" w:hAnsi="Arial"/>
                <w:sz w:val="16"/>
                <w:szCs w:val="16"/>
                <w:b w:val="1"/>
                <w:bCs w:val="1"/>
                <w:color w:val="auto"/>
              </w:rPr>
              <w:t>76</w:t>
            </w:r>
          </w:p>
        </w:tc>
        <w:tc>
          <w:tcPr>
            <w:tcW w:w="1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rent expense, net</w:t>
            </w:r>
          </w:p>
        </w:tc>
        <w:tc>
          <w:tcPr>
            <w:tcW w:w="220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66</w:t>
            </w:r>
          </w:p>
        </w:tc>
        <w:tc>
          <w:tcPr>
            <w:tcW w:w="19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251</w:t>
            </w:r>
          </w:p>
        </w:tc>
      </w:tr>
      <w:tr>
        <w:trPr>
          <w:trHeight w:val="270"/>
        </w:trPr>
        <w:tc>
          <w:tcPr>
            <w:tcW w:w="7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Less: estimated depreciation on capitalized operating leases</w:t>
            </w:r>
            <w:r>
              <w:rPr>
                <w:rFonts w:ascii="Arial" w:cs="Arial" w:eastAsia="Arial" w:hAnsi="Arial"/>
                <w:sz w:val="21"/>
                <w:szCs w:val="21"/>
                <w:color w:val="auto"/>
                <w:vertAlign w:val="superscript"/>
              </w:rPr>
              <w:t>2</w:t>
            </w:r>
          </w:p>
        </w:tc>
        <w:tc>
          <w:tcPr>
            <w:tcW w:w="2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(35)</w:t>
            </w:r>
          </w:p>
        </w:tc>
        <w:tc>
          <w:tcPr>
            <w:tcW w:w="1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(134)</w:t>
            </w:r>
          </w:p>
        </w:tc>
      </w:tr>
      <w:tr>
        <w:trPr>
          <w:trHeight w:val="244"/>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operating profit</w:t>
            </w:r>
          </w:p>
        </w:tc>
        <w:tc>
          <w:tcPr>
            <w:tcW w:w="220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937</w:t>
            </w:r>
          </w:p>
        </w:tc>
        <w:tc>
          <w:tcPr>
            <w:tcW w:w="19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984</w:t>
            </w:r>
          </w:p>
        </w:tc>
      </w:tr>
      <w:tr>
        <w:trPr>
          <w:trHeight w:val="297"/>
        </w:trPr>
        <w:tc>
          <w:tcPr>
            <w:tcW w:w="7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75"/>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estimated income tax expense</w:t>
            </w:r>
          </w:p>
        </w:tc>
        <w:tc>
          <w:tcPr>
            <w:tcW w:w="22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(228)</w:t>
            </w:r>
          </w:p>
        </w:tc>
        <w:tc>
          <w:tcPr>
            <w:tcW w:w="19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(365)</w:t>
            </w:r>
          </w:p>
        </w:tc>
      </w:tr>
      <w:tr>
        <w:trPr>
          <w:trHeight w:val="231"/>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Adjusted net operating profit after tax</w:t>
            </w:r>
          </w:p>
        </w:tc>
        <w:tc>
          <w:tcPr>
            <w:tcW w:w="220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$709</w:t>
            </w:r>
          </w:p>
        </w:tc>
        <w:tc>
          <w:tcPr>
            <w:tcW w:w="19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$619</w:t>
            </w:r>
          </w:p>
        </w:tc>
      </w:tr>
      <w:tr>
        <w:trPr>
          <w:trHeight w:val="33"/>
        </w:trPr>
        <w:tc>
          <w:tcPr>
            <w:tcW w:w="72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91"/>
        </w:trPr>
        <w:tc>
          <w:tcPr>
            <w:tcW w:w="728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r>
      <w:tr>
        <w:trPr>
          <w:trHeight w:val="237"/>
        </w:trPr>
        <w:tc>
          <w:tcPr>
            <w:tcW w:w="7280" w:type="dxa"/>
            <w:vAlign w:val="bottom"/>
          </w:tcPr>
          <w:p>
            <w:pPr>
              <w:ind w:left="40"/>
              <w:spacing w:after="0"/>
              <w:rPr>
                <w:sz w:val="20"/>
                <w:szCs w:val="20"/>
                <w:color w:val="auto"/>
              </w:rPr>
            </w:pPr>
            <w:r>
              <w:rPr>
                <w:rFonts w:ascii="Arial" w:cs="Arial" w:eastAsia="Arial" w:hAnsi="Arial"/>
                <w:sz w:val="16"/>
                <w:szCs w:val="16"/>
                <w:b w:val="1"/>
                <w:bCs w:val="1"/>
                <w:color w:val="auto"/>
              </w:rPr>
              <w:t>Average total assets</w:t>
            </w:r>
          </w:p>
        </w:tc>
        <w:tc>
          <w:tcPr>
            <w:tcW w:w="2200" w:type="dxa"/>
            <w:vAlign w:val="bottom"/>
          </w:tcPr>
          <w:p>
            <w:pPr>
              <w:jc w:val="right"/>
              <w:ind w:right="459"/>
              <w:spacing w:after="0"/>
              <w:rPr>
                <w:sz w:val="20"/>
                <w:szCs w:val="20"/>
                <w:color w:val="auto"/>
              </w:rPr>
            </w:pPr>
            <w:r>
              <w:rPr>
                <w:rFonts w:ascii="Arial" w:cs="Arial" w:eastAsia="Arial" w:hAnsi="Arial"/>
                <w:sz w:val="16"/>
                <w:szCs w:val="16"/>
                <w:b w:val="1"/>
                <w:bCs w:val="1"/>
                <w:color w:val="auto"/>
              </w:rPr>
              <w:t>$9,403</w:t>
            </w:r>
          </w:p>
        </w:tc>
        <w:tc>
          <w:tcPr>
            <w:tcW w:w="1940" w:type="dxa"/>
            <w:vAlign w:val="bottom"/>
          </w:tcPr>
          <w:p>
            <w:pPr>
              <w:jc w:val="right"/>
              <w:ind w:right="219"/>
              <w:spacing w:after="0"/>
              <w:rPr>
                <w:sz w:val="20"/>
                <w:szCs w:val="20"/>
                <w:color w:val="auto"/>
              </w:rPr>
            </w:pPr>
            <w:r>
              <w:rPr>
                <w:rFonts w:ascii="Arial" w:cs="Arial" w:eastAsia="Arial" w:hAnsi="Arial"/>
                <w:sz w:val="16"/>
                <w:szCs w:val="16"/>
                <w:color w:val="auto"/>
              </w:rPr>
              <w:t>$8,269</w:t>
            </w:r>
          </w:p>
        </w:tc>
      </w:tr>
      <w:tr>
        <w:trPr>
          <w:trHeight w:val="33"/>
        </w:trPr>
        <w:tc>
          <w:tcPr>
            <w:tcW w:w="7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average non-interest-bearing current liabilities</w:t>
            </w:r>
          </w:p>
        </w:tc>
        <w:tc>
          <w:tcPr>
            <w:tcW w:w="22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(3,563)</w:t>
            </w:r>
          </w:p>
        </w:tc>
        <w:tc>
          <w:tcPr>
            <w:tcW w:w="19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(3,429)</w:t>
            </w:r>
          </w:p>
        </w:tc>
      </w:tr>
      <w:tr>
        <w:trPr>
          <w:trHeight w:val="270"/>
        </w:trPr>
        <w:tc>
          <w:tcPr>
            <w:tcW w:w="7280" w:type="dxa"/>
            <w:vAlign w:val="bottom"/>
          </w:tcPr>
          <w:p>
            <w:pPr>
              <w:ind w:left="40"/>
              <w:spacing w:after="0"/>
              <w:rPr>
                <w:sz w:val="20"/>
                <w:szCs w:val="20"/>
                <w:color w:val="auto"/>
              </w:rPr>
            </w:pPr>
            <w:r>
              <w:rPr>
                <w:rFonts w:ascii="Arial" w:cs="Arial" w:eastAsia="Arial" w:hAnsi="Arial"/>
                <w:sz w:val="16"/>
                <w:szCs w:val="16"/>
                <w:color w:val="auto"/>
              </w:rPr>
              <w:t>Less: average deferred property incentives in excess of ROU assets</w:t>
            </w:r>
            <w:r>
              <w:rPr>
                <w:rFonts w:ascii="Arial" w:cs="Arial" w:eastAsia="Arial" w:hAnsi="Arial"/>
                <w:sz w:val="21"/>
                <w:szCs w:val="21"/>
                <w:color w:val="auto"/>
                <w:vertAlign w:val="superscript"/>
              </w:rPr>
              <w:t>3</w:t>
            </w:r>
          </w:p>
        </w:tc>
        <w:tc>
          <w:tcPr>
            <w:tcW w:w="2200" w:type="dxa"/>
            <w:vAlign w:val="bottom"/>
          </w:tcPr>
          <w:p>
            <w:pPr>
              <w:jc w:val="right"/>
              <w:ind w:right="419"/>
              <w:spacing w:after="0"/>
              <w:rPr>
                <w:sz w:val="20"/>
                <w:szCs w:val="20"/>
                <w:color w:val="auto"/>
              </w:rPr>
            </w:pPr>
            <w:r>
              <w:rPr>
                <w:rFonts w:ascii="Arial" w:cs="Arial" w:eastAsia="Arial" w:hAnsi="Arial"/>
                <w:sz w:val="16"/>
                <w:szCs w:val="16"/>
                <w:b w:val="1"/>
                <w:bCs w:val="1"/>
                <w:color w:val="auto"/>
              </w:rPr>
              <w:t>(232)</w:t>
            </w:r>
          </w:p>
        </w:tc>
        <w:tc>
          <w:tcPr>
            <w:tcW w:w="1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70"/>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average estimated asset base of capitalized operating leases</w:t>
            </w:r>
            <w:r>
              <w:rPr>
                <w:rFonts w:ascii="Arial" w:cs="Arial" w:eastAsia="Arial" w:hAnsi="Arial"/>
                <w:sz w:val="21"/>
                <w:szCs w:val="21"/>
                <w:color w:val="auto"/>
                <w:vertAlign w:val="superscript"/>
              </w:rPr>
              <w:t>2</w:t>
            </w:r>
          </w:p>
        </w:tc>
        <w:tc>
          <w:tcPr>
            <w:tcW w:w="2200" w:type="dxa"/>
            <w:vAlign w:val="bottom"/>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502</w:t>
            </w:r>
          </w:p>
        </w:tc>
        <w:tc>
          <w:tcPr>
            <w:tcW w:w="1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1,994</w:t>
            </w:r>
          </w:p>
        </w:tc>
      </w:tr>
      <w:tr>
        <w:trPr>
          <w:trHeight w:val="237"/>
        </w:trPr>
        <w:tc>
          <w:tcPr>
            <w:tcW w:w="7280" w:type="dxa"/>
            <w:vAlign w:val="bottom"/>
          </w:tcPr>
          <w:p>
            <w:pPr>
              <w:ind w:left="40"/>
              <w:spacing w:after="0"/>
              <w:rPr>
                <w:sz w:val="20"/>
                <w:szCs w:val="20"/>
                <w:color w:val="auto"/>
              </w:rPr>
            </w:pPr>
            <w:r>
              <w:rPr>
                <w:rFonts w:ascii="Arial" w:cs="Arial" w:eastAsia="Arial" w:hAnsi="Arial"/>
                <w:sz w:val="16"/>
                <w:szCs w:val="16"/>
                <w:color w:val="auto"/>
              </w:rPr>
              <w:t>Less: average deferred property incentives and deferred rent liability</w:t>
            </w:r>
          </w:p>
        </w:tc>
        <w:tc>
          <w:tcPr>
            <w:tcW w:w="2200" w:type="dxa"/>
            <w:vAlign w:val="bottom"/>
          </w:tcPr>
          <w:p>
            <w:pPr>
              <w:jc w:val="right"/>
              <w:ind w:right="419"/>
              <w:spacing w:after="0"/>
              <w:rPr>
                <w:sz w:val="20"/>
                <w:szCs w:val="20"/>
                <w:color w:val="auto"/>
              </w:rPr>
            </w:pPr>
            <w:r>
              <w:rPr>
                <w:rFonts w:ascii="Arial" w:cs="Arial" w:eastAsia="Arial" w:hAnsi="Arial"/>
                <w:sz w:val="16"/>
                <w:szCs w:val="16"/>
                <w:b w:val="1"/>
                <w:bCs w:val="1"/>
                <w:color w:val="auto"/>
              </w:rPr>
              <w:t>(150)</w:t>
            </w:r>
          </w:p>
        </w:tc>
        <w:tc>
          <w:tcPr>
            <w:tcW w:w="1940" w:type="dxa"/>
            <w:vAlign w:val="bottom"/>
          </w:tcPr>
          <w:p>
            <w:pPr>
              <w:jc w:val="right"/>
              <w:ind w:right="159"/>
              <w:spacing w:after="0"/>
              <w:rPr>
                <w:sz w:val="20"/>
                <w:szCs w:val="20"/>
                <w:color w:val="auto"/>
              </w:rPr>
            </w:pPr>
            <w:r>
              <w:rPr>
                <w:rFonts w:ascii="Arial" w:cs="Arial" w:eastAsia="Arial" w:hAnsi="Arial"/>
                <w:sz w:val="16"/>
                <w:szCs w:val="16"/>
                <w:color w:val="auto"/>
              </w:rPr>
              <w:t>(625)</w:t>
            </w:r>
          </w:p>
        </w:tc>
      </w:tr>
      <w:tr>
        <w:trPr>
          <w:trHeight w:val="33"/>
        </w:trPr>
        <w:tc>
          <w:tcPr>
            <w:tcW w:w="72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Average invested capital</w:t>
            </w:r>
          </w:p>
        </w:tc>
        <w:tc>
          <w:tcPr>
            <w:tcW w:w="220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$5,960</w:t>
            </w:r>
          </w:p>
        </w:tc>
        <w:tc>
          <w:tcPr>
            <w:tcW w:w="19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$6,209</w:t>
            </w:r>
          </w:p>
        </w:tc>
      </w:tr>
      <w:tr>
        <w:trPr>
          <w:trHeight w:val="291"/>
        </w:trPr>
        <w:tc>
          <w:tcPr>
            <w:tcW w:w="7280" w:type="dxa"/>
            <w:vAlign w:val="bottom"/>
            <w:tcBorders>
              <w:top w:val="single" w:sz="8" w:color="auto"/>
            </w:tcBorders>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r>
      <w:tr>
        <w:trPr>
          <w:trHeight w:val="270"/>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Return on assets</w:t>
            </w:r>
            <w:r>
              <w:rPr>
                <w:rFonts w:ascii="Arial" w:cs="Arial" w:eastAsia="Arial" w:hAnsi="Arial"/>
                <w:sz w:val="21"/>
                <w:szCs w:val="21"/>
                <w:color w:val="auto"/>
                <w:vertAlign w:val="superscript"/>
              </w:rPr>
              <w:t>4</w:t>
            </w:r>
          </w:p>
        </w:tc>
        <w:tc>
          <w:tcPr>
            <w:tcW w:w="220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5.9%</w:t>
            </w:r>
          </w:p>
        </w:tc>
        <w:tc>
          <w:tcPr>
            <w:tcW w:w="1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5.6%</w:t>
            </w:r>
          </w:p>
        </w:tc>
      </w:tr>
      <w:tr>
        <w:trPr>
          <w:trHeight w:val="277"/>
        </w:trPr>
        <w:tc>
          <w:tcPr>
            <w:tcW w:w="7280" w:type="dxa"/>
            <w:vAlign w:val="bottom"/>
          </w:tcPr>
          <w:p>
            <w:pPr>
              <w:ind w:left="40"/>
              <w:spacing w:after="0"/>
              <w:rPr>
                <w:sz w:val="20"/>
                <w:szCs w:val="20"/>
                <w:color w:val="auto"/>
              </w:rPr>
            </w:pPr>
            <w:r>
              <w:rPr>
                <w:rFonts w:ascii="Arial" w:cs="Arial" w:eastAsia="Arial" w:hAnsi="Arial"/>
                <w:sz w:val="16"/>
                <w:szCs w:val="16"/>
                <w:b w:val="1"/>
                <w:bCs w:val="1"/>
                <w:color w:val="auto"/>
              </w:rPr>
              <w:t>Adjusted ROIC</w:t>
            </w:r>
            <w:r>
              <w:rPr>
                <w:rFonts w:ascii="Arial" w:cs="Arial" w:eastAsia="Arial" w:hAnsi="Arial"/>
                <w:sz w:val="21"/>
                <w:szCs w:val="21"/>
                <w:color w:val="auto"/>
                <w:vertAlign w:val="superscript"/>
              </w:rPr>
              <w:t>4</w:t>
            </w:r>
          </w:p>
        </w:tc>
        <w:tc>
          <w:tcPr>
            <w:tcW w:w="2200" w:type="dxa"/>
            <w:vAlign w:val="bottom"/>
          </w:tcPr>
          <w:p>
            <w:pPr>
              <w:jc w:val="right"/>
              <w:ind w:right="299"/>
              <w:spacing w:after="0"/>
              <w:rPr>
                <w:sz w:val="20"/>
                <w:szCs w:val="20"/>
                <w:color w:val="auto"/>
              </w:rPr>
            </w:pPr>
            <w:r>
              <w:rPr>
                <w:rFonts w:ascii="Arial" w:cs="Arial" w:eastAsia="Arial" w:hAnsi="Arial"/>
                <w:sz w:val="16"/>
                <w:szCs w:val="16"/>
                <w:b w:val="1"/>
                <w:bCs w:val="1"/>
                <w:color w:val="auto"/>
              </w:rPr>
              <w:t>11.9%</w:t>
            </w: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right="220" w:hanging="72"/>
        <w:spacing w:after="0" w:line="241" w:lineRule="auto"/>
        <w:tabs>
          <w:tab w:leader="none" w:pos="80" w:val="left"/>
        </w:tabs>
        <w:numPr>
          <w:ilvl w:val="0"/>
          <w:numId w:val="15"/>
        </w:numPr>
        <w:rPr>
          <w:rFonts w:ascii="Arial" w:cs="Arial" w:eastAsia="Arial" w:hAnsi="Arial"/>
          <w:sz w:val="9"/>
          <w:szCs w:val="9"/>
          <w:color w:val="auto"/>
        </w:rPr>
      </w:pPr>
      <w:r>
        <w:rPr>
          <w:rFonts w:ascii="Arial" w:cs="Arial" w:eastAsia="Arial" w:hAnsi="Arial"/>
          <w:sz w:val="14"/>
          <w:szCs w:val="14"/>
          <w:color w:val="auto"/>
        </w:rPr>
        <w:t>As a result of the adoption of the Lease Standard, we add back the operating lease interest to reflect how we manage our business. Operating lease interest is a component of operating lease cost recorded in occupancy costs and is calculated in accordance with the Lease Standard.</w:t>
      </w:r>
    </w:p>
    <w:p>
      <w:pPr>
        <w:spacing w:after="0" w:line="1" w:lineRule="exact"/>
        <w:rPr>
          <w:sz w:val="20"/>
          <w:szCs w:val="20"/>
          <w:color w:val="auto"/>
        </w:rPr>
      </w:pPr>
    </w:p>
    <w:p>
      <w:pPr>
        <w:jc w:val="both"/>
        <w:ind w:left="80" w:right="180" w:hanging="72"/>
        <w:spacing w:after="0" w:line="241" w:lineRule="auto"/>
        <w:tabs>
          <w:tab w:leader="none" w:pos="66" w:val="left"/>
        </w:tabs>
        <w:numPr>
          <w:ilvl w:val="0"/>
          <w:numId w:val="16"/>
        </w:numPr>
        <w:rPr>
          <w:rFonts w:ascii="Arial" w:cs="Arial" w:eastAsia="Arial" w:hAnsi="Arial"/>
          <w:sz w:val="9"/>
          <w:szCs w:val="9"/>
          <w:color w:val="auto"/>
        </w:rPr>
      </w:pPr>
      <w:r>
        <w:rPr>
          <w:rFonts w:ascii="Arial" w:cs="Arial" w:eastAsia="Arial" w:hAnsi="Arial"/>
          <w:sz w:val="14"/>
          <w:szCs w:val="14"/>
          <w:color w:val="auto"/>
        </w:rPr>
        <w:t>Capitalized operating leases is our best estimate of the asset base we would record for our leases that are classified as operating under the previous lease standard if they had met the criteria for a finance lease or we had purchased the property. The asset base for each quarter is calculated as the trailing four quarters of rent expense multiplied by eight, a commonly used method to estimate the asset base we would record for our capitalized operating leases.</w:t>
      </w:r>
    </w:p>
    <w:p>
      <w:pPr>
        <w:spacing w:after="0" w:line="1" w:lineRule="exact"/>
        <w:rPr>
          <w:sz w:val="20"/>
          <w:szCs w:val="20"/>
          <w:color w:val="auto"/>
        </w:rPr>
      </w:pPr>
    </w:p>
    <w:p>
      <w:pPr>
        <w:ind w:left="80" w:right="540" w:hanging="72"/>
        <w:spacing w:after="0" w:line="241" w:lineRule="auto"/>
        <w:tabs>
          <w:tab w:leader="none" w:pos="80" w:val="left"/>
        </w:tabs>
        <w:numPr>
          <w:ilvl w:val="0"/>
          <w:numId w:val="17"/>
        </w:numPr>
        <w:rPr>
          <w:rFonts w:ascii="Arial" w:cs="Arial" w:eastAsia="Arial" w:hAnsi="Arial"/>
          <w:sz w:val="9"/>
          <w:szCs w:val="9"/>
          <w:color w:val="auto"/>
        </w:rPr>
      </w:pPr>
      <w:r>
        <w:rPr>
          <w:rFonts w:ascii="Arial" w:cs="Arial" w:eastAsia="Arial" w:hAnsi="Arial"/>
          <w:sz w:val="14"/>
          <w:szCs w:val="14"/>
          <w:color w:val="auto"/>
        </w:rPr>
        <w:t>For leases with property incentives that exceed the ROU assets, we reclassify the amount from assets to other current liabilities and other liabilities. As a result of the adoption of the Lease Standard, we reduce average total assets, as this better reflects how we manage our business.</w:t>
      </w:r>
    </w:p>
    <w:p>
      <w:pPr>
        <w:spacing w:after="0" w:line="1" w:lineRule="exact"/>
        <w:rPr>
          <w:sz w:val="20"/>
          <w:szCs w:val="20"/>
          <w:color w:val="auto"/>
        </w:rPr>
      </w:pPr>
    </w:p>
    <w:p>
      <w:pPr>
        <w:ind w:left="80" w:right="300" w:hanging="72"/>
        <w:spacing w:after="0" w:line="248" w:lineRule="auto"/>
        <w:tabs>
          <w:tab w:leader="none" w:pos="102" w:val="left"/>
        </w:tabs>
        <w:numPr>
          <w:ilvl w:val="0"/>
          <w:numId w:val="18"/>
        </w:numPr>
        <w:rPr>
          <w:rFonts w:ascii="Arial" w:cs="Arial" w:eastAsia="Arial" w:hAnsi="Arial"/>
          <w:sz w:val="9"/>
          <w:szCs w:val="9"/>
          <w:color w:val="auto"/>
        </w:rPr>
      </w:pPr>
      <w:r>
        <w:rPr>
          <w:rFonts w:ascii="Arial" w:cs="Arial" w:eastAsia="Arial" w:hAnsi="Arial"/>
          <w:sz w:val="14"/>
          <w:szCs w:val="14"/>
          <w:color w:val="auto"/>
        </w:rPr>
        <w:t>Results for the four quarters ended November 3, 2018 included the $72 impact related to the Estimated Non-recurring Charge, which negatively impacted return on assets by approximately 60 basis points and Adjusted ROIC by approximately 80 basis points. For the four quarters ended November 2, 2019, the adoption of the Lease Standard negatively impacted return on assets by approximately 90 basis points and Adjusted ROIC by approximately 20 basis points.</w:t>
      </w:r>
    </w:p>
    <w:p>
      <w:pPr>
        <w:sectPr>
          <w:pgSz w:w="11900" w:h="16838" w:orient="portrait"/>
          <w:cols w:equalWidth="0" w:num="1">
            <w:col w:w="11420"/>
          </w:cols>
          <w:pgMar w:left="240" w:top="279" w:right="239" w:bottom="1440"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 of 28</w:t>
      </w:r>
    </w:p>
    <w:p>
      <w:pPr>
        <w:sectPr>
          <w:pgSz w:w="11900" w:h="16838" w:orient="portrait"/>
          <w:cols w:equalWidth="0" w:num="1">
            <w:col w:w="11420"/>
          </w:cols>
          <w:pgMar w:left="240" w:top="279" w:right="239" w:bottom="1440" w:gutter="0" w:footer="0" w:header="0"/>
          <w:type w:val="continuous"/>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We strive to maintain a level of liquidity sufficient to allow us to cover our seasonal cash needs and to maintain appropriate levels of short-term borrowings. We believe that our operating cash flows, available credit facility and potential future borrowings are sufficient to meet our cash requirements for the next 12 months and beyond.</w:t>
      </w:r>
    </w:p>
    <w:p>
      <w:pPr>
        <w:spacing w:after="0" w:line="13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Over the long term, we manage our cash and capital structure to maximize shareholder return, maintain our financial position, manage refinancing risk and allow flexibility for strategic initiatives. We regularly assess our debt and leverage levels, capital expenditure requirements, debt service payments, dividend payouts, potential share repurchases and other future investments. We believe that as of November 2, 2019, our existing cash and cash equivalents on-hand of $487, available credit facility of $800 and potential future operating cash flows and borrowings will be sufficient to fund these scheduled future payments and potential long-term initiatives.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cash flows by activity: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3760" w:type="dxa"/>
            <w:vAlign w:val="bottom"/>
            <w:gridSpan w:val="2"/>
          </w:tcPr>
          <w:p>
            <w:pPr>
              <w:jc w:val="right"/>
              <w:ind w:right="109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766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100" w:type="dxa"/>
            <w:vAlign w:val="bottom"/>
          </w:tcPr>
          <w:p>
            <w:pPr>
              <w:jc w:val="right"/>
              <w:ind w:right="279"/>
              <w:spacing w:after="0"/>
              <w:rPr>
                <w:sz w:val="20"/>
                <w:szCs w:val="20"/>
                <w:color w:val="auto"/>
              </w:rPr>
            </w:pPr>
            <w:r>
              <w:rPr>
                <w:rFonts w:ascii="Arial" w:cs="Arial" w:eastAsia="Arial" w:hAnsi="Arial"/>
                <w:sz w:val="16"/>
                <w:szCs w:val="16"/>
                <w:b w:val="1"/>
                <w:bCs w:val="1"/>
                <w:color w:val="auto"/>
              </w:rPr>
              <w:t>November 2, 2019</w:t>
            </w:r>
          </w:p>
        </w:tc>
        <w:tc>
          <w:tcPr>
            <w:tcW w:w="1660" w:type="dxa"/>
            <w:vAlign w:val="bottom"/>
          </w:tcPr>
          <w:p>
            <w:pPr>
              <w:jc w:val="right"/>
              <w:ind w:right="19"/>
              <w:spacing w:after="0"/>
              <w:rPr>
                <w:sz w:val="20"/>
                <w:szCs w:val="20"/>
                <w:color w:val="auto"/>
              </w:rPr>
            </w:pPr>
            <w:r>
              <w:rPr>
                <w:rFonts w:ascii="Arial" w:cs="Arial" w:eastAsia="Arial" w:hAnsi="Arial"/>
                <w:sz w:val="16"/>
                <w:szCs w:val="16"/>
                <w:b w:val="1"/>
                <w:bCs w:val="1"/>
                <w:color w:val="auto"/>
              </w:rPr>
              <w:t>November 3, 2018</w:t>
            </w:r>
          </w:p>
        </w:tc>
      </w:tr>
      <w:tr>
        <w:trPr>
          <w:trHeight w:val="33"/>
        </w:trPr>
        <w:tc>
          <w:tcPr>
            <w:tcW w:w="76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1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$569</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$642</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2100" w:type="dxa"/>
            <w:vAlign w:val="bottom"/>
          </w:tcPr>
          <w:p>
            <w:pPr>
              <w:jc w:val="right"/>
              <w:ind w:right="239"/>
              <w:spacing w:after="0"/>
              <w:rPr>
                <w:sz w:val="20"/>
                <w:szCs w:val="20"/>
                <w:color w:val="auto"/>
              </w:rPr>
            </w:pPr>
            <w:r>
              <w:rPr>
                <w:rFonts w:ascii="Arial" w:cs="Arial" w:eastAsia="Arial" w:hAnsi="Arial"/>
                <w:sz w:val="16"/>
                <w:szCs w:val="16"/>
                <w:b w:val="1"/>
                <w:bCs w:val="1"/>
                <w:color w:val="auto"/>
              </w:rPr>
              <w:t>(717)</w:t>
            </w:r>
          </w:p>
        </w:tc>
        <w:tc>
          <w:tcPr>
            <w:tcW w:w="1660" w:type="dxa"/>
            <w:vAlign w:val="bottom"/>
          </w:tcPr>
          <w:p>
            <w:pPr>
              <w:jc w:val="right"/>
              <w:spacing w:after="0"/>
              <w:rPr>
                <w:sz w:val="20"/>
                <w:szCs w:val="20"/>
                <w:color w:val="auto"/>
              </w:rPr>
            </w:pPr>
            <w:r>
              <w:rPr>
                <w:rFonts w:ascii="Arial" w:cs="Arial" w:eastAsia="Arial" w:hAnsi="Arial"/>
                <w:sz w:val="16"/>
                <w:szCs w:val="16"/>
                <w:color w:val="auto"/>
              </w:rPr>
              <w:t>(448)</w:t>
            </w:r>
          </w:p>
        </w:tc>
      </w:tr>
      <w:tr>
        <w:trPr>
          <w:trHeight w:val="33"/>
        </w:trPr>
        <w:tc>
          <w:tcPr>
            <w:tcW w:w="76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21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(322)</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0"/>
        </w:trPr>
        <w:tc>
          <w:tcPr>
            <w:tcW w:w="766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Net cash provided by operating activities decreased $73 for the period ended November 2, 2019, compared with the same period in 2018, primarily due to payments made related to the Estimated Non-recurring Charge.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7" w:lineRule="exact"/>
        <w:rPr>
          <w:sz w:val="20"/>
          <w:szCs w:val="20"/>
          <w:color w:val="auto"/>
        </w:rPr>
      </w:pPr>
    </w:p>
    <w:p>
      <w:pPr>
        <w:ind w:right="400"/>
        <w:spacing w:after="0" w:line="290" w:lineRule="auto"/>
        <w:rPr>
          <w:sz w:val="20"/>
          <w:szCs w:val="20"/>
          <w:color w:val="auto"/>
        </w:rPr>
      </w:pPr>
      <w:r>
        <w:rPr>
          <w:rFonts w:ascii="Arial" w:cs="Arial" w:eastAsia="Arial" w:hAnsi="Arial"/>
          <w:sz w:val="17"/>
          <w:szCs w:val="17"/>
          <w:color w:val="auto"/>
        </w:rPr>
        <w:t>Net cash used in investing activities increased $269 for the period ended November 2, 2019, compared with the same period in 2018, primarily due to an increase in capital expenditures related to Nordstrom NYC and our Supply Chain Network, including our Omni-channel center.</w:t>
      </w:r>
    </w:p>
    <w:p>
      <w:pPr>
        <w:spacing w:after="0" w:line="10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opening of our first large-scale Omni-channel center in Riverside, California, which will initially support our Full-Price customers in the West Coast region and Off-Price customers in the future, is expected to open in the spring of 2020. We also plan to open a smaller Local Omni-channel Hub in Torrance, California by the end of fiscal year 2019, which will support the greater Los Angeles market as part of our market strategy.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7"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Net cash used in financing activities increased $74 for the period ended November 2, 2019, compared with the same period in 2018, primarily due to increased share repurchase activity executed in the first quarter of 2019.</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 of 28</w:t>
      </w:r>
    </w:p>
    <w:p>
      <w:pPr>
        <w:sectPr>
          <w:pgSz w:w="11900" w:h="16838" w:orient="portrait"/>
          <w:cols w:equalWidth="0" w:num="1">
            <w:col w:w="11420"/>
          </w:cols>
          <w:pgMar w:left="240" w:top="279"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 (Non-GAAP financial measure)</w:t>
      </w:r>
    </w:p>
    <w:p>
      <w:pPr>
        <w:spacing w:after="0" w:line="2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Free Cash Flow is one of our key liquidity measures, and when used in conjunction with GAAP measures, we believe it provides investors with a meaningful analysis of our ability to generate cash from our business.</w:t>
      </w:r>
    </w:p>
    <w:p>
      <w:pPr>
        <w:spacing w:after="0" w:line="13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Free Cash Flow is not a measure of financial performance under GAAP and should be considered in addition to, and not as a substitute for, operating cash flows or other financial measures prepared in accordance with GAAP. Our method of determining non-GAAP financial measures may differ from other companies’ methods and therefore may not be comparable to those used by other companies. The financial measure calculated under GAAP which is most directly comparable to Free Cash Flow is net cash provided by operating activities. The following is a reconciliation of net cash provided by operating activities to Free Cash Flow: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3760" w:type="dxa"/>
            <w:vAlign w:val="bottom"/>
            <w:gridSpan w:val="2"/>
          </w:tcPr>
          <w:p>
            <w:pPr>
              <w:jc w:val="right"/>
              <w:ind w:right="109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766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100" w:type="dxa"/>
            <w:vAlign w:val="bottom"/>
          </w:tcPr>
          <w:p>
            <w:pPr>
              <w:jc w:val="right"/>
              <w:ind w:right="279"/>
              <w:spacing w:after="0"/>
              <w:rPr>
                <w:sz w:val="20"/>
                <w:szCs w:val="20"/>
                <w:color w:val="auto"/>
              </w:rPr>
            </w:pPr>
            <w:r>
              <w:rPr>
                <w:rFonts w:ascii="Arial" w:cs="Arial" w:eastAsia="Arial" w:hAnsi="Arial"/>
                <w:sz w:val="16"/>
                <w:szCs w:val="16"/>
                <w:b w:val="1"/>
                <w:bCs w:val="1"/>
                <w:color w:val="auto"/>
              </w:rPr>
              <w:t>November 2, 2019</w:t>
            </w:r>
          </w:p>
        </w:tc>
        <w:tc>
          <w:tcPr>
            <w:tcW w:w="1660" w:type="dxa"/>
            <w:vAlign w:val="bottom"/>
          </w:tcPr>
          <w:p>
            <w:pPr>
              <w:jc w:val="right"/>
              <w:ind w:right="19"/>
              <w:spacing w:after="0"/>
              <w:rPr>
                <w:sz w:val="20"/>
                <w:szCs w:val="20"/>
                <w:color w:val="auto"/>
              </w:rPr>
            </w:pPr>
            <w:r>
              <w:rPr>
                <w:rFonts w:ascii="Arial" w:cs="Arial" w:eastAsia="Arial" w:hAnsi="Arial"/>
                <w:sz w:val="16"/>
                <w:szCs w:val="16"/>
                <w:b w:val="1"/>
                <w:bCs w:val="1"/>
                <w:color w:val="auto"/>
              </w:rPr>
              <w:t>November 3, 2018</w:t>
            </w:r>
          </w:p>
        </w:tc>
      </w:tr>
      <w:tr>
        <w:trPr>
          <w:trHeight w:val="33"/>
        </w:trPr>
        <w:tc>
          <w:tcPr>
            <w:tcW w:w="76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21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$569</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$642</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Less: capital expenditures</w:t>
            </w:r>
          </w:p>
        </w:tc>
        <w:tc>
          <w:tcPr>
            <w:tcW w:w="2100" w:type="dxa"/>
            <w:vAlign w:val="bottom"/>
          </w:tcPr>
          <w:p>
            <w:pPr>
              <w:jc w:val="right"/>
              <w:ind w:right="239"/>
              <w:spacing w:after="0"/>
              <w:rPr>
                <w:sz w:val="20"/>
                <w:szCs w:val="20"/>
                <w:color w:val="auto"/>
              </w:rPr>
            </w:pPr>
            <w:r>
              <w:rPr>
                <w:rFonts w:ascii="Arial" w:cs="Arial" w:eastAsia="Arial" w:hAnsi="Arial"/>
                <w:sz w:val="16"/>
                <w:szCs w:val="16"/>
                <w:b w:val="1"/>
                <w:bCs w:val="1"/>
                <w:color w:val="auto"/>
              </w:rPr>
              <w:t>(741)</w:t>
            </w:r>
          </w:p>
        </w:tc>
        <w:tc>
          <w:tcPr>
            <w:tcW w:w="1660" w:type="dxa"/>
            <w:vAlign w:val="bottom"/>
          </w:tcPr>
          <w:p>
            <w:pPr>
              <w:jc w:val="right"/>
              <w:spacing w:after="0"/>
              <w:rPr>
                <w:sz w:val="20"/>
                <w:szCs w:val="20"/>
                <w:color w:val="auto"/>
              </w:rPr>
            </w:pPr>
            <w:r>
              <w:rPr>
                <w:rFonts w:ascii="Arial" w:cs="Arial" w:eastAsia="Arial" w:hAnsi="Arial"/>
                <w:sz w:val="16"/>
                <w:szCs w:val="16"/>
                <w:color w:val="auto"/>
              </w:rPr>
              <w:t>(429)</w:t>
            </w:r>
          </w:p>
        </w:tc>
      </w:tr>
      <w:tr>
        <w:trPr>
          <w:trHeight w:val="33"/>
        </w:trPr>
        <w:tc>
          <w:tcPr>
            <w:tcW w:w="76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change in cash book overdrafts</w:t>
            </w:r>
          </w:p>
        </w:tc>
        <w:tc>
          <w:tcPr>
            <w:tcW w:w="21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58</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r>
      <w:tr>
        <w:trPr>
          <w:trHeight w:val="231"/>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Free Cash Flow</w:t>
            </w:r>
          </w:p>
        </w:tc>
        <w:tc>
          <w:tcPr>
            <w:tcW w:w="21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($114)</w:t>
            </w:r>
          </w:p>
        </w:tc>
        <w:tc>
          <w:tcPr>
            <w:tcW w:w="1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$247</w:t>
            </w:r>
          </w:p>
        </w:tc>
      </w:tr>
      <w:tr>
        <w:trPr>
          <w:trHeight w:val="33"/>
        </w:trPr>
        <w:tc>
          <w:tcPr>
            <w:tcW w:w="76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(Non-GAAP financial measure)</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Adjusted EBITDA is our key financial metric to reflect our view of cash flow from net earnings. Adjusted EBITDA excludes significant items which are non-operating in nature in order to evaluate our core operating performance against prior periods. The financial measure calculated under GAAP which is most directly comparable to Adjusted EBITDA is net earnings.</w:t>
      </w:r>
    </w:p>
    <w:p>
      <w:pPr>
        <w:spacing w:after="0" w:line="136"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Adjusted EBITDA is not a measure of financial performance under GAAP and should be considered in addition to, and not as a substitute for net earnings, overall change in cash or liquidity of the business as a whole. Our method of determining non-GAAP financial measures may differ from other companies’ methods and therefore may not be comparable to those used by other companies. The following is a reconciliation of net earnings to Adjusted EBITDA: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40" w:type="dxa"/>
            <w:vAlign w:val="bottom"/>
          </w:tcPr>
          <w:p>
            <w:pPr>
              <w:spacing w:after="0"/>
              <w:rPr>
                <w:sz w:val="18"/>
                <w:szCs w:val="18"/>
                <w:color w:val="auto"/>
              </w:rPr>
            </w:pPr>
          </w:p>
        </w:tc>
        <w:tc>
          <w:tcPr>
            <w:tcW w:w="3760" w:type="dxa"/>
            <w:vAlign w:val="bottom"/>
            <w:gridSpan w:val="2"/>
          </w:tcPr>
          <w:p>
            <w:pPr>
              <w:jc w:val="right"/>
              <w:ind w:right="109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764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1"/>
        </w:trPr>
        <w:tc>
          <w:tcPr>
            <w:tcW w:w="7640" w:type="dxa"/>
            <w:vAlign w:val="bottom"/>
          </w:tcPr>
          <w:p>
            <w:pPr>
              <w:spacing w:after="0"/>
              <w:rPr>
                <w:sz w:val="20"/>
                <w:szCs w:val="20"/>
                <w:color w:val="auto"/>
              </w:rPr>
            </w:pPr>
          </w:p>
        </w:tc>
        <w:tc>
          <w:tcPr>
            <w:tcW w:w="2100" w:type="dxa"/>
            <w:vAlign w:val="bottom"/>
          </w:tcPr>
          <w:p>
            <w:pPr>
              <w:jc w:val="right"/>
              <w:ind w:right="299"/>
              <w:spacing w:after="0"/>
              <w:rPr>
                <w:sz w:val="20"/>
                <w:szCs w:val="20"/>
                <w:color w:val="auto"/>
              </w:rPr>
            </w:pPr>
            <w:r>
              <w:rPr>
                <w:rFonts w:ascii="Arial" w:cs="Arial" w:eastAsia="Arial" w:hAnsi="Arial"/>
                <w:sz w:val="16"/>
                <w:szCs w:val="16"/>
                <w:b w:val="1"/>
                <w:bCs w:val="1"/>
                <w:color w:val="auto"/>
              </w:rPr>
              <w:t>November 2, 2019</w:t>
            </w:r>
          </w:p>
        </w:tc>
        <w:tc>
          <w:tcPr>
            <w:tcW w:w="1660" w:type="dxa"/>
            <w:vAlign w:val="bottom"/>
          </w:tcPr>
          <w:p>
            <w:pPr>
              <w:jc w:val="right"/>
              <w:ind w:right="39"/>
              <w:spacing w:after="0"/>
              <w:rPr>
                <w:sz w:val="20"/>
                <w:szCs w:val="20"/>
                <w:color w:val="auto"/>
              </w:rPr>
            </w:pPr>
            <w:r>
              <w:rPr>
                <w:rFonts w:ascii="Arial" w:cs="Arial" w:eastAsia="Arial" w:hAnsi="Arial"/>
                <w:sz w:val="16"/>
                <w:szCs w:val="16"/>
                <w:b w:val="1"/>
                <w:bCs w:val="1"/>
                <w:color w:val="auto"/>
              </w:rPr>
              <w:t>November 3, 2018</w:t>
            </w:r>
          </w:p>
        </w:tc>
      </w:tr>
      <w:tr>
        <w:trPr>
          <w:trHeight w:val="33"/>
        </w:trPr>
        <w:tc>
          <w:tcPr>
            <w:tcW w:w="76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w:t>
            </w:r>
          </w:p>
        </w:tc>
        <w:tc>
          <w:tcPr>
            <w:tcW w:w="21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$304</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$316</w:t>
            </w:r>
          </w:p>
        </w:tc>
      </w:tr>
      <w:tr>
        <w:trPr>
          <w:trHeight w:val="237"/>
        </w:trPr>
        <w:tc>
          <w:tcPr>
            <w:tcW w:w="7640" w:type="dxa"/>
            <w:vAlign w:val="bottom"/>
          </w:tcPr>
          <w:p>
            <w:pPr>
              <w:ind w:left="40"/>
              <w:spacing w:after="0"/>
              <w:rPr>
                <w:sz w:val="20"/>
                <w:szCs w:val="20"/>
                <w:color w:val="auto"/>
              </w:rPr>
            </w:pPr>
            <w:r>
              <w:rPr>
                <w:rFonts w:ascii="Arial" w:cs="Arial" w:eastAsia="Arial" w:hAnsi="Arial"/>
                <w:sz w:val="16"/>
                <w:szCs w:val="16"/>
                <w:color w:val="auto"/>
              </w:rPr>
              <w:t>Add: income tax expense</w:t>
            </w:r>
          </w:p>
        </w:tc>
        <w:tc>
          <w:tcPr>
            <w:tcW w:w="2100" w:type="dxa"/>
            <w:vAlign w:val="bottom"/>
          </w:tcPr>
          <w:p>
            <w:pPr>
              <w:jc w:val="right"/>
              <w:ind w:right="299"/>
              <w:spacing w:after="0"/>
              <w:rPr>
                <w:sz w:val="20"/>
                <w:szCs w:val="20"/>
                <w:color w:val="auto"/>
              </w:rPr>
            </w:pPr>
            <w:r>
              <w:rPr>
                <w:rFonts w:ascii="Arial" w:cs="Arial" w:eastAsia="Arial" w:hAnsi="Arial"/>
                <w:sz w:val="16"/>
                <w:szCs w:val="16"/>
                <w:b w:val="1"/>
                <w:bCs w:val="1"/>
                <w:color w:val="auto"/>
              </w:rPr>
              <w:t>115</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107</w:t>
            </w:r>
          </w:p>
        </w:tc>
      </w:tr>
      <w:tr>
        <w:trPr>
          <w:trHeight w:val="33"/>
        </w:trPr>
        <w:tc>
          <w:tcPr>
            <w:tcW w:w="76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5"/>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interest expense, net</w:t>
            </w:r>
          </w:p>
        </w:tc>
        <w:tc>
          <w:tcPr>
            <w:tcW w:w="21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66</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w:t>
            </w:r>
          </w:p>
        </w:tc>
      </w:tr>
      <w:tr>
        <w:trPr>
          <w:trHeight w:val="231"/>
        </w:trPr>
        <w:tc>
          <w:tcPr>
            <w:tcW w:w="76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Earnings before interest and income taxes</w:t>
            </w:r>
          </w:p>
        </w:tc>
        <w:tc>
          <w:tcPr>
            <w:tcW w:w="21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485</w:t>
            </w: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504</w:t>
            </w:r>
          </w:p>
        </w:tc>
      </w:tr>
      <w:tr>
        <w:trPr>
          <w:trHeight w:val="33"/>
        </w:trPr>
        <w:tc>
          <w:tcPr>
            <w:tcW w:w="76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97"/>
        </w:trPr>
        <w:tc>
          <w:tcPr>
            <w:tcW w:w="764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r>
      <w:tr>
        <w:trPr>
          <w:trHeight w:val="237"/>
        </w:trPr>
        <w:tc>
          <w:tcPr>
            <w:tcW w:w="7640" w:type="dxa"/>
            <w:vAlign w:val="bottom"/>
          </w:tcPr>
          <w:p>
            <w:pPr>
              <w:ind w:left="40"/>
              <w:spacing w:after="0"/>
              <w:rPr>
                <w:sz w:val="20"/>
                <w:szCs w:val="20"/>
                <w:color w:val="auto"/>
              </w:rPr>
            </w:pPr>
            <w:r>
              <w:rPr>
                <w:rFonts w:ascii="Arial" w:cs="Arial" w:eastAsia="Arial" w:hAnsi="Arial"/>
                <w:sz w:val="16"/>
                <w:szCs w:val="16"/>
                <w:color w:val="auto"/>
              </w:rPr>
              <w:t>Add: depreciation and amortization expenses</w:t>
            </w:r>
          </w:p>
        </w:tc>
        <w:tc>
          <w:tcPr>
            <w:tcW w:w="2100" w:type="dxa"/>
            <w:vAlign w:val="bottom"/>
          </w:tcPr>
          <w:p>
            <w:pPr>
              <w:jc w:val="right"/>
              <w:ind w:right="299"/>
              <w:spacing w:after="0"/>
              <w:rPr>
                <w:sz w:val="20"/>
                <w:szCs w:val="20"/>
                <w:color w:val="auto"/>
              </w:rPr>
            </w:pPr>
            <w:r>
              <w:rPr>
                <w:rFonts w:ascii="Arial" w:cs="Arial" w:eastAsia="Arial" w:hAnsi="Arial"/>
                <w:sz w:val="16"/>
                <w:szCs w:val="16"/>
                <w:b w:val="1"/>
                <w:bCs w:val="1"/>
                <w:color w:val="auto"/>
              </w:rPr>
              <w:t>486</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498</w:t>
            </w:r>
          </w:p>
        </w:tc>
      </w:tr>
      <w:tr>
        <w:trPr>
          <w:trHeight w:val="33"/>
        </w:trPr>
        <w:tc>
          <w:tcPr>
            <w:tcW w:w="76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5"/>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amortization of developer reimbursements</w:t>
            </w:r>
          </w:p>
        </w:tc>
        <w:tc>
          <w:tcPr>
            <w:tcW w:w="21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(56)</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31"/>
        </w:trPr>
        <w:tc>
          <w:tcPr>
            <w:tcW w:w="76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Adjusted EBITDA</w:t>
            </w:r>
          </w:p>
        </w:tc>
        <w:tc>
          <w:tcPr>
            <w:tcW w:w="21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$915</w:t>
            </w: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$942</w:t>
            </w:r>
          </w:p>
        </w:tc>
      </w:tr>
      <w:tr>
        <w:trPr>
          <w:trHeight w:val="33"/>
        </w:trPr>
        <w:tc>
          <w:tcPr>
            <w:tcW w:w="76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Capacity and Commitments</w:t>
      </w:r>
    </w:p>
    <w:p>
      <w:pPr>
        <w:spacing w:after="0" w:line="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 of November 2, 2019, we had total short-term borrowing capacity of $800 under the Revolver that expires September 2023. Provided that we obtain written consent from our lenders, we have the option to increase the Revolver by up to $200, to a total of $1,000, and two options to extend the Revolver by one year. As of November 2, 2019, we had no borrowings outstanding under our Revolver. For more information about our credit facilities, see Note 5: Debt and Credit Facilities in Item 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Credit Ratings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credit ratings may impact our costs to borrow and may require we hold collateral.</w:t>
      </w:r>
    </w:p>
    <w:p>
      <w:pPr>
        <w:spacing w:after="0" w:line="15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our Revolver, the interest rate applicable to any borrowings we may enter into depends upon the type of borrowing incurred plus an applicable margin, which is determined based on our credit ratings. At the time of this report, our credit ratings and outlook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5300" w:type="dxa"/>
            <w:vAlign w:val="bottom"/>
          </w:tcPr>
          <w:p>
            <w:pPr>
              <w:jc w:val="right"/>
              <w:ind w:right="599"/>
              <w:spacing w:after="0"/>
              <w:rPr>
                <w:sz w:val="20"/>
                <w:szCs w:val="20"/>
                <w:color w:val="auto"/>
              </w:rPr>
            </w:pPr>
            <w:r>
              <w:rPr>
                <w:rFonts w:ascii="Arial" w:cs="Arial" w:eastAsia="Arial" w:hAnsi="Arial"/>
                <w:sz w:val="16"/>
                <w:szCs w:val="16"/>
                <w:b w:val="1"/>
                <w:bCs w:val="1"/>
                <w:color w:val="auto"/>
              </w:rPr>
              <w:t>Credit Ratings</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Outlook</w:t>
            </w:r>
          </w:p>
        </w:tc>
      </w:tr>
      <w:tr>
        <w:trPr>
          <w:trHeight w:val="33"/>
        </w:trPr>
        <w:tc>
          <w:tcPr>
            <w:tcW w:w="484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Moody’s</w:t>
            </w:r>
          </w:p>
        </w:tc>
        <w:tc>
          <w:tcPr>
            <w:tcW w:w="53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Baa2</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Stable</w:t>
            </w:r>
          </w:p>
        </w:tc>
      </w:tr>
      <w:tr>
        <w:trPr>
          <w:trHeight w:val="237"/>
        </w:trPr>
        <w:tc>
          <w:tcPr>
            <w:tcW w:w="4840" w:type="dxa"/>
            <w:vAlign w:val="bottom"/>
          </w:tcPr>
          <w:p>
            <w:pPr>
              <w:ind w:left="40"/>
              <w:spacing w:after="0"/>
              <w:rPr>
                <w:sz w:val="20"/>
                <w:szCs w:val="20"/>
                <w:color w:val="auto"/>
              </w:rPr>
            </w:pPr>
            <w:r>
              <w:rPr>
                <w:rFonts w:ascii="Arial" w:cs="Arial" w:eastAsia="Arial" w:hAnsi="Arial"/>
                <w:sz w:val="16"/>
                <w:szCs w:val="16"/>
                <w:color w:val="auto"/>
              </w:rPr>
              <w:t>Standard &amp; Poor’s</w:t>
            </w:r>
          </w:p>
        </w:tc>
        <w:tc>
          <w:tcPr>
            <w:tcW w:w="5300" w:type="dxa"/>
            <w:vAlign w:val="bottom"/>
          </w:tcPr>
          <w:p>
            <w:pPr>
              <w:jc w:val="right"/>
              <w:ind w:right="599"/>
              <w:spacing w:after="0"/>
              <w:rPr>
                <w:sz w:val="20"/>
                <w:szCs w:val="20"/>
                <w:color w:val="auto"/>
              </w:rPr>
            </w:pPr>
            <w:r>
              <w:rPr>
                <w:rFonts w:ascii="Arial" w:cs="Arial" w:eastAsia="Arial" w:hAnsi="Arial"/>
                <w:sz w:val="16"/>
                <w:szCs w:val="16"/>
                <w:color w:val="auto"/>
              </w:rPr>
              <w:t>BBB</w:t>
            </w:r>
          </w:p>
        </w:tc>
        <w:tc>
          <w:tcPr>
            <w:tcW w:w="1280" w:type="dxa"/>
            <w:vAlign w:val="bottom"/>
          </w:tcPr>
          <w:p>
            <w:pPr>
              <w:jc w:val="right"/>
              <w:spacing w:after="0"/>
              <w:rPr>
                <w:sz w:val="20"/>
                <w:szCs w:val="20"/>
                <w:color w:val="auto"/>
              </w:rPr>
            </w:pPr>
            <w:r>
              <w:rPr>
                <w:rFonts w:ascii="Arial" w:cs="Arial" w:eastAsia="Arial" w:hAnsi="Arial"/>
                <w:sz w:val="16"/>
                <w:szCs w:val="16"/>
                <w:color w:val="auto"/>
              </w:rPr>
              <w:t>Stable</w:t>
            </w:r>
          </w:p>
        </w:tc>
      </w:tr>
      <w:tr>
        <w:trPr>
          <w:trHeight w:val="33"/>
        </w:trPr>
        <w:tc>
          <w:tcPr>
            <w:tcW w:w="484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279" w:right="2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 of 28</w:t>
      </w:r>
    </w:p>
    <w:p>
      <w:pPr>
        <w:sectPr>
          <w:pgSz w:w="11900" w:h="16838" w:orient="portrait"/>
          <w:cols w:equalWidth="0" w:num="1">
            <w:col w:w="11420"/>
          </w:cols>
          <w:pgMar w:left="240" w:top="279" w:right="239" w:bottom="1440" w:gutter="0" w:footer="0" w:header="0"/>
          <w:type w:val="continuous"/>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Should the ratings assigned to our long-term debt improve, the applicable margin associated with any borrowings under the Revolver may decrease, resulting in a lower borrowing cost under this facility. Conversely, should the ratings assigned to our long-term debt worsen, the applicable margin associated with any borrowings under the Revolver may increase, resulting in a higher borrowing cost under this facility.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7" w:lineRule="exact"/>
        <w:rPr>
          <w:sz w:val="20"/>
          <w:szCs w:val="20"/>
          <w:color w:val="auto"/>
        </w:rPr>
      </w:pPr>
    </w:p>
    <w:p>
      <w:pPr>
        <w:ind w:right="660"/>
        <w:spacing w:after="0" w:line="323" w:lineRule="auto"/>
        <w:rPr>
          <w:sz w:val="20"/>
          <w:szCs w:val="20"/>
          <w:color w:val="auto"/>
        </w:rPr>
      </w:pPr>
      <w:r>
        <w:rPr>
          <w:rFonts w:ascii="Arial" w:cs="Arial" w:eastAsia="Arial" w:hAnsi="Arial"/>
          <w:sz w:val="16"/>
          <w:szCs w:val="16"/>
          <w:color w:val="auto"/>
        </w:rPr>
        <w:t>The Revolver requires that we maintain an adjusted debt to EBITDAR leverage ratio of no more than four times. The Revolver’s ratio calculation methodology has not been impacted by the adoption of the new Lease Standard. As of November 2, 2019, we were in compliance with this covenant.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Debt to EBITDAR (Non-GAAP financial measure)</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Adjusted Debt to EBITDAR is one of our key financial metrics and we believe that our debt levels are best analyzed using this measure, as it provides a reflection of our credit worthiness that could impact our credit rating and borrowing costs. Our goal is to manage debt levels to maintain an investment-grade credit rating while operating with an efficient capital structure.</w:t>
      </w:r>
    </w:p>
    <w:p>
      <w:pPr>
        <w:spacing w:after="0" w:line="13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2019, income statement activity for Adjusted EBITDAR is comprised of three quarters of activity under the Lease Standard for 2019 and the fourth quarter of 2018 under the previous lease standard. Balance sheet amounts are as of the end of the quarter, and under the new Lease Standard for 2019 and the previous lease standard for 2018. Under the previous lease standard, we estimated the value of our operating leases as if they met the criteria for capital leases or we had purchased the properties. This provided additional supplemental information that estimated the investment in our operating leases. Estimated capitalized operating lease liability is not calculated in accordance with, nor an alternative for, GAAP and should not be considered in isolation or as a substitution for our results as reported under GAAP.</w:t>
      </w:r>
    </w:p>
    <w:p>
      <w:pPr>
        <w:spacing w:after="0" w:line="13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Adjusted Debt to EBITDAR is not a measure of financial performance under GAAP and should be considered in addition to, and not as a substitute for, debt to net earnings, net earnings, debt or other GAAP financial measures. Our method of determining non-GAAP financial measures may differ from other companies’ methods and therefore may not be comparable to those used by other companies.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debt to net earnings to Adjusted Debt to EBITDAR: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60" w:type="dxa"/>
            <w:vAlign w:val="bottom"/>
            <w:tcBorders>
              <w:bottom w:val="single" w:sz="8" w:color="auto"/>
            </w:tcBorders>
          </w:tcPr>
          <w:p>
            <w:pPr>
              <w:spacing w:after="0"/>
              <w:rPr>
                <w:sz w:val="21"/>
                <w:szCs w:val="21"/>
                <w:color w:val="auto"/>
              </w:rPr>
            </w:pPr>
          </w:p>
        </w:tc>
        <w:tc>
          <w:tcPr>
            <w:tcW w:w="39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2019</w:t>
            </w:r>
            <w:r>
              <w:rPr>
                <w:rFonts w:ascii="Arial" w:cs="Arial" w:eastAsia="Arial" w:hAnsi="Arial"/>
                <w:sz w:val="21"/>
                <w:szCs w:val="21"/>
                <w:color w:val="auto"/>
                <w:vertAlign w:val="superscript"/>
              </w:rPr>
              <w:t>1</w:t>
            </w:r>
          </w:p>
        </w:tc>
        <w:tc>
          <w:tcPr>
            <w:tcW w:w="12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2018</w:t>
            </w:r>
            <w:r>
              <w:rPr>
                <w:rFonts w:ascii="Arial" w:cs="Arial" w:eastAsia="Arial" w:hAnsi="Arial"/>
                <w:sz w:val="21"/>
                <w:szCs w:val="21"/>
                <w:color w:val="auto"/>
                <w:vertAlign w:val="superscript"/>
              </w:rPr>
              <w:t>1</w:t>
            </w:r>
          </w:p>
        </w:tc>
      </w:tr>
      <w:tr>
        <w:trPr>
          <w:trHeight w:val="244"/>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Debt</w:t>
            </w:r>
          </w:p>
        </w:tc>
        <w:tc>
          <w:tcPr>
            <w:tcW w:w="3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$2,679</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$2,686</w:t>
            </w:r>
          </w:p>
        </w:tc>
      </w:tr>
      <w:tr>
        <w:trPr>
          <w:trHeight w:val="243"/>
        </w:trPr>
        <w:tc>
          <w:tcPr>
            <w:tcW w:w="6160" w:type="dxa"/>
            <w:vAlign w:val="bottom"/>
          </w:tcPr>
          <w:p>
            <w:pPr>
              <w:ind w:left="40"/>
              <w:spacing w:after="0"/>
              <w:rPr>
                <w:sz w:val="20"/>
                <w:szCs w:val="20"/>
                <w:color w:val="auto"/>
              </w:rPr>
            </w:pPr>
            <w:r>
              <w:rPr>
                <w:rFonts w:ascii="Arial" w:cs="Arial" w:eastAsia="Arial" w:hAnsi="Arial"/>
                <w:sz w:val="16"/>
                <w:szCs w:val="16"/>
                <w:color w:val="auto"/>
              </w:rPr>
              <w:t>Add: operating lease liabilities</w:t>
            </w:r>
          </w:p>
        </w:tc>
        <w:tc>
          <w:tcPr>
            <w:tcW w:w="3980" w:type="dxa"/>
            <w:vAlign w:val="bottom"/>
          </w:tcPr>
          <w:p>
            <w:pPr>
              <w:jc w:val="right"/>
              <w:ind w:right="659"/>
              <w:spacing w:after="0"/>
              <w:rPr>
                <w:sz w:val="20"/>
                <w:szCs w:val="20"/>
                <w:color w:val="auto"/>
              </w:rPr>
            </w:pPr>
            <w:r>
              <w:rPr>
                <w:rFonts w:ascii="Arial" w:cs="Arial" w:eastAsia="Arial" w:hAnsi="Arial"/>
                <w:sz w:val="16"/>
                <w:szCs w:val="16"/>
                <w:b w:val="1"/>
                <w:bCs w:val="1"/>
                <w:color w:val="auto"/>
              </w:rPr>
              <w:t>2,133</w:t>
            </w: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27"/>
        </w:trPr>
        <w:tc>
          <w:tcPr>
            <w:tcW w:w="6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Add: estimated capitalized operating lease liability</w:t>
            </w:r>
            <w:r>
              <w:rPr>
                <w:rFonts w:ascii="Arial" w:cs="Arial" w:eastAsia="Arial" w:hAnsi="Arial"/>
                <w:sz w:val="21"/>
                <w:szCs w:val="21"/>
                <w:color w:val="auto"/>
                <w:vertAlign w:val="superscript"/>
              </w:rPr>
              <w:t>2</w:t>
            </w:r>
          </w:p>
        </w:tc>
        <w:tc>
          <w:tcPr>
            <w:tcW w:w="398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2,011</w:t>
            </w:r>
          </w:p>
        </w:tc>
      </w:tr>
      <w:tr>
        <w:trPr>
          <w:trHeight w:val="231"/>
        </w:trPr>
        <w:tc>
          <w:tcPr>
            <w:tcW w:w="6160" w:type="dxa"/>
            <w:vAlign w:val="bottom"/>
          </w:tcPr>
          <w:p>
            <w:pPr>
              <w:ind w:left="40"/>
              <w:spacing w:after="0"/>
              <w:rPr>
                <w:sz w:val="20"/>
                <w:szCs w:val="20"/>
                <w:color w:val="auto"/>
              </w:rPr>
            </w:pPr>
            <w:r>
              <w:rPr>
                <w:rFonts w:ascii="Arial" w:cs="Arial" w:eastAsia="Arial" w:hAnsi="Arial"/>
                <w:sz w:val="16"/>
                <w:szCs w:val="16"/>
                <w:b w:val="1"/>
                <w:bCs w:val="1"/>
                <w:color w:val="auto"/>
              </w:rPr>
              <w:t>Adjusted Debt</w:t>
            </w:r>
          </w:p>
        </w:tc>
        <w:tc>
          <w:tcPr>
            <w:tcW w:w="3980" w:type="dxa"/>
            <w:vAlign w:val="bottom"/>
          </w:tcPr>
          <w:p>
            <w:pPr>
              <w:jc w:val="right"/>
              <w:ind w:right="659"/>
              <w:spacing w:after="0"/>
              <w:rPr>
                <w:sz w:val="20"/>
                <w:szCs w:val="20"/>
                <w:color w:val="auto"/>
              </w:rPr>
            </w:pPr>
            <w:r>
              <w:rPr>
                <w:rFonts w:ascii="Arial" w:cs="Arial" w:eastAsia="Arial" w:hAnsi="Arial"/>
                <w:sz w:val="16"/>
                <w:szCs w:val="16"/>
                <w:b w:val="1"/>
                <w:bCs w:val="1"/>
                <w:color w:val="auto"/>
              </w:rPr>
              <w:t>$4,812</w:t>
            </w:r>
          </w:p>
        </w:tc>
        <w:tc>
          <w:tcPr>
            <w:tcW w:w="1280" w:type="dxa"/>
            <w:vAlign w:val="bottom"/>
          </w:tcPr>
          <w:p>
            <w:pPr>
              <w:jc w:val="right"/>
              <w:ind w:right="18"/>
              <w:spacing w:after="0"/>
              <w:rPr>
                <w:sz w:val="20"/>
                <w:szCs w:val="20"/>
                <w:color w:val="auto"/>
              </w:rPr>
            </w:pPr>
            <w:r>
              <w:rPr>
                <w:rFonts w:ascii="Arial" w:cs="Arial" w:eastAsia="Arial" w:hAnsi="Arial"/>
                <w:sz w:val="16"/>
                <w:szCs w:val="16"/>
                <w:color w:val="auto"/>
              </w:rPr>
              <w:t>$4,697</w:t>
            </w:r>
          </w:p>
        </w:tc>
      </w:tr>
      <w:tr>
        <w:trPr>
          <w:trHeight w:val="33"/>
        </w:trPr>
        <w:tc>
          <w:tcPr>
            <w:tcW w:w="61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91"/>
        </w:trPr>
        <w:tc>
          <w:tcPr>
            <w:tcW w:w="616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b w:val="1"/>
                <w:bCs w:val="1"/>
                <w:color w:val="auto"/>
              </w:rPr>
              <w:t>Net earnings</w:t>
            </w:r>
          </w:p>
        </w:tc>
        <w:tc>
          <w:tcPr>
            <w:tcW w:w="3980" w:type="dxa"/>
            <w:vAlign w:val="bottom"/>
          </w:tcPr>
          <w:p>
            <w:pPr>
              <w:jc w:val="right"/>
              <w:ind w:right="659"/>
              <w:spacing w:after="0"/>
              <w:rPr>
                <w:sz w:val="20"/>
                <w:szCs w:val="20"/>
                <w:color w:val="auto"/>
              </w:rPr>
            </w:pPr>
            <w:r>
              <w:rPr>
                <w:rFonts w:ascii="Arial" w:cs="Arial" w:eastAsia="Arial" w:hAnsi="Arial"/>
                <w:sz w:val="16"/>
                <w:szCs w:val="16"/>
                <w:b w:val="1"/>
                <w:bCs w:val="1"/>
                <w:color w:val="auto"/>
              </w:rPr>
              <w:t>$551</w:t>
            </w:r>
          </w:p>
        </w:tc>
        <w:tc>
          <w:tcPr>
            <w:tcW w:w="1280" w:type="dxa"/>
            <w:vAlign w:val="bottom"/>
          </w:tcPr>
          <w:p>
            <w:pPr>
              <w:jc w:val="right"/>
              <w:ind w:right="18"/>
              <w:spacing w:after="0"/>
              <w:rPr>
                <w:sz w:val="20"/>
                <w:szCs w:val="20"/>
                <w:color w:val="auto"/>
              </w:rPr>
            </w:pPr>
            <w:r>
              <w:rPr>
                <w:rFonts w:ascii="Arial" w:cs="Arial" w:eastAsia="Arial" w:hAnsi="Arial"/>
                <w:sz w:val="16"/>
                <w:szCs w:val="16"/>
                <w:color w:val="auto"/>
              </w:rPr>
              <w:t>$467</w:t>
            </w:r>
          </w:p>
        </w:tc>
      </w:tr>
      <w:tr>
        <w:trPr>
          <w:trHeight w:val="33"/>
        </w:trPr>
        <w:tc>
          <w:tcPr>
            <w:tcW w:w="6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income tax expense</w:t>
            </w:r>
          </w:p>
        </w:tc>
        <w:tc>
          <w:tcPr>
            <w:tcW w:w="3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178</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276</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Add: interest expense, net</w:t>
            </w:r>
          </w:p>
        </w:tc>
        <w:tc>
          <w:tcPr>
            <w:tcW w:w="3980" w:type="dxa"/>
            <w:vAlign w:val="bottom"/>
          </w:tcPr>
          <w:p>
            <w:pPr>
              <w:jc w:val="right"/>
              <w:ind w:right="659"/>
              <w:spacing w:after="0"/>
              <w:rPr>
                <w:sz w:val="20"/>
                <w:szCs w:val="20"/>
                <w:color w:val="auto"/>
              </w:rPr>
            </w:pPr>
            <w:r>
              <w:rPr>
                <w:rFonts w:ascii="Arial" w:cs="Arial" w:eastAsia="Arial" w:hAnsi="Arial"/>
                <w:sz w:val="16"/>
                <w:szCs w:val="16"/>
                <w:b w:val="1"/>
                <w:bCs w:val="1"/>
                <w:color w:val="auto"/>
              </w:rPr>
              <w:t>89</w:t>
            </w:r>
          </w:p>
        </w:tc>
        <w:tc>
          <w:tcPr>
            <w:tcW w:w="1280" w:type="dxa"/>
            <w:vAlign w:val="bottom"/>
          </w:tcPr>
          <w:p>
            <w:pPr>
              <w:jc w:val="right"/>
              <w:ind w:right="18"/>
              <w:spacing w:after="0"/>
              <w:rPr>
                <w:sz w:val="20"/>
                <w:szCs w:val="20"/>
                <w:color w:val="auto"/>
              </w:rPr>
            </w:pPr>
            <w:r>
              <w:rPr>
                <w:rFonts w:ascii="Arial" w:cs="Arial" w:eastAsia="Arial" w:hAnsi="Arial"/>
                <w:sz w:val="16"/>
                <w:szCs w:val="16"/>
                <w:color w:val="auto"/>
              </w:rPr>
              <w:t>111</w:t>
            </w:r>
          </w:p>
        </w:tc>
      </w:tr>
      <w:tr>
        <w:trPr>
          <w:trHeight w:val="33"/>
        </w:trPr>
        <w:tc>
          <w:tcPr>
            <w:tcW w:w="61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before interest and income taxes</w:t>
            </w:r>
          </w:p>
        </w:tc>
        <w:tc>
          <w:tcPr>
            <w:tcW w:w="3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818</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854</w:t>
            </w:r>
          </w:p>
        </w:tc>
      </w:tr>
      <w:tr>
        <w:trPr>
          <w:trHeight w:val="297"/>
        </w:trPr>
        <w:tc>
          <w:tcPr>
            <w:tcW w:w="61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expenses</w:t>
            </w:r>
          </w:p>
        </w:tc>
        <w:tc>
          <w:tcPr>
            <w:tcW w:w="3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656</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686</w:t>
            </w:r>
          </w:p>
        </w:tc>
      </w:tr>
      <w:tr>
        <w:trPr>
          <w:trHeight w:val="270"/>
        </w:trPr>
        <w:tc>
          <w:tcPr>
            <w:tcW w:w="6160" w:type="dxa"/>
            <w:vAlign w:val="bottom"/>
          </w:tcPr>
          <w:p>
            <w:pPr>
              <w:ind w:left="40"/>
              <w:spacing w:after="0"/>
              <w:rPr>
                <w:sz w:val="20"/>
                <w:szCs w:val="20"/>
                <w:color w:val="auto"/>
              </w:rPr>
            </w:pPr>
            <w:r>
              <w:rPr>
                <w:rFonts w:ascii="Arial" w:cs="Arial" w:eastAsia="Arial" w:hAnsi="Arial"/>
                <w:sz w:val="16"/>
                <w:szCs w:val="16"/>
                <w:color w:val="auto"/>
              </w:rPr>
              <w:t>Add: lease costs, net</w:t>
            </w:r>
            <w:r>
              <w:rPr>
                <w:rFonts w:ascii="Arial" w:cs="Arial" w:eastAsia="Arial" w:hAnsi="Arial"/>
                <w:sz w:val="21"/>
                <w:szCs w:val="21"/>
                <w:color w:val="auto"/>
                <w:vertAlign w:val="superscript"/>
              </w:rPr>
              <w:t>3</w:t>
            </w:r>
          </w:p>
        </w:tc>
        <w:tc>
          <w:tcPr>
            <w:tcW w:w="3980" w:type="dxa"/>
            <w:vAlign w:val="bottom"/>
          </w:tcPr>
          <w:p>
            <w:pPr>
              <w:jc w:val="right"/>
              <w:ind w:right="659"/>
              <w:spacing w:after="0"/>
              <w:rPr>
                <w:sz w:val="20"/>
                <w:szCs w:val="20"/>
                <w:color w:val="auto"/>
              </w:rPr>
            </w:pPr>
            <w:r>
              <w:rPr>
                <w:rFonts w:ascii="Arial" w:cs="Arial" w:eastAsia="Arial" w:hAnsi="Arial"/>
                <w:sz w:val="16"/>
                <w:szCs w:val="16"/>
                <w:b w:val="1"/>
                <w:bCs w:val="1"/>
                <w:color w:val="auto"/>
              </w:rPr>
              <w:t>205</w:t>
            </w:r>
          </w:p>
        </w:tc>
        <w:tc>
          <w:tcPr>
            <w:tcW w:w="128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275"/>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rent expense, net</w:t>
            </w:r>
          </w:p>
        </w:tc>
        <w:tc>
          <w:tcPr>
            <w:tcW w:w="3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66</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251</w:t>
            </w:r>
          </w:p>
        </w:tc>
      </w:tr>
      <w:tr>
        <w:trPr>
          <w:trHeight w:val="231"/>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Adjusted EBITDAR</w:t>
            </w:r>
          </w:p>
        </w:tc>
        <w:tc>
          <w:tcPr>
            <w:tcW w:w="398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$1,745</w:t>
            </w:r>
          </w:p>
        </w:tc>
        <w:tc>
          <w:tcPr>
            <w:tcW w:w="12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$1,791</w:t>
            </w:r>
          </w:p>
        </w:tc>
      </w:tr>
      <w:tr>
        <w:trPr>
          <w:trHeight w:val="33"/>
        </w:trPr>
        <w:tc>
          <w:tcPr>
            <w:tcW w:w="61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91"/>
        </w:trPr>
        <w:tc>
          <w:tcPr>
            <w:tcW w:w="616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70"/>
        </w:trPr>
        <w:tc>
          <w:tcPr>
            <w:tcW w:w="6160" w:type="dxa"/>
            <w:vAlign w:val="bottom"/>
          </w:tcPr>
          <w:p>
            <w:pPr>
              <w:ind w:left="40"/>
              <w:spacing w:after="0"/>
              <w:rPr>
                <w:sz w:val="20"/>
                <w:szCs w:val="20"/>
                <w:color w:val="auto"/>
              </w:rPr>
            </w:pPr>
            <w:r>
              <w:rPr>
                <w:rFonts w:ascii="Arial" w:cs="Arial" w:eastAsia="Arial" w:hAnsi="Arial"/>
                <w:sz w:val="16"/>
                <w:szCs w:val="16"/>
                <w:b w:val="1"/>
                <w:bCs w:val="1"/>
                <w:color w:val="auto"/>
              </w:rPr>
              <w:t>Debt to Net Earnings</w:t>
            </w:r>
            <w:r>
              <w:rPr>
                <w:rFonts w:ascii="Arial" w:cs="Arial" w:eastAsia="Arial" w:hAnsi="Arial"/>
                <w:sz w:val="21"/>
                <w:szCs w:val="21"/>
                <w:color w:val="auto"/>
                <w:vertAlign w:val="superscript"/>
              </w:rPr>
              <w:t>4</w:t>
            </w:r>
          </w:p>
        </w:tc>
        <w:tc>
          <w:tcPr>
            <w:tcW w:w="3980" w:type="dxa"/>
            <w:vAlign w:val="bottom"/>
          </w:tcPr>
          <w:p>
            <w:pPr>
              <w:jc w:val="right"/>
              <w:ind w:right="659"/>
              <w:spacing w:after="0"/>
              <w:rPr>
                <w:sz w:val="20"/>
                <w:szCs w:val="20"/>
                <w:color w:val="auto"/>
              </w:rPr>
            </w:pPr>
            <w:r>
              <w:rPr>
                <w:rFonts w:ascii="Arial" w:cs="Arial" w:eastAsia="Arial" w:hAnsi="Arial"/>
                <w:sz w:val="16"/>
                <w:szCs w:val="16"/>
                <w:b w:val="1"/>
                <w:bCs w:val="1"/>
                <w:color w:val="auto"/>
              </w:rPr>
              <w:t>4.9</w:t>
            </w:r>
          </w:p>
        </w:tc>
        <w:tc>
          <w:tcPr>
            <w:tcW w:w="1280" w:type="dxa"/>
            <w:vAlign w:val="bottom"/>
          </w:tcPr>
          <w:p>
            <w:pPr>
              <w:jc w:val="right"/>
              <w:ind w:right="18"/>
              <w:spacing w:after="0"/>
              <w:rPr>
                <w:sz w:val="20"/>
                <w:szCs w:val="20"/>
                <w:color w:val="auto"/>
              </w:rPr>
            </w:pPr>
            <w:r>
              <w:rPr>
                <w:rFonts w:ascii="Arial" w:cs="Arial" w:eastAsia="Arial" w:hAnsi="Arial"/>
                <w:sz w:val="16"/>
                <w:szCs w:val="16"/>
                <w:color w:val="auto"/>
              </w:rPr>
              <w:t>5.8</w:t>
            </w:r>
          </w:p>
        </w:tc>
      </w:tr>
      <w:tr>
        <w:trPr>
          <w:trHeight w:val="270"/>
        </w:trPr>
        <w:tc>
          <w:tcPr>
            <w:tcW w:w="6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Adjusted Debt to EBITDAR</w:t>
            </w:r>
            <w:r>
              <w:rPr>
                <w:rFonts w:ascii="Arial" w:cs="Arial" w:eastAsia="Arial" w:hAnsi="Arial"/>
                <w:sz w:val="21"/>
                <w:szCs w:val="21"/>
                <w:color w:val="auto"/>
                <w:vertAlign w:val="superscript"/>
              </w:rPr>
              <w:t>4</w:t>
            </w:r>
          </w:p>
        </w:tc>
        <w:tc>
          <w:tcPr>
            <w:tcW w:w="3980" w:type="dxa"/>
            <w:vAlign w:val="bottom"/>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2.8</w:t>
            </w: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right="500" w:hanging="72"/>
        <w:spacing w:after="0" w:line="246" w:lineRule="auto"/>
        <w:tabs>
          <w:tab w:leader="none" w:pos="102" w:val="left"/>
        </w:tabs>
        <w:numPr>
          <w:ilvl w:val="0"/>
          <w:numId w:val="19"/>
        </w:numPr>
        <w:rPr>
          <w:rFonts w:ascii="Arial" w:cs="Arial" w:eastAsia="Arial" w:hAnsi="Arial"/>
          <w:sz w:val="9"/>
          <w:szCs w:val="9"/>
          <w:color w:val="auto"/>
        </w:rPr>
      </w:pPr>
      <w:r>
        <w:rPr>
          <w:rFonts w:ascii="Arial" w:cs="Arial" w:eastAsia="Arial" w:hAnsi="Arial"/>
          <w:sz w:val="14"/>
          <w:szCs w:val="14"/>
          <w:color w:val="auto"/>
        </w:rPr>
        <w:t>The components of Adjusted Debt are as of November 2, 2019 and November 3, 2018, while the components of Adjusted EBITDAR are for the four quarters ended November 2, 2019 and November 3, 2018.</w:t>
      </w:r>
    </w:p>
    <w:p>
      <w:pPr>
        <w:spacing w:after="0" w:line="1" w:lineRule="exact"/>
        <w:rPr>
          <w:sz w:val="20"/>
          <w:szCs w:val="20"/>
          <w:color w:val="auto"/>
        </w:rPr>
      </w:pPr>
    </w:p>
    <w:p>
      <w:pPr>
        <w:ind w:left="80" w:right="140" w:hanging="72"/>
        <w:spacing w:after="0" w:line="241" w:lineRule="auto"/>
        <w:tabs>
          <w:tab w:leader="none" w:pos="102" w:val="left"/>
        </w:tabs>
        <w:numPr>
          <w:ilvl w:val="0"/>
          <w:numId w:val="20"/>
        </w:numPr>
        <w:rPr>
          <w:rFonts w:ascii="Arial" w:cs="Arial" w:eastAsia="Arial" w:hAnsi="Arial"/>
          <w:sz w:val="9"/>
          <w:szCs w:val="9"/>
          <w:color w:val="auto"/>
        </w:rPr>
      </w:pPr>
      <w:r>
        <w:rPr>
          <w:rFonts w:ascii="Arial" w:cs="Arial" w:eastAsia="Arial" w:hAnsi="Arial"/>
          <w:sz w:val="14"/>
          <w:szCs w:val="14"/>
          <w:color w:val="auto"/>
        </w:rPr>
        <w:t>Based upon the estimated lease liability as of the end of the period, calculated as the trailing four quarters of rent expense multiplied by eight, a commonly used method of estimating the debt we would record for our leases that are classified as operating if they had met the criteria for a capital lease or we had purchased the property.</w:t>
      </w:r>
    </w:p>
    <w:p>
      <w:pPr>
        <w:spacing w:after="0" w:line="1" w:lineRule="exact"/>
        <w:rPr>
          <w:sz w:val="20"/>
          <w:szCs w:val="20"/>
          <w:color w:val="auto"/>
        </w:rPr>
      </w:pPr>
    </w:p>
    <w:p>
      <w:pPr>
        <w:ind w:left="80" w:hanging="72"/>
        <w:spacing w:after="0"/>
        <w:tabs>
          <w:tab w:leader="none" w:pos="80" w:val="left"/>
        </w:tabs>
        <w:numPr>
          <w:ilvl w:val="0"/>
          <w:numId w:val="21"/>
        </w:numPr>
        <w:rPr>
          <w:rFonts w:ascii="Arial" w:cs="Arial" w:eastAsia="Arial" w:hAnsi="Arial"/>
          <w:sz w:val="9"/>
          <w:szCs w:val="9"/>
          <w:color w:val="auto"/>
        </w:rPr>
      </w:pPr>
      <w:r>
        <w:rPr>
          <w:rFonts w:ascii="Arial" w:cs="Arial" w:eastAsia="Arial" w:hAnsi="Arial"/>
          <w:sz w:val="14"/>
          <w:szCs w:val="14"/>
          <w:color w:val="auto"/>
        </w:rPr>
        <w:t>As a result of the adoption of the Lease Standard, we add back lease costs, net to calculate Adjusted EBITDAR.</w:t>
      </w:r>
    </w:p>
    <w:p>
      <w:pPr>
        <w:spacing w:after="0" w:line="1" w:lineRule="exact"/>
        <w:rPr>
          <w:sz w:val="20"/>
          <w:szCs w:val="20"/>
          <w:color w:val="auto"/>
        </w:rPr>
      </w:pPr>
    </w:p>
    <w:p>
      <w:pPr>
        <w:ind w:left="80" w:right="40" w:hanging="72"/>
        <w:spacing w:after="0" w:line="293" w:lineRule="auto"/>
        <w:tabs>
          <w:tab w:leader="none" w:pos="66" w:val="left"/>
        </w:tabs>
        <w:numPr>
          <w:ilvl w:val="0"/>
          <w:numId w:val="22"/>
        </w:numPr>
        <w:rPr>
          <w:rFonts w:ascii="Arial" w:cs="Arial" w:eastAsia="Arial" w:hAnsi="Arial"/>
          <w:sz w:val="8"/>
          <w:szCs w:val="8"/>
          <w:color w:val="auto"/>
        </w:rPr>
      </w:pPr>
      <w:r>
        <w:rPr>
          <w:rFonts w:ascii="Arial" w:cs="Arial" w:eastAsia="Arial" w:hAnsi="Arial"/>
          <w:sz w:val="13"/>
          <w:szCs w:val="13"/>
          <w:color w:val="auto"/>
        </w:rPr>
        <w:t>Results for the four quarters ended November 3, 2018 included the $72 impact related to the Estimated Non-recurring Charge, which negatively impacted Debt to Net Earnings by 0.5 and Adjusted Debt to EBITDAR by 0.1. For the four quarters ended November 2, 2019, the adoption of the Lease Standard had no impact on Debt to Net Earnings nor Adjusted Debt to EBITDAR.</w:t>
      </w:r>
    </w:p>
    <w:p>
      <w:pPr>
        <w:sectPr>
          <w:pgSz w:w="11900" w:h="16838" w:orient="portrait"/>
          <w:cols w:equalWidth="0" w:num="1">
            <w:col w:w="11420"/>
          </w:cols>
          <w:pgMar w:left="240" w:top="279" w:right="239" w:bottom="1440" w:gutter="0" w:footer="0" w:header="0"/>
        </w:sect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 of 28</w:t>
      </w:r>
    </w:p>
    <w:p>
      <w:pPr>
        <w:sectPr>
          <w:pgSz w:w="11900" w:h="16838" w:orient="portrait"/>
          <w:cols w:equalWidth="0" w:num="1">
            <w:col w:w="11420"/>
          </w:cols>
          <w:pgMar w:left="240" w:top="279" w:right="239" w:bottom="1440" w:gutter="0" w:footer="0" w:header="0"/>
          <w:type w:val="continuous"/>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As of November 2, 2019, there have been no material changes to our off-balance sheet arrangements as disclosed in our 2018 Annual Report except for our operating leases, which are recorded on the balance sheet as a result of adopting the Lease Standard.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preparation of our financial statements requires that we make estimates and judgments that affect the reported amounts of assets, liabilities, revenues and expenses, and disclosure of contingent assets and liabilities. We base our estimates on historical experience and other assumptions that we believe to be reasonable under the circumstances. Actual results may differ from these estimates. We believe that the estimates, assumptions and judgments involved in the accounting policies referred to in our 2018 Annual Report have the greatest potential effect on our financial statements, so we consider these to be our critical accounting policies and estimates. Our management has discussed the development and selection of these critical accounting estimates with the Audit &amp; Finance Committee of our Board of Directors.</w:t>
      </w:r>
    </w:p>
    <w:p>
      <w:pPr>
        <w:spacing w:after="0" w:line="14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Except as disclosed in Note 2: Leases of Item 1, pertaining to our adoption of the Lease Standard, there have been no material changes to our significant accounting policies or critical accounting estimates as described in our 2018 Annual Report.</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6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discussed our interest rate risk and our foreign currency exchange risk in our 2018 Annual Report. There have been no material changes to these risks since that time.</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7"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As of the end of the period covered by this Quarterly Report on Form 10-Q, we performed an evaluation under the supervision and with the participation of management, including our principal executive officer and principal financial officer, of the design and effectiveness of our disclosure controls and procedures (as defined in Rules 13a-15(e) or 15d-15(e) under the Exchange Act). Based upon that evaluation, our principal executive officer and principal financial officer concluded that, as of the end of the period covered by this Quarterly Report, our disclosure controls and procedures were effective in the timely and accurate recording, processing, summarizing and reporting of material financial and non-financial information within the time periods specified within the SEC’s rules and forms. Our principal executive officer and principal financial officer also concluded that our disclosure controls and procedures were effective to ensure that information required to be disclosed in the reports that we file or submit under the Exchange Act is accumulated and communicated to our management, including our principal executive officer and principal financial officer, to allow timely decisions regarding required disclosure.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During the nine months ended November 2, 2019, we adopted the Lease Standard. As a result of our adoption of the Lease Standard, we implemented a new lease accounting information system and modified our processes and internal controls over lease accounting.</w:t>
      </w:r>
    </w:p>
    <w:p>
      <w:pPr>
        <w:spacing w:after="0" w:line="13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were no other changes in our internal control over financial reporting (as defined in Rules 13a-15(f) or 15d-15(f) of the Exchange Act) during our most recently completed fiscal quarter that have materially affected, or are reasonably likely to materially affect, our internal control over financial reporting.</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 of 28</w:t>
      </w:r>
    </w:p>
    <w:p>
      <w:pPr>
        <w:sectPr>
          <w:pgSz w:w="11900" w:h="16838" w:orient="portrait"/>
          <w:cols w:equalWidth="0" w:num="1">
            <w:col w:w="11360"/>
          </w:cols>
          <w:pgMar w:left="240" w:top="279" w:right="29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PART II —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subject from time to time to various claims and lawsuits arising in the ordinary course of business, including lawsuits alleging violations of state and/or federal wage and hour and other employment laws, privacy and other consumer-based claims. Some of these lawsuits include certified classes of litigants, or purport or may be determined to be class or collective actions and seek substantial damages or injunctive relief, or both, and some may remain unresolved for several years. We believe the recorded accruals in our Condensed Consolidated Financial Statements are adequate in light of the probable and estimable liabilities. As of the date of this report, we do not believe any currently identified claim, proceeding or litigation, either alone or in the aggregate, will have a material impact on our results of operations, financial position or cash flows. Since these matters are subject to inherent uncertainties, our view of them may change in the future.</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we discussed in our 2018 Annual Report.</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SHARE REPURCHASES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and share amounts in millions, except per share amounts)</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August 2018, our Board of Directors authorized a program to repurchase up to $1,500 of our outstanding common stock, with no expiration date. During the third quarter of 2019, we did not repurchase any shares of our common stock and we had $707 remaining in share repurchase capacity as of November 2, 2019. The actual timing, price, manner and amounts of future share repurchases, if any, will be subject to market and economic conditions and applicable SEC rules.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Exhibits are incorporated herein by reference or are filed or furnished with this report as set forth in the Exhibit Index on page 27 hereof.</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 of 28</w:t>
      </w:r>
    </w:p>
    <w:p>
      <w:pPr>
        <w:sectPr>
          <w:pgSz w:w="11900" w:h="16838" w:orient="portrait"/>
          <w:cols w:equalWidth="0" w:num="1">
            <w:col w:w="11340"/>
          </w:cols>
          <w:pgMar w:left="240" w:top="279" w:right="31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Index</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0" w:type="dxa"/>
            <w:vAlign w:val="bottom"/>
            <w:gridSpan w:val="6"/>
          </w:tcPr>
          <w:p>
            <w:pPr>
              <w:ind w:left="900"/>
              <w:spacing w:after="0"/>
              <w:rPr>
                <w:sz w:val="20"/>
                <w:szCs w:val="20"/>
                <w:color w:val="auto"/>
              </w:rPr>
            </w:pPr>
            <w:r>
              <w:rPr>
                <w:rFonts w:ascii="Arial" w:cs="Arial" w:eastAsia="Arial" w:hAnsi="Arial"/>
                <w:sz w:val="18"/>
                <w:szCs w:val="18"/>
                <w:b w:val="1"/>
                <w:bCs w:val="1"/>
                <w:color w:val="auto"/>
              </w:rPr>
              <w:t>Exhibit</w:t>
            </w:r>
          </w:p>
        </w:tc>
        <w:tc>
          <w:tcPr>
            <w:tcW w:w="4200" w:type="dxa"/>
            <w:vAlign w:val="bottom"/>
          </w:tcPr>
          <w:p>
            <w:pPr>
              <w:ind w:left="1500"/>
              <w:spacing w:after="0"/>
              <w:rPr>
                <w:sz w:val="20"/>
                <w:szCs w:val="20"/>
                <w:color w:val="auto"/>
              </w:rPr>
            </w:pPr>
            <w:r>
              <w:rPr>
                <w:rFonts w:ascii="Arial" w:cs="Arial" w:eastAsia="Arial" w:hAnsi="Arial"/>
                <w:sz w:val="18"/>
                <w:szCs w:val="18"/>
                <w:b w:val="1"/>
                <w:bCs w:val="1"/>
                <w:color w:val="auto"/>
              </w:rPr>
              <w:t>Method of Filing</w:t>
            </w:r>
          </w:p>
        </w:tc>
      </w:tr>
      <w:tr>
        <w:trPr>
          <w:trHeight w:val="27"/>
        </w:trPr>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196"/>
        </w:trPr>
        <w:tc>
          <w:tcPr>
            <w:tcW w:w="360" w:type="dxa"/>
            <w:vAlign w:val="bottom"/>
            <w:gridSpan w:val="3"/>
          </w:tcPr>
          <w:p>
            <w:pPr>
              <w:ind w:left="40"/>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720" w:type="dxa"/>
            <w:vAlign w:val="bottom"/>
          </w:tcPr>
          <w:p>
            <w:pPr>
              <w:spacing w:after="0"/>
              <w:rPr>
                <w:sz w:val="17"/>
                <w:szCs w:val="17"/>
                <w:color w:val="auto"/>
              </w:rPr>
            </w:pPr>
          </w:p>
        </w:tc>
        <w:tc>
          <w:tcPr>
            <w:tcW w:w="6140" w:type="dxa"/>
            <w:vAlign w:val="bottom"/>
            <w:gridSpan w:val="8"/>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Form of 4.375% Note due 2030</w:t>
              </w:r>
            </w:hyperlink>
          </w:p>
        </w:tc>
        <w:tc>
          <w:tcPr>
            <w:tcW w:w="4200" w:type="dxa"/>
            <w:vAlign w:val="bottom"/>
          </w:tcPr>
          <w:p>
            <w:pPr>
              <w:ind w:left="120"/>
              <w:spacing w:after="0" w:line="196" w:lineRule="exact"/>
              <w:rPr>
                <w:sz w:val="20"/>
                <w:szCs w:val="20"/>
                <w:color w:val="auto"/>
              </w:rPr>
            </w:pPr>
            <w:r>
              <w:rPr>
                <w:rFonts w:ascii="Arial" w:cs="Arial" w:eastAsia="Arial" w:hAnsi="Arial"/>
                <w:sz w:val="18"/>
                <w:szCs w:val="18"/>
                <w:color w:val="auto"/>
                <w:w w:val="95"/>
              </w:rPr>
              <w:t>Incorporated by reference from the Registrant’s Form</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Borders>
              <w:top w:val="single" w:sz="8" w:color="0000FF"/>
            </w:tcBorders>
          </w:tcPr>
          <w:p>
            <w:pPr>
              <w:spacing w:after="0"/>
              <w:rPr>
                <w:sz w:val="20"/>
                <w:szCs w:val="20"/>
                <w:color w:val="auto"/>
              </w:rPr>
            </w:pPr>
          </w:p>
        </w:tc>
        <w:tc>
          <w:tcPr>
            <w:tcW w:w="780" w:type="dxa"/>
            <w:vAlign w:val="bottom"/>
            <w:tcBorders>
              <w:top w:val="single" w:sz="8" w:color="0000FF"/>
            </w:tcBorders>
          </w:tcPr>
          <w:p>
            <w:pPr>
              <w:spacing w:after="0"/>
              <w:rPr>
                <w:sz w:val="20"/>
                <w:szCs w:val="20"/>
                <w:color w:val="auto"/>
              </w:rPr>
            </w:pPr>
          </w:p>
        </w:tc>
        <w:tc>
          <w:tcPr>
            <w:tcW w:w="940" w:type="dxa"/>
            <w:vAlign w:val="bottom"/>
            <w:tcBorders>
              <w:top w:val="single" w:sz="8" w:color="0000FF"/>
            </w:tcBorders>
          </w:tcPr>
          <w:p>
            <w:pPr>
              <w:spacing w:after="0"/>
              <w:rPr>
                <w:sz w:val="20"/>
                <w:szCs w:val="20"/>
                <w:color w:val="auto"/>
              </w:rPr>
            </w:pPr>
          </w:p>
        </w:tc>
        <w:tc>
          <w:tcPr>
            <w:tcW w:w="3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0" w:type="dxa"/>
            <w:vAlign w:val="bottom"/>
          </w:tcPr>
          <w:p>
            <w:pPr>
              <w:ind w:left="120"/>
              <w:spacing w:after="0"/>
              <w:rPr>
                <w:sz w:val="20"/>
                <w:szCs w:val="20"/>
                <w:color w:val="auto"/>
              </w:rPr>
            </w:pPr>
            <w:r>
              <w:rPr>
                <w:rFonts w:ascii="Arial" w:cs="Arial" w:eastAsia="Arial" w:hAnsi="Arial"/>
                <w:sz w:val="18"/>
                <w:szCs w:val="18"/>
                <w:color w:val="auto"/>
              </w:rPr>
              <w:t>8-K filed on November 6, 2019, Exhibit 4.1</w:t>
            </w:r>
          </w:p>
        </w:tc>
      </w:tr>
      <w:tr>
        <w:trPr>
          <w:trHeight w:val="351"/>
        </w:trPr>
        <w:tc>
          <w:tcPr>
            <w:tcW w:w="360" w:type="dxa"/>
            <w:vAlign w:val="bottom"/>
            <w:gridSpan w:val="3"/>
          </w:tcPr>
          <w:p>
            <w:pPr>
              <w:ind w:left="40"/>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1</w:t>
              </w:r>
            </w:hyperlink>
          </w:p>
        </w:tc>
        <w:tc>
          <w:tcPr>
            <w:tcW w:w="720" w:type="dxa"/>
            <w:vAlign w:val="bottom"/>
          </w:tcPr>
          <w:p>
            <w:pPr>
              <w:spacing w:after="0"/>
              <w:rPr>
                <w:sz w:val="24"/>
                <w:szCs w:val="24"/>
                <w:color w:val="auto"/>
              </w:rPr>
            </w:pPr>
          </w:p>
        </w:tc>
        <w:tc>
          <w:tcPr>
            <w:tcW w:w="6140" w:type="dxa"/>
            <w:vAlign w:val="bottom"/>
            <w:gridSpan w:val="8"/>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Form of 2019 Restricted Stock Unit Award Agreement, Supplemental Award</w:t>
              </w:r>
            </w:hyperlink>
          </w:p>
        </w:tc>
        <w:tc>
          <w:tcPr>
            <w:tcW w:w="420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372"/>
        </w:trPr>
        <w:tc>
          <w:tcPr>
            <w:tcW w:w="360" w:type="dxa"/>
            <w:vAlign w:val="bottom"/>
            <w:gridSpan w:val="3"/>
          </w:tcPr>
          <w:p>
            <w:pPr>
              <w:ind w:left="40"/>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1</w:t>
              </w:r>
            </w:hyperlink>
          </w:p>
        </w:tc>
        <w:tc>
          <w:tcPr>
            <w:tcW w:w="720" w:type="dxa"/>
            <w:vAlign w:val="bottom"/>
          </w:tcPr>
          <w:p>
            <w:pPr>
              <w:spacing w:after="0"/>
              <w:rPr>
                <w:sz w:val="24"/>
                <w:szCs w:val="24"/>
                <w:color w:val="auto"/>
              </w:rPr>
            </w:pPr>
          </w:p>
        </w:tc>
        <w:tc>
          <w:tcPr>
            <w:tcW w:w="6140" w:type="dxa"/>
            <w:vAlign w:val="bottom"/>
            <w:gridSpan w:val="8"/>
          </w:tcPr>
          <w:p>
            <w:pPr>
              <w:spacing w:after="0"/>
              <w:rPr>
                <w:rFonts w:ascii="Arial" w:cs="Arial" w:eastAsia="Arial" w:hAnsi="Arial"/>
                <w:sz w:val="18"/>
                <w:szCs w:val="18"/>
                <w:color w:val="0000FF"/>
                <w:w w:val="93"/>
              </w:rPr>
            </w:pPr>
            <w:hyperlink w:anchor="page34">
              <w:r>
                <w:rPr>
                  <w:rFonts w:ascii="Arial" w:cs="Arial" w:eastAsia="Arial" w:hAnsi="Arial"/>
                  <w:sz w:val="18"/>
                  <w:szCs w:val="18"/>
                  <w:color w:val="0000FF"/>
                  <w:w w:val="93"/>
                </w:rPr>
                <w:t>Certification of Co-President required by Section 302(a) of the Sarbanes-Oxley Act</w:t>
              </w:r>
            </w:hyperlink>
          </w:p>
        </w:tc>
        <w:tc>
          <w:tcPr>
            <w:tcW w:w="420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w:anchor="page34">
              <w:r>
                <w:rPr>
                  <w:rFonts w:ascii="Arial" w:cs="Arial" w:eastAsia="Arial" w:hAnsi="Arial"/>
                  <w:sz w:val="18"/>
                  <w:szCs w:val="18"/>
                  <w:color w:val="0000FF"/>
                  <w:w w:val="89"/>
                </w:rPr>
                <w:t>of 2002</w:t>
              </w:r>
            </w:hyperlink>
          </w:p>
        </w:tc>
        <w:tc>
          <w:tcPr>
            <w:tcW w:w="5460" w:type="dxa"/>
            <w:vAlign w:val="bottom"/>
            <w:tcBorders>
              <w:top w:val="single" w:sz="8" w:color="0000FF"/>
            </w:tcBorders>
            <w:gridSpan w:val="6"/>
          </w:tcPr>
          <w:p>
            <w:pPr>
              <w:spacing w:after="0"/>
              <w:rPr>
                <w:sz w:val="17"/>
                <w:szCs w:val="17"/>
                <w:color w:val="auto"/>
              </w:rPr>
            </w:pPr>
          </w:p>
        </w:tc>
        <w:tc>
          <w:tcPr>
            <w:tcW w:w="120" w:type="dxa"/>
            <w:vAlign w:val="bottom"/>
          </w:tcPr>
          <w:p>
            <w:pPr>
              <w:spacing w:after="0"/>
              <w:rPr>
                <w:sz w:val="17"/>
                <w:szCs w:val="17"/>
                <w:color w:val="auto"/>
              </w:rPr>
            </w:pPr>
          </w:p>
        </w:tc>
        <w:tc>
          <w:tcPr>
            <w:tcW w:w="4200" w:type="dxa"/>
            <w:vAlign w:val="bottom"/>
          </w:tcPr>
          <w:p>
            <w:pPr>
              <w:spacing w:after="0"/>
              <w:rPr>
                <w:sz w:val="17"/>
                <w:szCs w:val="17"/>
                <w:color w:val="auto"/>
              </w:rPr>
            </w:pPr>
          </w:p>
        </w:tc>
      </w:tr>
      <w:tr>
        <w:trPr>
          <w:trHeight w:val="372"/>
        </w:trPr>
        <w:tc>
          <w:tcPr>
            <w:tcW w:w="360" w:type="dxa"/>
            <w:vAlign w:val="bottom"/>
            <w:gridSpan w:val="3"/>
          </w:tcPr>
          <w:p>
            <w:pPr>
              <w:ind w:left="40"/>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2</w:t>
              </w:r>
            </w:hyperlink>
          </w:p>
        </w:tc>
        <w:tc>
          <w:tcPr>
            <w:tcW w:w="720" w:type="dxa"/>
            <w:vAlign w:val="bottom"/>
          </w:tcPr>
          <w:p>
            <w:pPr>
              <w:spacing w:after="0"/>
              <w:rPr>
                <w:sz w:val="24"/>
                <w:szCs w:val="24"/>
                <w:color w:val="auto"/>
              </w:rPr>
            </w:pPr>
          </w:p>
        </w:tc>
        <w:tc>
          <w:tcPr>
            <w:tcW w:w="6140" w:type="dxa"/>
            <w:vAlign w:val="bottom"/>
            <w:gridSpan w:val="8"/>
          </w:tcPr>
          <w:p>
            <w:pPr>
              <w:spacing w:after="0"/>
              <w:rPr>
                <w:rFonts w:ascii="Arial" w:cs="Arial" w:eastAsia="Arial" w:hAnsi="Arial"/>
                <w:sz w:val="18"/>
                <w:szCs w:val="18"/>
                <w:color w:val="0000FF"/>
                <w:w w:val="93"/>
              </w:rPr>
            </w:pPr>
            <w:hyperlink w:anchor="page35">
              <w:r>
                <w:rPr>
                  <w:rFonts w:ascii="Arial" w:cs="Arial" w:eastAsia="Arial" w:hAnsi="Arial"/>
                  <w:sz w:val="18"/>
                  <w:szCs w:val="18"/>
                  <w:color w:val="0000FF"/>
                  <w:w w:val="93"/>
                </w:rPr>
                <w:t>Certification of Chief Financial Officer required by Section 302(a) of the Sarbanes-</w:t>
              </w:r>
            </w:hyperlink>
          </w:p>
        </w:tc>
        <w:tc>
          <w:tcPr>
            <w:tcW w:w="420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2"/>
              </w:rPr>
            </w:pPr>
            <w:hyperlink w:anchor="page35">
              <w:r>
                <w:rPr>
                  <w:rFonts w:ascii="Arial" w:cs="Arial" w:eastAsia="Arial" w:hAnsi="Arial"/>
                  <w:sz w:val="18"/>
                  <w:szCs w:val="18"/>
                  <w:color w:val="0000FF"/>
                  <w:w w:val="92"/>
                </w:rPr>
                <w:t>Oxley Act of 2002</w:t>
              </w:r>
            </w:hyperlink>
          </w:p>
        </w:tc>
        <w:tc>
          <w:tcPr>
            <w:tcW w:w="4660" w:type="dxa"/>
            <w:vAlign w:val="bottom"/>
            <w:tcBorders>
              <w:top w:val="single" w:sz="8" w:color="0000FF"/>
            </w:tcBorders>
            <w:gridSpan w:val="4"/>
          </w:tcPr>
          <w:p>
            <w:pPr>
              <w:spacing w:after="0"/>
              <w:rPr>
                <w:sz w:val="17"/>
                <w:szCs w:val="17"/>
                <w:color w:val="auto"/>
              </w:rPr>
            </w:pPr>
          </w:p>
        </w:tc>
        <w:tc>
          <w:tcPr>
            <w:tcW w:w="140" w:type="dxa"/>
            <w:vAlign w:val="bottom"/>
            <w:gridSpan w:val="2"/>
          </w:tcPr>
          <w:p>
            <w:pPr>
              <w:spacing w:after="0"/>
              <w:rPr>
                <w:sz w:val="17"/>
                <w:szCs w:val="17"/>
                <w:color w:val="auto"/>
              </w:rPr>
            </w:pPr>
          </w:p>
        </w:tc>
        <w:tc>
          <w:tcPr>
            <w:tcW w:w="4200" w:type="dxa"/>
            <w:vAlign w:val="bottom"/>
          </w:tcPr>
          <w:p>
            <w:pPr>
              <w:spacing w:after="0"/>
              <w:rPr>
                <w:sz w:val="17"/>
                <w:szCs w:val="17"/>
                <w:color w:val="auto"/>
              </w:rPr>
            </w:pPr>
          </w:p>
        </w:tc>
      </w:tr>
      <w:tr>
        <w:trPr>
          <w:trHeight w:val="372"/>
        </w:trPr>
        <w:tc>
          <w:tcPr>
            <w:tcW w:w="360" w:type="dxa"/>
            <w:vAlign w:val="bottom"/>
            <w:gridSpan w:val="3"/>
          </w:tcPr>
          <w:p>
            <w:pPr>
              <w:ind w:left="40"/>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1</w:t>
              </w:r>
            </w:hyperlink>
          </w:p>
        </w:tc>
        <w:tc>
          <w:tcPr>
            <w:tcW w:w="720" w:type="dxa"/>
            <w:vAlign w:val="bottom"/>
          </w:tcPr>
          <w:p>
            <w:pPr>
              <w:spacing w:after="0"/>
              <w:rPr>
                <w:sz w:val="24"/>
                <w:szCs w:val="24"/>
                <w:color w:val="auto"/>
              </w:rPr>
            </w:pPr>
          </w:p>
        </w:tc>
        <w:tc>
          <w:tcPr>
            <w:tcW w:w="6140" w:type="dxa"/>
            <w:vAlign w:val="bottom"/>
            <w:gridSpan w:val="8"/>
          </w:tcPr>
          <w:p>
            <w:pPr>
              <w:spacing w:after="0"/>
              <w:rPr>
                <w:rFonts w:ascii="Arial" w:cs="Arial" w:eastAsia="Arial" w:hAnsi="Arial"/>
                <w:sz w:val="18"/>
                <w:szCs w:val="18"/>
                <w:color w:val="0000FF"/>
                <w:w w:val="98"/>
              </w:rPr>
            </w:pPr>
            <w:hyperlink w:anchor="page36">
              <w:r>
                <w:rPr>
                  <w:rFonts w:ascii="Arial" w:cs="Arial" w:eastAsia="Arial" w:hAnsi="Arial"/>
                  <w:sz w:val="18"/>
                  <w:szCs w:val="18"/>
                  <w:color w:val="0000FF"/>
                  <w:w w:val="98"/>
                </w:rPr>
                <w:t>Certification of Co-President and Chief Financial Officer pursuant to 18 U.S.C.</w:t>
              </w:r>
            </w:hyperlink>
          </w:p>
        </w:tc>
        <w:tc>
          <w:tcPr>
            <w:tcW w:w="4200" w:type="dxa"/>
            <w:vAlign w:val="bottom"/>
          </w:tcPr>
          <w:p>
            <w:pPr>
              <w:ind w:left="120"/>
              <w:spacing w:after="0"/>
              <w:rPr>
                <w:sz w:val="20"/>
                <w:szCs w:val="20"/>
                <w:color w:val="auto"/>
              </w:rPr>
            </w:pPr>
            <w:r>
              <w:rPr>
                <w:rFonts w:ascii="Arial" w:cs="Arial" w:eastAsia="Arial" w:hAnsi="Arial"/>
                <w:sz w:val="18"/>
                <w:szCs w:val="18"/>
                <w:color w:val="auto"/>
              </w:rPr>
              <w:t>Furnished herewith electronically</w:t>
            </w:r>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720" w:type="dxa"/>
            <w:vAlign w:val="bottom"/>
          </w:tcPr>
          <w:p>
            <w:pPr>
              <w:spacing w:after="0"/>
              <w:rPr>
                <w:sz w:val="17"/>
                <w:szCs w:val="17"/>
                <w:color w:val="auto"/>
              </w:rPr>
            </w:pPr>
          </w:p>
        </w:tc>
        <w:tc>
          <w:tcPr>
            <w:tcW w:w="55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9"/>
              </w:rPr>
            </w:pPr>
            <w:hyperlink w:anchor="page36">
              <w:r>
                <w:rPr>
                  <w:rFonts w:ascii="Arial" w:cs="Arial" w:eastAsia="Arial" w:hAnsi="Arial"/>
                  <w:sz w:val="18"/>
                  <w:szCs w:val="18"/>
                  <w:color w:val="0000FF"/>
                  <w:w w:val="89"/>
                </w:rPr>
                <w:t>1350, as adopted pursuant to Section 906 of the Sarbanes-Oxley Act of 2002</w:t>
              </w:r>
            </w:hyperlink>
          </w:p>
        </w:tc>
        <w:tc>
          <w:tcPr>
            <w:tcW w:w="180" w:type="dxa"/>
            <w:vAlign w:val="bottom"/>
            <w:tcBorders>
              <w:top w:val="single" w:sz="8" w:color="0000FF"/>
            </w:tcBorders>
          </w:tcPr>
          <w:p>
            <w:pPr>
              <w:spacing w:after="0"/>
              <w:rPr>
                <w:sz w:val="17"/>
                <w:szCs w:val="17"/>
                <w:color w:val="auto"/>
              </w:rPr>
            </w:pPr>
          </w:p>
        </w:tc>
        <w:tc>
          <w:tcPr>
            <w:tcW w:w="420" w:type="dxa"/>
            <w:vAlign w:val="bottom"/>
            <w:gridSpan w:val="3"/>
          </w:tcPr>
          <w:p>
            <w:pPr>
              <w:spacing w:after="0"/>
              <w:rPr>
                <w:sz w:val="17"/>
                <w:szCs w:val="17"/>
                <w:color w:val="auto"/>
              </w:rPr>
            </w:pPr>
          </w:p>
        </w:tc>
        <w:tc>
          <w:tcPr>
            <w:tcW w:w="4200" w:type="dxa"/>
            <w:vAlign w:val="bottom"/>
          </w:tcPr>
          <w:p>
            <w:pPr>
              <w:spacing w:after="0"/>
              <w:rPr>
                <w:sz w:val="17"/>
                <w:szCs w:val="17"/>
                <w:color w:val="auto"/>
              </w:rPr>
            </w:pPr>
          </w:p>
        </w:tc>
      </w:tr>
      <w:tr>
        <w:trPr>
          <w:trHeight w:val="412"/>
        </w:trPr>
        <w:tc>
          <w:tcPr>
            <w:tcW w:w="4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6140" w:type="dxa"/>
            <w:vAlign w:val="bottom"/>
            <w:gridSpan w:val="8"/>
          </w:tcPr>
          <w:p>
            <w:pPr>
              <w:spacing w:after="0"/>
              <w:rPr>
                <w:sz w:val="20"/>
                <w:szCs w:val="20"/>
                <w:color w:val="auto"/>
              </w:rPr>
            </w:pPr>
            <w:r>
              <w:rPr>
                <w:rFonts w:ascii="Arial" w:cs="Arial" w:eastAsia="Arial" w:hAnsi="Arial"/>
                <w:sz w:val="18"/>
                <w:szCs w:val="18"/>
                <w:color w:val="auto"/>
              </w:rPr>
              <w:t>Inline XBRL Instance Document</w:t>
            </w:r>
          </w:p>
        </w:tc>
        <w:tc>
          <w:tcPr>
            <w:tcW w:w="420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4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614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420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4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614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420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4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6140" w:type="dxa"/>
            <w:vAlign w:val="bottom"/>
            <w:gridSpan w:val="8"/>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420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4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614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420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4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614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420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360" w:type="dxa"/>
            <w:vAlign w:val="bottom"/>
            <w:gridSpan w:val="3"/>
          </w:tcPr>
          <w:p>
            <w:pPr>
              <w:ind w:left="40"/>
              <w:spacing w:after="0"/>
              <w:rPr>
                <w:sz w:val="20"/>
                <w:szCs w:val="20"/>
                <w:color w:val="auto"/>
              </w:rPr>
            </w:pPr>
            <w:r>
              <w:rPr>
                <w:rFonts w:ascii="Arial" w:cs="Arial" w:eastAsia="Arial" w:hAnsi="Arial"/>
                <w:sz w:val="18"/>
                <w:szCs w:val="18"/>
                <w:color w:val="auto"/>
                <w:w w:val="93"/>
              </w:rPr>
              <w:t>104</w:t>
            </w:r>
          </w:p>
        </w:tc>
        <w:tc>
          <w:tcPr>
            <w:tcW w:w="720" w:type="dxa"/>
            <w:vAlign w:val="bottom"/>
          </w:tcPr>
          <w:p>
            <w:pPr>
              <w:spacing w:after="0"/>
              <w:rPr>
                <w:sz w:val="24"/>
                <w:szCs w:val="24"/>
                <w:color w:val="auto"/>
              </w:rPr>
            </w:pPr>
          </w:p>
        </w:tc>
        <w:tc>
          <w:tcPr>
            <w:tcW w:w="6140" w:type="dxa"/>
            <w:vAlign w:val="bottom"/>
            <w:gridSpan w:val="8"/>
          </w:tcPr>
          <w:p>
            <w:pPr>
              <w:spacing w:after="0"/>
              <w:rPr>
                <w:sz w:val="20"/>
                <w:szCs w:val="20"/>
                <w:color w:val="auto"/>
              </w:rPr>
            </w:pPr>
            <w:r>
              <w:rPr>
                <w:rFonts w:ascii="Arial" w:cs="Arial" w:eastAsia="Arial" w:hAnsi="Arial"/>
                <w:sz w:val="18"/>
                <w:szCs w:val="18"/>
                <w:color w:val="auto"/>
              </w:rPr>
              <w:t>Cover Page Interactive Data File (Inline XBRL)</w:t>
            </w:r>
          </w:p>
        </w:tc>
        <w:tc>
          <w:tcPr>
            <w:tcW w:w="420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27"/>
        </w:trPr>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588"/>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60" w:type="dxa"/>
            <w:vAlign w:val="bottom"/>
            <w:gridSpan w:val="5"/>
          </w:tcPr>
          <w:p>
            <w:pPr>
              <w:ind w:left="2060"/>
              <w:spacing w:after="0"/>
              <w:rPr>
                <w:sz w:val="20"/>
                <w:szCs w:val="20"/>
                <w:color w:val="auto"/>
              </w:rPr>
            </w:pPr>
            <w:r>
              <w:rPr>
                <w:rFonts w:ascii="Arial" w:cs="Arial" w:eastAsia="Arial" w:hAnsi="Arial"/>
                <w:sz w:val="18"/>
                <w:szCs w:val="18"/>
                <w:color w:val="auto"/>
              </w:rPr>
              <w:t>27 of 28</w:t>
            </w:r>
          </w:p>
        </w:tc>
        <w:tc>
          <w:tcPr>
            <w:tcW w:w="4200" w:type="dxa"/>
            <w:vAlign w:val="bottom"/>
          </w:tcPr>
          <w:p>
            <w:pPr>
              <w:spacing w:after="0"/>
              <w:rPr>
                <w:sz w:val="24"/>
                <w:szCs w:val="24"/>
                <w:color w:val="auto"/>
              </w:rPr>
            </w:pPr>
          </w:p>
        </w:tc>
      </w:tr>
    </w:tbl>
    <w:p>
      <w:pPr>
        <w:sectPr>
          <w:pgSz w:w="11900" w:h="16838" w:orient="portrait"/>
          <w:cols w:equalWidth="0" w:num="1">
            <w:col w:w="11420"/>
          </w:cols>
          <w:pgMar w:left="240" w:top="279"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SIGNATURES</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NORDSTROM, INC.</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5000"/>
        <w:spacing w:after="0"/>
        <w:rPr>
          <w:sz w:val="20"/>
          <w:szCs w:val="20"/>
          <w:color w:val="auto"/>
        </w:rPr>
      </w:pPr>
      <w:r>
        <w:rPr>
          <w:rFonts w:ascii="Arial" w:cs="Arial" w:eastAsia="Arial" w:hAnsi="Arial"/>
          <w:sz w:val="18"/>
          <w:szCs w:val="18"/>
          <w:u w:val="single" w:color="auto"/>
          <w:color w:val="auto"/>
        </w:rPr>
        <w:t>/s/ Anne L. Bramman</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Anne L. Bramman</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(Principal Financial Officer)</w:t>
      </w:r>
    </w:p>
    <w:p>
      <w:pPr>
        <w:spacing w:after="0" w:line="387" w:lineRule="exact"/>
        <w:rPr>
          <w:sz w:val="20"/>
          <w:szCs w:val="20"/>
          <w:color w:val="auto"/>
        </w:rPr>
      </w:pPr>
    </w:p>
    <w:p>
      <w:pPr>
        <w:ind w:left="5000"/>
        <w:spacing w:after="0"/>
        <w:tabs>
          <w:tab w:leader="none" w:pos="5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4, 2019</w:t>
      </w:r>
    </w:p>
    <w:p>
      <w:pPr>
        <w:spacing w:after="0" w:line="200" w:lineRule="exact"/>
        <w:rPr>
          <w:sz w:val="20"/>
          <w:szCs w:val="20"/>
          <w:color w:val="auto"/>
        </w:rPr>
      </w:pPr>
    </w:p>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 of 28</w:t>
      </w:r>
    </w:p>
    <w:p>
      <w:pPr>
        <w:sectPr>
          <w:pgSz w:w="11900" w:h="16838" w:orient="portrait"/>
          <w:cols w:equalWidth="0" w:num="1">
            <w:col w:w="11220"/>
          </w:cols>
          <w:pgMar w:left="240" w:top="279" w:right="4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848985" cy="677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584898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40"/>
        <w:spacing w:after="0" w:line="269" w:lineRule="auto"/>
        <w:rPr>
          <w:sz w:val="20"/>
          <w:szCs w:val="20"/>
          <w:color w:val="auto"/>
        </w:rPr>
      </w:pPr>
      <w:r>
        <w:rPr>
          <w:rFonts w:ascii="Arial" w:cs="Arial" w:eastAsia="Arial" w:hAnsi="Arial"/>
          <w:sz w:val="15"/>
          <w:szCs w:val="15"/>
          <w:color w:val="616265"/>
        </w:rPr>
        <w:t>AN AWARD (“Award”) OF RESTRICTED STOCK UNITS (“Units”), representing a number of shares of Nordstrom Common Stock (“Common Stock”) as noted in the Restricted Stock Unit Award Notice (the “Notice”), of Nordstrom, Inc., a Washington Corporation (the “Company”), is hereby granted to the Recipient (“Unit holder”) on the date set forth in the Notice, subject to the terms and conditions of this Award Agreement. The Units are also subject to the terms, definitions and provisions of the Nordstrom, Inc. 2019 Equity Incentive Plan (the “Plan”), adopted by the Board of Directors of the Company (the “Board”) and approved by the Company’s shareholders, which is incorporated in this Award Agreement. To the extent inconsistent with this Award Agreement, the terms of the Plan shall govern. Terms not defined herein shall have the meanings as set forth in the Plan. The Compensation, People and Culture Committee of the Board (the “Committee”) has the discretionary authority to construe and interpret the Plan and this Award Agreement. All decisions of the Committee upon any question arising under the Plan or under this Award Agreement shall be final and binding on all parties. The Units are subject to the following terms and conditions:</w:t>
      </w:r>
    </w:p>
    <w:p>
      <w:pPr>
        <w:spacing w:after="0" w:line="300"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6"/>
          <w:szCs w:val="16"/>
          <w:b w:val="1"/>
          <w:bCs w:val="1"/>
          <w:color w:val="616265"/>
        </w:rPr>
        <w:t>VESTING AND CONVERSION OF UNITS</w:t>
      </w:r>
    </w:p>
    <w:p>
      <w:pPr>
        <w:spacing w:after="0" w:line="9" w:lineRule="exact"/>
        <w:rPr>
          <w:rFonts w:ascii="Arial" w:cs="Arial" w:eastAsia="Arial" w:hAnsi="Arial"/>
          <w:sz w:val="18"/>
          <w:szCs w:val="18"/>
          <w:color w:val="auto"/>
        </w:rPr>
      </w:pPr>
    </w:p>
    <w:p>
      <w:pPr>
        <w:ind w:left="340" w:right="40"/>
        <w:spacing w:after="0" w:line="250" w:lineRule="auto"/>
        <w:rPr>
          <w:rFonts w:ascii="Arial" w:cs="Arial" w:eastAsia="Arial" w:hAnsi="Arial"/>
          <w:sz w:val="18"/>
          <w:szCs w:val="18"/>
          <w:color w:val="auto"/>
        </w:rPr>
      </w:pPr>
      <w:r>
        <w:rPr>
          <w:rFonts w:ascii="Arial" w:cs="Arial" w:eastAsia="Arial" w:hAnsi="Arial"/>
          <w:sz w:val="16"/>
          <w:szCs w:val="16"/>
          <w:color w:val="616265"/>
        </w:rPr>
        <w:t>Unless otherwise specified within this Award Agreement, the Units will vest and automatically convert into Common Stock according to the applicable terms set forth in the Notice. For the avoidance of doubt, only Common Stock shall be deliverable upon the vesting of the Units, not cash. The Company shall not be required to issue fractional shares of Common Stock upon conversion of the Units into Common Stock. The delivery of Common Stock on vesting of the Units is intended to comply with Section 409A of the Internal Revenue Code of 1986, as amended (the “Code”), together with regulatory guidance issued thereunder, and shall occur as soon as practicable after the applicable vesting date.</w:t>
      </w:r>
    </w:p>
    <w:p>
      <w:pPr>
        <w:spacing w:after="0" w:line="256"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6"/>
          <w:szCs w:val="16"/>
          <w:b w:val="1"/>
          <w:bCs w:val="1"/>
          <w:color w:val="616265"/>
        </w:rPr>
        <w:t>ACCEPTANCE OF UNITS AND TERMS</w:t>
      </w:r>
    </w:p>
    <w:p>
      <w:pPr>
        <w:spacing w:after="0" w:line="9" w:lineRule="exact"/>
        <w:rPr>
          <w:rFonts w:ascii="Arial" w:cs="Arial" w:eastAsia="Arial" w:hAnsi="Arial"/>
          <w:sz w:val="18"/>
          <w:szCs w:val="18"/>
          <w:color w:val="auto"/>
        </w:rPr>
      </w:pPr>
    </w:p>
    <w:p>
      <w:pPr>
        <w:ind w:left="340" w:right="220"/>
        <w:spacing w:after="0" w:line="252" w:lineRule="auto"/>
        <w:rPr>
          <w:rFonts w:ascii="Arial" w:cs="Arial" w:eastAsia="Arial" w:hAnsi="Arial"/>
          <w:sz w:val="18"/>
          <w:szCs w:val="18"/>
          <w:color w:val="auto"/>
        </w:rPr>
      </w:pPr>
      <w:r>
        <w:rPr>
          <w:rFonts w:ascii="Arial" w:cs="Arial" w:eastAsia="Arial" w:hAnsi="Arial"/>
          <w:sz w:val="16"/>
          <w:szCs w:val="16"/>
          <w:color w:val="616265"/>
        </w:rPr>
        <w:t>Whether or not the Company requires the Unit holder to accept the Award, if the Unit holder takes no action to accept the Award, the Unit holder is deemed to have accepted the Award and will be subject to the terms and conditions of this Award Agreement. The Unit holder agrees to comply with any and all legal requirements and Company policies related to the resale or disposition of any Awards under this Award Agreement. The Unit holder acknowledges receipt of a copy of the Plan in connection with the acceptance of the Award.</w:t>
      </w:r>
    </w:p>
    <w:p>
      <w:pPr>
        <w:spacing w:after="0" w:line="253"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6"/>
          <w:szCs w:val="16"/>
          <w:b w:val="1"/>
          <w:bCs w:val="1"/>
          <w:color w:val="616265"/>
        </w:rPr>
        <w:t>NONTRANSFERABILITY OF UNITS</w:t>
      </w:r>
    </w:p>
    <w:p>
      <w:pPr>
        <w:spacing w:after="0" w:line="9" w:lineRule="exact"/>
        <w:rPr>
          <w:rFonts w:ascii="Arial" w:cs="Arial" w:eastAsia="Arial" w:hAnsi="Arial"/>
          <w:sz w:val="18"/>
          <w:szCs w:val="18"/>
          <w:color w:val="auto"/>
        </w:rPr>
      </w:pPr>
    </w:p>
    <w:p>
      <w:pPr>
        <w:jc w:val="both"/>
        <w:ind w:left="340" w:right="80"/>
        <w:spacing w:after="0" w:line="271" w:lineRule="auto"/>
        <w:rPr>
          <w:rFonts w:ascii="Arial" w:cs="Arial" w:eastAsia="Arial" w:hAnsi="Arial"/>
          <w:sz w:val="18"/>
          <w:szCs w:val="18"/>
          <w:color w:val="auto"/>
        </w:rPr>
      </w:pPr>
      <w:r>
        <w:rPr>
          <w:rFonts w:ascii="Arial" w:cs="Arial" w:eastAsia="Arial" w:hAnsi="Arial"/>
          <w:sz w:val="15"/>
          <w:szCs w:val="15"/>
          <w:color w:val="616265"/>
        </w:rPr>
        <w:t>The Units may not be sold, pledged, assigned or transferred in any manner except in the event of the Unit holder’s death. In the event of the Unit holder’s death, the Units may be transferred to the person indicated on a valid beneficiary form, as designated by the Company, or if no designated beneficiary form is available, then to the person to whom the Unit holder’s rights have passed by will or the laws of descent and distribution. Except as set forth in Section 4, Common Stock may be delivered in respect of the Units during the lifetime of the Unit holder only to the Unit holder or to the guardian or legal representative of the Unit holder. The terms of the Award Agreement shall be binding on the executors, administrators, heirs and successors of the Unit holder.</w:t>
      </w:r>
    </w:p>
    <w:p>
      <w:pPr>
        <w:spacing w:after="0" w:line="254"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6"/>
          <w:szCs w:val="16"/>
          <w:b w:val="1"/>
          <w:bCs w:val="1"/>
          <w:color w:val="616265"/>
        </w:rPr>
      </w:pPr>
      <w:r>
        <w:rPr>
          <w:rFonts w:ascii="Arial" w:cs="Arial" w:eastAsia="Arial" w:hAnsi="Arial"/>
          <w:sz w:val="16"/>
          <w:szCs w:val="16"/>
          <w:b w:val="1"/>
          <w:bCs w:val="1"/>
          <w:color w:val="616265"/>
        </w:rPr>
        <w:t>SEPARATION OF EMPLOYMENT</w:t>
      </w:r>
    </w:p>
    <w:p>
      <w:pPr>
        <w:spacing w:after="0" w:line="23" w:lineRule="exact"/>
        <w:rPr>
          <w:rFonts w:ascii="Arial" w:cs="Arial" w:eastAsia="Arial" w:hAnsi="Arial"/>
          <w:sz w:val="16"/>
          <w:szCs w:val="16"/>
          <w:b w:val="1"/>
          <w:bCs w:val="1"/>
          <w:color w:val="616265"/>
        </w:rPr>
      </w:pPr>
    </w:p>
    <w:p>
      <w:pPr>
        <w:ind w:left="340" w:right="140"/>
        <w:spacing w:after="0" w:line="252" w:lineRule="auto"/>
        <w:rPr>
          <w:rFonts w:ascii="Arial" w:cs="Arial" w:eastAsia="Arial" w:hAnsi="Arial"/>
          <w:sz w:val="16"/>
          <w:szCs w:val="16"/>
          <w:b w:val="1"/>
          <w:bCs w:val="1"/>
          <w:color w:val="616265"/>
        </w:rPr>
      </w:pPr>
      <w:r>
        <w:rPr>
          <w:rFonts w:ascii="Arial" w:cs="Arial" w:eastAsia="Arial" w:hAnsi="Arial"/>
          <w:sz w:val="16"/>
          <w:szCs w:val="16"/>
          <w:color w:val="616265"/>
        </w:rPr>
        <w:t>Except as set forth in this section, the Units will vest, and shares of Common Stock will be delivered in respect of the Units, only if the Unit holder is an employee of the Company or one of its subsidiaries (the “Employer”) on the vesting date. If the Unit holder’s employment with the Employer is terminated, the Units will vest only as follows:</w:t>
      </w:r>
    </w:p>
    <w:p>
      <w:pPr>
        <w:spacing w:after="0" w:line="27" w:lineRule="exact"/>
        <w:rPr>
          <w:rFonts w:ascii="Arial" w:cs="Arial" w:eastAsia="Arial" w:hAnsi="Arial"/>
          <w:sz w:val="16"/>
          <w:szCs w:val="16"/>
          <w:b w:val="1"/>
          <w:bCs w:val="1"/>
          <w:color w:val="616265"/>
        </w:rPr>
      </w:pPr>
    </w:p>
    <w:p>
      <w:pPr>
        <w:ind w:left="660" w:right="40" w:hanging="328"/>
        <w:spacing w:after="0" w:line="252" w:lineRule="auto"/>
        <w:tabs>
          <w:tab w:leader="none" w:pos="660" w:val="left"/>
        </w:tabs>
        <w:numPr>
          <w:ilvl w:val="1"/>
          <w:numId w:val="23"/>
        </w:numPr>
        <w:rPr>
          <w:rFonts w:ascii="Arial" w:cs="Arial" w:eastAsia="Arial" w:hAnsi="Arial"/>
          <w:sz w:val="16"/>
          <w:szCs w:val="16"/>
          <w:color w:val="616265"/>
        </w:rPr>
      </w:pPr>
      <w:r>
        <w:rPr>
          <w:rFonts w:ascii="Arial" w:cs="Arial" w:eastAsia="Arial" w:hAnsi="Arial"/>
          <w:sz w:val="16"/>
          <w:szCs w:val="16"/>
          <w:color w:val="616265"/>
        </w:rPr>
        <w:t>If the Unit holder dies while employed by the Employer, a prorated number of Units represented by the Award shall immediately vest, based on the number of full months the Unit holder was employed during the term of this Award Agreement, as of the date of the Unit holder’s death and be delivered as Common Stock promptly thereafter. Shares shall be issued in the name of the person identified on the Unit holder’s beneficiary form, as designated by the Company. If no valid beneficiary form exists, then the Common Stock delivered pursuant to the preceding sentence shall be issued in the name of the person to whom the Unit holder’s rights under this Award Agreement have passed by will or the laws of descent and distribution. If the Units were granted less than one month prior to death, the Units shall be forfeited as of the date of death.</w:t>
      </w:r>
    </w:p>
    <w:p>
      <w:pPr>
        <w:spacing w:after="0" w:line="29" w:lineRule="exact"/>
        <w:rPr>
          <w:rFonts w:ascii="Arial" w:cs="Arial" w:eastAsia="Arial" w:hAnsi="Arial"/>
          <w:sz w:val="16"/>
          <w:szCs w:val="16"/>
          <w:color w:val="616265"/>
        </w:rPr>
      </w:pPr>
    </w:p>
    <w:p>
      <w:pPr>
        <w:ind w:left="660" w:right="120" w:hanging="328"/>
        <w:spacing w:after="0" w:line="253" w:lineRule="auto"/>
        <w:tabs>
          <w:tab w:leader="none" w:pos="660" w:val="left"/>
        </w:tabs>
        <w:numPr>
          <w:ilvl w:val="1"/>
          <w:numId w:val="23"/>
        </w:numPr>
        <w:rPr>
          <w:rFonts w:ascii="Arial" w:cs="Arial" w:eastAsia="Arial" w:hAnsi="Arial"/>
          <w:sz w:val="16"/>
          <w:szCs w:val="16"/>
          <w:color w:val="616265"/>
        </w:rPr>
      </w:pPr>
      <w:r>
        <w:rPr>
          <w:rFonts w:ascii="Arial" w:cs="Arial" w:eastAsia="Arial" w:hAnsi="Arial"/>
          <w:sz w:val="16"/>
          <w:szCs w:val="16"/>
          <w:color w:val="616265"/>
        </w:rPr>
        <w:t>If the Unit holder is separated due to his or her disability, as defined in Section 22(e)(3) of the Code and the Unit holder provides Nordstrom Compensation department, or any successor department, with reasonable documentation of his or her disability, a prorated number of Units represented by this Award shall immediately vest, based on the number of full months the Unit holder was employed during the term of this Award Agreement, as of the date of such separation and be delivered as Common Stock promptly thereafter. If the Units were granted less than one month prior to separation due to the Unit holder’s disability, the Units shall be forfeited as of the date of separation.</w:t>
      </w:r>
    </w:p>
    <w:p>
      <w:pPr>
        <w:sectPr>
          <w:pgSz w:w="11900" w:h="16838" w:orient="portrait"/>
          <w:cols w:equalWidth="0" w:num="1">
            <w:col w:w="11420"/>
          </w:cols>
          <w:pgMar w:left="240" w:top="121" w:right="239" w:bottom="1440" w:gutter="0" w:footer="0" w:header="0"/>
        </w:sectPr>
      </w:pPr>
    </w:p>
    <w:bookmarkStart w:id="31" w:name="page32"/>
    <w:bookmarkEnd w:id="31"/>
    <w:p>
      <w:pPr>
        <w:jc w:val="both"/>
        <w:ind w:left="652" w:hanging="328"/>
        <w:spacing w:after="0" w:line="270" w:lineRule="auto"/>
        <w:tabs>
          <w:tab w:leader="none" w:pos="652" w:val="left"/>
        </w:tabs>
        <w:numPr>
          <w:ilvl w:val="1"/>
          <w:numId w:val="24"/>
        </w:numPr>
        <w:rPr>
          <w:rFonts w:ascii="Arial" w:cs="Arial" w:eastAsia="Arial" w:hAnsi="Arial"/>
          <w:sz w:val="15"/>
          <w:szCs w:val="15"/>
          <w:color w:val="616265"/>
        </w:rPr>
      </w:pPr>
      <w:r>
        <w:rPr>
          <w:rFonts w:ascii="Arial" w:cs="Arial" w:eastAsia="Arial" w:hAnsi="Arial"/>
          <w:sz w:val="15"/>
          <w:szCs w:val="15"/>
          <w:color w:val="616265"/>
        </w:rPr>
        <w:t>Notwithstanding subparagraphs (a) and (b) of this section, a Unit holder shall immediately forfeit any unvested and unsettled Units represented by this Award and any shares of Common Stock or proceeds from the sale of such shares of Common Stock, and the post-separation proration of Units and settlement rights set forth above shall cease immediately, if: (i) he or she is terminated by the Company or any of its subsidiaries for: embezzlement, theft of funds, fraud, violation of rules, regulations or policies, or any intentional harmful act or acts; or (ii) he or she at any time during the term of this Award directly or indirectly, either as an employee, employer, consultant, agent, principal, partner, shareholder, corporate officer, director or in any other capacity, with respect to the Company or any of its subsidiaries, engages or assists any third party in engaging in any competitive business, divulges any confidential or proprietary information to a third party who is not authorized to receive the confidential or proprietary information, or improperly uses any confidential or proprietary information.</w:t>
      </w:r>
    </w:p>
    <w:p>
      <w:pPr>
        <w:spacing w:after="0" w:line="19" w:lineRule="exact"/>
        <w:rPr>
          <w:rFonts w:ascii="Arial" w:cs="Arial" w:eastAsia="Arial" w:hAnsi="Arial"/>
          <w:sz w:val="15"/>
          <w:szCs w:val="15"/>
          <w:color w:val="616265"/>
        </w:rPr>
      </w:pPr>
    </w:p>
    <w:p>
      <w:pPr>
        <w:ind w:left="652" w:hanging="328"/>
        <w:spacing w:after="0" w:line="275" w:lineRule="auto"/>
        <w:tabs>
          <w:tab w:leader="none" w:pos="557" w:val="left"/>
        </w:tabs>
        <w:numPr>
          <w:ilvl w:val="1"/>
          <w:numId w:val="24"/>
        </w:numPr>
        <w:rPr>
          <w:rFonts w:ascii="Arial" w:cs="Arial" w:eastAsia="Arial" w:hAnsi="Arial"/>
          <w:sz w:val="16"/>
          <w:szCs w:val="16"/>
          <w:color w:val="616265"/>
        </w:rPr>
      </w:pPr>
      <w:r>
        <w:rPr>
          <w:rFonts w:ascii="Arial" w:cs="Arial" w:eastAsia="Arial" w:hAnsi="Arial"/>
          <w:sz w:val="16"/>
          <w:szCs w:val="16"/>
          <w:color w:val="616265"/>
        </w:rPr>
        <w:t>If the Unit holder is separated for any reason other than those set forth in subparagraphs (a), (b) or (c) above, then all Units represented by this Award shall be forfeited as of the date of the Unit holder’s separation.</w:t>
      </w:r>
    </w:p>
    <w:p>
      <w:pPr>
        <w:spacing w:after="0" w:line="236" w:lineRule="exact"/>
        <w:rPr>
          <w:rFonts w:ascii="Arial" w:cs="Arial" w:eastAsia="Arial" w:hAnsi="Arial"/>
          <w:sz w:val="16"/>
          <w:szCs w:val="16"/>
          <w:color w:val="616265"/>
        </w:rPr>
      </w:pPr>
    </w:p>
    <w:p>
      <w:pPr>
        <w:ind w:left="332" w:hanging="332"/>
        <w:spacing w:after="0"/>
        <w:tabs>
          <w:tab w:leader="none" w:pos="332" w:val="left"/>
        </w:tabs>
        <w:numPr>
          <w:ilvl w:val="0"/>
          <w:numId w:val="25"/>
        </w:numPr>
        <w:rPr>
          <w:rFonts w:ascii="Arial" w:cs="Arial" w:eastAsia="Arial" w:hAnsi="Arial"/>
          <w:sz w:val="18"/>
          <w:szCs w:val="18"/>
          <w:color w:val="auto"/>
        </w:rPr>
      </w:pPr>
      <w:r>
        <w:rPr>
          <w:rFonts w:ascii="Arial" w:cs="Arial" w:eastAsia="Arial" w:hAnsi="Arial"/>
          <w:sz w:val="16"/>
          <w:szCs w:val="16"/>
          <w:b w:val="1"/>
          <w:bCs w:val="1"/>
          <w:color w:val="616265"/>
        </w:rPr>
        <w:t>ADJUSTMENTS UPON CHANGES IN CAPITALIZATION</w:t>
      </w:r>
    </w:p>
    <w:p>
      <w:pPr>
        <w:spacing w:after="0" w:line="9" w:lineRule="exact"/>
        <w:rPr>
          <w:rFonts w:ascii="Arial" w:cs="Arial" w:eastAsia="Arial" w:hAnsi="Arial"/>
          <w:sz w:val="18"/>
          <w:szCs w:val="18"/>
          <w:color w:val="auto"/>
        </w:rPr>
      </w:pPr>
    </w:p>
    <w:p>
      <w:pPr>
        <w:ind w:left="332" w:right="420"/>
        <w:spacing w:after="0" w:line="334" w:lineRule="auto"/>
        <w:rPr>
          <w:rFonts w:ascii="Arial" w:cs="Arial" w:eastAsia="Arial" w:hAnsi="Arial"/>
          <w:sz w:val="18"/>
          <w:szCs w:val="18"/>
          <w:color w:val="auto"/>
        </w:rPr>
      </w:pPr>
      <w:r>
        <w:rPr>
          <w:rFonts w:ascii="Arial" w:cs="Arial" w:eastAsia="Arial" w:hAnsi="Arial"/>
          <w:sz w:val="14"/>
          <w:szCs w:val="14"/>
          <w:color w:val="616265"/>
        </w:rPr>
        <w:t>The Units shall be adjusted pursuant to the Plan, in such manner, to such extent (if any) and at such time as the Committee deems appropriate and equitable in the circumstances, to reflect any stock dividend, stock split, split up, extraordinary cash dividend, any combination or exchange of shares or other Strategic Transaction.</w:t>
      </w:r>
    </w:p>
    <w:p>
      <w:pPr>
        <w:spacing w:after="0" w:line="199" w:lineRule="exact"/>
        <w:rPr>
          <w:rFonts w:ascii="Arial" w:cs="Arial" w:eastAsia="Arial" w:hAnsi="Arial"/>
          <w:sz w:val="18"/>
          <w:szCs w:val="18"/>
          <w:color w:val="auto"/>
        </w:rPr>
      </w:pPr>
    </w:p>
    <w:p>
      <w:pPr>
        <w:ind w:left="332" w:hanging="332"/>
        <w:spacing w:after="0"/>
        <w:tabs>
          <w:tab w:leader="none" w:pos="332" w:val="left"/>
        </w:tabs>
        <w:numPr>
          <w:ilvl w:val="0"/>
          <w:numId w:val="25"/>
        </w:numPr>
        <w:rPr>
          <w:rFonts w:ascii="Arial" w:cs="Arial" w:eastAsia="Arial" w:hAnsi="Arial"/>
          <w:sz w:val="18"/>
          <w:szCs w:val="18"/>
          <w:color w:val="auto"/>
        </w:rPr>
      </w:pPr>
      <w:r>
        <w:rPr>
          <w:rFonts w:ascii="Arial" w:cs="Arial" w:eastAsia="Arial" w:hAnsi="Arial"/>
          <w:sz w:val="16"/>
          <w:szCs w:val="16"/>
          <w:b w:val="1"/>
          <w:bCs w:val="1"/>
          <w:color w:val="616265"/>
        </w:rPr>
        <w:t>NO DIVIDEND RIGHTS</w:t>
      </w:r>
    </w:p>
    <w:p>
      <w:pPr>
        <w:spacing w:after="0" w:line="9" w:lineRule="exact"/>
        <w:rPr>
          <w:rFonts w:ascii="Arial" w:cs="Arial" w:eastAsia="Arial" w:hAnsi="Arial"/>
          <w:sz w:val="18"/>
          <w:szCs w:val="18"/>
          <w:color w:val="auto"/>
        </w:rPr>
      </w:pPr>
    </w:p>
    <w:p>
      <w:pPr>
        <w:ind w:left="332" w:right="200"/>
        <w:spacing w:after="0" w:line="263" w:lineRule="auto"/>
        <w:rPr>
          <w:rFonts w:ascii="Arial" w:cs="Arial" w:eastAsia="Arial" w:hAnsi="Arial"/>
          <w:sz w:val="18"/>
          <w:szCs w:val="18"/>
          <w:color w:val="auto"/>
        </w:rPr>
      </w:pPr>
      <w:r>
        <w:rPr>
          <w:rFonts w:ascii="Arial" w:cs="Arial" w:eastAsia="Arial" w:hAnsi="Arial"/>
          <w:sz w:val="16"/>
          <w:szCs w:val="16"/>
          <w:color w:val="616265"/>
        </w:rPr>
        <w:t>Except to the extent required pursuant to Section 5 of this Award Agreement, ownership of Units shall not entitle the Unit holder to receive any dividends declared with respect to Common Stock.</w:t>
      </w:r>
    </w:p>
    <w:p>
      <w:pPr>
        <w:spacing w:after="0" w:line="244" w:lineRule="exact"/>
        <w:rPr>
          <w:rFonts w:ascii="Arial" w:cs="Arial" w:eastAsia="Arial" w:hAnsi="Arial"/>
          <w:sz w:val="18"/>
          <w:szCs w:val="18"/>
          <w:color w:val="auto"/>
        </w:rPr>
      </w:pPr>
    </w:p>
    <w:p>
      <w:pPr>
        <w:ind w:left="332" w:hanging="332"/>
        <w:spacing w:after="0"/>
        <w:tabs>
          <w:tab w:leader="none" w:pos="332" w:val="left"/>
        </w:tabs>
        <w:numPr>
          <w:ilvl w:val="0"/>
          <w:numId w:val="25"/>
        </w:numPr>
        <w:rPr>
          <w:rFonts w:ascii="Arial" w:cs="Arial" w:eastAsia="Arial" w:hAnsi="Arial"/>
          <w:sz w:val="18"/>
          <w:szCs w:val="18"/>
          <w:color w:val="auto"/>
        </w:rPr>
      </w:pPr>
      <w:r>
        <w:rPr>
          <w:rFonts w:ascii="Arial" w:cs="Arial" w:eastAsia="Arial" w:hAnsi="Arial"/>
          <w:sz w:val="16"/>
          <w:szCs w:val="16"/>
          <w:b w:val="1"/>
          <w:bCs w:val="1"/>
          <w:color w:val="616265"/>
        </w:rPr>
        <w:t>ADDITIONAL UNITS</w:t>
      </w:r>
    </w:p>
    <w:p>
      <w:pPr>
        <w:spacing w:after="0" w:line="9" w:lineRule="exact"/>
        <w:rPr>
          <w:rFonts w:ascii="Arial" w:cs="Arial" w:eastAsia="Arial" w:hAnsi="Arial"/>
          <w:sz w:val="18"/>
          <w:szCs w:val="18"/>
          <w:color w:val="auto"/>
        </w:rPr>
      </w:pPr>
    </w:p>
    <w:p>
      <w:pPr>
        <w:ind w:left="332" w:right="320"/>
        <w:spacing w:after="0" w:line="263" w:lineRule="auto"/>
        <w:rPr>
          <w:rFonts w:ascii="Arial" w:cs="Arial" w:eastAsia="Arial" w:hAnsi="Arial"/>
          <w:sz w:val="18"/>
          <w:szCs w:val="18"/>
          <w:color w:val="auto"/>
        </w:rPr>
      </w:pPr>
      <w:r>
        <w:rPr>
          <w:rFonts w:ascii="Arial" w:cs="Arial" w:eastAsia="Arial" w:hAnsi="Arial"/>
          <w:sz w:val="16"/>
          <w:szCs w:val="16"/>
          <w:color w:val="616265"/>
        </w:rPr>
        <w:t>The Committee may or may not grant the Unit holder additional Units in the future. Nothing in this Award Agreement or any future agreement should be construed as suggesting that additional awards to the Unit holder will be forthcoming.</w:t>
      </w:r>
    </w:p>
    <w:p>
      <w:pPr>
        <w:spacing w:after="0" w:line="244" w:lineRule="exact"/>
        <w:rPr>
          <w:rFonts w:ascii="Arial" w:cs="Arial" w:eastAsia="Arial" w:hAnsi="Arial"/>
          <w:sz w:val="18"/>
          <w:szCs w:val="18"/>
          <w:color w:val="auto"/>
        </w:rPr>
      </w:pPr>
    </w:p>
    <w:p>
      <w:pPr>
        <w:ind w:left="332" w:hanging="332"/>
        <w:spacing w:after="0"/>
        <w:tabs>
          <w:tab w:leader="none" w:pos="332" w:val="left"/>
        </w:tabs>
        <w:numPr>
          <w:ilvl w:val="0"/>
          <w:numId w:val="25"/>
        </w:numPr>
        <w:rPr>
          <w:rFonts w:ascii="Arial" w:cs="Arial" w:eastAsia="Arial" w:hAnsi="Arial"/>
          <w:sz w:val="18"/>
          <w:szCs w:val="18"/>
          <w:color w:val="auto"/>
        </w:rPr>
      </w:pPr>
      <w:r>
        <w:rPr>
          <w:rFonts w:ascii="Arial" w:cs="Arial" w:eastAsia="Arial" w:hAnsi="Arial"/>
          <w:sz w:val="16"/>
          <w:szCs w:val="16"/>
          <w:b w:val="1"/>
          <w:bCs w:val="1"/>
          <w:color w:val="616265"/>
        </w:rPr>
        <w:t>LEAVES OF ABSENCE</w:t>
      </w:r>
    </w:p>
    <w:p>
      <w:pPr>
        <w:spacing w:after="0" w:line="9" w:lineRule="exact"/>
        <w:rPr>
          <w:rFonts w:ascii="Arial" w:cs="Arial" w:eastAsia="Arial" w:hAnsi="Arial"/>
          <w:sz w:val="18"/>
          <w:szCs w:val="18"/>
          <w:color w:val="auto"/>
        </w:rPr>
      </w:pPr>
    </w:p>
    <w:p>
      <w:pPr>
        <w:ind w:left="332" w:right="240"/>
        <w:spacing w:after="0" w:line="254" w:lineRule="auto"/>
        <w:rPr>
          <w:rFonts w:ascii="Arial" w:cs="Arial" w:eastAsia="Arial" w:hAnsi="Arial"/>
          <w:sz w:val="18"/>
          <w:szCs w:val="18"/>
          <w:color w:val="auto"/>
        </w:rPr>
      </w:pPr>
      <w:r>
        <w:rPr>
          <w:rFonts w:ascii="Arial" w:cs="Arial" w:eastAsia="Arial" w:hAnsi="Arial"/>
          <w:sz w:val="16"/>
          <w:szCs w:val="16"/>
          <w:color w:val="616265"/>
        </w:rPr>
        <w:t>For purposes of this Award Agreement, the Unit holder’s service does not terminate due to a military leave, a medical leave or another bona fide leave of absence if the leave was approved by the Employer in writing and if continued crediting of service is required by the terms of the leave or by applicable law. But, service terminates when the approved leave ends, unless the Unit holder immediately returns to active work.</w:t>
      </w:r>
    </w:p>
    <w:p>
      <w:pPr>
        <w:spacing w:after="0" w:line="252" w:lineRule="exact"/>
        <w:rPr>
          <w:rFonts w:ascii="Arial" w:cs="Arial" w:eastAsia="Arial" w:hAnsi="Arial"/>
          <w:sz w:val="18"/>
          <w:szCs w:val="18"/>
          <w:color w:val="auto"/>
        </w:rPr>
      </w:pPr>
    </w:p>
    <w:p>
      <w:pPr>
        <w:ind w:left="332" w:hanging="332"/>
        <w:spacing w:after="0"/>
        <w:tabs>
          <w:tab w:leader="none" w:pos="332" w:val="left"/>
        </w:tabs>
        <w:numPr>
          <w:ilvl w:val="0"/>
          <w:numId w:val="25"/>
        </w:numPr>
        <w:rPr>
          <w:rFonts w:ascii="Arial" w:cs="Arial" w:eastAsia="Arial" w:hAnsi="Arial"/>
          <w:sz w:val="18"/>
          <w:szCs w:val="18"/>
          <w:color w:val="auto"/>
        </w:rPr>
      </w:pPr>
      <w:r>
        <w:rPr>
          <w:rFonts w:ascii="Arial" w:cs="Arial" w:eastAsia="Arial" w:hAnsi="Arial"/>
          <w:sz w:val="16"/>
          <w:szCs w:val="16"/>
          <w:b w:val="1"/>
          <w:bCs w:val="1"/>
          <w:color w:val="616265"/>
        </w:rPr>
        <w:t>TAX WITHHOLDING</w:t>
      </w:r>
    </w:p>
    <w:p>
      <w:pPr>
        <w:spacing w:after="0" w:line="9" w:lineRule="exact"/>
        <w:rPr>
          <w:rFonts w:ascii="Arial" w:cs="Arial" w:eastAsia="Arial" w:hAnsi="Arial"/>
          <w:sz w:val="18"/>
          <w:szCs w:val="18"/>
          <w:color w:val="auto"/>
        </w:rPr>
      </w:pPr>
    </w:p>
    <w:p>
      <w:pPr>
        <w:ind w:left="332" w:right="320"/>
        <w:spacing w:after="0" w:line="252" w:lineRule="auto"/>
        <w:rPr>
          <w:rFonts w:ascii="Arial" w:cs="Arial" w:eastAsia="Arial" w:hAnsi="Arial"/>
          <w:sz w:val="18"/>
          <w:szCs w:val="18"/>
          <w:color w:val="auto"/>
        </w:rPr>
      </w:pPr>
      <w:r>
        <w:rPr>
          <w:rFonts w:ascii="Arial" w:cs="Arial" w:eastAsia="Arial" w:hAnsi="Arial"/>
          <w:sz w:val="16"/>
          <w:szCs w:val="16"/>
          <w:color w:val="616265"/>
        </w:rPr>
        <w:t>No stock certificates will be distributed to the Unit holder unless the Unit holder has made acceptable arrangements to pay any withholding taxes that may be due as a result of the settlement of this Award. These arrangements may include withholding shares of Common Stock that otherwise would be distributed when the Units are settled. The fair market value of the shares required to cover withholding will be applied to the withholding of taxes prior to the Unit holder receiving the remaining shares.</w:t>
      </w:r>
    </w:p>
    <w:p>
      <w:pPr>
        <w:spacing w:after="0" w:line="253" w:lineRule="exact"/>
        <w:rPr>
          <w:rFonts w:ascii="Arial" w:cs="Arial" w:eastAsia="Arial" w:hAnsi="Arial"/>
          <w:sz w:val="18"/>
          <w:szCs w:val="18"/>
          <w:color w:val="auto"/>
        </w:rPr>
      </w:pPr>
    </w:p>
    <w:p>
      <w:pPr>
        <w:ind w:left="332" w:hanging="332"/>
        <w:spacing w:after="0"/>
        <w:tabs>
          <w:tab w:leader="none" w:pos="332" w:val="left"/>
        </w:tabs>
        <w:numPr>
          <w:ilvl w:val="0"/>
          <w:numId w:val="25"/>
        </w:numPr>
        <w:rPr>
          <w:rFonts w:ascii="Arial" w:cs="Arial" w:eastAsia="Arial" w:hAnsi="Arial"/>
          <w:sz w:val="18"/>
          <w:szCs w:val="18"/>
          <w:color w:val="auto"/>
        </w:rPr>
      </w:pPr>
      <w:r>
        <w:rPr>
          <w:rFonts w:ascii="Arial" w:cs="Arial" w:eastAsia="Arial" w:hAnsi="Arial"/>
          <w:sz w:val="16"/>
          <w:szCs w:val="16"/>
          <w:b w:val="1"/>
          <w:bCs w:val="1"/>
          <w:color w:val="616265"/>
        </w:rPr>
        <w:t>INDEPENDENT TAX ADVICE</w:t>
      </w:r>
    </w:p>
    <w:p>
      <w:pPr>
        <w:spacing w:after="0" w:line="9" w:lineRule="exact"/>
        <w:rPr>
          <w:rFonts w:ascii="Arial" w:cs="Arial" w:eastAsia="Arial" w:hAnsi="Arial"/>
          <w:sz w:val="18"/>
          <w:szCs w:val="18"/>
          <w:color w:val="auto"/>
        </w:rPr>
      </w:pPr>
    </w:p>
    <w:p>
      <w:pPr>
        <w:ind w:left="332" w:right="60"/>
        <w:spacing w:after="0" w:line="252" w:lineRule="auto"/>
        <w:rPr>
          <w:rFonts w:ascii="Arial" w:cs="Arial" w:eastAsia="Arial" w:hAnsi="Arial"/>
          <w:sz w:val="18"/>
          <w:szCs w:val="18"/>
          <w:color w:val="auto"/>
        </w:rPr>
      </w:pPr>
      <w:r>
        <w:rPr>
          <w:rFonts w:ascii="Arial" w:cs="Arial" w:eastAsia="Arial" w:hAnsi="Arial"/>
          <w:sz w:val="16"/>
          <w:szCs w:val="16"/>
          <w:color w:val="616265"/>
        </w:rPr>
        <w:t>The tax consequences to the Unit holder of receiving the Units or disposing of the shares of Common Stock which may be issuable upon vesting and conversion of the Units is complicated and will depend, in part, on the Unit holder’s specific tax situation. The Unit holder is advised to consult with an independent tax advisor for a full understanding of the specific tax consequences of receiving or disposing of the Units or the shares of Common Stock which may be received upon vesting and conversion of the Units.</w:t>
      </w:r>
    </w:p>
    <w:p>
      <w:pPr>
        <w:spacing w:after="0" w:line="253" w:lineRule="exact"/>
        <w:rPr>
          <w:rFonts w:ascii="Arial" w:cs="Arial" w:eastAsia="Arial" w:hAnsi="Arial"/>
          <w:sz w:val="18"/>
          <w:szCs w:val="18"/>
          <w:color w:val="auto"/>
        </w:rPr>
      </w:pPr>
    </w:p>
    <w:p>
      <w:pPr>
        <w:ind w:left="332" w:hanging="332"/>
        <w:spacing w:after="0"/>
        <w:tabs>
          <w:tab w:leader="none" w:pos="332" w:val="left"/>
        </w:tabs>
        <w:numPr>
          <w:ilvl w:val="0"/>
          <w:numId w:val="25"/>
        </w:numPr>
        <w:rPr>
          <w:rFonts w:ascii="Arial" w:cs="Arial" w:eastAsia="Arial" w:hAnsi="Arial"/>
          <w:sz w:val="18"/>
          <w:szCs w:val="18"/>
          <w:color w:val="auto"/>
        </w:rPr>
      </w:pPr>
      <w:r>
        <w:rPr>
          <w:rFonts w:ascii="Arial" w:cs="Arial" w:eastAsia="Arial" w:hAnsi="Arial"/>
          <w:sz w:val="16"/>
          <w:szCs w:val="16"/>
          <w:b w:val="1"/>
          <w:bCs w:val="1"/>
          <w:color w:val="616265"/>
        </w:rPr>
        <w:t>RIGHTS AS A SHAREHOLDER</w:t>
      </w:r>
    </w:p>
    <w:p>
      <w:pPr>
        <w:spacing w:after="0" w:line="9" w:lineRule="exact"/>
        <w:rPr>
          <w:rFonts w:ascii="Arial" w:cs="Arial" w:eastAsia="Arial" w:hAnsi="Arial"/>
          <w:sz w:val="18"/>
          <w:szCs w:val="18"/>
          <w:color w:val="auto"/>
        </w:rPr>
      </w:pPr>
    </w:p>
    <w:p>
      <w:pPr>
        <w:ind w:left="332" w:right="140"/>
        <w:spacing w:after="0" w:line="254" w:lineRule="auto"/>
        <w:rPr>
          <w:rFonts w:ascii="Arial" w:cs="Arial" w:eastAsia="Arial" w:hAnsi="Arial"/>
          <w:sz w:val="18"/>
          <w:szCs w:val="18"/>
          <w:color w:val="auto"/>
        </w:rPr>
      </w:pPr>
      <w:r>
        <w:rPr>
          <w:rFonts w:ascii="Arial" w:cs="Arial" w:eastAsia="Arial" w:hAnsi="Arial"/>
          <w:sz w:val="16"/>
          <w:szCs w:val="16"/>
          <w:color w:val="616265"/>
        </w:rPr>
        <w:t>Neither the Unit holder nor the Unit holder’s beneficiary or representative shall have any rights as a shareholder with respect to any Common Stock which may be issuable upon vesting and conversion of the Units, unless and until the Units vest and Common Stock has been issued and any other requirements imposed by applicable law or the Plan have been satisfied.</w:t>
      </w:r>
    </w:p>
    <w:p>
      <w:pPr>
        <w:spacing w:after="0" w:line="252" w:lineRule="exact"/>
        <w:rPr>
          <w:rFonts w:ascii="Arial" w:cs="Arial" w:eastAsia="Arial" w:hAnsi="Arial"/>
          <w:sz w:val="18"/>
          <w:szCs w:val="18"/>
          <w:color w:val="auto"/>
        </w:rPr>
      </w:pPr>
    </w:p>
    <w:p>
      <w:pPr>
        <w:ind w:left="332" w:hanging="332"/>
        <w:spacing w:after="0"/>
        <w:tabs>
          <w:tab w:leader="none" w:pos="332" w:val="left"/>
        </w:tabs>
        <w:numPr>
          <w:ilvl w:val="0"/>
          <w:numId w:val="25"/>
        </w:numPr>
        <w:rPr>
          <w:rFonts w:ascii="Arial" w:cs="Arial" w:eastAsia="Arial" w:hAnsi="Arial"/>
          <w:sz w:val="18"/>
          <w:szCs w:val="18"/>
          <w:color w:val="auto"/>
        </w:rPr>
      </w:pPr>
      <w:r>
        <w:rPr>
          <w:rFonts w:ascii="Arial" w:cs="Arial" w:eastAsia="Arial" w:hAnsi="Arial"/>
          <w:sz w:val="16"/>
          <w:szCs w:val="16"/>
          <w:b w:val="1"/>
          <w:bCs w:val="1"/>
          <w:color w:val="616265"/>
        </w:rPr>
        <w:t>NO RETENTION RIGHTS</w:t>
      </w:r>
    </w:p>
    <w:p>
      <w:pPr>
        <w:spacing w:after="0" w:line="9" w:lineRule="exact"/>
        <w:rPr>
          <w:rFonts w:ascii="Arial" w:cs="Arial" w:eastAsia="Arial" w:hAnsi="Arial"/>
          <w:sz w:val="18"/>
          <w:szCs w:val="18"/>
          <w:color w:val="auto"/>
        </w:rPr>
      </w:pPr>
    </w:p>
    <w:p>
      <w:pPr>
        <w:ind w:left="332" w:right="60"/>
        <w:spacing w:after="0" w:line="263" w:lineRule="auto"/>
        <w:rPr>
          <w:rFonts w:ascii="Arial" w:cs="Arial" w:eastAsia="Arial" w:hAnsi="Arial"/>
          <w:sz w:val="18"/>
          <w:szCs w:val="18"/>
          <w:color w:val="auto"/>
        </w:rPr>
      </w:pPr>
      <w:r>
        <w:rPr>
          <w:rFonts w:ascii="Arial" w:cs="Arial" w:eastAsia="Arial" w:hAnsi="Arial"/>
          <w:sz w:val="16"/>
          <w:szCs w:val="16"/>
          <w:color w:val="616265"/>
        </w:rPr>
        <w:t>Nothing in this Award Agreement or in the Plan shall give the Unit holder the right to be retained by the Employer as an employee or in any other capacity. The Employer reserves the right to terminate the Unit holder’s service at any time, with or without cause.</w:t>
      </w:r>
    </w:p>
    <w:p>
      <w:pPr>
        <w:spacing w:after="0" w:line="298" w:lineRule="exact"/>
        <w:rPr>
          <w:rFonts w:ascii="Arial" w:cs="Arial" w:eastAsia="Arial" w:hAnsi="Arial"/>
          <w:sz w:val="18"/>
          <w:szCs w:val="18"/>
          <w:color w:val="auto"/>
        </w:rPr>
      </w:pPr>
    </w:p>
    <w:p>
      <w:pPr>
        <w:ind w:left="332" w:hanging="332"/>
        <w:spacing w:after="0"/>
        <w:tabs>
          <w:tab w:leader="none" w:pos="332" w:val="left"/>
        </w:tabs>
        <w:numPr>
          <w:ilvl w:val="0"/>
          <w:numId w:val="25"/>
        </w:numPr>
        <w:rPr>
          <w:rFonts w:ascii="Arial" w:cs="Arial" w:eastAsia="Arial" w:hAnsi="Arial"/>
          <w:sz w:val="18"/>
          <w:szCs w:val="18"/>
          <w:color w:val="auto"/>
        </w:rPr>
      </w:pPr>
      <w:r>
        <w:rPr>
          <w:rFonts w:ascii="Arial" w:cs="Arial" w:eastAsia="Arial" w:hAnsi="Arial"/>
          <w:sz w:val="16"/>
          <w:szCs w:val="16"/>
          <w:b w:val="1"/>
          <w:bCs w:val="1"/>
          <w:color w:val="616265"/>
        </w:rPr>
        <w:t>CLAWBACK POLICY</w:t>
      </w:r>
    </w:p>
    <w:p>
      <w:pPr>
        <w:spacing w:after="0" w:line="9" w:lineRule="exact"/>
        <w:rPr>
          <w:rFonts w:ascii="Arial" w:cs="Arial" w:eastAsia="Arial" w:hAnsi="Arial"/>
          <w:sz w:val="18"/>
          <w:szCs w:val="18"/>
          <w:color w:val="auto"/>
        </w:rPr>
      </w:pPr>
    </w:p>
    <w:p>
      <w:pPr>
        <w:ind w:left="332" w:right="240"/>
        <w:spacing w:after="0" w:line="263" w:lineRule="auto"/>
        <w:rPr>
          <w:rFonts w:ascii="Arial" w:cs="Arial" w:eastAsia="Arial" w:hAnsi="Arial"/>
          <w:sz w:val="18"/>
          <w:szCs w:val="18"/>
          <w:color w:val="auto"/>
        </w:rPr>
      </w:pPr>
      <w:r>
        <w:rPr>
          <w:rFonts w:ascii="Arial" w:cs="Arial" w:eastAsia="Arial" w:hAnsi="Arial"/>
          <w:sz w:val="16"/>
          <w:szCs w:val="16"/>
          <w:color w:val="616265"/>
        </w:rPr>
        <w:t>The Units, and any Common Stock delivered upon vesting of the Units and the proceeds from any sale of such Common Stock, shall be subject to the Clawback Policy adopted by the Board, as amended from time to time.</w:t>
      </w:r>
    </w:p>
    <w:p>
      <w:pPr>
        <w:spacing w:after="0" w:line="19" w:lineRule="exact"/>
        <w:rPr>
          <w:rFonts w:ascii="Arial" w:cs="Arial" w:eastAsia="Arial" w:hAnsi="Arial"/>
          <w:sz w:val="18"/>
          <w:szCs w:val="18"/>
          <w:color w:val="auto"/>
        </w:rPr>
      </w:pPr>
    </w:p>
    <w:p>
      <w:pPr>
        <w:ind w:left="332" w:right="340"/>
        <w:spacing w:after="0" w:line="275" w:lineRule="auto"/>
        <w:rPr>
          <w:rFonts w:ascii="Arial" w:cs="Arial" w:eastAsia="Arial" w:hAnsi="Arial"/>
          <w:sz w:val="18"/>
          <w:szCs w:val="18"/>
          <w:color w:val="auto"/>
        </w:rPr>
      </w:pPr>
      <w:r>
        <w:rPr>
          <w:rFonts w:ascii="Arial" w:cs="Arial" w:eastAsia="Arial" w:hAnsi="Arial"/>
          <w:sz w:val="16"/>
          <w:szCs w:val="16"/>
          <w:color w:val="616265"/>
        </w:rPr>
        <w:t>In the event the Clawback Policy is deemed unenforceable with respect to the Units or with respect to the Common Stock deliverable or delivered upon vesting of the Units, then the Award of Units subject to this Award Agreement shall be deemed unenforceable due to lack of adequate consideration.</w:t>
      </w:r>
    </w:p>
    <w:p>
      <w:pPr>
        <w:sectPr>
          <w:pgSz w:w="11900" w:h="16838" w:orient="portrait"/>
          <w:cols w:equalWidth="0" w:num="1">
            <w:col w:w="11412"/>
          </w:cols>
          <w:pgMar w:left="248" w:top="589" w:right="239" w:bottom="1440" w:gutter="0" w:footer="0" w:header="0"/>
        </w:sectPr>
      </w:pPr>
    </w:p>
    <w:bookmarkStart w:id="32" w:name="page33"/>
    <w:bookmarkEnd w:id="32"/>
    <w:p>
      <w:pPr>
        <w:ind w:left="332" w:hanging="332"/>
        <w:spacing w:after="0"/>
        <w:tabs>
          <w:tab w:leader="none" w:pos="332" w:val="left"/>
        </w:tabs>
        <w:numPr>
          <w:ilvl w:val="0"/>
          <w:numId w:val="26"/>
        </w:numPr>
        <w:rPr>
          <w:rFonts w:ascii="Arial" w:cs="Arial" w:eastAsia="Arial" w:hAnsi="Arial"/>
          <w:sz w:val="18"/>
          <w:szCs w:val="18"/>
          <w:color w:val="auto"/>
        </w:rPr>
      </w:pPr>
      <w:r>
        <w:rPr>
          <w:rFonts w:ascii="Arial" w:cs="Arial" w:eastAsia="Arial" w:hAnsi="Arial"/>
          <w:sz w:val="16"/>
          <w:szCs w:val="16"/>
          <w:b w:val="1"/>
          <w:bCs w:val="1"/>
          <w:color w:val="616265"/>
        </w:rPr>
        <w:t>ENTIRE AGREEMENT</w:t>
      </w:r>
    </w:p>
    <w:p>
      <w:pPr>
        <w:spacing w:after="0" w:line="9" w:lineRule="exact"/>
        <w:rPr>
          <w:rFonts w:ascii="Arial" w:cs="Arial" w:eastAsia="Arial" w:hAnsi="Arial"/>
          <w:sz w:val="18"/>
          <w:szCs w:val="18"/>
          <w:color w:val="auto"/>
        </w:rPr>
      </w:pPr>
    </w:p>
    <w:p>
      <w:pPr>
        <w:ind w:left="332"/>
        <w:spacing w:after="0" w:line="293" w:lineRule="auto"/>
        <w:rPr>
          <w:rFonts w:ascii="Arial" w:cs="Arial" w:eastAsia="Arial" w:hAnsi="Arial"/>
          <w:sz w:val="18"/>
          <w:szCs w:val="18"/>
          <w:color w:val="auto"/>
        </w:rPr>
      </w:pPr>
      <w:r>
        <w:rPr>
          <w:rFonts w:ascii="Arial" w:cs="Arial" w:eastAsia="Arial" w:hAnsi="Arial"/>
          <w:sz w:val="15"/>
          <w:szCs w:val="15"/>
          <w:color w:val="616265"/>
        </w:rPr>
        <w:t>The Notice, this Award Agreement and the Plan constitute the entire contract between the parties hereto with regard to the subject matter hereof. They supersede any other agreements, representations or understandings (whether oral or written and whether express or implied) that relate to the subject matter hereof.</w:t>
      </w:r>
    </w:p>
    <w:p>
      <w:pPr>
        <w:spacing w:after="0" w:line="1" w:lineRule="exact"/>
        <w:rPr>
          <w:rFonts w:ascii="Arial" w:cs="Arial" w:eastAsia="Arial" w:hAnsi="Arial"/>
          <w:sz w:val="18"/>
          <w:szCs w:val="18"/>
          <w:color w:val="auto"/>
        </w:rPr>
      </w:pPr>
    </w:p>
    <w:p>
      <w:pPr>
        <w:ind w:left="332" w:right="60"/>
        <w:spacing w:after="0" w:line="256" w:lineRule="auto"/>
        <w:rPr>
          <w:rFonts w:ascii="Arial" w:cs="Arial" w:eastAsia="Arial" w:hAnsi="Arial"/>
          <w:sz w:val="18"/>
          <w:szCs w:val="18"/>
          <w:color w:val="auto"/>
        </w:rPr>
      </w:pPr>
      <w:r>
        <w:rPr>
          <w:rFonts w:ascii="Arial" w:cs="Arial" w:eastAsia="Arial" w:hAnsi="Arial"/>
          <w:sz w:val="16"/>
          <w:szCs w:val="16"/>
          <w:color w:val="616265"/>
        </w:rPr>
        <w:t>This Award Agreement may not be modified or amended, except for a unilateral amendment by the Company that does not materially adversely affect the rights of the Unit holder under this Award Agreement. No party to this Award Agreement may unilaterally waive any provision hereof, except in writing. Any such modification, amendment or waiver signed by, or binding upon, the Unit holder, shall be valid and binding upon any and all persons or entities who may, at any time, have or claim any rights under or pursuant to this Award Agreement.</w:t>
      </w:r>
    </w:p>
    <w:p>
      <w:pPr>
        <w:spacing w:after="0" w:line="250" w:lineRule="exact"/>
        <w:rPr>
          <w:rFonts w:ascii="Arial" w:cs="Arial" w:eastAsia="Arial" w:hAnsi="Arial"/>
          <w:sz w:val="18"/>
          <w:szCs w:val="18"/>
          <w:color w:val="auto"/>
        </w:rPr>
      </w:pPr>
    </w:p>
    <w:p>
      <w:pPr>
        <w:ind w:left="332" w:hanging="332"/>
        <w:spacing w:after="0"/>
        <w:tabs>
          <w:tab w:leader="none" w:pos="332" w:val="left"/>
        </w:tabs>
        <w:numPr>
          <w:ilvl w:val="0"/>
          <w:numId w:val="26"/>
        </w:numPr>
        <w:rPr>
          <w:rFonts w:ascii="Arial" w:cs="Arial" w:eastAsia="Arial" w:hAnsi="Arial"/>
          <w:sz w:val="18"/>
          <w:szCs w:val="18"/>
          <w:color w:val="auto"/>
        </w:rPr>
      </w:pPr>
      <w:r>
        <w:rPr>
          <w:rFonts w:ascii="Arial" w:cs="Arial" w:eastAsia="Arial" w:hAnsi="Arial"/>
          <w:sz w:val="16"/>
          <w:szCs w:val="16"/>
          <w:b w:val="1"/>
          <w:bCs w:val="1"/>
          <w:color w:val="616265"/>
        </w:rPr>
        <w:t>CHOICE OF LAW</w:t>
      </w:r>
    </w:p>
    <w:p>
      <w:pPr>
        <w:spacing w:after="0" w:line="9" w:lineRule="exact"/>
        <w:rPr>
          <w:rFonts w:ascii="Arial" w:cs="Arial" w:eastAsia="Arial" w:hAnsi="Arial"/>
          <w:sz w:val="18"/>
          <w:szCs w:val="18"/>
          <w:color w:val="auto"/>
        </w:rPr>
      </w:pPr>
    </w:p>
    <w:p>
      <w:pPr>
        <w:ind w:left="332" w:right="200"/>
        <w:spacing w:after="0" w:line="263" w:lineRule="auto"/>
        <w:rPr>
          <w:rFonts w:ascii="Arial" w:cs="Arial" w:eastAsia="Arial" w:hAnsi="Arial"/>
          <w:sz w:val="18"/>
          <w:szCs w:val="18"/>
          <w:color w:val="auto"/>
        </w:rPr>
      </w:pPr>
      <w:r>
        <w:rPr>
          <w:rFonts w:ascii="Arial" w:cs="Arial" w:eastAsia="Arial" w:hAnsi="Arial"/>
          <w:sz w:val="16"/>
          <w:szCs w:val="16"/>
          <w:color w:val="616265"/>
        </w:rPr>
        <w:t>This Award Agreement shall be governed by, and construed in accordance with, the laws of the State of Washington without regard to principles of conflicts of laws, as such laws are applied to contracts entered into and performed in such State.</w:t>
      </w:r>
    </w:p>
    <w:p>
      <w:pPr>
        <w:spacing w:after="0" w:line="244" w:lineRule="exact"/>
        <w:rPr>
          <w:rFonts w:ascii="Arial" w:cs="Arial" w:eastAsia="Arial" w:hAnsi="Arial"/>
          <w:sz w:val="18"/>
          <w:szCs w:val="18"/>
          <w:color w:val="auto"/>
        </w:rPr>
      </w:pPr>
    </w:p>
    <w:p>
      <w:pPr>
        <w:ind w:left="332" w:hanging="332"/>
        <w:spacing w:after="0"/>
        <w:tabs>
          <w:tab w:leader="none" w:pos="332" w:val="left"/>
        </w:tabs>
        <w:numPr>
          <w:ilvl w:val="0"/>
          <w:numId w:val="26"/>
        </w:numPr>
        <w:rPr>
          <w:rFonts w:ascii="Arial" w:cs="Arial" w:eastAsia="Arial" w:hAnsi="Arial"/>
          <w:sz w:val="18"/>
          <w:szCs w:val="18"/>
          <w:color w:val="auto"/>
        </w:rPr>
      </w:pPr>
      <w:r>
        <w:rPr>
          <w:rFonts w:ascii="Arial" w:cs="Arial" w:eastAsia="Arial" w:hAnsi="Arial"/>
          <w:sz w:val="16"/>
          <w:szCs w:val="16"/>
          <w:b w:val="1"/>
          <w:bCs w:val="1"/>
          <w:color w:val="616265"/>
        </w:rPr>
        <w:t>SEVERABILITY</w:t>
      </w:r>
    </w:p>
    <w:p>
      <w:pPr>
        <w:spacing w:after="0" w:line="9" w:lineRule="exact"/>
        <w:rPr>
          <w:rFonts w:ascii="Arial" w:cs="Arial" w:eastAsia="Arial" w:hAnsi="Arial"/>
          <w:sz w:val="18"/>
          <w:szCs w:val="18"/>
          <w:color w:val="auto"/>
        </w:rPr>
      </w:pPr>
    </w:p>
    <w:p>
      <w:pPr>
        <w:ind w:left="332" w:right="60"/>
        <w:spacing w:after="0" w:line="254" w:lineRule="auto"/>
        <w:rPr>
          <w:rFonts w:ascii="Arial" w:cs="Arial" w:eastAsia="Arial" w:hAnsi="Arial"/>
          <w:sz w:val="18"/>
          <w:szCs w:val="18"/>
          <w:color w:val="auto"/>
        </w:rPr>
      </w:pPr>
      <w:r>
        <w:rPr>
          <w:rFonts w:ascii="Arial" w:cs="Arial" w:eastAsia="Arial" w:hAnsi="Arial"/>
          <w:sz w:val="16"/>
          <w:szCs w:val="16"/>
          <w:color w:val="616265"/>
        </w:rPr>
        <w:t>If any provision of this Award Agreement shall be invalid or unenforceable, such invalidity or unenforceability shall attach only to such provision and shall not in any manner affect or render invalid or unenforceable any other severable provision of this Award Agreement, and this Award Agreement shall be carried out as if such invalid or unenforceable provision were not contained herein.</w:t>
      </w:r>
    </w:p>
    <w:p>
      <w:pPr>
        <w:spacing w:after="0" w:line="198" w:lineRule="exact"/>
        <w:rPr>
          <w:rFonts w:ascii="Arial" w:cs="Arial" w:eastAsia="Arial" w:hAnsi="Arial"/>
          <w:sz w:val="18"/>
          <w:szCs w:val="18"/>
          <w:color w:val="auto"/>
        </w:rPr>
      </w:pPr>
    </w:p>
    <w:p>
      <w:pPr>
        <w:ind w:left="332" w:hanging="332"/>
        <w:spacing w:after="0"/>
        <w:tabs>
          <w:tab w:leader="none" w:pos="332" w:val="left"/>
        </w:tabs>
        <w:numPr>
          <w:ilvl w:val="0"/>
          <w:numId w:val="26"/>
        </w:numPr>
        <w:rPr>
          <w:rFonts w:ascii="Arial" w:cs="Arial" w:eastAsia="Arial" w:hAnsi="Arial"/>
          <w:sz w:val="18"/>
          <w:szCs w:val="18"/>
          <w:color w:val="auto"/>
        </w:rPr>
      </w:pPr>
      <w:r>
        <w:rPr>
          <w:rFonts w:ascii="Arial" w:cs="Arial" w:eastAsia="Arial" w:hAnsi="Arial"/>
          <w:sz w:val="16"/>
          <w:szCs w:val="16"/>
          <w:b w:val="1"/>
          <w:bCs w:val="1"/>
          <w:color w:val="616265"/>
        </w:rPr>
        <w:t>CODE SECTION 409A</w:t>
      </w:r>
    </w:p>
    <w:p>
      <w:pPr>
        <w:spacing w:after="0" w:line="9" w:lineRule="exact"/>
        <w:rPr>
          <w:rFonts w:ascii="Arial" w:cs="Arial" w:eastAsia="Arial" w:hAnsi="Arial"/>
          <w:sz w:val="18"/>
          <w:szCs w:val="18"/>
          <w:color w:val="auto"/>
        </w:rPr>
      </w:pPr>
    </w:p>
    <w:p>
      <w:pPr>
        <w:ind w:left="332"/>
        <w:spacing w:after="0" w:line="250" w:lineRule="auto"/>
        <w:rPr>
          <w:rFonts w:ascii="Arial" w:cs="Arial" w:eastAsia="Arial" w:hAnsi="Arial"/>
          <w:sz w:val="18"/>
          <w:szCs w:val="18"/>
          <w:color w:val="auto"/>
        </w:rPr>
      </w:pPr>
      <w:r>
        <w:rPr>
          <w:rFonts w:ascii="Arial" w:cs="Arial" w:eastAsia="Arial" w:hAnsi="Arial"/>
          <w:sz w:val="16"/>
          <w:szCs w:val="16"/>
          <w:color w:val="616265"/>
        </w:rPr>
        <w:t>The Company reserves the right, to the extent the Company deems reasonable or necessary in its sole discretion, to unilaterally amend or modify this Award Agreement as may be necessary to ensure that all vesting or delivery of Common Stock provided under this Award Agreement is made in a manner that complies with Section 409A of the Code, together with regulatory guidance issued thereunder. Notwithstanding the foregoing, neither the Company nor the Committee shall have any obligation to take any action to prevent the assessment of any additional tax or penalty on any Unit holder under Section 409A of the Code and neither the Company nor the Committee will have any liability to any Unit holder for such tax or penalty.</w:t>
      </w:r>
    </w:p>
    <w:p>
      <w:pPr>
        <w:sectPr>
          <w:pgSz w:w="11900" w:h="16838" w:orient="portrait"/>
          <w:cols w:equalWidth="0" w:num="1">
            <w:col w:w="11392"/>
          </w:cols>
          <w:pgMar w:left="248" w:top="571" w:right="25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31.1</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required by Section 302(a)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Erik B. Nordstrom, certify that:</w:t>
      </w:r>
    </w:p>
    <w:p>
      <w:pPr>
        <w:spacing w:after="0" w:line="171"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Nordstrom, Inc.;</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440" w:right="60"/>
        <w:spacing w:after="0" w:line="264" w:lineRule="auto"/>
        <w:tabs>
          <w:tab w:leader="none" w:pos="62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440" w:right="40"/>
        <w:spacing w:after="0" w:line="264" w:lineRule="auto"/>
        <w:tabs>
          <w:tab w:leader="none" w:pos="63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440" w:right="100"/>
        <w:spacing w:after="0" w:line="308" w:lineRule="auto"/>
        <w:tabs>
          <w:tab w:leader="none" w:pos="625"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440" w:right="140"/>
        <w:spacing w:after="0" w:line="264" w:lineRule="auto"/>
        <w:tabs>
          <w:tab w:leader="none" w:pos="63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440" w:right="20"/>
        <w:spacing w:after="0" w:line="277" w:lineRule="auto"/>
        <w:tabs>
          <w:tab w:leader="none" w:pos="625"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440" w:right="60"/>
        <w:spacing w:after="0" w:line="277" w:lineRule="auto"/>
        <w:tabs>
          <w:tab w:leader="none" w:pos="635"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6320"/>
        <w:spacing w:after="0"/>
        <w:tabs>
          <w:tab w:leader="none" w:pos="6980" w:val="left"/>
        </w:tabs>
        <w:rPr>
          <w:sz w:val="20"/>
          <w:szCs w:val="20"/>
          <w:color w:val="auto"/>
        </w:rPr>
      </w:pPr>
      <w:r>
        <w:rPr>
          <w:rFonts w:ascii="Arial" w:cs="Arial" w:eastAsia="Arial" w:hAnsi="Arial"/>
          <w:sz w:val="18"/>
          <w:szCs w:val="18"/>
          <w:color w:val="auto"/>
        </w:rPr>
        <w:t>Date:</w:t>
        <w:tab/>
        <w:t>December 4,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Erik B. Nordstrom</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Erik B. Nordstrom</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Co-President of Nordstrom, Inc.</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31.2</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required by Section 302(a)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Anne L. Bramman, certify that:</w:t>
      </w:r>
    </w:p>
    <w:p>
      <w:pPr>
        <w:spacing w:after="0" w:line="171"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Nordstrom, Inc.;</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440" w:right="60"/>
        <w:spacing w:after="0" w:line="264" w:lineRule="auto"/>
        <w:tabs>
          <w:tab w:leader="none" w:pos="62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440" w:right="40"/>
        <w:spacing w:after="0" w:line="264" w:lineRule="auto"/>
        <w:tabs>
          <w:tab w:leader="none" w:pos="63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440" w:right="100"/>
        <w:spacing w:after="0" w:line="308" w:lineRule="auto"/>
        <w:tabs>
          <w:tab w:leader="none" w:pos="625"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440" w:right="140"/>
        <w:spacing w:after="0" w:line="264" w:lineRule="auto"/>
        <w:tabs>
          <w:tab w:leader="none" w:pos="63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440" w:right="20"/>
        <w:spacing w:after="0" w:line="277" w:lineRule="auto"/>
        <w:tabs>
          <w:tab w:leader="none" w:pos="62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440" w:right="60"/>
        <w:spacing w:after="0" w:line="277" w:lineRule="auto"/>
        <w:tabs>
          <w:tab w:leader="none" w:pos="63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6360"/>
        <w:spacing w:after="0"/>
        <w:tabs>
          <w:tab w:leader="none" w:pos="6980" w:val="left"/>
        </w:tabs>
        <w:rPr>
          <w:sz w:val="20"/>
          <w:szCs w:val="20"/>
          <w:color w:val="auto"/>
        </w:rPr>
      </w:pPr>
      <w:r>
        <w:rPr>
          <w:rFonts w:ascii="Arial" w:cs="Arial" w:eastAsia="Arial" w:hAnsi="Arial"/>
          <w:sz w:val="18"/>
          <w:szCs w:val="18"/>
          <w:color w:val="auto"/>
        </w:rPr>
        <w:t>Date:</w:t>
        <w:tab/>
        <w:t>December 4,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360"/>
        <w:spacing w:after="0"/>
        <w:rPr>
          <w:sz w:val="20"/>
          <w:szCs w:val="20"/>
          <w:color w:val="auto"/>
        </w:rPr>
      </w:pPr>
      <w:r>
        <w:rPr>
          <w:rFonts w:ascii="Arial" w:cs="Arial" w:eastAsia="Arial" w:hAnsi="Arial"/>
          <w:sz w:val="18"/>
          <w:szCs w:val="18"/>
          <w:u w:val="single" w:color="auto"/>
          <w:color w:val="auto"/>
        </w:rPr>
        <w:t>/s/ Anne L. Bramman</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Anne L. Bramman</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Chief Financial Officer of Nordstrom, Inc.</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32.1</w:t>
      </w:r>
    </w:p>
    <w:p>
      <w:pPr>
        <w:spacing w:after="0" w:line="334"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NORDSTROM, INC.</w:t>
      </w:r>
    </w:p>
    <w:p>
      <w:pPr>
        <w:spacing w:after="0" w:line="166"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1617 SIXTH AVENUE</w:t>
      </w:r>
    </w:p>
    <w:p>
      <w:pPr>
        <w:spacing w:after="0" w:line="166"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SEATTLE, WASHINGTON 98101</w:t>
      </w:r>
    </w:p>
    <w:p>
      <w:pPr>
        <w:spacing w:after="0" w:line="166"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14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connection with the Quarterly Report of Nordstrom, Inc. (the “Company”) on Form 10-Q for the period ended November 2, 2019, as filed with the Securities and Exchange Commission on the date hereof (the “Report”), we, Erik B. Nordstrom, Co-President (Principal Executive Officer), and Anne L. Bramman, Chief Financial Officer (Principal Financial Officer), of the Company, certify, pursuant to 18 U.S.C. Section 1350, as adopted pursuant to Section 906 of the Sarbanes-Oxley Act of 2002, that:</w:t>
      </w:r>
    </w:p>
    <w:p>
      <w:pPr>
        <w:spacing w:after="0" w:line="133"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980" w:right="7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5880"/>
        <w:spacing w:after="0"/>
        <w:tabs>
          <w:tab w:leader="none" w:pos="6480" w:val="left"/>
        </w:tabs>
        <w:rPr>
          <w:sz w:val="20"/>
          <w:szCs w:val="20"/>
          <w:color w:val="auto"/>
        </w:rPr>
      </w:pPr>
      <w:r>
        <w:rPr>
          <w:rFonts w:ascii="Arial" w:cs="Arial" w:eastAsia="Arial" w:hAnsi="Arial"/>
          <w:sz w:val="18"/>
          <w:szCs w:val="18"/>
          <w:color w:val="auto"/>
        </w:rPr>
        <w:t>Date:</w:t>
        <w:tab/>
        <w:t>December 4,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80"/>
        <w:spacing w:after="0"/>
        <w:rPr>
          <w:sz w:val="20"/>
          <w:szCs w:val="20"/>
          <w:color w:val="auto"/>
        </w:rPr>
      </w:pPr>
      <w:r>
        <w:rPr>
          <w:rFonts w:ascii="Arial" w:cs="Arial" w:eastAsia="Arial" w:hAnsi="Arial"/>
          <w:sz w:val="18"/>
          <w:szCs w:val="18"/>
          <w:u w:val="single" w:color="auto"/>
          <w:color w:val="auto"/>
        </w:rPr>
        <w:t>/s/ Erik B. Nordstrom</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Erik B. Nordstrom</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Co-President of Nordstrom,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80"/>
        <w:spacing w:after="0"/>
        <w:rPr>
          <w:sz w:val="20"/>
          <w:szCs w:val="20"/>
          <w:color w:val="auto"/>
        </w:rPr>
      </w:pPr>
      <w:r>
        <w:rPr>
          <w:rFonts w:ascii="Arial" w:cs="Arial" w:eastAsia="Arial" w:hAnsi="Arial"/>
          <w:sz w:val="18"/>
          <w:szCs w:val="18"/>
          <w:u w:val="single" w:color="auto"/>
          <w:color w:val="auto"/>
        </w:rPr>
        <w:t>/s/ Anne L. Bramman</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Anne L. Bramman</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Financial Officer of Nordstrom, Inc.</w:t>
      </w:r>
    </w:p>
    <w:p>
      <w:pPr>
        <w:spacing w:after="0" w:line="25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Nordstrom, Inc. and will be retained by Nordstrom, Inc.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bullet"/>
      <w:start w:val="1"/>
    </w:lvl>
  </w:abstractNum>
  <w:abstractNum w:abstractNumId="8">
    <w:nsid w:val="7C83E458"/>
    <w:multiLevelType w:val="hybridMultilevel"/>
    <w:lvl w:ilvl="0">
      <w:lvlJc w:val="left"/>
      <w:lvlText w:val="1"/>
      <w:numFmt w:val="bullet"/>
      <w:start w:val="1"/>
    </w:lvl>
  </w:abstractNum>
  <w:abstractNum w:abstractNumId="9">
    <w:nsid w:val="257130A3"/>
    <w:multiLevelType w:val="hybridMultilevel"/>
    <w:lvl w:ilvl="0">
      <w:lvlJc w:val="left"/>
      <w:lvlText w:val="1"/>
      <w:numFmt w:val="bullet"/>
      <w:start w:val="1"/>
    </w:lvl>
  </w:abstractNum>
  <w:abstractNum w:abstractNumId="10">
    <w:nsid w:val="62BBD95A"/>
    <w:multiLevelType w:val="hybridMultilevel"/>
    <w:lvl w:ilvl="0">
      <w:lvlJc w:val="left"/>
      <w:lvlText w:val="1"/>
      <w:numFmt w:val="bullet"/>
      <w:start w:val="1"/>
    </w:lvl>
  </w:abstractNum>
  <w:abstractNum w:abstractNumId="11">
    <w:nsid w:val="436C6125"/>
    <w:multiLevelType w:val="hybridMultilevel"/>
    <w:lvl w:ilvl="0">
      <w:lvlJc w:val="left"/>
      <w:lvlText w:val="1"/>
      <w:numFmt w:val="bullet"/>
      <w:start w:val="1"/>
    </w:lvl>
  </w:abstractNum>
  <w:abstractNum w:abstractNumId="12">
    <w:nsid w:val="628C895D"/>
    <w:multiLevelType w:val="hybridMultilevel"/>
    <w:lvl w:ilvl="0">
      <w:lvlJc w:val="left"/>
      <w:lvlText w:val="1"/>
      <w:numFmt w:val="bullet"/>
      <w:start w:val="1"/>
    </w:lvl>
  </w:abstractNum>
  <w:abstractNum w:abstractNumId="13">
    <w:nsid w:val="333AB105"/>
    <w:multiLevelType w:val="hybridMultilevel"/>
    <w:lvl w:ilvl="0">
      <w:lvlJc w:val="left"/>
      <w:lvlText w:val="1"/>
      <w:numFmt w:val="bullet"/>
      <w:start w:val="1"/>
    </w:lvl>
  </w:abstractNum>
  <w:abstractNum w:abstractNumId="14">
    <w:nsid w:val="721DA317"/>
    <w:multiLevelType w:val="hybridMultilevel"/>
    <w:lvl w:ilvl="0">
      <w:lvlJc w:val="left"/>
      <w:lvlText w:val="1"/>
      <w:numFmt w:val="bullet"/>
      <w:start w:val="1"/>
    </w:lvl>
  </w:abstractNum>
  <w:abstractNum w:abstractNumId="15">
    <w:nsid w:val="2443A858"/>
    <w:multiLevelType w:val="hybridMultilevel"/>
    <w:lvl w:ilvl="0">
      <w:lvlJc w:val="left"/>
      <w:lvlText w:val="2"/>
      <w:numFmt w:val="bullet"/>
      <w:start w:val="1"/>
    </w:lvl>
  </w:abstractNum>
  <w:abstractNum w:abstractNumId="16">
    <w:nsid w:val="2D1D5AE9"/>
    <w:multiLevelType w:val="hybridMultilevel"/>
    <w:lvl w:ilvl="0">
      <w:lvlJc w:val="left"/>
      <w:lvlText w:val="3"/>
      <w:numFmt w:val="bullet"/>
      <w:start w:val="1"/>
    </w:lvl>
  </w:abstractNum>
  <w:abstractNum w:abstractNumId="17">
    <w:nsid w:val="6763845E"/>
    <w:multiLevelType w:val="hybridMultilevel"/>
    <w:lvl w:ilvl="0">
      <w:lvlJc w:val="left"/>
      <w:lvlText w:val="4"/>
      <w:numFmt w:val="bullet"/>
      <w:start w:val="1"/>
    </w:lvl>
  </w:abstractNum>
  <w:abstractNum w:abstractNumId="18">
    <w:nsid w:val="75A2A8D4"/>
    <w:multiLevelType w:val="hybridMultilevel"/>
    <w:lvl w:ilvl="0">
      <w:lvlJc w:val="left"/>
      <w:lvlText w:val="1"/>
      <w:numFmt w:val="bullet"/>
      <w:start w:val="1"/>
    </w:lvl>
  </w:abstractNum>
  <w:abstractNum w:abstractNumId="19">
    <w:nsid w:val="8EDBDAB"/>
    <w:multiLevelType w:val="hybridMultilevel"/>
    <w:lvl w:ilvl="0">
      <w:lvlJc w:val="left"/>
      <w:lvlText w:val="2"/>
      <w:numFmt w:val="bullet"/>
      <w:start w:val="1"/>
    </w:lvl>
  </w:abstractNum>
  <w:abstractNum w:abstractNumId="20">
    <w:nsid w:val="79838CB2"/>
    <w:multiLevelType w:val="hybridMultilevel"/>
    <w:lvl w:ilvl="0">
      <w:lvlJc w:val="left"/>
      <w:lvlText w:val="3"/>
      <w:numFmt w:val="bullet"/>
      <w:start w:val="1"/>
    </w:lvl>
  </w:abstractNum>
  <w:abstractNum w:abstractNumId="21">
    <w:nsid w:val="4353D0CD"/>
    <w:multiLevelType w:val="hybridMultilevel"/>
    <w:lvl w:ilvl="0">
      <w:lvlJc w:val="left"/>
      <w:lvlText w:val="4"/>
      <w:numFmt w:val="bullet"/>
      <w:start w:val="1"/>
    </w:lvl>
  </w:abstractNum>
  <w:abstractNum w:abstractNumId="22">
    <w:nsid w:val="B03E0C6"/>
    <w:multiLevelType w:val="hybridMultilevel"/>
    <w:lvl w:ilvl="0">
      <w:lvlJc w:val="left"/>
      <w:lvlText w:val="%1."/>
      <w:numFmt w:val="decimal"/>
      <w:start w:val="1"/>
    </w:lvl>
    <w:lvl w:ilvl="1">
      <w:lvlJc w:val="left"/>
      <w:lvlText w:val="(%2)"/>
      <w:numFmt w:val="lowerLetter"/>
      <w:start w:val="1"/>
    </w:lvl>
  </w:abstractNum>
  <w:abstractNum w:abstractNumId="23">
    <w:nsid w:val="189A769B"/>
    <w:multiLevelType w:val="hybridMultilevel"/>
    <w:lvl w:ilvl="0">
      <w:lvlJc w:val="left"/>
      <w:lvlText w:val="%1"/>
      <w:numFmt w:val="decimal"/>
      <w:start w:val="1"/>
    </w:lvl>
    <w:lvl w:ilvl="1">
      <w:lvlJc w:val="left"/>
      <w:lvlText w:val="(%2)"/>
      <w:numFmt w:val="lowerLetter"/>
      <w:start w:val="3"/>
    </w:lvl>
  </w:abstractNum>
  <w:abstractNum w:abstractNumId="24">
    <w:nsid w:val="54E49EB4"/>
    <w:multiLevelType w:val="hybridMultilevel"/>
    <w:lvl w:ilvl="0">
      <w:lvlJc w:val="left"/>
      <w:lvlText w:val="%1."/>
      <w:numFmt w:val="decimal"/>
      <w:start w:val="5"/>
    </w:lvl>
    <w:lvl w:ilvl="1">
      <w:lvlJc w:val="left"/>
      <w:lvlText w:val="%2"/>
      <w:numFmt w:val="lowerLetter"/>
      <w:start w:val="1"/>
    </w:lvl>
  </w:abstractNum>
  <w:abstractNum w:abstractNumId="25">
    <w:nsid w:val="71F32454"/>
    <w:multiLevelType w:val="hybridMultilevel"/>
    <w:lvl w:ilvl="0">
      <w:lvlJc w:val="left"/>
      <w:lvlText w:val="%1."/>
      <w:numFmt w:val="decimal"/>
      <w:start w:val="14"/>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jpeg"/><Relationship Id="rId14" Type="http://schemas.openxmlformats.org/officeDocument/2006/relationships/hyperlink" Target="http://www.sec.gov/Archives/edgar/data/72333/000119312519285877/d830522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2019-12-28T01:16:12Z</dcterms:created>
  <dcterms:modified xsi:type="dcterms:W3CDTF">2019-12-28T01:16:12Z</dcterms:modified>
</cp:coreProperties>
</file>