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Nordstrom,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655664100</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José Antonio Diego</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El Puerto de Liverpool, S.A.B. de C.V.</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Mario Pani No. 200, Col.</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Santa Fé Cuajimalpa</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Cuajimalpa, Ciudad de México</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CP 05348, Mexico</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52 55 5268 3000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Benjamin P. Schaye</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Juan F. Méndez</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425 Lexington Avenue</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212 455 2000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August 30, 2024</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4"/>
          <w:szCs w:val="24"/>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ind w:left="87" w:hanging="87"/>
        <w:spacing w:after="0"/>
        <w:tabs>
          <w:tab w:leader="none" w:pos="87"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Names of Reporting Person</w:t>
      </w:r>
    </w:p>
    <w:p>
      <w:pPr>
        <w:spacing w:after="0" w:line="263"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 Puerto de Liverpool, S.A.B. de C.V.</w:t>
      </w:r>
    </w:p>
    <w:p>
      <w:pPr>
        <w:spacing w:after="0" w:line="3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-566420</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367"/>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87" w:hanging="87"/>
        <w:spacing w:after="0"/>
        <w:tabs>
          <w:tab w:leader="none" w:pos="8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87" w:hanging="87"/>
        <w:spacing w:after="0"/>
        <w:tabs>
          <w:tab w:leader="none" w:pos="8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447" w:hanging="78"/>
        <w:spacing w:after="0"/>
        <w:tabs>
          <w:tab w:leader="none" w:pos="447"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WC</w:t>
      </w:r>
    </w:p>
    <w:p>
      <w:pPr>
        <w:spacing w:after="0" w:line="70" w:lineRule="exact"/>
        <w:rPr>
          <w:rFonts w:ascii="Times New Roman" w:cs="Times New Roman" w:eastAsia="Times New Roman" w:hAnsi="Times New Roman"/>
          <w:sz w:val="15"/>
          <w:szCs w:val="15"/>
          <w:color w:val="auto"/>
        </w:rPr>
      </w:pPr>
    </w:p>
    <w:p>
      <w:pPr>
        <w:ind w:left="87" w:hanging="87"/>
        <w:spacing w:after="0"/>
        <w:tabs>
          <w:tab w:leader="none" w:pos="8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467" w:hanging="98"/>
        <w:spacing w:after="0" w:line="207" w:lineRule="exact"/>
        <w:tabs>
          <w:tab w:leader="none" w:pos="467"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467" w:hanging="98"/>
        <w:spacing w:after="0"/>
        <w:tabs>
          <w:tab w:leader="none" w:pos="46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Mexico</w:t>
      </w:r>
    </w:p>
    <w:p>
      <w:pPr>
        <w:spacing w:after="0" w:line="36" w:lineRule="exact"/>
        <w:rPr>
          <w:rFonts w:ascii="Times New Roman" w:cs="Times New Roman" w:eastAsia="Times New Roman" w:hAnsi="Times New Roman"/>
          <w:sz w:val="18"/>
          <w:szCs w:val="18"/>
          <w:color w:val="auto"/>
        </w:rPr>
      </w:pPr>
    </w:p>
    <w:p>
      <w:pPr>
        <w:ind w:left="1087" w:hanging="83"/>
        <w:spacing w:after="0"/>
        <w:tabs>
          <w:tab w:leader="none" w:pos="1087"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7"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Pr>
          <w:p>
            <w:pPr>
              <w:spacing w:after="0"/>
              <w:rPr>
                <w:sz w:val="19"/>
                <w:szCs w:val="19"/>
                <w:color w:val="auto"/>
              </w:rPr>
            </w:pP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15,755,000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2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8</w:t>
            </w:r>
          </w:p>
        </w:tc>
        <w:tc>
          <w:tcPr>
            <w:tcW w:w="9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vMerge w:val="continue"/>
          </w:tcPr>
          <w:p>
            <w:pPr>
              <w:spacing w:after="0"/>
              <w:rPr>
                <w:sz w:val="9"/>
                <w:szCs w:val="9"/>
                <w:color w:val="auto"/>
              </w:rPr>
            </w:pPr>
          </w:p>
        </w:tc>
        <w:tc>
          <w:tcPr>
            <w:tcW w:w="9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Pr>
          <w:p>
            <w:pPr>
              <w:spacing w:after="0"/>
              <w:rPr>
                <w:sz w:val="18"/>
                <w:szCs w:val="18"/>
                <w:color w:val="auto"/>
              </w:rPr>
            </w:pPr>
          </w:p>
        </w:tc>
        <w:tc>
          <w:tcPr>
            <w:tcW w:w="9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20" w:type="dxa"/>
            <w:vAlign w:val="bottom"/>
            <w:tcBorders>
              <w:bottom w:val="single" w:sz="8" w:color="auto"/>
            </w:tcBorders>
          </w:tcPr>
          <w:p>
            <w:pPr>
              <w:spacing w:after="0"/>
              <w:rPr>
                <w:sz w:val="10"/>
                <w:szCs w:val="10"/>
                <w:color w:val="auto"/>
              </w:rPr>
            </w:pPr>
          </w:p>
        </w:tc>
        <w:tc>
          <w:tcPr>
            <w:tcW w:w="94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9</w:t>
            </w:r>
          </w:p>
        </w:tc>
        <w:tc>
          <w:tcPr>
            <w:tcW w:w="9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20" w:type="dxa"/>
            <w:vAlign w:val="bottom"/>
            <w:vMerge w:val="continue"/>
          </w:tcPr>
          <w:p>
            <w:pPr>
              <w:spacing w:after="0"/>
              <w:rPr>
                <w:sz w:val="13"/>
                <w:szCs w:val="13"/>
                <w:color w:val="auto"/>
              </w:rPr>
            </w:pPr>
          </w:p>
        </w:tc>
        <w:tc>
          <w:tcPr>
            <w:tcW w:w="9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9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20" w:type="dxa"/>
            <w:vAlign w:val="bottom"/>
          </w:tcPr>
          <w:p>
            <w:pPr>
              <w:spacing w:after="0"/>
              <w:rPr>
                <w:sz w:val="18"/>
                <w:szCs w:val="18"/>
                <w:color w:val="auto"/>
              </w:rPr>
            </w:pPr>
          </w:p>
        </w:tc>
        <w:tc>
          <w:tcPr>
            <w:tcW w:w="9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15,755,000</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420" w:type="dxa"/>
            <w:vAlign w:val="bottom"/>
            <w:tcBorders>
              <w:bottom w:val="single" w:sz="8" w:color="auto"/>
            </w:tcBorders>
          </w:tcPr>
          <w:p>
            <w:pPr>
              <w:spacing w:after="0"/>
              <w:rPr>
                <w:sz w:val="15"/>
                <w:szCs w:val="15"/>
                <w:color w:val="auto"/>
              </w:rPr>
            </w:pPr>
          </w:p>
        </w:tc>
        <w:tc>
          <w:tcPr>
            <w:tcW w:w="9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427"/>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367" w:hanging="367"/>
        <w:spacing w:after="0"/>
        <w:tabs>
          <w:tab w:leader="none" w:pos="3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15,755,000</w:t>
      </w:r>
    </w:p>
    <w:p>
      <w:pPr>
        <w:spacing w:after="0" w:line="3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467" w:hanging="98"/>
        <w:spacing w:after="0" w:line="207" w:lineRule="exact"/>
        <w:tabs>
          <w:tab w:leader="none" w:pos="467"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w:t>
      </w:r>
    </w:p>
    <w:p>
      <w:pPr>
        <w:spacing w:after="0" w:line="36" w:lineRule="exact"/>
        <w:rPr>
          <w:rFonts w:ascii="Times New Roman" w:cs="Times New Roman" w:eastAsia="Times New Roman" w:hAnsi="Times New Roman"/>
          <w:sz w:val="18"/>
          <w:szCs w:val="18"/>
          <w:color w:val="auto"/>
        </w:rPr>
      </w:pPr>
    </w:p>
    <w:p>
      <w:pPr>
        <w:ind w:left="367" w:hanging="367"/>
        <w:spacing w:after="0"/>
        <w:tabs>
          <w:tab w:leader="none" w:pos="3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467" w:hanging="98"/>
        <w:spacing w:after="0"/>
        <w:tabs>
          <w:tab w:leader="none" w:pos="46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ectPr>
          <w:pgSz w:w="11900" w:h="16838" w:orient="portrait"/>
          <w:cols w:equalWidth="0" w:num="1">
            <w:col w:w="10747"/>
          </w:cols>
          <w:pgMar w:left="593" w:top="283" w:right="5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Reporting Person (as defined below) previously reported beneficial ownership of shares of the Issuer’s Common Stock (as defined below) on a Schedule 13G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September 15, 2022 (the “</w:t>
      </w:r>
      <w:r>
        <w:rPr>
          <w:rFonts w:ascii="Times New Roman" w:cs="Times New Roman" w:eastAsia="Times New Roman" w:hAnsi="Times New Roman"/>
          <w:sz w:val="18"/>
          <w:szCs w:val="18"/>
          <w:u w:val="single" w:color="auto"/>
          <w:color w:val="auto"/>
        </w:rPr>
        <w:t>Schedule 13G</w:t>
      </w:r>
      <w:r>
        <w:rPr>
          <w:rFonts w:ascii="Times New Roman" w:cs="Times New Roman" w:eastAsia="Times New Roman" w:hAnsi="Times New Roman"/>
          <w:sz w:val="18"/>
          <w:szCs w:val="18"/>
          <w:color w:val="auto"/>
        </w:rPr>
        <w:t>”) pursuant to Rule 13d-1(c) of the Securities Exchange Act of 1934, as amended. For the reasons described herein, the Reporting Person is now reporting its beneficial ownership of Common Stock on this Schedule 13D.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121" w:lineRule="exact"/>
        <w:rPr>
          <w:sz w:val="20"/>
          <w:szCs w:val="20"/>
          <w:color w:val="auto"/>
        </w:rPr>
      </w:pPr>
    </w:p>
    <w:p>
      <w:pPr>
        <w:ind w:right="160" w:firstLine="440"/>
        <w:spacing w:after="0" w:line="312" w:lineRule="auto"/>
        <w:rPr>
          <w:sz w:val="20"/>
          <w:szCs w:val="20"/>
          <w:color w:val="auto"/>
        </w:rPr>
      </w:pPr>
      <w:r>
        <w:rPr>
          <w:rFonts w:ascii="Times New Roman" w:cs="Times New Roman" w:eastAsia="Times New Roman" w:hAnsi="Times New Roman"/>
          <w:sz w:val="17"/>
          <w:szCs w:val="17"/>
          <w:color w:val="auto"/>
        </w:rPr>
        <w:t>This statement on Schedule 13D (this “</w:t>
      </w:r>
      <w:r>
        <w:rPr>
          <w:rFonts w:ascii="Times New Roman" w:cs="Times New Roman" w:eastAsia="Times New Roman" w:hAnsi="Times New Roman"/>
          <w:sz w:val="17"/>
          <w:szCs w:val="17"/>
          <w:u w:val="single" w:color="auto"/>
          <w:color w:val="auto"/>
        </w:rPr>
        <w:t>Schedule 13D</w:t>
      </w:r>
      <w:r>
        <w:rPr>
          <w:rFonts w:ascii="Times New Roman" w:cs="Times New Roman" w:eastAsia="Times New Roman" w:hAnsi="Times New Roman"/>
          <w:sz w:val="17"/>
          <w:szCs w:val="17"/>
          <w:color w:val="auto"/>
        </w:rPr>
        <w:t>”) relates to the common stock, without par value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of Nordstrom, Inc., a Washington corporation (the “</w:t>
      </w:r>
      <w:r>
        <w:rPr>
          <w:rFonts w:ascii="Times New Roman" w:cs="Times New Roman" w:eastAsia="Times New Roman" w:hAnsi="Times New Roman"/>
          <w:sz w:val="17"/>
          <w:szCs w:val="17"/>
          <w:u w:val="single" w:color="auto"/>
          <w:color w:val="auto"/>
        </w:rPr>
        <w:t>Issuer</w:t>
      </w:r>
      <w:r>
        <w:rPr>
          <w:rFonts w:ascii="Times New Roman" w:cs="Times New Roman" w:eastAsia="Times New Roman" w:hAnsi="Times New Roman"/>
          <w:sz w:val="17"/>
          <w:szCs w:val="17"/>
          <w:color w:val="auto"/>
        </w:rPr>
        <w:t>”). The address of the Issuer’s principal executive office is 1617 Sixth Avenue, Seattle, Washington, 98101.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21" w:lineRule="exact"/>
        <w:rPr>
          <w:sz w:val="20"/>
          <w:szCs w:val="20"/>
          <w:color w:val="auto"/>
        </w:rPr>
      </w:pPr>
    </w:p>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t>(a)(f) This Schedule 13D is being filed by El Puerto de Liverpool, S.A.B. de C.V., a corporation formed under the laws of Mexico (“</w:t>
      </w:r>
      <w:r>
        <w:rPr>
          <w:rFonts w:ascii="Times New Roman" w:cs="Times New Roman" w:eastAsia="Times New Roman" w:hAnsi="Times New Roman"/>
          <w:sz w:val="17"/>
          <w:szCs w:val="17"/>
          <w:u w:val="single" w:color="auto"/>
          <w:color w:val="auto"/>
        </w:rPr>
        <w:t>Reporting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xml:space="preserve">”). The executive officers and directors of the Reporting Person are listed on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attached hereto, which is incorporated herein by reference.</w:t>
      </w:r>
    </w:p>
    <w:p>
      <w:pPr>
        <w:spacing w:after="0" w:line="140" w:lineRule="exact"/>
        <w:rPr>
          <w:sz w:val="20"/>
          <w:szCs w:val="20"/>
          <w:color w:val="auto"/>
        </w:rPr>
      </w:pPr>
    </w:p>
    <w:p>
      <w:pPr>
        <w:ind w:right="100" w:firstLine="436"/>
        <w:spacing w:after="0" w:line="282"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the Reporting Person is Mario Pani No. 200, Col. Santa Fé Cuajimalpa, Cuajimalpa, Ciudad de México, CP 05348, Mexico.</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the Reporting Person consists of retail operations and ancillary financial and real estate operations.</w:t>
      </w:r>
    </w:p>
    <w:p>
      <w:pPr>
        <w:spacing w:after="0" w:line="225" w:lineRule="exact"/>
        <w:rPr>
          <w:rFonts w:ascii="Times New Roman" w:cs="Times New Roman" w:eastAsia="Times New Roman" w:hAnsi="Times New Roman"/>
          <w:sz w:val="18"/>
          <w:szCs w:val="18"/>
          <w:color w:val="auto"/>
        </w:rPr>
      </w:pPr>
    </w:p>
    <w:p>
      <w:pPr>
        <w:ind w:right="440" w:firstLine="436"/>
        <w:spacing w:after="0" w:line="282"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last five years, the Reporting Person, nor, to the best knowledge of the Reporting Person, any of the other persons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has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right="120" w:firstLine="436"/>
        <w:spacing w:after="0" w:line="261"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last five years, neither the Reporting Person, nor, to the best knowledge of the Reporting Person, any of the other persons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has been a party to a civil proceeding of a judicial or 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Reporting Person purchased the Common Stock reported herein in open market transactions on various dates in 2022 using working capital for an aggregate cost of approximately $295,237,412. The Reporting Person made no purchases of Common Stock since 2022.</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 4 of this Schedule 13D is incorporated by reference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Reporting Person initially acquired the shares of Common Stock in September 2022 for investment purposes and passively monitored its investment.</w:t>
      </w:r>
    </w:p>
    <w:p>
      <w:pPr>
        <w:spacing w:after="0" w:line="16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On December 14, 2023, in the context of the Reporting Person’s ordinary course of monitoring of its investment and to facilitate discussions with the Issuer’s management regarding the Issuer’s financial condition, operating results and prospects, the Reporting Person and the Issuer entered into a Non-Disclosure Agreement (the “</w:t>
      </w:r>
      <w:r>
        <w:rPr>
          <w:rFonts w:ascii="Times New Roman" w:cs="Times New Roman" w:eastAsia="Times New Roman" w:hAnsi="Times New Roman"/>
          <w:sz w:val="18"/>
          <w:szCs w:val="18"/>
          <w:u w:val="single" w:color="auto"/>
          <w:color w:val="auto"/>
        </w:rPr>
        <w:t>Non-Disclosure Agreement</w:t>
      </w:r>
      <w:r>
        <w:rPr>
          <w:rFonts w:ascii="Times New Roman" w:cs="Times New Roman" w:eastAsia="Times New Roman" w:hAnsi="Times New Roman"/>
          <w:sz w:val="18"/>
          <w:szCs w:val="18"/>
          <w:color w:val="auto"/>
        </w:rPr>
        <w:t>”), pursuant to which the Reporting Person agreed to customary non-disclosure and non-use obligations for a specified time period, subject to certain exceptions. The Non-Disclosure Agreement also contains standstill provisions that prohibit the Reporting Person from taking certain actions unless requested in writing in advance by the Issuer from the date of the Non-Disclosure Agreement until June 14, 2025, including, among other things, entering into any discussions, negotiations, agreements, arrangements or understandings with any other person with respect to the actions prohibited by the standstill provision, and forming, joining or participating in a “group” (within the meaning of Section 13(d)(3) of the Exchange Act) to vote, acquire or dispose of any securities of the Issuer or any of its subsidiaries. The Non-Disclosure Agreement also contains restrictions that prohibit the Reporting Person from, directly or indirectly, soliciting to employ or employing certain employees of the Issuer for a specified time period and subject to certain exceptions.</w:t>
      </w:r>
    </w:p>
    <w:p>
      <w:pPr>
        <w:sectPr>
          <w:pgSz w:w="11900" w:h="16838" w:orient="portrait"/>
          <w:cols w:equalWidth="0" w:num="1">
            <w:col w:w="10980"/>
          </w:cols>
          <w:pgMar w:left="440" w:top="266" w:right="479" w:bottom="1440" w:gutter="0" w:footer="0" w:header="0"/>
        </w:sectPr>
      </w:pPr>
    </w:p>
    <w:bookmarkStart w:id="3" w:name="page4"/>
    <w:bookmarkEnd w:id="3"/>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February 2024, Erik B. Nordstrom and Peter E. Nordstrom, whose individual and combined beneficial ownership of Common Stock at that time was below 5%, advised the Issuer’s Board of their desire to make a proposal for consideration by the Issuer’s Board and explore potential equity financing for a “going private transaction” involving the acquisition of the outstanding Common Stock of the Issuer (the “</w:t>
      </w:r>
      <w:r>
        <w:rPr>
          <w:rFonts w:ascii="Times New Roman" w:cs="Times New Roman" w:eastAsia="Times New Roman" w:hAnsi="Times New Roman"/>
          <w:sz w:val="18"/>
          <w:szCs w:val="18"/>
          <w:u w:val="single" w:color="auto"/>
          <w:color w:val="auto"/>
        </w:rPr>
        <w:t>Going Private Transaction</w:t>
      </w:r>
      <w:r>
        <w:rPr>
          <w:rFonts w:ascii="Times New Roman" w:cs="Times New Roman" w:eastAsia="Times New Roman" w:hAnsi="Times New Roman"/>
          <w:sz w:val="18"/>
          <w:szCs w:val="18"/>
          <w:color w:val="auto"/>
        </w:rPr>
        <w:t>”). They also agreed to condition any Going Private Transaction on the affirmative vote by a majority of the votes entitled to be voted by unaffiliated stockholders of the Issuer. The Issuer’s Board subsequently approved the formation of a Special Committee of certain independent and disinterested directors to review any proposal for a Going Private Transaction.</w:t>
      </w:r>
    </w:p>
    <w:p>
      <w:pPr>
        <w:spacing w:after="0" w:line="187"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Following Messrs. Nordstrom’s discussions with the Issuer’s Board, they approached the Reporting Person to gauge whether the Reporting Person would have a preliminary interest in potentially forming a group for purposes of the Going Private Transaction. In order to engage in such exploratory conversations, the Reporting Person sought the Special Committee’s approval under the Non-Disclosure Agreement to engage in such exploratory discussions, which was granted by the Special Committee on May 7, 2024.</w:t>
      </w:r>
    </w:p>
    <w:p>
      <w:pPr>
        <w:spacing w:after="0" w:line="180" w:lineRule="exact"/>
        <w:rPr>
          <w:sz w:val="20"/>
          <w:szCs w:val="20"/>
          <w:color w:val="auto"/>
        </w:rPr>
      </w:pPr>
    </w:p>
    <w:p>
      <w:pPr>
        <w:jc w:val="both"/>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On July 19, 2024, the Reporting Person’s Board of directors discussed the investment in the Issuer and approved the formation of an Investment Committee. The Reporting Person’s Board delegated to the Investment Committee the authority to continue reviewing and analyzing its investment in the Issuer, and to determine whether to change the Reporting Person’s investment intent from passive to active and/or whether to form a group in order to pursue a Going Private Transaction.</w:t>
      </w:r>
    </w:p>
    <w:p>
      <w:pPr>
        <w:spacing w:after="0" w:line="180" w:lineRule="exact"/>
        <w:rPr>
          <w:sz w:val="20"/>
          <w:szCs w:val="20"/>
          <w:color w:val="auto"/>
        </w:rPr>
      </w:pPr>
    </w:p>
    <w:p>
      <w:pPr>
        <w:ind w:left="4" w:right="340" w:firstLine="440"/>
        <w:spacing w:after="0" w:line="269" w:lineRule="auto"/>
        <w:rPr>
          <w:sz w:val="20"/>
          <w:szCs w:val="20"/>
          <w:color w:val="auto"/>
        </w:rPr>
      </w:pPr>
      <w:r>
        <w:rPr>
          <w:rFonts w:ascii="Times New Roman" w:cs="Times New Roman" w:eastAsia="Times New Roman" w:hAnsi="Times New Roman"/>
          <w:sz w:val="17"/>
          <w:szCs w:val="17"/>
          <w:color w:val="auto"/>
        </w:rPr>
        <w:t>On August 30, 2024, the Investment Committee approved changing the Reporting Person’s intent from passive to active and authorized the Reporting Person to seek authorization from the Issuer’s Board to form a “group” with (i) Erik B. Nordstrom; (ii) Peter E. Nordstrom; (iii) James F. Nordstrom, Jr.; (iv) Anne E. Gittinger; (v) Charles W. Riley, Jr., solely in his capacity as the successor trustee of the Everett W. Nordstrom Trust fbo AEG created under the will of Everett W. Nordstrom dated April 1, 1971 and as a successor co-trustee of the Frances W. Nordstrom Trust fbo BAN created under the will of Frances W. Nordstrom dated April 4, 1984; (vi) Estate of Bruce A. Nordstrom; (vii) Margaret Jean O’Roark Nordstrom;</w:t>
      </w:r>
    </w:p>
    <w:p>
      <w:pPr>
        <w:spacing w:after="0" w:line="3" w:lineRule="exact"/>
        <w:rPr>
          <w:sz w:val="20"/>
          <w:szCs w:val="20"/>
          <w:color w:val="auto"/>
        </w:rPr>
      </w:pPr>
    </w:p>
    <w:p>
      <w:pPr>
        <w:ind w:left="4" w:right="660" w:hanging="4"/>
        <w:spacing w:after="0" w:line="260" w:lineRule="auto"/>
        <w:tabs>
          <w:tab w:leader="none" w:pos="4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Linda Nordstrom; (ix) Susan E. Dunn; (x) Alexandra F. Nordstrom; (xi) Andrew L. Nordstrom; (xii) Leigh E. Nordstrom; (xiii) Samuel C. Nordstrom; and (xiv) Sara D. Nordstrom (collectively, the “</w:t>
      </w:r>
      <w:r>
        <w:rPr>
          <w:rFonts w:ascii="Times New Roman" w:cs="Times New Roman" w:eastAsia="Times New Roman" w:hAnsi="Times New Roman"/>
          <w:sz w:val="18"/>
          <w:szCs w:val="18"/>
          <w:u w:val="single" w:color="auto"/>
          <w:color w:val="auto"/>
        </w:rPr>
        <w:t>Nordstrom Family</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On August 31, 2024, the Reporting Person and the Nordstrom Family requested that the Issuer’s Board approve their formation of a new group comprised of the Reporting Person and the Nordstrom Family (the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in order for the Group to submit a proposal to the Issuer for a Going Private Transaction. On September 3, 2024, in connection with such request, the Group and Issuer entered into an agreement to be bound by certain provisions set forth in Section 10(a) of the Letter Agreement, dated as of April 17, 2024, entered into by and among the Issuer, Erik B. Nordstrom, Peter E. Nordstrom and other related parties thereto, including that such group would automatically disband on the earlier of (a) April 17, 2025 and (b) the date on which Erik Nordstrom or Peter Nordstrom notify the Issuer in writing that they have elected to cease participating in the Group, which disbandment shall be binding upon all members of the Group. Such Letter Agreement was attached as an exhibit to the Schedule 13D filed by Erik B. Nordstrom and Peter E. Nordstrom on April 18, 2024.</w:t>
      </w:r>
    </w:p>
    <w:p>
      <w:pPr>
        <w:spacing w:after="0" w:line="192"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After receiving that approval from the Issuer’s Board on September 3, 2024, on September 3, 2024 the Group delivered a non-binding letter (the “</w:t>
      </w:r>
      <w:r>
        <w:rPr>
          <w:rFonts w:ascii="Times New Roman" w:cs="Times New Roman" w:eastAsia="Times New Roman" w:hAnsi="Times New Roman"/>
          <w:sz w:val="18"/>
          <w:szCs w:val="18"/>
          <w:u w:val="single" w:color="auto"/>
          <w:color w:val="auto"/>
        </w:rPr>
        <w:t>Proposal Letter</w:t>
      </w:r>
      <w:r>
        <w:rPr>
          <w:rFonts w:ascii="Times New Roman" w:cs="Times New Roman" w:eastAsia="Times New Roman" w:hAnsi="Times New Roman"/>
          <w:sz w:val="18"/>
          <w:szCs w:val="18"/>
          <w:color w:val="auto"/>
        </w:rPr>
        <w:t>”) to the Special Committee proposing a transaction whereby the Group, through a newly-formed entity, would acquire by merger, for a purchase price of $23.00 in cash per share, all of the outstanding shares of Common Stock of the Issuer other than approximately 39.9% shares of Common Stock that are already owned by the Group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As described in the Proposal Letter, it is expected that the Group will contribute the Rollover Shares and may seek debt and/or equity financing to consummate the Going Private Transaction. The Group in the process of seeking to arrange such financing. The funding, including anticipated expenses, is preliminary and subject to review and approval by the Special Committee and the Issuer’s Board.</w:t>
      </w:r>
    </w:p>
    <w:p>
      <w:pPr>
        <w:spacing w:after="0" w:line="176"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No assurances can be given regarding the terms and details of any transaction, that any proposal made by the Group regarding a proposed transaction will be accepted by the Issuer and/or shareholders of the Issuer, that the Group will be able to obtain the funds necessary to consummate the transaction, that definitive documentation relating to any such transaction will be executed, or that a transaction will be consummated in accordance with that documentation, if at all.</w:t>
      </w:r>
    </w:p>
    <w:p>
      <w:pPr>
        <w:spacing w:after="0" w:line="180"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Non-Disclosure Agreement and Proposal Letter do not purport to be complete and are qualified in their entirety by reference to each, copies of which are attached as Exhibit A and B, respectively, and are incorporated herein by reference.</w:t>
      </w:r>
    </w:p>
    <w:p>
      <w:pPr>
        <w:spacing w:after="0" w:line="162"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The Going Private Transaction, if entered into and consummated, would result in one or more of the actions specified in clauses (a) through (j) of Item 4 of Schedule 13D, including, without limitation, the acquisition of additional securities of the Issuer, a merger or other extraordinary transaction involving the Issuer, a delisting of Common Stock from the New York Stock Exchange and the Common Stock becoming eligible for termination of registration pursuant to Section 12(g) of the Act.</w:t>
      </w:r>
    </w:p>
    <w:p>
      <w:pPr>
        <w:spacing w:after="0" w:line="180" w:lineRule="exact"/>
        <w:rPr>
          <w:sz w:val="20"/>
          <w:szCs w:val="20"/>
          <w:color w:val="auto"/>
        </w:rPr>
      </w:pPr>
    </w:p>
    <w:p>
      <w:pPr>
        <w:ind w:left="4" w:right="20" w:firstLine="440"/>
        <w:spacing w:after="0" w:line="281" w:lineRule="auto"/>
        <w:rPr>
          <w:sz w:val="20"/>
          <w:szCs w:val="20"/>
          <w:color w:val="auto"/>
        </w:rPr>
      </w:pPr>
      <w:r>
        <w:rPr>
          <w:rFonts w:ascii="Times New Roman" w:cs="Times New Roman" w:eastAsia="Times New Roman" w:hAnsi="Times New Roman"/>
          <w:sz w:val="17"/>
          <w:szCs w:val="17"/>
          <w:color w:val="auto"/>
        </w:rPr>
        <w:t>Neither this Schedule 13D nor the Proposal Letter is an offer to purchase or a solicitation of an offer to sell any securities. Any solicitation or offer will only be made through separate materials filed with the U.S. Securities and Exchange Commission. Holders of Common Stock of the Issuer and other interested parties are urged to read these materials when and if they become available because they will contain important information. Holders of Common Stock of the Issuer will be able to obtain such documents (when and if available) free of charge at the Commission’s web site, www.sec.gov.</w:t>
      </w:r>
    </w:p>
    <w:p>
      <w:pPr>
        <w:sectPr>
          <w:pgSz w:w="11900" w:h="16838" w:orient="portrait"/>
          <w:cols w:equalWidth="0" w:num="1">
            <w:col w:w="11004"/>
          </w:cols>
          <w:pgMar w:left="436" w:top="270" w:right="459" w:bottom="1440" w:gutter="0" w:footer="0" w:header="0"/>
        </w:sectPr>
      </w:pPr>
    </w:p>
    <w:bookmarkStart w:id="4" w:name="page5"/>
    <w:bookmarkEnd w:id="4"/>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Reporting Person and the Nordstrom Family reserve the right to modify the Proposal Letter at any time. While the Proposal Letter remains under consideration by the Issuer, the Reporting Person and other members of the Group expect to respond to inquiries from, and negotiate the terms of the Proposal Letter with the Special Committee of the Issuer and its representatives. The Reporting Person may elect not to update or provide additional disclosures regarding the Proposal Letter until a definitive agreement has been reached, or unless disclosure is otherwise required under applicable U.S. securities laws.</w:t>
      </w:r>
    </w:p>
    <w:p>
      <w:pPr>
        <w:spacing w:after="0" w:line="183" w:lineRule="exact"/>
        <w:rPr>
          <w:sz w:val="20"/>
          <w:szCs w:val="20"/>
          <w:color w:val="auto"/>
        </w:rPr>
      </w:pPr>
    </w:p>
    <w:p>
      <w:pPr>
        <w:ind w:right="100" w:firstLine="440"/>
        <w:spacing w:after="0" w:line="277" w:lineRule="auto"/>
        <w:rPr>
          <w:sz w:val="20"/>
          <w:szCs w:val="20"/>
          <w:color w:val="auto"/>
        </w:rPr>
      </w:pPr>
      <w:r>
        <w:rPr>
          <w:rFonts w:ascii="Times New Roman" w:cs="Times New Roman" w:eastAsia="Times New Roman" w:hAnsi="Times New Roman"/>
          <w:sz w:val="17"/>
          <w:szCs w:val="17"/>
          <w:color w:val="auto"/>
        </w:rPr>
        <w:t>Notwithstanding the above, the Reporting Person intends to regularly review its investment in the Issuer on a continuing basis and may from time to time and at any time in the future depending on various factors, including, without limitation, the outcome of any discussions referenced in this Schedule 13D, as may be amended from time to time, and any limitations imposed by the Issuer’s financial position and strategic direction, actions taken by the Issuer’s Board, price levels of the Issuer’s securities, other investment opportunities available to the Reporting Person, conditions in the securities market and general economic and industry conditions, take such actions with respect to the investment in the Issuer as they deem appropriate.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cover page of this Schedule 13D is hereby incorporated by reference into this Item 5.</w:t>
      </w:r>
    </w:p>
    <w:p>
      <w:pPr>
        <w:spacing w:after="0" w:line="225" w:lineRule="exact"/>
        <w:rPr>
          <w:sz w:val="20"/>
          <w:szCs w:val="20"/>
          <w:color w:val="auto"/>
        </w:rPr>
      </w:pPr>
    </w:p>
    <w:p>
      <w:pPr>
        <w:ind w:right="40" w:firstLine="436"/>
        <w:spacing w:after="0" w:line="266"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As of the date hereof, Reporting Person directly holds 15,755,000 shares of Common Stock, representing 9.6% of the outstanding Common Stock based upon 163,648,780 shares of Common Stock outstanding as of May 31, 2024, as reported in the Issuer’s Quarterly Report on Form 10-Q filed with the Securities and Exchange Commission on June 7, 2024.</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activities described in Item 4. Above, the Reporting Person and the Nordstrom Family are deemed to constitute a “group” for purposes of Section 13(d) of the Securities Exchange Act of 1934, as amended, with respect to the Going Private Transaction described in Item 4 of this Schedule 13D. The Nordstrom Family filed a separate Schedule 13D with the Securities and Exchange Commission on September 4, 2024 to report their combined beneficial ownership of an aggregate of 54,591,033 shares of Common Stock of the Issuer representing approximately 33.4% of the outstanding shares of Common Stock of the Issuer, based upon 163,648,780 shares of Common Stock outstanding as of May 31, 2024, as reported in the Issuer’s Quarterly Report on Form 10-Q filed with the Securities and Exchange Commission on June 7, 2024.</w:t>
      </w:r>
    </w:p>
    <w:p>
      <w:pPr>
        <w:spacing w:after="0" w:line="187"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Based on this Schedule 13D and the Schedule 13D filed by the Nordstrom Family, such a “group” would be deemed to beneficially own an aggregate of 70,346,033 shares of Common Stock, or 43% of the Issuer’s outstanding shares of Common Stock calculated pursuant to Rule 13d-3. The Reporting Persons expressly disclaim beneficial ownership over any shares of Common Stock beneficially owned by the Nordstrom Family that they may be deemed to beneficially own solely by reason of the Proposal Letter. This Schedule 13D does not reflect any shares of Common Stock beneficially owned by the Nordstrom Family.</w:t>
      </w:r>
    </w:p>
    <w:p>
      <w:pPr>
        <w:spacing w:after="0" w:line="183" w:lineRule="exact"/>
        <w:rPr>
          <w:sz w:val="20"/>
          <w:szCs w:val="20"/>
          <w:color w:val="auto"/>
        </w:rPr>
      </w:pPr>
    </w:p>
    <w:p>
      <w:pPr>
        <w:ind w:right="340" w:firstLine="436"/>
        <w:spacing w:after="0" w:line="282" w:lineRule="auto"/>
        <w:tabs>
          <w:tab w:leader="none" w:pos="6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Schedule 13D, neither the Reporting Person nor to the best knowledge of the Reporting Person, any other person named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has effected any transaction in Common Stock in the past 60 days.</w:t>
      </w:r>
    </w:p>
    <w:p>
      <w:pPr>
        <w:spacing w:after="0" w:line="161" w:lineRule="exact"/>
        <w:rPr>
          <w:rFonts w:ascii="Times New Roman" w:cs="Times New Roman" w:eastAsia="Times New Roman" w:hAnsi="Times New Roman"/>
          <w:sz w:val="18"/>
          <w:szCs w:val="18"/>
          <w:color w:val="auto"/>
        </w:rPr>
      </w:pPr>
    </w:p>
    <w:p>
      <w:pPr>
        <w:ind w:right="280" w:firstLine="436"/>
        <w:spacing w:after="0" w:line="312" w:lineRule="auto"/>
        <w:tabs>
          <w:tab w:leader="none" w:pos="69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best knowledge of the Reporting Person, no one other than the Reporting Person has the right to receive or the power to direct the receipt of dividends from, or the proceeds from the sale of, the securities of the Issuer reported as beneficially owned by the Reporting Person herein.</w:t>
      </w:r>
    </w:p>
    <w:p>
      <w:pPr>
        <w:spacing w:after="0" w:line="139"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Items 3, 4 and 5 hereof is hereby incorporated by reference into this Item 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00" w:type="dxa"/>
            <w:vAlign w:val="bottom"/>
          </w:tcPr>
          <w:p>
            <w:pPr>
              <w:spacing w:after="0"/>
              <w:rPr>
                <w:sz w:val="16"/>
                <w:szCs w:val="16"/>
                <w:color w:val="auto"/>
              </w:rPr>
            </w:pPr>
          </w:p>
        </w:tc>
        <w:tc>
          <w:tcPr>
            <w:tcW w:w="9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Non-Disclosure Agreement dated December 14, 2023 between the Reporting Person and the Issuer</w:t>
            </w:r>
          </w:p>
        </w:tc>
      </w:tr>
      <w:tr>
        <w:trPr>
          <w:trHeight w:val="32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Proposal Letter dated September 3, 2024</w:t>
            </w:r>
          </w:p>
        </w:tc>
      </w:tr>
    </w:tbl>
    <w:p>
      <w:pPr>
        <w:sectPr>
          <w:pgSz w:w="11900" w:h="16838" w:orient="portrait"/>
          <w:cols w:equalWidth="0" w:num="1">
            <w:col w:w="11020"/>
          </w:cols>
          <w:pgMar w:left="440" w:top="270" w:right="43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4,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EL PUERTO DE LIVERPOOL, S.A.B. DE C.V.</w:t>
      </w:r>
    </w:p>
    <w:p>
      <w:pPr>
        <w:spacing w:after="0" w:line="229" w:lineRule="exact"/>
        <w:rPr>
          <w:sz w:val="20"/>
          <w:szCs w:val="20"/>
          <w:color w:val="auto"/>
        </w:rPr>
      </w:pPr>
    </w:p>
    <w:p>
      <w:pPr>
        <w:ind w:left="6620"/>
        <w:spacing w:after="0"/>
        <w:tabs>
          <w:tab w:leader="none" w:pos="7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Graciano Guichard González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17145</wp:posOffset>
            </wp:positionV>
            <wp:extent cx="25374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Graciano Guichard González</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Chairman of the Board</w:t>
      </w:r>
    </w:p>
    <w:p>
      <w:pPr>
        <w:spacing w:after="0" w:line="207" w:lineRule="exact"/>
        <w:rPr>
          <w:sz w:val="20"/>
          <w:szCs w:val="20"/>
          <w:color w:val="auto"/>
        </w:rPr>
      </w:pPr>
    </w:p>
    <w:p>
      <w:pPr>
        <w:ind w:left="6620"/>
        <w:spacing w:after="0"/>
        <w:tabs>
          <w:tab w:leader="none" w:pos="7000" w:val="left"/>
        </w:tabs>
        <w:rPr>
          <w:sz w:val="20"/>
          <w:szCs w:val="20"/>
          <w:color w:val="auto"/>
        </w:rPr>
      </w:pPr>
      <w:r>
        <w:rPr>
          <w:rFonts w:ascii="Times New Roman" w:cs="Times New Roman" w:eastAsia="Times New Roman" w:hAnsi="Times New Roman"/>
          <w:sz w:val="18"/>
          <w:szCs w:val="18"/>
          <w:color w:val="auto"/>
        </w:rPr>
        <w:t>By:</w:t>
        <w:tab/>
        <w:t>/s/ Enrique Güijosa Hidalgo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17145</wp:posOffset>
            </wp:positionV>
            <wp:extent cx="25374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Enrique Güijosa Hidalgo</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900"/>
          </w:cols>
          <w:pgMar w:left="440" w:top="266" w:right="5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Officers and Directors of El Puerto De Liverpool, S.A.B. DE C.V.</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following sets forth the name and principal occupation of each of the executive officers and directors of El Puerto De Liverpool, S.A.B. DE C.V. Each of such persons has a principal business address of Mario Pani No. 200, Col. Santa Fé Cuajimalpa, Cuajimalpa, Ciudad de México, CP 05348, Mexico.</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shares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Nordstrom Inc.</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300" w:type="dxa"/>
            <w:vAlign w:val="bottom"/>
            <w:vMerge w:val="restart"/>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5840" w:type="dxa"/>
            <w:vAlign w:val="bottom"/>
            <w:gridSpan w:val="2"/>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Principal Business Address</w:t>
            </w: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Citizenship</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93"/>
        </w:trPr>
        <w:tc>
          <w:tcPr>
            <w:tcW w:w="360" w:type="dxa"/>
            <w:vAlign w:val="bottom"/>
            <w:tcBorders>
              <w:bottom w:val="single" w:sz="8" w:color="auto"/>
            </w:tcBorders>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Occupation</w:t>
            </w:r>
          </w:p>
        </w:tc>
        <w:tc>
          <w:tcPr>
            <w:tcW w:w="58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8"/>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Graciano F</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Mario Pani No. 200</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Guichard Gonzalez</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 Santa Fe Cuajimalpa</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Alcaldía Cuajimalpa de Morelos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 05348, Mexico City, Mexico</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Madeleine Bremond</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Vice President of</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Mario Pani No. 200</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Board</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 Santa Fe Cuajimalpa</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Alcaldía Cuajimalpa de Morelos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 05348, Mexico City, Mexico</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Francisco Javier</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Grupo</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Paseo de la Reforma 243, 27th Floor</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Arrigunaga Gómez</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Aeromexico, SAB</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 Cuauhtémoc</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 Campo</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 CV</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Alcaldía Cuauhtémoc</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 06500, Mexico City, Mexico</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Henri Bremond</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Manager of</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Mario Pani No. 200</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Victium SA de CV</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 Santa Fe Cuajimalpa</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Alcaldía Cuajimalpa de Morelos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 05348, Mexico City, Mexico</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 Cohen Sitton</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Deputy General</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Parque Ind. Exportec 1, Manzana 3 Lote 1,2 y 3 Parque Exportec,</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Manager of</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 50209 Toluca de Lerdo, Estado de Mexico, Mexico</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BabyCreysi</w:t>
            </w:r>
          </w:p>
        </w:tc>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Carlos Antonio</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Insurgentes Sur 1458</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Danel Cendoya</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Board of Gentera,</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 Actipan,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SAB de CV</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Alcaldía Benito Juarez</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 03230, Mexico City, Mexico</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Maria Pedro</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Investor</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Bosque de Radiatas 6; Suite 602</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Michel</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 Bosques de las Lomas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Alcaldía Cuajimalpa de Morelos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 05120, Mexico City, Mexico</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Miguel</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at Sagnes</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Enrique González Martínez 223</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Gandoulf</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Constructores</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 Centro Histórico</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 44100, Guadalajara, Jalisco, Mexico</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Armando Garza Sada</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Retired</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Callejón de los Ayala 126</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 Centro San Pedro</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 66230, San Pedro Garza García, N.L</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Pablo Guichard</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Mario Pani No. 200</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Manager at</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 Santa Fe Cuajimalpa</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Norante</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Alcaldía Cuajimalpa de Morelos,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 05348, Mexico City, Mexico</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Andrea Hernandez</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at</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Monte Blanco 215,</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Velasco</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Fundación</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 Lomas de Chapultepec</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Legorreta</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Alcaldía Miguel Hidalgo</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Hernandez, AC</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 11000, Mexico City, Mexico</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Maximino Michel</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Chairman and</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Mario Pani No. 200</w:t>
            </w:r>
          </w:p>
        </w:tc>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Mexican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540" w:type="dxa"/>
            <w:vAlign w:val="bottom"/>
          </w:tcPr>
          <w:p>
            <w:pPr>
              <w:spacing w:after="0"/>
              <w:rPr>
                <w:sz w:val="18"/>
                <w:szCs w:val="18"/>
                <w:color w:val="auto"/>
              </w:rPr>
            </w:pP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Manager</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 Santa Fe Cuajimalpa</w:t>
            </w:r>
          </w:p>
        </w:tc>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3H Capital</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Alcaldía Cuajimalpa de Morelos</w:t>
            </w:r>
          </w:p>
        </w:tc>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CP 05348, Mexico City, Mexico</w:t>
            </w:r>
          </w:p>
        </w:tc>
        <w:tc>
          <w:tcPr>
            <w:tcW w:w="24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1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Alejandro Ramírez</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CEO of Cinepolis</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 Antonio Dovali Jaime 70, Torre A, Piso 10,</w:t>
            </w:r>
          </w:p>
        </w:tc>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Mexican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Magana</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 Mexico, SA de</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 Zedec Santa Fe</w:t>
            </w:r>
          </w:p>
        </w:tc>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CV</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Alcaldía Álvaro Obregón</w:t>
            </w:r>
          </w:p>
        </w:tc>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CP 01210, Mexico City, Mexico</w:t>
            </w:r>
          </w:p>
        </w:tc>
        <w:tc>
          <w:tcPr>
            <w:tcW w:w="24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1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Guillermo J. Siman</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Vicepresident of</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Paseo General Escalon 3675</w:t>
            </w:r>
          </w:p>
        </w:tc>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El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540" w:type="dxa"/>
            <w:vAlign w:val="bottom"/>
          </w:tcPr>
          <w:p>
            <w:pPr>
              <w:spacing w:after="0"/>
              <w:rPr>
                <w:sz w:val="18"/>
                <w:szCs w:val="18"/>
                <w:color w:val="auto"/>
              </w:rPr>
            </w:pP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Unicomer Group</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 Salvador,</w:t>
            </w:r>
          </w:p>
        </w:tc>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Salvador</w:t>
            </w:r>
          </w:p>
        </w:tc>
        <w:tc>
          <w:tcPr>
            <w:tcW w:w="7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 Salvador</w:t>
            </w:r>
          </w:p>
        </w:tc>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Resident)</w:t>
            </w:r>
          </w:p>
        </w:tc>
        <w:tc>
          <w:tcPr>
            <w:tcW w:w="700" w:type="dxa"/>
            <w:vAlign w:val="bottom"/>
          </w:tcPr>
          <w:p>
            <w:pPr>
              <w:spacing w:after="0"/>
              <w:rPr>
                <w:sz w:val="20"/>
                <w:szCs w:val="20"/>
                <w:color w:val="auto"/>
              </w:rPr>
            </w:pPr>
          </w:p>
        </w:tc>
      </w:tr>
      <w:tr>
        <w:trPr>
          <w:trHeight w:val="31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Nicole Van Lathem</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Head of</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Mario Pani No. 200</w:t>
            </w:r>
          </w:p>
        </w:tc>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Mexican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540" w:type="dxa"/>
            <w:vAlign w:val="bottom"/>
          </w:tcPr>
          <w:p>
            <w:pPr>
              <w:spacing w:after="0"/>
              <w:rPr>
                <w:sz w:val="18"/>
                <w:szCs w:val="18"/>
                <w:color w:val="auto"/>
              </w:rPr>
            </w:pP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Liverpool’s Real</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 Santa Fe Cuajimalpa</w:t>
            </w:r>
          </w:p>
        </w:tc>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Estate Division</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Alcaldía Cuajimalpa de Morelos</w:t>
            </w:r>
          </w:p>
        </w:tc>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CP 05348, Mexico City, Mexico</w:t>
            </w:r>
          </w:p>
        </w:tc>
        <w:tc>
          <w:tcPr>
            <w:tcW w:w="24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8"/>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Officers</w:t>
            </w:r>
          </w:p>
        </w:tc>
        <w:tc>
          <w:tcPr>
            <w:tcW w:w="15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0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Enrique Guijosa</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CEO</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Mario Pani No. 200</w:t>
            </w:r>
          </w:p>
        </w:tc>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Mexican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Hidalgo</w:t>
            </w:r>
          </w:p>
        </w:tc>
        <w:tc>
          <w:tcPr>
            <w:tcW w:w="154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 Santa Fe Cuajimalpa</w:t>
            </w:r>
          </w:p>
        </w:tc>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Alcaldía Cuajimalpa de Morelos</w:t>
            </w:r>
          </w:p>
        </w:tc>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CP 05348, Mexico City, Mexico</w:t>
            </w:r>
          </w:p>
        </w:tc>
        <w:tc>
          <w:tcPr>
            <w:tcW w:w="24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1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Gonzalo Gallegos</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CFO</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Mario Pani No. 200</w:t>
            </w:r>
          </w:p>
        </w:tc>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Mexican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 Santa Fe Cuajimalpa</w:t>
            </w:r>
          </w:p>
        </w:tc>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Alcaldía Cuajimalpa de Morelos</w:t>
            </w:r>
          </w:p>
        </w:tc>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CP 05348, Mexico City, Mexico</w:t>
            </w:r>
          </w:p>
        </w:tc>
        <w:tc>
          <w:tcPr>
            <w:tcW w:w="24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19"/>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Jacobo Apichoto</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Counsel</w:t>
            </w: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Mario Pani No. 200</w:t>
            </w:r>
          </w:p>
        </w:tc>
        <w:tc>
          <w:tcPr>
            <w:tcW w:w="24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Mexican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Palermo</w:t>
            </w:r>
          </w:p>
        </w:tc>
        <w:tc>
          <w:tcPr>
            <w:tcW w:w="154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 Santa Fe Cuajimalpa</w:t>
            </w:r>
          </w:p>
        </w:tc>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Alcaldía Cuajimalpa de Morelos</w:t>
            </w:r>
          </w:p>
        </w:tc>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CP 05348, Mexico City, Mexico</w:t>
            </w:r>
          </w:p>
        </w:tc>
        <w:tc>
          <w:tcPr>
            <w:tcW w:w="248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ectPr>
          <w:pgSz w:w="11900" w:h="16838" w:orient="portrait"/>
          <w:cols w:equalWidth="0" w:num="1">
            <w:col w:w="11020"/>
          </w:cols>
          <w:pgMar w:left="440" w:top="378"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NONDISCLOSURE CONFIDENTIALTIY AGREEMENT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14, 2023</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El Puerto de Liverpool, S.A.B. de C.V.</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Mario Pani No. 200,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Col. Santa Fe Cuajimalpa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Cuajimalpa, CDMX CP 05348</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Mexico</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200"/>
        <w:spacing w:after="0" w:line="257" w:lineRule="auto"/>
        <w:rPr>
          <w:sz w:val="20"/>
          <w:szCs w:val="20"/>
          <w:color w:val="auto"/>
        </w:rPr>
      </w:pPr>
      <w:r>
        <w:rPr>
          <w:rFonts w:ascii="Times New Roman" w:cs="Times New Roman" w:eastAsia="Times New Roman" w:hAnsi="Times New Roman"/>
          <w:sz w:val="18"/>
          <w:szCs w:val="18"/>
          <w:color w:val="auto"/>
        </w:rPr>
        <w:t>In connection with a possible negotiated transaction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between El Puerto de Liverpool, S.A.B. de C.V. (“</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your</w:t>
      </w:r>
      <w:r>
        <w:rPr>
          <w:rFonts w:ascii="Times New Roman" w:cs="Times New Roman" w:eastAsia="Times New Roman" w:hAnsi="Times New Roman"/>
          <w:sz w:val="18"/>
          <w:szCs w:val="18"/>
          <w:color w:val="auto"/>
        </w:rPr>
        <w:t>”) and Nordstrom, Inc. (“</w:t>
      </w:r>
      <w:r>
        <w:rPr>
          <w:rFonts w:ascii="Times New Roman" w:cs="Times New Roman" w:eastAsia="Times New Roman" w:hAnsi="Times New Roman"/>
          <w:sz w:val="18"/>
          <w:szCs w:val="18"/>
          <w:b w:val="1"/>
          <w:bCs w:val="1"/>
          <w:i w:val="1"/>
          <w:iCs w:val="1"/>
          <w:color w:val="auto"/>
        </w:rPr>
        <w:t>Nordstrom</w:t>
      </w:r>
      <w:r>
        <w:rPr>
          <w:rFonts w:ascii="Times New Roman" w:cs="Times New Roman" w:eastAsia="Times New Roman" w:hAnsi="Times New Roman"/>
          <w:sz w:val="18"/>
          <w:szCs w:val="18"/>
          <w:color w:val="auto"/>
        </w:rPr>
        <w:t>”), Nordstrom is prepared to make available to you certain information concerning Nordstrom and its subsidiaries and equityholders (the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As a condition to Nordstrom disclosing such Confidential Information to you for the sole purpose of evaluating and possibly negotiating the Transaction, you hereby agree to treat any such information (whether oral, written or conveyed in any other medium) which is furnished to you or your Representatives (as defined below) by or on behalf of Nordstrom or its Representatives in accordance with the provisions of this agreement.</w:t>
      </w:r>
    </w:p>
    <w:p>
      <w:pPr>
        <w:spacing w:after="0" w:line="213"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4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the term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shall include any information or material obtained by you or your Representatives from or on behalf of, or disclosed to you or your Representatives by or on behalf of, Nordstrom or any of its Representatives, and any reports, analyses, compilations, forecasts, studies, notes, interpretations, valuations, memoranda, other documents and materials prepared by you or any of your Representatives, or otherwise on your behalf, to the extent they contain, reflect or are based on or derived in any way from any of the foregoing, including, without limitation, those stored in electronic format. Notwithstanding the foregoing, Confidential Information does not include information which (i) is or has become generally available to the public other than by disclosure by you or your Representatives in violation of this agreement or another obligation to maintain such information as confidential, (ii) was already known to you or your Representatives at the time of its receipt from or on behalf of Nordstrom or its Representatives so long as, to your knowledge, you or your Representatives were not already subject to an obligation to maintain such information as confidential; (iii) is received from a third party who, to your knowledge, was not in breach of an obligation to maintain such information as confidential; (iv) is independently developed by you or your Representatives without use of, reference to, or reliance upon any of the Confidential Information.</w:t>
      </w:r>
    </w:p>
    <w:p>
      <w:pPr>
        <w:spacing w:after="0" w:line="78" w:lineRule="exact"/>
        <w:rPr>
          <w:rFonts w:ascii="Times New Roman" w:cs="Times New Roman" w:eastAsia="Times New Roman" w:hAnsi="Times New Roman"/>
          <w:sz w:val="18"/>
          <w:szCs w:val="18"/>
          <w:color w:val="auto"/>
        </w:rPr>
      </w:pPr>
    </w:p>
    <w:p>
      <w:pPr>
        <w:ind w:left="444" w:right="1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Confidential Information may include materials subject to the attorney-client privilege, work product doctrine or any other applicable privilege concerning pending or threatened legal proceedings or governmental investigations, the parties hereto understand and agree that they have a commonality of legal interest with respect to such matters, and it is their mutual desire, intention and understanding that the sharing of such materials is not intended to, and shall not, waive or diminish in any way the confidentiality of such materials or their continued protection under the attorney-client privilege, work product doctrine or other applicable privilege. Accordingly, and in furtherance of the foregoing, each party hereto agrees not to claim or contend that the other party hereto has waived any attorney-client privilege, work product doctrine or any other applicable privilege by providing information pursuant to this agreement or any subsequent definitive written agreement regarding a Transaction.</w:t>
      </w:r>
    </w:p>
    <w:p>
      <w:pPr>
        <w:sectPr>
          <w:pgSz w:w="11900" w:h="16838" w:orient="portrait"/>
          <w:cols w:equalWidth="0" w:num="1">
            <w:col w:w="11024"/>
          </w:cols>
          <w:pgMar w:left="436" w:top="117" w:right="439" w:bottom="1440" w:gutter="0" w:footer="0" w:header="0"/>
        </w:sectPr>
      </w:pPr>
    </w:p>
    <w:bookmarkStart w:id="9" w:name="page10"/>
    <w:bookmarkEnd w:id="9"/>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Nondisclosure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hereby agree that you shall, and shall direct your Representatives to, use the Confidential Information exclusively for the purpose of evaluating and potentially negotiating the Transaction and, except as otherwise provided herein, keep the Confidential Information confidential and not disclose any of the Confidential Information in any manner to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Confidential Information may be disclosed (a) to any of your Representatives who need to know such Confidential Information for the purpose of evaluating and potentially negotiating the Transaction (it being understood that prior to such disclosure the Representatives shall be informed of the confidential nature of the Confidential Information and agree to be bound by the provisions set forth herein applicable to Representatives), (b) if Nordstrom has given its prior written consent, and (c) to the extent requested or required by law or legal, judicial or administrative process, stock exchange, self-regulatory organization, governmental agency or regulatory body (including, without limitation, by oral questions, interrogatories, requests for information or documents in legal proceedings, subpoena, civil investigative demand or other similar process) (a “</w:t>
      </w:r>
      <w:r>
        <w:rPr>
          <w:rFonts w:ascii="Times New Roman" w:cs="Times New Roman" w:eastAsia="Times New Roman" w:hAnsi="Times New Roman"/>
          <w:sz w:val="18"/>
          <w:szCs w:val="18"/>
          <w:b w:val="1"/>
          <w:bCs w:val="1"/>
          <w:i w:val="1"/>
          <w:iCs w:val="1"/>
          <w:color w:val="auto"/>
        </w:rPr>
        <w:t>Legal Requirement</w:t>
      </w:r>
      <w:r>
        <w:rPr>
          <w:rFonts w:ascii="Times New Roman" w:cs="Times New Roman" w:eastAsia="Times New Roman" w:hAnsi="Times New Roman"/>
          <w:sz w:val="18"/>
          <w:szCs w:val="18"/>
          <w:color w:val="auto"/>
        </w:rPr>
        <w:t>”) in compliance with the final paragraph of this Section 2. For purposes of this agreement, your “</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shall mean, solely if they receive Confidential Information or Transaction Information, your affiliates and your and their respective directors, managers, officers, employees, managing members, general partners, attorneys, accountants, financial advisors, consultants and, only with the prior written consent of Nordstrom, other representatives and potential financing sources (debt, equity or otherwise); and “Representatives” in respect of Nordstrom shall mean Nordstrom’s affiliates and Nordstrom’s and its affiliates’ directors, managers, officers, employees, managing members, general partners, attorneys, accountants, financial advisors, consultants and other representatives and potential financing sources. As used in this Agreement, the term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have the meaning ascribed thereto in Rule 12b-2 of the General Rules and Regulations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444"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without the prior written consent of Nordstrom, you shall not, and shall direct your Representatives not to, disclose in any manner to any person other than your Representatives who need to know such information for the purpose of evaluating and potentially negotiating the Transaction (i) the existence, terms or subject matter of this agreement, (ii) the fact that the Confidential Information has been made available to you, (iii) that either party to this agreement is considering a Transaction, (iv) the fact that evaluation, discussions, or negotiations with respect to a Transaction are taking place or other facts with respect to these discussions, including, without limitation, the status of those discussions or the persons involved, or (v) any terms, conditions or other facts or information with respect to a Transaction or any other possible transaction involving Nordstrom (collectively referred to as the “</w:t>
      </w:r>
      <w:r>
        <w:rPr>
          <w:rFonts w:ascii="Times New Roman" w:cs="Times New Roman" w:eastAsia="Times New Roman" w:hAnsi="Times New Roman"/>
          <w:sz w:val="18"/>
          <w:szCs w:val="18"/>
          <w:b w:val="1"/>
          <w:bCs w:val="1"/>
          <w:i w:val="1"/>
          <w:iCs w:val="1"/>
          <w:color w:val="auto"/>
        </w:rPr>
        <w:t>Transaction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Transaction Information may be disclosed to the extent required by a Legal Requirement in compliance with the final paragraph of this Section 2. Neither you nor any of your Representatives shall, without the prior written consent of Nordstrom, (i) act as a broker for, or representative of, or as a joint bidder or co-bidder with, any other person with respect to the Transaction or (ii) directly or indirectly, enter into any agreement, arrangement or understanding (whether written or oral), or engage in any contact or communications, with any other person regarding the Transaction (including, without limitation, the debt or equity financing thereof). Without limiting the foregoing, neither you nor any of your Representatives acting on your behalf or at your direction or encouragement shall, without the prior written consent of Nordstrom, enter into any exclusive arrangement with a source of capital or financing (debt, equity or otherwise) in connection with a possible transaction with Nordstrom. For purposes of this agreement, any agreement, arrangement or understanding, whether written or oral, with any potential source of capital or financing (debt, equity or otherwise) which does, or could be reasonably expected to, legally or contractually limit, restrict or otherwise impair in any manner, directly or indirectly, such source from consummating a transaction involving Nordstrom or any of its affiliates or acting as a potential source of capital or financing (debt, equity or otherwise) to any other person with respect to a potential transaction with Nordstrom or any of its affiliates shall be deemed an exclusive arrangement. The foregoing shall not prohibit customary “tree” arrangements.</w:t>
      </w:r>
    </w:p>
    <w:p>
      <w:pPr>
        <w:sectPr>
          <w:pgSz w:w="11900" w:h="16838" w:orient="portrait"/>
          <w:cols w:equalWidth="0" w:num="1">
            <w:col w:w="11004"/>
          </w:cols>
          <w:pgMar w:left="436" w:top="270" w:right="459" w:bottom="1440" w:gutter="0" w:footer="0" w:header="0"/>
        </w:sectPr>
      </w:pPr>
    </w:p>
    <w:bookmarkStart w:id="10" w:name="page11"/>
    <w:bookmarkEnd w:id="10"/>
    <w:p>
      <w:pPr>
        <w:ind w:left="444" w:right="3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required by a Legal Requirement (subject to compliance with the last paragraph of this Section 2 as if such requirements were applicable to Nordstrom), without your prior written consent, Nordstrom will not, and will instruct its Representatives not to, disclose to any person (other than to our Representatives or to Nordstrom’s Representatives who need to know such information) any information that would reasonably be expected to identify you as being involved in any investigations, discussions, negotiations, offers, or proposals concerning a Transaction.</w:t>
      </w:r>
    </w:p>
    <w:p>
      <w:pPr>
        <w:spacing w:after="0" w:line="75" w:lineRule="exact"/>
        <w:rPr>
          <w:sz w:val="20"/>
          <w:szCs w:val="20"/>
          <w:color w:val="auto"/>
        </w:rPr>
      </w:pPr>
    </w:p>
    <w:p>
      <w:pPr>
        <w:ind w:left="444"/>
        <w:spacing w:after="0" w:line="253" w:lineRule="auto"/>
        <w:rPr>
          <w:sz w:val="20"/>
          <w:szCs w:val="20"/>
          <w:color w:val="auto"/>
        </w:rPr>
      </w:pPr>
      <w:r>
        <w:rPr>
          <w:rFonts w:ascii="Times New Roman" w:cs="Times New Roman" w:eastAsia="Times New Roman" w:hAnsi="Times New Roman"/>
          <w:sz w:val="18"/>
          <w:szCs w:val="18"/>
          <w:color w:val="auto"/>
        </w:rPr>
        <w:t>To the extent legally permissible and practicable and except in the case of a routine regulatory review or examination so long as such review or examination is not directed at Nordstrom, the Confidential Information, the Transaction Information, this agreement or the Transaction, you and your Representatives shall (x) give prompt notice to Nordstrom in writing of the existence, terms and circumstances of any Legal Requirement prior to making any disclosure thereto (including, without limitation, the portion of the Confidential Information or the Transaction Information that you or your Representative intends to disclose) so that Nordstrom will have an opportunity to prevent or limit such disclosure; (y) provide assistance to Nordstrom in any attempt by Nordstrom to obtain a protective order, assurance or other remedy or take steps to resist or narrow the scope of the Legal Requirement; and (z) not oppose any action by Nordstrom to obtain such a protective order, assurance or other remedy or take such steps. In the absence of a protective order, assurance or other remedy or upon the receipt of a waiver by Nordstrom, you or your Representatives shall disclose only that portion of the Confidential Information or Transaction Information that you or they are advised by counsel to be legally required to be disclosed and you or they shall exercise your or their commercially reasonable efforts to obtain assurance that confidential treatment will be accorded to such disclosed Confidential Information or Transaction Information.</w:t>
      </w:r>
    </w:p>
    <w:p>
      <w:pPr>
        <w:spacing w:after="0" w:line="219"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Representatives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you shall, at your sole expense, undertake reasonable measures (and in any event take at least the same degree of care that you would use in respect of your own information of a similar nature) (i) to restrain your Representatives from prohibited or unauthorized disclosure or use of any Confidential Information or Transaction Information and (ii) to safeguard and protect the confidentiality of the Confidential Information and the Transaction Information and to prevent the use of any Confidential Information or Transaction Information in any way that would violate any antitrust or other applicable law or this agreement. You will be responsible for any breach of this agreement by you or any deemed breach of this agreement by any of your Representatives and by any other person to whom you disclose any Confidential Information or Transaction Information, assuming such Representatives or other persons were parties hereto, and you will also be responsible for any failure of any of your Representatives to follow your directions required to be given pursuant to this agreement. You are aware, and will advise your Representatives to whom any Confidential Information or Transaction Information is disclosed, of the restrictions imposed by the United States securities laws on the purchase or sale of securities by any person who has received material, non-public information about the issuer of such securities and on the communication of such information to any other person when it is reasonably foreseeable that such other person is likely to purchase or sell such securities in reliance upon such information.</w:t>
      </w:r>
    </w:p>
    <w:p>
      <w:pPr>
        <w:spacing w:after="0" w:line="21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hereby represent to Nordstrom that, as of the date hereof, neither you nor any of your Representatives has beneficial ownership (as defined in Rule 13d-3 under the Exchange Act) of any securities of Nordstrom or any of its subsidiaries, except as reported in the Schedule 13G filed by you with the Securities and Exchange Commission on September 15, 2022. In consideration for your being furnished with Confidential Information, you agree that, unless specifically requested in writing in advance by Nordstrom’s Representatives on behalf of Nordstrom’s board of directors, you, your affiliates, and your Representatives acting at your</w:t>
      </w:r>
    </w:p>
    <w:p>
      <w:pPr>
        <w:sectPr>
          <w:pgSz w:w="11900" w:h="16838" w:orient="portrait"/>
          <w:cols w:equalWidth="0" w:num="1">
            <w:col w:w="10984"/>
          </w:cols>
          <w:pgMar w:left="436" w:top="270" w:right="479" w:bottom="1440" w:gutter="0" w:footer="0" w:header="0"/>
        </w:sectPr>
      </w:pPr>
    </w:p>
    <w:bookmarkStart w:id="11" w:name="page12"/>
    <w:bookmarkEnd w:id="11"/>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direction or encouragement or on your behalf will not, at any time during the eighteen-month period commencing on the date hereof (or, at any time during such period, assist, advise, act in concert or participate with or encourage others to), directly or indirectly: (a) acquire (or agree, offer, seek or propose to acquire, in each case, publicly or privately), by purchase, tender offer, exchange offer, agreement or business combination or in any other manner, any ownership, including, but not limited to, beneficial ownership, as defined in Rule 13d-3 under the Exchange Act, of any material assets or businesses or any securities of Nordstrom or any direct or indirect subsidiary thereof, or any rights or options to acquire such ownership (including from any third party); (b) publicly or privately offer to enter into, or publicly or privately propose, any merger, business combination, recapitalization, restructuring or other extraordinary transaction with Nordstrom or any direct or indirect subsidiary thereof;</w:t>
      </w:r>
    </w:p>
    <w:p>
      <w:pPr>
        <w:spacing w:after="0" w:line="3" w:lineRule="exact"/>
        <w:rPr>
          <w:sz w:val="20"/>
          <w:szCs w:val="20"/>
          <w:color w:val="auto"/>
        </w:rPr>
      </w:pPr>
    </w:p>
    <w:p>
      <w:pPr>
        <w:ind w:left="4" w:right="80" w:hanging="4"/>
        <w:spacing w:after="0" w:line="250" w:lineRule="auto"/>
        <w:tabs>
          <w:tab w:leader="none" w:pos="2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any shareholder proposal or the convening of a shareholders’ meeting of or involving Nordstrom or any direct or indirect subsidiary thereof; (d) solicit proxies (as such terms are defined in Rule 14a-1 under the Exchange Act), whether or not such solicitation is exempt pursuant to Rule 14a-2 under the Exchange Act, with respect to any matter from, or otherwise seek to influence, advise or direct the vote of, holders of any shares of capital stock of Nordstrom or any securities convertible into or exchangeable or exercisable for (in each case, whether currently or upon the occurrence of any contingency) such capital stock, or make any communication exempted from the definition of solicitation by Rule</w:t>
      </w:r>
    </w:p>
    <w:p>
      <w:pPr>
        <w:spacing w:after="0" w:line="1" w:lineRule="exact"/>
        <w:rPr>
          <w:rFonts w:ascii="Times New Roman" w:cs="Times New Roman" w:eastAsia="Times New Roman" w:hAnsi="Times New Roman"/>
          <w:sz w:val="18"/>
          <w:szCs w:val="18"/>
          <w:color w:val="auto"/>
        </w:rPr>
      </w:pPr>
    </w:p>
    <w:p>
      <w:pPr>
        <w:ind w:left="4" w:right="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14a-1(l)(2)(iv) under the Exchange Act; (e) otherwise seek or propose to influence, advise, change or control the management, board of directors, governing instruments, affairs or policies of Nordstrom or any direct or indirect subsidiary thereof; (f) enter into any discussions, negotiations, agreements, arrangements or understandings with any other person with respect to any matter described in the foregoing clauses (a) through (e) or form, join or participate in a “group” (within the meaning of Section 13(d)(3) of the Exchange Act) to vote, acquire or dispose of any securities of Nordstrom or any of its subsidiaries; (g) request that Nordstrom (or its board of directors or Nordstrom’s Representatives) amend, waive, grant any consent under or otherwise not enforce any provision of this Section 4, or refer to any desire or intention, but for this Section 4, to do so; or</w:t>
      </w:r>
    </w:p>
    <w:p>
      <w:pPr>
        <w:ind w:left="4" w:hanging="4"/>
        <w:spacing w:after="0" w:line="265" w:lineRule="auto"/>
        <w:tabs>
          <w:tab w:leader="none" w:pos="25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public disclosure, or take any action that could reasonably be expected to require you or Nordstrom to make a public disclosure, with respect to any of the matters set forth in this agreement. This Section 4 shall terminate after a Fundamental Change Event (as defined below). A “</w:t>
      </w:r>
      <w:r>
        <w:rPr>
          <w:rFonts w:ascii="Times New Roman" w:cs="Times New Roman" w:eastAsia="Times New Roman" w:hAnsi="Times New Roman"/>
          <w:sz w:val="17"/>
          <w:szCs w:val="17"/>
          <w:b w:val="1"/>
          <w:bCs w:val="1"/>
          <w:i w:val="1"/>
          <w:iCs w:val="1"/>
          <w:color w:val="auto"/>
        </w:rPr>
        <w:t>Fundamental Change Event</w:t>
      </w:r>
      <w:r>
        <w:rPr>
          <w:rFonts w:ascii="Times New Roman" w:cs="Times New Roman" w:eastAsia="Times New Roman" w:hAnsi="Times New Roman"/>
          <w:sz w:val="17"/>
          <w:szCs w:val="17"/>
          <w:color w:val="auto"/>
        </w:rPr>
        <w:t>” means (x) Nordstrom has after the date of this agreement entered into a definitive written agreement providing for</w:t>
      </w:r>
    </w:p>
    <w:p>
      <w:pPr>
        <w:ind w:left="4" w:right="20" w:hanging="4"/>
        <w:spacing w:after="0" w:line="265" w:lineRule="auto"/>
        <w:tabs>
          <w:tab w:leader="none" w:pos="21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acquisition of a majority of the voting securities of Nordstrom by any person or group, (ii) any acquisition of a majority of the consolidated assets of Nordstrom and its subsidiaries by any person or group, or (iii) any tender or exchange offer, merger or other business combination or any recapitalization, restructuring, liquidation, dissolution or other extraordinary transaction (provided that, in the case of any transaction covered by the foregoing clause (iii), immediately following such transaction, any person (or the direct or indirect shareholders of such person) will beneficially own a majority of the outstanding voting power of Nordstrom or the surviving parent entity in such transaction), or (y) any person or group has after the date of this agreement commenced any tender or exchange offer that would result in such person or group (or the direct or indirect shareholders of such person or group) beneficially owning a majority of the outstanding voting power of Nordstrom or the surviving parent entity so long as the board of directors of Nordstrom has publicly recommended that the shareholders of Nordstrom accept such tender or exchange offer. For purposes of this Section 4, the following will be deemed to be an acquisition of beneficial ownership of securities:</w:t>
      </w:r>
    </w:p>
    <w:p>
      <w:pPr>
        <w:spacing w:after="0" w:line="1" w:lineRule="exact"/>
        <w:rPr>
          <w:rFonts w:ascii="Times New Roman" w:cs="Times New Roman" w:eastAsia="Times New Roman" w:hAnsi="Times New Roman"/>
          <w:sz w:val="17"/>
          <w:szCs w:val="17"/>
          <w:color w:val="auto"/>
        </w:rPr>
      </w:pPr>
    </w:p>
    <w:p>
      <w:pPr>
        <w:ind w:left="4" w:righ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establishing or increasing a call equivalent position, or liquidating or decreasing a put equivalent position, with respect to such securities within the meaning of Section 16 of the Exchange Act; or (2) entering into any swap or other arrangement that results in the acquisition of any of the economic consequences of ownership of such securities, whether such transaction is to be settled by delivery of such securities, in cash or otherwise.</w:t>
      </w:r>
    </w:p>
    <w:p>
      <w:pPr>
        <w:sectPr>
          <w:pgSz w:w="11900" w:h="16838" w:orient="portrait"/>
          <w:cols w:equalWidth="0" w:num="1">
            <w:col w:w="10564"/>
          </w:cols>
          <w:pgMar w:left="876" w:top="270" w:right="459" w:bottom="1440" w:gutter="0" w:footer="0" w:header="0"/>
        </w:sectPr>
      </w:pPr>
    </w:p>
    <w:bookmarkStart w:id="12" w:name="page13"/>
    <w:bookmarkEnd w:id="12"/>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Non-Solicitation of Employees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without the prior written consent of Nordstrom, you will not, and you will direct those of your Representatives who are your affiliates or your or their respective directors, officers or employees not to, for a period of eighteen months from the date hereof, directly or indirectly, solicit the services of or employ, as employee, consultant or otherwise, (a) any officer or director of Nordstrom or (b) any other person who is employed by Nordstrom or any of its direct or indirect subsidiaries on the date hereof or at any other time hereafter and prior to the termination of discussions between you and Nordstrom to whom you were introduced, or of whom you otherwise became aware, in connection with your consideration of the Transaction (any such person described in clause (b) referred to herein as an “</w:t>
      </w:r>
      <w:r>
        <w:rPr>
          <w:rFonts w:ascii="Times New Roman" w:cs="Times New Roman" w:eastAsia="Times New Roman" w:hAnsi="Times New Roman"/>
          <w:sz w:val="18"/>
          <w:szCs w:val="18"/>
          <w:b w:val="1"/>
          <w:bCs w:val="1"/>
          <w:i w:val="1"/>
          <w:iCs w:val="1"/>
          <w:color w:val="auto"/>
        </w:rPr>
        <w:t>Other 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preclude (1) the solicitation (or employment as a result of the solicitation) of Other Employees whose employment has been terminated or (2) the solicitation of Other Employees through (i) public advertisements or general solicitations that are not specifically targeted at such person(s) or (ii) recruiting or search firms retained by you, or internal search personnel who did not have access to Confidential Information, using a database of candidates without targeting Nordstrom or specific individuals, without direction or knowledge on your behalf by any person who had access to Confidential Information. You agree that you and your affiliates will not, and you will direct your Representatives not to, without the prior written consent of Nordstrom, engage in discussions with management of Nordstrom regarding the terms of their post-transaction employment or equity participation as part of, in connection with or after a Transaction, unless and until a definitive agreement is executed and delivered with respect to the Transaction.</w:t>
      </w:r>
    </w:p>
    <w:p>
      <w:pPr>
        <w:spacing w:after="0" w:line="2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Destruction or Return of Information;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2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upon the written request of Nordstrom, you shall, and shall direct your Representatives to, promptly (and in any event within 15 business days of such request) destroy or, at your option, return to Nordstrom all written, electronic or other tangible Confidential Information (and all copies thereof). In the event of such request, you and your Representatives shall also provide Nordstrom with written verification confirming that all such Confidential Information has been returned or destroyed. Notwithstanding the foregoing, you and your Representatives may retain one or more copies of the Confidential Information as may be required by law, regulation, professional standards or bona fide document retention policies or in accordance with your or their respective compliance and/or automated backup archiving practices so long as such Confidential Information is not accessible in the ordinary course of business and is not accessed except by compliance or information technology personnel for such compliance or archiving purposes. Any retained Confidential Information shall continue to be held confidential pursuant to the terms of this agreement.</w:t>
      </w:r>
    </w:p>
    <w:p>
      <w:pPr>
        <w:spacing w:after="0" w:line="80" w:lineRule="exact"/>
        <w:rPr>
          <w:rFonts w:ascii="Times New Roman" w:cs="Times New Roman" w:eastAsia="Times New Roman" w:hAnsi="Times New Roman"/>
          <w:sz w:val="18"/>
          <w:szCs w:val="18"/>
          <w:color w:val="auto"/>
        </w:rPr>
      </w:pPr>
    </w:p>
    <w:p>
      <w:pPr>
        <w:ind w:left="44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terminate, and be of no further force and effect, two years from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such termination, the confidentiality and non-use provisions contained herein shall continue to apply only to Confidential Information retained pursuant to the immediately preceding paragraph. Any such termination shall not relieve any party from its responsibilities in respect of any breach of this agreement prior to such termination.</w:t>
      </w:r>
    </w:p>
    <w:p>
      <w:pPr>
        <w:spacing w:after="0" w:line="2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 or Warranty; Ownership</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and acknowledge that the Confidential Information is being provided without any representation or warranty, express or implied, as to its accuracy or completeness (including any statements, estimates and projections with respect to Nordstrom’s anticipated future performance), except for those representations and warranties made by Nordstrom in a subsequent definitive written agreement related to the Transaction, if any, and subject to such limitations and restrictions as may be specified therein, and in no event shall Nordstrom be held liable for any reason whatsoever to you or your Representatives relating to or resulting from the use of the Confidential Information or any errors therein or omissions therefrom, except for such liability as may be set forth in such definitive written agreement.</w:t>
      </w:r>
    </w:p>
    <w:p>
      <w:pPr>
        <w:sectPr>
          <w:pgSz w:w="11900" w:h="16838" w:orient="portrait"/>
          <w:cols w:equalWidth="0" w:num="1">
            <w:col w:w="11004"/>
          </w:cols>
          <w:pgMar w:left="436" w:top="270" w:right="459" w:bottom="1440" w:gutter="0" w:footer="0" w:header="0"/>
        </w:sectPr>
      </w:pPr>
    </w:p>
    <w:bookmarkStart w:id="13" w:name="page14"/>
    <w:bookmarkEnd w:id="13"/>
    <w:p>
      <w:pPr>
        <w:ind w:left="44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agree that Nordstrom is and shall remain the exclusive owner of the Confidential Information and all patent, copyright, trade secret, trademark, domain name and other intellectual property rights therein. No license or conveyance of any such rights or any portions thereof to you or any of your Representatives is granted or implied under this agreement.</w:t>
      </w:r>
    </w:p>
    <w:p>
      <w:pPr>
        <w:spacing w:after="0" w:line="203"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2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Each party understands and agrees that money damages would not be a sufficient remedy for any breach or threatened breach of this agreement and that the non-breaching party shall be entitled to obtain equitable relief, including injunction and specific performance, as a remedy for any such breach or threatened breach without the need to prove the inadequacy of monetary damages or post a bond or other undertaking. Such remedy shall, however, not be exclusive and shall be in addition to any other remedies which a party may have at law or in equity.</w:t>
      </w:r>
    </w:p>
    <w:p>
      <w:pPr>
        <w:spacing w:after="0" w:line="19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Forum</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THIS AGREEMENT SHALL BE GOVERNED BY AND CONSTRUED IN ACCORDANCE WITH THE LAWS OF THE STATE OF WASHINGTON, WITH REGARD TO THE CONFLICT OF LAWS PRINCIPLES OF WASHINGTON THAT WOULD OTHERWISE RESULT IN THE APPLICATION OF ANY LAW OTHER THAN THE LAWS OF WASHINGTON. Each party hereto irrevocably and unconditionally consents to submit to the exclusive personal jurisdiction of the courts of the State of Washington and the United States of America, in each case located in the county of King County, Washington, for such actions, suits or proceedings arising out of or relating to this Agreement and the transactions contemplated hereby (and agrees not to commence any such action, suit or proceeding except in such courts). Notwithstanding the foregoing, any party hereto may commence an action, suit or proceeding with any governmental entity anywhere in the world for the sole purpose of seeking recognition and enforcement of a judgment of any court referred to in the preceding sentence. Each party hereto irrevocably and unconditionally waives any objection to the laying of venue of any action, suit or proceeding arising out of or relating to this Agreement and the transactions contemplated hereby in the courts of the State of Washington and the United States of America, in each case in the county of King County, Washington, and further waives the right to, and agrees not to, plead or claim that any such action, suit or proceeding brought in any such court has been brought in an inconvenient forum. Service of any process, summons, notice or document by U.S. registered mail to a party’s address set forth below or to a party’s address set forth below shall be effective service of process for any action, suit or proceeding brought against you or Nordstrom, as applicable, in any court of competent jurisdiction. EACH PARTY HEREBY IRREVOCABLY WAIVES ANY AND ALL RIGHT TO TRIAL BY JURY IN ANY ACTION, SUIT OR PROCEEDING ARISING OUT OF OR RELATING TO THIS AGREEMENT.</w:t>
      </w:r>
    </w:p>
    <w:p>
      <w:pPr>
        <w:spacing w:after="0" w:line="20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and 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represents the entire agreement and understanding of the parties with respect to the subject matter hereof, and supersedes all prior written or oral agreements, commitments and understandings pertaining to the subject matter hereof. Without limiting the generality of the preceding sentence, any “click through” or similar confidentiality agreement entered into by you or any of your Representatives in connection with accessing any electronic dataroom will have no force or effect, whether entered into before, on or after the date hereof. The provisions of this agreement may not be amended, modified, supplemented or terminated except in writing signed by both parties. No failure or delay in exercising any right, power or privilege hereunder shall operate as a waiver thereof and each party reserves the right, in its sole discretion to reject any and all proposals made by the other party related to the Transaction. The invalidity</w:t>
      </w:r>
    </w:p>
    <w:p>
      <w:pPr>
        <w:sectPr>
          <w:pgSz w:w="11900" w:h="16838" w:orient="portrait"/>
          <w:cols w:equalWidth="0" w:num="1">
            <w:col w:w="11004"/>
          </w:cols>
          <w:pgMar w:left="436" w:top="270" w:right="459" w:bottom="1440" w:gutter="0" w:footer="0" w:header="0"/>
        </w:sectPr>
      </w:pPr>
    </w:p>
    <w:bookmarkStart w:id="14" w:name="page15"/>
    <w:bookmarkEnd w:id="1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unenforceability of any provision of this agreement shall not affect, impair or invalidate the remainder of this agreement, which shall remain in full force and effect. This agreement shall inure to the benefit of each party’s successors and assigns. Any purported assignment of this agreement by either party hereto (including, without limitation, by operation of law) without the prior written consent of the other party shall be void. This agreement may be executed in two or more counterparts, each of which shall be deemed to be an original of which, taken together, shall be deemed to be one and the same instrument. Any notice or other communication required or permitted under this agreement shall be treated as having been given or delivered when (i) delivered personally or by overnight courier service (costs prepaid), (ii) sent by facsimile or e mail with confirmation of transmission by the transmitting equipment, or (iii) received or rejected by the addressee, if sent by certified mail, return receipt requested, in each case, subject to the preceding sentence, to the addresses, facsimile numbers or e mail addresses and marked to the attention of the person (by name or title) designated below (or to such other address, facsimile number, e mail address or person as such party may designate by a written notice delivered to the other party hereto).</w:t>
      </w:r>
    </w:p>
    <w:p>
      <w:pPr>
        <w:spacing w:after="0" w:line="8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It is understood and agreed that neither Nordstrom nor you intends to be, nor shall either party be, under any legal obligation with respect to the Transaction or otherwise, by virtue of any written or oral expressions by our respective Representatives with respect to the Transaction, including, without limitation, any obligation to commence or continue discussions or negotiations, unless and until a definitive agreement regarding the Transaction has been executed and delivered. You acknowledge and agree that (i) Nordstrom shall be free to conduct the process for a potential transaction as Nordstrom in its sole and absolute discretion shall determine (including, without limitation, negotiation with any other person and entering into a definitive written agreement without prior notice to you or any other person) and (ii) Nordstrom reserves the right, in its sole and absolute discretion, to reject all proposals and to terminate discussions and negotiations with you at any time for any reason whatsoever.</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 is understood that you shall not directly contact Nordstrom or any of its affiliates regarding the Transaction and that all requests for information, facility tours or management meetings will be submitted or directed only to Morgan Stanley &amp; Co. LLC. You also agree not to initiate or maintain contact (except for those contacts made in the ordinary course of business and unrelated to the Transaction) with any Representative (other than Nordstrom’s financial advisors and counsel), customer or supplier of Nordstrom (or any of its affiliates), except with the express permission of Nordstrom.</w:t>
      </w:r>
    </w:p>
    <w:p>
      <w:pPr>
        <w:spacing w:after="0" w:line="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Please confirm your agreement with the foregoing by signing and returning one copy of this agreement to the undersigned, whereupon this agreement shall become a binding agreement.</w:t>
      </w:r>
    </w:p>
    <w:p>
      <w:pPr>
        <w:spacing w:after="0" w:line="16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520"/>
          </w:cols>
          <w:pgMar w:left="880" w:top="270"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Nordstrom,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Ann Munson Steines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Ann Munson Steines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Legal Officer, General Counsel and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1617 Sixth Avenue, Seattle, Washington 98101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Ann Munson Steines, Chief Legal Officer, General Counsel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ann.steines@nordstrom.com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AS OF THE ABOVE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PUERTO DE LIVERPOOL, S.A.B. DE C.V.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Jacobo Apichoto Palermo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Jacobo Apichoto Palermo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Mario Pani No. 200, Col. Santa Fe Cuajimalpa, Cuajimalpa, CDMX CP 05348, Mexico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Enrique Guijosa Hidalgo, Chief Financial Officer, Jacobo Apichoto, 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eguijosah@liverpool.com.mx; japichoto@liverpool.com.mx</w:t>
      </w:r>
    </w:p>
    <w:p>
      <w:pPr>
        <w:spacing w:after="0" w:line="205"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Nondisclosure Confidentiality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3,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Special Committee of the Board of Directors of Nordstrom,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Morgan Stanley &amp; Co. LLC &amp; Centerview Partners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1617 Sixth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Seattle, Washington 98101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Carmen Molinos &amp; Tony Kim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117"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We write in response to your letter, dated June 19, 2024, with respect to your invitation to submit this written proposal (the “Proposal”) for a potential acquisition (the “Proposed Transaction”) of Nordstrom, Inc. (the “Company”).</w:t>
      </w:r>
    </w:p>
    <w:p>
      <w:pPr>
        <w:spacing w:after="0" w:line="162" w:lineRule="exact"/>
        <w:rPr>
          <w:sz w:val="20"/>
          <w:szCs w:val="20"/>
          <w:color w:val="auto"/>
        </w:rPr>
      </w:pPr>
    </w:p>
    <w:p>
      <w:pPr>
        <w:ind w:left="4" w:right="40"/>
        <w:spacing w:after="0" w:line="276" w:lineRule="auto"/>
        <w:rPr>
          <w:sz w:val="20"/>
          <w:szCs w:val="20"/>
          <w:color w:val="auto"/>
        </w:rPr>
      </w:pPr>
      <w:r>
        <w:rPr>
          <w:rFonts w:ascii="Times New Roman" w:cs="Times New Roman" w:eastAsia="Times New Roman" w:hAnsi="Times New Roman"/>
          <w:sz w:val="17"/>
          <w:szCs w:val="17"/>
          <w:color w:val="auto"/>
        </w:rPr>
        <w:t>As you know, Erik and Peter Nordstrom have been exploring the possibility of making a proposal to acquire the Company in a going private transaction. On August 31, 2024, they requested that the Board of Directors of the Company (the “Board”) grant them permission to form a group comprising</w:t>
      </w:r>
    </w:p>
    <w:p>
      <w:pPr>
        <w:spacing w:after="0" w:line="1" w:lineRule="exact"/>
        <w:rPr>
          <w:sz w:val="20"/>
          <w:szCs w:val="20"/>
          <w:color w:val="auto"/>
        </w:rPr>
      </w:pPr>
    </w:p>
    <w:p>
      <w:pPr>
        <w:ind w:left="4" w:right="80" w:hanging="4"/>
        <w:spacing w:after="0" w:line="253" w:lineRule="auto"/>
        <w:tabs>
          <w:tab w:leader="none" w:pos="2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members of the Nordstrom family, including various family-affiliated trusts and the estate of Bruce Nordstrom (the “Family Group”), and (ii) El Puerto de Liverpool, S.A.B. de C.V. (“Liverpool,” together with the Family Group, the “Buyer Group”). Prior to the delivery of this letter, on September 3, 2024, the Board of Directors authorized the formation of the Buyer Group. The members of the Buyer Group beneficially own approximately 43% of the outstanding shares of the Company’s common stock, based on the aggregate number of shares of the Company’s common stock reported on the Company’s most recently filed quarterly report on Form 10-Q.</w:t>
      </w:r>
    </w:p>
    <w:p>
      <w:pPr>
        <w:spacing w:after="0" w:line="187"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On behalf of the Buyer Group, we are pleased to submit our proposal (this “Proposal”) to acquire 100% of the outstanding shares of common stock of the Company (other than the Rollover Shares (as defined below)) at a cash purchase price of $23.00 per share (the “Offer Price”), on the terms set forth in this letter.</w:t>
      </w:r>
    </w:p>
    <w:p>
      <w:pPr>
        <w:spacing w:after="0" w:line="77" w:lineRule="exact"/>
        <w:rPr>
          <w:sz w:val="20"/>
          <w:szCs w:val="20"/>
          <w:color w:val="auto"/>
        </w:rPr>
      </w:pPr>
    </w:p>
    <w:p>
      <w:pPr>
        <w:ind w:left="424" w:right="60" w:hanging="424"/>
        <w:spacing w:after="0" w:line="286" w:lineRule="auto"/>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Valuation and Assumptions: </w:t>
      </w:r>
      <w:r>
        <w:rPr>
          <w:rFonts w:ascii="Times New Roman" w:cs="Times New Roman" w:eastAsia="Times New Roman" w:hAnsi="Times New Roman"/>
          <w:sz w:val="18"/>
          <w:szCs w:val="18"/>
          <w:color w:val="auto"/>
        </w:rPr>
        <w:t>This purchase price provides a significant premium to the unaffected price of the Company’s shares in a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high degree of certainty to close. Our price represents:</w:t>
      </w:r>
    </w:p>
    <w:p>
      <w:pPr>
        <w:spacing w:after="0" w:line="64" w:lineRule="exact"/>
        <w:rPr>
          <w:rFonts w:ascii="Times New Roman" w:cs="Times New Roman" w:eastAsia="Times New Roman" w:hAnsi="Times New Roman"/>
          <w:sz w:val="18"/>
          <w:szCs w:val="18"/>
          <w:b w:val="1"/>
          <w:bCs w:val="1"/>
          <w:color w:val="auto"/>
        </w:rPr>
      </w:pPr>
    </w:p>
    <w:p>
      <w:pPr>
        <w:ind w:left="1424" w:right="20" w:hanging="331"/>
        <w:spacing w:after="0" w:line="266" w:lineRule="auto"/>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34.8% premium over the unaffected price of $17.06 per share on March 18, 2024, the closing price on the day before news reports were first published disclosing discussions between the Company and Erik and Peter Nordstrom regarding the Proposed Transaction; and</w:t>
      </w:r>
    </w:p>
    <w:p>
      <w:pPr>
        <w:spacing w:after="0" w:line="81" w:lineRule="exact"/>
        <w:rPr>
          <w:rFonts w:ascii="Times New Roman" w:cs="Times New Roman" w:eastAsia="Times New Roman" w:hAnsi="Times New Roman"/>
          <w:sz w:val="18"/>
          <w:szCs w:val="18"/>
          <w:color w:val="auto"/>
        </w:rPr>
      </w:pPr>
    </w:p>
    <w:p>
      <w:pPr>
        <w:ind w:left="1424" w:right="440" w:hanging="331"/>
        <w:spacing w:after="0" w:line="282" w:lineRule="auto"/>
        <w:tabs>
          <w:tab w:leader="none" w:pos="142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11.0% premium over the $20.71 average twelve month consensus share price targets for 14 analysts who regularly cover the Company’s share performance.</w:t>
      </w:r>
    </w:p>
    <w:p>
      <w:pPr>
        <w:sectPr>
          <w:pgSz w:w="11900" w:h="16838" w:orient="portrait"/>
          <w:cols w:equalWidth="0" w:num="1">
            <w:col w:w="11024"/>
          </w:cols>
          <w:pgMar w:left="436" w:top="121" w:right="4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Proposal implies an equity value for the Company of $3.764 billion, and assumes the following:</w:t>
      </w:r>
    </w:p>
    <w:p>
      <w:pPr>
        <w:spacing w:after="0" w:line="131" w:lineRule="exact"/>
        <w:rPr>
          <w:sz w:val="20"/>
          <w:szCs w:val="20"/>
          <w:color w:val="auto"/>
        </w:rPr>
      </w:pPr>
    </w:p>
    <w:p>
      <w:pPr>
        <w:ind w:left="1660" w:right="440" w:hanging="545"/>
        <w:spacing w:after="0" w:line="282" w:lineRule="auto"/>
        <w:tabs>
          <w:tab w:leader="none" w:pos="1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$2.615 billion of indebtedness outstanding as of the consummation of the Proposed Transaction, all of which would remain outstanding thereafter;</w:t>
      </w:r>
    </w:p>
    <w:p>
      <w:pPr>
        <w:spacing w:after="0" w:line="67" w:lineRule="exact"/>
        <w:rPr>
          <w:rFonts w:ascii="Times New Roman" w:cs="Times New Roman" w:eastAsia="Times New Roman" w:hAnsi="Times New Roman"/>
          <w:sz w:val="18"/>
          <w:szCs w:val="18"/>
          <w:color w:val="auto"/>
        </w:rPr>
      </w:pPr>
    </w:p>
    <w:p>
      <w:pPr>
        <w:ind w:left="1660" w:right="140" w:hanging="545"/>
        <w:spacing w:after="0" w:line="282" w:lineRule="auto"/>
        <w:tabs>
          <w:tab w:leader="none" w:pos="1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approximately 163,648,780 shares of common stock of the Company outstanding immediately prior to the completion of the Proposed Transaction; and</w:t>
      </w:r>
    </w:p>
    <w:p>
      <w:pPr>
        <w:spacing w:after="0" w:line="67" w:lineRule="exact"/>
        <w:rPr>
          <w:rFonts w:ascii="Times New Roman" w:cs="Times New Roman" w:eastAsia="Times New Roman" w:hAnsi="Times New Roman"/>
          <w:sz w:val="18"/>
          <w:szCs w:val="18"/>
          <w:color w:val="auto"/>
        </w:rPr>
      </w:pPr>
    </w:p>
    <w:p>
      <w:pPr>
        <w:ind w:left="1660" w:right="60" w:hanging="545"/>
        <w:spacing w:after="0" w:line="261" w:lineRule="auto"/>
        <w:tabs>
          <w:tab w:leader="none" w:pos="1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promptly following the closing of the Proposed Transaction, the Company will fund the currently underfunded amount under the Company’s Supplemental Executive Retirement Plan (“SERP”), with the exception of the amounts required to be funded on behalf of Erik Nordstrom, Peter Nordstrom and Jamie Nordstrom, who are willing to waive the funding requirement for their SERP benefits.</w:t>
      </w:r>
    </w:p>
    <w:p>
      <w:pPr>
        <w:spacing w:after="0" w:line="81" w:lineRule="exact"/>
        <w:rPr>
          <w:rFonts w:ascii="Times New Roman" w:cs="Times New Roman" w:eastAsia="Times New Roman" w:hAnsi="Times New Roman"/>
          <w:sz w:val="18"/>
          <w:szCs w:val="18"/>
          <w:color w:val="auto"/>
        </w:rPr>
      </w:pPr>
    </w:p>
    <w:p>
      <w:pPr>
        <w:ind w:left="540" w:right="60" w:hanging="532"/>
        <w:spacing w:after="0" w:line="262" w:lineRule="auto"/>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Identity of Purchaser: </w:t>
      </w:r>
      <w:r>
        <w:rPr>
          <w:rFonts w:ascii="Times New Roman" w:cs="Times New Roman" w:eastAsia="Times New Roman" w:hAnsi="Times New Roman"/>
          <w:sz w:val="18"/>
          <w:szCs w:val="18"/>
          <w:color w:val="auto"/>
        </w:rPr>
        <w:t>The purchaser is expected to be a newly-formed Delaware entity (“Parent”) that will be jointly owned by: (a)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formed by the Family Group (such entity, the “Family Investor”), and (b) Liverpool (collectively with the Family Investor, the “Investors”). It is expected that immediately following the completion of the Proposed Transaction, Parent would be owned approximately 50.1% by the Family Investor and 49.9% by Liverpool.</w:t>
      </w:r>
    </w:p>
    <w:p>
      <w:pPr>
        <w:spacing w:after="0" w:line="72" w:lineRule="exact"/>
        <w:rPr>
          <w:rFonts w:ascii="Times New Roman" w:cs="Times New Roman" w:eastAsia="Times New Roman" w:hAnsi="Times New Roman"/>
          <w:sz w:val="18"/>
          <w:szCs w:val="18"/>
          <w:b w:val="1"/>
          <w:bCs w:val="1"/>
          <w:color w:val="auto"/>
        </w:rPr>
      </w:pPr>
    </w:p>
    <w:p>
      <w:pPr>
        <w:ind w:left="560" w:right="16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Liverpool is a leading Mexican omnichannel retail group with significant resources and access to capital to facilitate a transaction. Founded more than 175 years ago, Liverpool operates 312 stores across its various retail banners in 87 cities in Mexico and is Mexico’s third largest credit card issuer with more than 7.2 million active accounts. Liverpool is a public company, listed on the Mexican Stock Exchange since 1964 and has a market capitalization of ~$8.6 billion, yearly revenues of ~$10.5 billion for 2023 and cash and cash equivalents of ~$1.2 billion as of June 30, 2024. Liverpool has a corporate debt rating of BBB by Standard &amp; Poor’s and BBB+ by Fitch.</w:t>
      </w:r>
    </w:p>
    <w:p>
      <w:pPr>
        <w:spacing w:after="0" w:line="69" w:lineRule="exact"/>
        <w:rPr>
          <w:rFonts w:ascii="Times New Roman" w:cs="Times New Roman" w:eastAsia="Times New Roman" w:hAnsi="Times New Roman"/>
          <w:sz w:val="18"/>
          <w:szCs w:val="18"/>
          <w:b w:val="1"/>
          <w:bCs w:val="1"/>
          <w:color w:val="auto"/>
        </w:rPr>
      </w:pPr>
    </w:p>
    <w:p>
      <w:pPr>
        <w:ind w:left="540" w:right="40" w:hanging="532"/>
        <w:spacing w:after="0" w:line="262" w:lineRule="auto"/>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Structure Considerations: </w:t>
      </w:r>
      <w:r>
        <w:rPr>
          <w:rFonts w:ascii="Times New Roman" w:cs="Times New Roman" w:eastAsia="Times New Roman" w:hAnsi="Times New Roman"/>
          <w:sz w:val="18"/>
          <w:szCs w:val="18"/>
          <w:color w:val="auto"/>
        </w:rPr>
        <w:t>The Proposed Transaction would be effected via a merger of a newly-formed, wholly-owned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of Parent with and into the Company (the “Merger”), with the Company being the surviving corporation of the Merger. Each outstanding share of common stock of the Company outstanding as of the effective time of the Merger (other than dissenting shares, shares held in treasury of the Company and the Rollover Shares), would be converted into the right to receive the Offer Price.</w:t>
      </w:r>
    </w:p>
    <w:p>
      <w:pPr>
        <w:spacing w:after="0" w:line="81" w:lineRule="exact"/>
        <w:rPr>
          <w:rFonts w:ascii="Times New Roman" w:cs="Times New Roman" w:eastAsia="Times New Roman" w:hAnsi="Times New Roman"/>
          <w:sz w:val="18"/>
          <w:szCs w:val="18"/>
          <w:b w:val="1"/>
          <w:bCs w:val="1"/>
          <w:color w:val="auto"/>
        </w:rPr>
      </w:pPr>
    </w:p>
    <w:p>
      <w:pPr>
        <w:ind w:left="540" w:hanging="532"/>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Sources of Financing: </w:t>
      </w:r>
      <w:r>
        <w:rPr>
          <w:rFonts w:ascii="Times New Roman" w:cs="Times New Roman" w:eastAsia="Times New Roman" w:hAnsi="Times New Roman"/>
          <w:sz w:val="18"/>
          <w:szCs w:val="18"/>
          <w:color w:val="auto"/>
        </w:rPr>
        <w:t>The Proposed Transaction would be funded as follows:</w:t>
      </w:r>
    </w:p>
    <w:p>
      <w:pPr>
        <w:spacing w:after="0" w:line="134" w:lineRule="exact"/>
        <w:rPr>
          <w:rFonts w:ascii="Times New Roman" w:cs="Times New Roman" w:eastAsia="Times New Roman" w:hAnsi="Times New Roman"/>
          <w:sz w:val="18"/>
          <w:szCs w:val="18"/>
          <w:b w:val="1"/>
          <w:bCs w:val="1"/>
          <w:color w:val="auto"/>
        </w:rPr>
      </w:pPr>
    </w:p>
    <w:p>
      <w:pPr>
        <w:ind w:left="1660" w:right="20" w:hanging="545"/>
        <w:spacing w:after="0" w:line="254" w:lineRule="auto"/>
        <w:tabs>
          <w:tab w:leader="none" w:pos="1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of the Merger, pursuant to rollover agreements entered into in connection with the execution of definitive documentation for the Proposed Transaction: (a) the Family Group would contribute to the Family Investor an aggregate of approximately 49.6 million shares of common stock of the Company in exchange for newly-issued equity interests in the Family Investor, having an implied value of approximately $1.14 billion based on the Offer Price, and, in turn, the Family Investor would contribute those shares, and (b) Liverpool would contribute an aggregate of 15,755,000 shares of common stock of the Company, having an aggregate implied value of $362 million based on the Offer Price (the shares of common stock of the Company referenced in clauses (a) and (b), collectively, the “Rollover Shares”), in each case, to Parent in exchange for newly-issued common equity interests in Parent.</w:t>
      </w:r>
    </w:p>
    <w:p>
      <w:pPr>
        <w:sectPr>
          <w:pgSz w:w="11900" w:h="16838" w:orient="portrait"/>
          <w:cols w:equalWidth="0" w:num="1">
            <w:col w:w="10600"/>
          </w:cols>
          <w:pgMar w:left="860" w:top="270" w:right="4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58" w:lineRule="exact"/>
        <w:rPr>
          <w:sz w:val="20"/>
          <w:szCs w:val="20"/>
          <w:color w:val="auto"/>
        </w:rPr>
      </w:pPr>
    </w:p>
    <w:p>
      <w:pPr>
        <w:ind w:left="1660" w:right="160" w:hanging="545"/>
        <w:spacing w:after="0" w:line="258" w:lineRule="auto"/>
        <w:tabs>
          <w:tab w:leader="none" w:pos="1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Rollover Shares contributed to Parent by the Investors, (a) the Family Investor would commit to provide an additional $454 million to Parent in exchange for newly-issued common interests in Parent, and (b) Liverpool would commit to provide an additional approximate $1.23 billion to Parent in exchange for newly-issued common interests in Parent, in each of cases (a) and (b) pursuant to equity commitment letters to be executed in connection with entrance of Parent into definitive documentation providing for the Proposed Transaction.</w:t>
      </w:r>
    </w:p>
    <w:p>
      <w:pPr>
        <w:spacing w:after="0" w:line="88" w:lineRule="exact"/>
        <w:rPr>
          <w:rFonts w:ascii="Times New Roman" w:cs="Times New Roman" w:eastAsia="Times New Roman" w:hAnsi="Times New Roman"/>
          <w:sz w:val="18"/>
          <w:szCs w:val="18"/>
          <w:color w:val="auto"/>
        </w:rPr>
      </w:pPr>
    </w:p>
    <w:p>
      <w:pPr>
        <w:ind w:left="1660" w:right="160" w:hanging="545"/>
        <w:spacing w:after="0" w:line="266" w:lineRule="auto"/>
        <w:tabs>
          <w:tab w:leader="none" w:pos="1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expect to obtain incremental bank financing of $250 million at the Company. We have received preliminary proposals from two existing lenders to the Company, and with the Company’s continued cooperation, are highly confident in our ability to arrange this incremental financing and secure financing commitment letters.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sources and uses table for the Proposed Transaction is set forth below:</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536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Sources ($ in millions)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Uses ($ in millions)</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Cash on Balance Sheet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620</w:t>
            </w: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Equity Value</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$3,764</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Company Existing Debt</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3"/>
              </w:rPr>
              <w:t>2,615</w:t>
            </w: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Debt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2,615</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Transaction Debt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SERP Funding</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Family Investor Equity Roll</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3"/>
              </w:rPr>
              <w:t>1,141</w:t>
            </w: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Preliminary Transaction Fees</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Family New Equity</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454</w:t>
            </w:r>
          </w:p>
        </w:tc>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Minimum Cash Balance at the Company</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Liverpool Equity Roll</w:t>
            </w: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362</w:t>
            </w:r>
          </w:p>
        </w:tc>
        <w:tc>
          <w:tcPr>
            <w:tcW w:w="35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Liverpool New Equity</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1,226</w:t>
            </w:r>
          </w:p>
        </w:tc>
        <w:tc>
          <w:tcPr>
            <w:tcW w:w="3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8"/>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6,669</w:t>
            </w:r>
          </w:p>
        </w:tc>
        <w:tc>
          <w:tcPr>
            <w:tcW w:w="180" w:type="dxa"/>
            <w:vAlign w:val="bottom"/>
          </w:tcPr>
          <w:p>
            <w:pPr>
              <w:spacing w:after="0"/>
              <w:rPr>
                <w:sz w:val="19"/>
                <w:szCs w:val="19"/>
                <w:color w:val="auto"/>
              </w:rPr>
            </w:pPr>
          </w:p>
        </w:tc>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$6,669</w:t>
            </w:r>
          </w:p>
        </w:tc>
      </w:tr>
    </w:tbl>
    <w:p>
      <w:pPr>
        <w:spacing w:after="0" w:line="216" w:lineRule="exact"/>
        <w:rPr>
          <w:sz w:val="20"/>
          <w:szCs w:val="20"/>
          <w:color w:val="auto"/>
        </w:rPr>
      </w:pPr>
    </w:p>
    <w:p>
      <w:pPr>
        <w:ind w:left="540" w:hanging="532"/>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Due Diligence Requirements: </w:t>
      </w:r>
      <w:r>
        <w:rPr>
          <w:rFonts w:ascii="Times New Roman" w:cs="Times New Roman" w:eastAsia="Times New Roman" w:hAnsi="Times New Roman"/>
          <w:sz w:val="18"/>
          <w:szCs w:val="18"/>
          <w:color w:val="auto"/>
        </w:rPr>
        <w:t>The Buyer Group has completed the necessary due diligence to allow it to make this Proposal, including</w:t>
      </w:r>
    </w:p>
    <w:p>
      <w:pPr>
        <w:spacing w:after="0" w:line="31" w:lineRule="exact"/>
        <w:rPr>
          <w:rFonts w:ascii="Times New Roman" w:cs="Times New Roman" w:eastAsia="Times New Roman" w:hAnsi="Times New Roman"/>
          <w:sz w:val="18"/>
          <w:szCs w:val="18"/>
          <w:b w:val="1"/>
          <w:bCs w:val="1"/>
          <w:color w:val="auto"/>
        </w:rPr>
      </w:pPr>
    </w:p>
    <w:p>
      <w:pPr>
        <w:ind w:left="540" w:right="4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business and industry due diligence and (b) preliminary financial and accounting due diligence. The Buyer Group would expect to complete limited, confirmatory due diligence on an expedited basis.</w:t>
      </w:r>
    </w:p>
    <w:p>
      <w:pPr>
        <w:spacing w:after="0" w:line="82" w:lineRule="exact"/>
        <w:rPr>
          <w:rFonts w:ascii="Times New Roman" w:cs="Times New Roman" w:eastAsia="Times New Roman" w:hAnsi="Times New Roman"/>
          <w:sz w:val="18"/>
          <w:szCs w:val="18"/>
          <w:b w:val="1"/>
          <w:bCs w:val="1"/>
          <w:color w:val="auto"/>
        </w:rPr>
      </w:pPr>
    </w:p>
    <w:p>
      <w:pPr>
        <w:ind w:left="540" w:right="60" w:hanging="532"/>
        <w:spacing w:after="0" w:line="259" w:lineRule="auto"/>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Approvals and Timing: </w:t>
      </w:r>
      <w:r>
        <w:rPr>
          <w:rFonts w:ascii="Times New Roman" w:cs="Times New Roman" w:eastAsia="Times New Roman" w:hAnsi="Times New Roman"/>
          <w:sz w:val="18"/>
          <w:szCs w:val="18"/>
          <w:color w:val="auto"/>
        </w:rPr>
        <w:t>We are prepared to negotiate and execute definitive documentation on an expedited basis and complete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Transaction as promptly as practicable. We would expect that the limited, confirmatory due diligence described above would be completed in parallel with the negotiation of definitive documentation for the Proposed Transaction. We welcome further discussions with the Special Committee around how we would propose to enter into definitive documentation for the Proposed Transaction as expeditiously as possible.</w:t>
      </w:r>
    </w:p>
    <w:p>
      <w:pPr>
        <w:sectPr>
          <w:pgSz w:w="11900" w:h="16838" w:orient="portrait"/>
          <w:cols w:equalWidth="0" w:num="1">
            <w:col w:w="10600"/>
          </w:cols>
          <w:pgMar w:left="860" w:top="270" w:right="439" w:bottom="1440" w:gutter="0" w:footer="0" w:header="0"/>
        </w:sectPr>
      </w:pPr>
    </w:p>
    <w:bookmarkStart w:id="19" w:name="page20"/>
    <w:bookmarkEnd w:id="19"/>
    <w:p>
      <w:pPr>
        <w:ind w:left="103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58" w:lineRule="exact"/>
        <w:rPr>
          <w:sz w:val="20"/>
          <w:szCs w:val="20"/>
          <w:color w:val="auto"/>
        </w:rPr>
      </w:pPr>
    </w:p>
    <w:p>
      <w:pPr>
        <w:ind w:left="980" w:right="100"/>
        <w:spacing w:after="0" w:line="282" w:lineRule="auto"/>
        <w:rPr>
          <w:sz w:val="20"/>
          <w:szCs w:val="20"/>
          <w:color w:val="auto"/>
        </w:rPr>
      </w:pPr>
      <w:r>
        <w:rPr>
          <w:rFonts w:ascii="Times New Roman" w:cs="Times New Roman" w:eastAsia="Times New Roman" w:hAnsi="Times New Roman"/>
          <w:sz w:val="18"/>
          <w:szCs w:val="18"/>
          <w:color w:val="auto"/>
        </w:rPr>
        <w:t>While the Family Group and Liverpool have all approved the making of this Proposal, execution of definitive documentation with respect to the Proposed Transaction would be subject to, among other things, final approval of the board of directors of Liverpool.</w:t>
      </w:r>
    </w:p>
    <w:p>
      <w:pPr>
        <w:spacing w:after="0" w:line="54" w:lineRule="exact"/>
        <w:rPr>
          <w:sz w:val="20"/>
          <w:szCs w:val="20"/>
          <w:color w:val="auto"/>
        </w:rPr>
      </w:pPr>
    </w:p>
    <w:p>
      <w:pPr>
        <w:ind w:left="980" w:right="100"/>
        <w:spacing w:after="0" w:line="255" w:lineRule="auto"/>
        <w:rPr>
          <w:sz w:val="20"/>
          <w:szCs w:val="20"/>
          <w:color w:val="auto"/>
        </w:rPr>
      </w:pPr>
      <w:r>
        <w:rPr>
          <w:rFonts w:ascii="Times New Roman" w:cs="Times New Roman" w:eastAsia="Times New Roman" w:hAnsi="Times New Roman"/>
          <w:sz w:val="18"/>
          <w:szCs w:val="18"/>
          <w:color w:val="auto"/>
        </w:rPr>
        <w:t>Our Proposal requires that it be approved not only by the Special Committee and the Board, and meet the two-third (2/3) shareholder vote requirement (including the shares held by the Buyer Group) under Washington State law, but also by a non-waivable majority of the outstanding shares of the Company other than shares owned by the Buyer Group. We also reiterate that in our capacity as shareholders of the Company, members of the Buyer Group will engage in good faith discussions with other potential buyers of the Company who submit a competing proposal, should one present itself, but, presently, we have no interest in a disposition or sale of our collective holdings in the Company, other than as contemplated by this Proposal. In our capacity as shareholders, we currently have no intention to vote in favor of any alternative or competing sale, merger or similar transaction involving the Company.</w:t>
      </w:r>
    </w:p>
    <w:p>
      <w:pPr>
        <w:spacing w:after="0" w:line="90" w:lineRule="exact"/>
        <w:rPr>
          <w:sz w:val="20"/>
          <w:szCs w:val="20"/>
          <w:color w:val="auto"/>
        </w:rPr>
      </w:pPr>
    </w:p>
    <w:p>
      <w:pPr>
        <w:ind w:left="960" w:right="580" w:hanging="532"/>
        <w:spacing w:after="0" w:line="268" w:lineRule="auto"/>
        <w:tabs>
          <w:tab w:leader="none" w:pos="9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Required Legal Disclosure: </w:t>
      </w:r>
      <w:r>
        <w:rPr>
          <w:rFonts w:ascii="Times New Roman" w:cs="Times New Roman" w:eastAsia="Times New Roman" w:hAnsi="Times New Roman"/>
          <w:sz w:val="18"/>
          <w:szCs w:val="18"/>
          <w:color w:val="auto"/>
        </w:rPr>
        <w:t>In accordance with our legal obligations, each of Liverpool and the Family Group will promptly file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13D, including a copy of this letter. In addition, Liverpool will promptly file a notice of material corporate event (</w:t>
      </w:r>
      <w:r>
        <w:rPr>
          <w:rFonts w:ascii="Times New Roman" w:cs="Times New Roman" w:eastAsia="Times New Roman" w:hAnsi="Times New Roman"/>
          <w:sz w:val="18"/>
          <w:szCs w:val="18"/>
          <w:i w:val="1"/>
          <w:iCs w:val="1"/>
          <w:color w:val="auto"/>
        </w:rPr>
        <w:t>evento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relevante</w:t>
      </w:r>
      <w:r>
        <w:rPr>
          <w:rFonts w:ascii="Times New Roman" w:cs="Times New Roman" w:eastAsia="Times New Roman" w:hAnsi="Times New Roman"/>
          <w:sz w:val="18"/>
          <w:szCs w:val="18"/>
          <w:color w:val="auto"/>
        </w:rPr>
        <w:t>) as required pursuant to the Mexican Securities Market Law (</w:t>
      </w:r>
      <w:r>
        <w:rPr>
          <w:rFonts w:ascii="Times New Roman" w:cs="Times New Roman" w:eastAsia="Times New Roman" w:hAnsi="Times New Roman"/>
          <w:sz w:val="18"/>
          <w:szCs w:val="18"/>
          <w:i w:val="1"/>
          <w:iCs w:val="1"/>
          <w:color w:val="auto"/>
        </w:rPr>
        <w:t>Ley del Mercado de Valores</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960" w:right="80" w:hanging="532"/>
        <w:spacing w:after="0" w:line="268" w:lineRule="auto"/>
        <w:tabs>
          <w:tab w:leader="none" w:pos="9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Contacts: </w:t>
      </w:r>
      <w:r>
        <w:rPr>
          <w:rFonts w:ascii="Times New Roman" w:cs="Times New Roman" w:eastAsia="Times New Roman" w:hAnsi="Times New Roman"/>
          <w:sz w:val="18"/>
          <w:szCs w:val="18"/>
          <w:color w:val="auto"/>
        </w:rPr>
        <w:t>Each of the Family Group and Liverpool has retained financial and legal advisors in connection with the making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and the Proposed Transaction as set forth below. We would welcome the earliest opportunity to meet with the Special Committee and/or its advisors to discuss the details of our Proposal.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Advisors/Contact</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Family Group</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Liverpool</w:t>
            </w:r>
          </w:p>
        </w:tc>
        <w:tc>
          <w:tcPr>
            <w:tcW w:w="0" w:type="dxa"/>
            <w:vAlign w:val="bottom"/>
          </w:tcPr>
          <w:p>
            <w:pPr>
              <w:spacing w:after="0"/>
              <w:rPr>
                <w:sz w:val="1"/>
                <w:szCs w:val="1"/>
                <w:color w:val="auto"/>
              </w:rPr>
            </w:pPr>
          </w:p>
        </w:tc>
      </w:tr>
      <w:tr>
        <w:trPr>
          <w:trHeight w:val="191"/>
        </w:trPr>
        <w:tc>
          <w:tcPr>
            <w:tcW w:w="3980" w:type="dxa"/>
            <w:vAlign w:val="bottom"/>
            <w:vMerge w:val="continue"/>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Perry Hall</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Jonathan Dunlop</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Managing 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Moelis</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J.P. Morgan</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399 Park Avenue, 5th Floor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 Century Park East, 38th Floor</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New York, New York 10022</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Los Angeles, California 90067</w:t>
            </w:r>
          </w:p>
        </w:tc>
        <w:tc>
          <w:tcPr>
            <w:tcW w:w="0" w:type="dxa"/>
            <w:vAlign w:val="bottom"/>
          </w:tcPr>
          <w:p>
            <w:pPr>
              <w:spacing w:after="0"/>
              <w:rPr>
                <w:sz w:val="1"/>
                <w:szCs w:val="1"/>
                <w:color w:val="auto"/>
              </w:rPr>
            </w:pPr>
          </w:p>
        </w:tc>
      </w:tr>
      <w:tr>
        <w:trPr>
          <w:trHeight w:val="319"/>
        </w:trPr>
        <w:tc>
          <w:tcPr>
            <w:tcW w:w="3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Nik Johnston</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J.P. Morgan</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383 Madison Avenue, 34th Floor</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10179</w:t>
            </w:r>
          </w:p>
        </w:tc>
        <w:tc>
          <w:tcPr>
            <w:tcW w:w="0" w:type="dxa"/>
            <w:vAlign w:val="bottom"/>
          </w:tcPr>
          <w:p>
            <w:pPr>
              <w:spacing w:after="0"/>
              <w:rPr>
                <w:sz w:val="1"/>
                <w:szCs w:val="1"/>
                <w:color w:val="auto"/>
              </w:rPr>
            </w:pPr>
          </w:p>
        </w:tc>
      </w:tr>
      <w:tr>
        <w:trPr>
          <w:trHeight w:val="319"/>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Legal Advisors/Contact</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Keith Trammell</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 P. Schaye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Michael Gilligan</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Juan F. Mendez</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Wilmer Cutler Pickering Hale &amp; Dorr LLP</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Simpson Thacher &amp; Bartlett LLP</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7 World Trade Center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425 Lexington Avenue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250 Greenwich Street</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NY 10017</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New York, NY 10007</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Considerations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This letter is not legally binding and does not create any obligation of any kind on any Investor or any of their respective affiliates, but is intended only to constitute an expression of our strong interest in exploring the Potential Transaction. No obligation of any kind on our part will be created unless and until definitive documentation with respect to a transaction is duly executed and delivered, and then only to the extent set forth therein. This letter, any information obtained in discussions or negotiations, and our interest in any Potential Transaction should be kept confidential by the Company and its affiliates and its and their respective representatives and advisors.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On behalf of the Family Group</w:t>
            </w:r>
          </w:p>
        </w:tc>
        <w:tc>
          <w:tcPr>
            <w:tcW w:w="61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On behalf of Liverpool</w:t>
            </w:r>
          </w:p>
        </w:tc>
      </w:tr>
      <w:tr>
        <w:trPr>
          <w:trHeight w:val="432"/>
        </w:trPr>
        <w:tc>
          <w:tcPr>
            <w:tcW w:w="4840" w:type="dxa"/>
            <w:vAlign w:val="bottom"/>
          </w:tcPr>
          <w:p>
            <w:pPr>
              <w:spacing w:after="0"/>
              <w:rPr>
                <w:sz w:val="24"/>
                <w:szCs w:val="24"/>
                <w:color w:val="auto"/>
              </w:rPr>
            </w:pPr>
          </w:p>
        </w:tc>
        <w:tc>
          <w:tcPr>
            <w:tcW w:w="61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EL PUERTO DE LIVERPOOL, S.A.B. DE C.V.</w:t>
            </w: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 Erik Nordstrom</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 Graciano Guichard</w:t>
            </w:r>
          </w:p>
        </w:tc>
      </w:tr>
      <w:tr>
        <w:trPr>
          <w:trHeight w:val="205"/>
        </w:trPr>
        <w:tc>
          <w:tcPr>
            <w:tcW w:w="48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Erik Nordstrom</w:t>
            </w:r>
          </w:p>
        </w:tc>
        <w:tc>
          <w:tcPr>
            <w:tcW w:w="1240" w:type="dxa"/>
            <w:vAlign w:val="bottom"/>
          </w:tcPr>
          <w:p>
            <w:pPr>
              <w:ind w:left="6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4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Graciano Guichard</w:t>
            </w:r>
          </w:p>
        </w:tc>
      </w:tr>
      <w:tr>
        <w:trPr>
          <w:trHeight w:val="234"/>
        </w:trPr>
        <w:tc>
          <w:tcPr>
            <w:tcW w:w="4840" w:type="dxa"/>
            <w:vAlign w:val="bottom"/>
          </w:tcPr>
          <w:p>
            <w:pPr>
              <w:spacing w:after="0"/>
              <w:rPr>
                <w:sz w:val="20"/>
                <w:szCs w:val="20"/>
                <w:color w:val="auto"/>
              </w:rPr>
            </w:pP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432"/>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 Peter Nordstrom</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 Enrique Güijosa</w:t>
            </w:r>
          </w:p>
        </w:tc>
      </w:tr>
      <w:tr>
        <w:trPr>
          <w:trHeight w:val="205"/>
        </w:trPr>
        <w:tc>
          <w:tcPr>
            <w:tcW w:w="48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Peter Nordstrom</w:t>
            </w:r>
          </w:p>
        </w:tc>
        <w:tc>
          <w:tcPr>
            <w:tcW w:w="1240" w:type="dxa"/>
            <w:vAlign w:val="bottom"/>
          </w:tcPr>
          <w:p>
            <w:pPr>
              <w:ind w:left="6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4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Enrique Güijosa</w:t>
            </w:r>
          </w:p>
        </w:tc>
      </w:tr>
      <w:tr>
        <w:trPr>
          <w:trHeight w:val="234"/>
        </w:trPr>
        <w:tc>
          <w:tcPr>
            <w:tcW w:w="4840" w:type="dxa"/>
            <w:vAlign w:val="bottom"/>
          </w:tcPr>
          <w:p>
            <w:pPr>
              <w:spacing w:after="0"/>
              <w:rPr>
                <w:sz w:val="20"/>
                <w:szCs w:val="20"/>
                <w:color w:val="auto"/>
              </w:rPr>
            </w:pP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Jamie Nordstrom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077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Jamie Nordstrom</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
      <w:numFmt w:val="bullet"/>
      <w:start w:val="1"/>
    </w:lvl>
    <w:lvl w:ilvl="1">
      <w:lvlJc w:val="left"/>
      <w:lvlText w:val=" "/>
      <w:numFmt w:val="bullet"/>
      <w:start w:val="1"/>
    </w:lvl>
  </w:abstractNum>
  <w:abstractNum w:abstractNumId="2">
    <w:nsid w:val="66EF438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140E0F76"/>
    <w:multiLevelType w:val="hybridMultilevel"/>
    <w:lvl w:ilvl="0">
      <w:lvlJc w:val="left"/>
      <w:lvlText w:val="%1"/>
      <w:numFmt w:val="decimal"/>
      <w:start w:val="11"/>
    </w:lvl>
    <w:lvl w:ilvl="1">
      <w:lvlJc w:val="left"/>
      <w:lvlText w:val=" "/>
      <w:numFmt w:val="bullet"/>
      <w:start w:val="1"/>
    </w:lvl>
  </w:abstractNum>
  <w:abstractNum w:abstractNumId="4">
    <w:nsid w:val="3352255A"/>
    <w:multiLevelType w:val="hybridMultilevel"/>
    <w:lvl w:ilvl="0">
      <w:lvlJc w:val="left"/>
      <w:lvlText w:val="(%1)"/>
      <w:numFmt w:val="lowerLetter"/>
      <w:start w:val="2"/>
    </w:lvl>
  </w:abstractNum>
  <w:abstractNum w:abstractNumId="5">
    <w:nsid w:val="109CF92E"/>
    <w:multiLevelType w:val="hybridMultilevel"/>
    <w:lvl w:ilvl="0">
      <w:lvlJc w:val="left"/>
      <w:lvlText w:val="(%1)"/>
      <w:numFmt w:val="lowerRoman"/>
      <w:start w:val="8"/>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3"/>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2"/>
    </w:lvl>
  </w:abstractNum>
  <w:abstractNum w:abstractNumId="10">
    <w:nsid w:val="6B68079A"/>
    <w:multiLevelType w:val="hybridMultilevel"/>
    <w:lvl w:ilvl="0">
      <w:lvlJc w:val="left"/>
      <w:lvlText w:val="%1."/>
      <w:numFmt w:val="decimal"/>
      <w:start w:val="3"/>
    </w:lvl>
  </w:abstractNum>
  <w:abstractNum w:abstractNumId="11">
    <w:nsid w:val="4E6AFB66"/>
    <w:multiLevelType w:val="hybridMultilevel"/>
    <w:lvl w:ilvl="0">
      <w:lvlJc w:val="left"/>
      <w:lvlText w:val="(%1)"/>
      <w:numFmt w:val="lowerLetter"/>
      <w:start w:val="3"/>
    </w:lvl>
  </w:abstractNum>
  <w:abstractNum w:abstractNumId="12">
    <w:nsid w:val="25E45D32"/>
    <w:multiLevelType w:val="hybridMultilevel"/>
    <w:lvl w:ilvl="0">
      <w:lvlJc w:val="left"/>
      <w:lvlText w:val="(%1)"/>
      <w:numFmt w:val="lowerLetter"/>
      <w:start w:val="8"/>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decimal"/>
      <w:start w:val="8"/>
    </w:lvl>
  </w:abstractNum>
  <w:abstractNum w:abstractNumId="15">
    <w:nsid w:val="3F2DBA31"/>
    <w:multiLevelType w:val="hybridMultilevel"/>
    <w:lvl w:ilvl="0">
      <w:lvlJc w:val="left"/>
      <w:lvlText w:val="(%1)"/>
      <w:numFmt w:val="lowerRoman"/>
      <w:start w:val="1"/>
    </w:lvl>
  </w:abstractNum>
  <w:abstractNum w:abstractNumId="16">
    <w:nsid w:val="7C83E458"/>
    <w:multiLevelType w:val="hybridMultilevel"/>
    <w:lvl w:ilvl="0">
      <w:lvlJc w:val="left"/>
      <w:lvlText w:val="%1."/>
      <w:numFmt w:val="decimal"/>
      <w:start w:val="1"/>
    </w:lvl>
    <w:lvl w:ilvl="1">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5"/>
    </w:lvl>
  </w:abstractNum>
  <w:abstractNum w:abstractNumId="20">
    <w:nsid w:val="628C895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2024-09-04T07:17:53Z</dcterms:created>
  <dcterms:modified xsi:type="dcterms:W3CDTF">2024-09-04T07:17:53Z</dcterms:modified>
</cp:coreProperties>
</file>