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3960" w:right="2220" w:hanging="3925"/>
        <w:spacing w:after="0" w:line="333" w:lineRule="auto"/>
        <w:tabs>
          <w:tab w:leader="none" w:pos="527"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April 30, 2016</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60"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May 25, 2016: 173,435,074 shares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27</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3"/>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8"/>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8"/>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Quarters Ended April 30, 2016 and May 2, 2015</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8"/>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Quarters Ended April 30, 2016 and May 2, 2015</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540" w:type="dxa"/>
            <w:vAlign w:val="bottom"/>
            <w:tcBorders>
              <w:top w:val="single" w:sz="8" w:color="0000EE"/>
            </w:tcBorders>
          </w:tcPr>
          <w:p>
            <w:pPr>
              <w:spacing w:after="0"/>
              <w:rPr>
                <w:sz w:val="24"/>
                <w:szCs w:val="24"/>
                <w:color w:val="auto"/>
              </w:rPr>
            </w:pPr>
          </w:p>
        </w:tc>
        <w:tc>
          <w:tcPr>
            <w:tcW w:w="412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April 30, 2016, January 30, 2016 and May 2, 2015</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Quarters Ended April 30, 2016 and May 2, 2015</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3880" w:type="dxa"/>
            <w:vAlign w:val="bottom"/>
            <w:gridSpan w:val="6"/>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gridSpan w:val="8"/>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Quarters Ended April 30, 2016 and May 2, 2015</w:t>
              </w:r>
            </w:hyperlink>
          </w:p>
        </w:tc>
        <w:tc>
          <w:tcPr>
            <w:tcW w:w="4120" w:type="dxa"/>
            <w:vAlign w:val="bottom"/>
            <w:gridSpan w:val="9"/>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6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640" w:type="dxa"/>
            <w:vAlign w:val="bottom"/>
            <w:gridSpan w:val="5"/>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7"/>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13</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3600" w:type="dxa"/>
            <w:vAlign w:val="bottom"/>
            <w:tcBorders>
              <w:left w:val="single" w:sz="8" w:color="0000EE"/>
            </w:tcBorders>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650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3"/>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3740" w:type="dxa"/>
            <w:vAlign w:val="bottom"/>
            <w:gridSpan w:val="12"/>
          </w:tcPr>
          <w:p>
            <w:pPr>
              <w:spacing w:after="0"/>
              <w:rPr>
                <w:sz w:val="24"/>
                <w:szCs w:val="24"/>
                <w:color w:val="auto"/>
              </w:rPr>
            </w:pPr>
          </w:p>
        </w:tc>
        <w:tc>
          <w:tcPr>
            <w:tcW w:w="3600" w:type="dxa"/>
            <w:vAlign w:val="bottom"/>
            <w:gridSpan w:val="4"/>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Arial" w:cs="Arial" w:eastAsia="Arial" w:hAnsi="Arial"/>
                <w:sz w:val="18"/>
                <w:szCs w:val="18"/>
                <w:b w:val="1"/>
                <w:bCs w:val="1"/>
                <w:color w:val="0000EE"/>
                <w:w w:val="85"/>
              </w:rPr>
            </w:pPr>
            <w:hyperlink w:anchor="page27">
              <w:r>
                <w:rPr>
                  <w:rFonts w:ascii="Arial" w:cs="Arial" w:eastAsia="Arial" w:hAnsi="Arial"/>
                  <w:sz w:val="18"/>
                  <w:szCs w:val="18"/>
                  <w:b w:val="1"/>
                  <w:bCs w:val="1"/>
                  <w:color w:val="0000EE"/>
                  <w:w w:val="85"/>
                </w:rPr>
                <w:t>Signatures</w:t>
              </w:r>
            </w:hyperlink>
          </w:p>
        </w:tc>
        <w:tc>
          <w:tcPr>
            <w:tcW w:w="560" w:type="dxa"/>
            <w:vAlign w:val="bottom"/>
            <w:gridSpan w:val="2"/>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Exhibit Index</w:t>
              </w:r>
            </w:hyperlink>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8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0" w:type="dxa"/>
            <w:vAlign w:val="bottom"/>
            <w:gridSpan w:val="7"/>
          </w:tcPr>
          <w:p>
            <w:pPr>
              <w:ind w:left="60"/>
              <w:spacing w:after="0"/>
              <w:rPr>
                <w:sz w:val="20"/>
                <w:szCs w:val="20"/>
                <w:color w:val="auto"/>
              </w:rPr>
            </w:pPr>
            <w:r>
              <w:rPr>
                <w:rFonts w:ascii="Arial" w:cs="Arial" w:eastAsia="Arial" w:hAnsi="Arial"/>
                <w:sz w:val="18"/>
                <w:szCs w:val="18"/>
                <w:color w:val="auto"/>
              </w:rPr>
              <w:t>2 of 27</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PART I –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$3,192</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57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3,249</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Cost of sales and related buying and occupancy costs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(2,100)</w:t>
            </w:r>
          </w:p>
        </w:tc>
        <w:tc>
          <w:tcPr>
            <w:tcW w:w="1140" w:type="dxa"/>
            <w:vAlign w:val="bottom"/>
          </w:tcPr>
          <w:p>
            <w:pPr>
              <w:jc w:val="right"/>
              <w:spacing w:after="0"/>
              <w:rPr>
                <w:sz w:val="20"/>
                <w:szCs w:val="20"/>
                <w:color w:val="auto"/>
              </w:rPr>
            </w:pPr>
            <w:r>
              <w:rPr>
                <w:rFonts w:ascii="Arial" w:cs="Arial" w:eastAsia="Arial" w:hAnsi="Arial"/>
                <w:sz w:val="16"/>
                <w:szCs w:val="16"/>
                <w:color w:val="auto"/>
              </w:rPr>
              <w:t>(1,999)</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(1,043)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106</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75</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$46</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$0.27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$0.26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173.1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175.7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194.9</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Postretirement plan adjustments, net of tax</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$74</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27</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30, 2016</w:t>
            </w:r>
          </w:p>
        </w:tc>
        <w:tc>
          <w:tcPr>
            <w:tcW w:w="2100" w:type="dxa"/>
            <w:vAlign w:val="bottom"/>
          </w:tcPr>
          <w:p>
            <w:pPr>
              <w:jc w:val="right"/>
              <w:ind w:right="479"/>
              <w:spacing w:after="0"/>
              <w:rPr>
                <w:sz w:val="20"/>
                <w:szCs w:val="20"/>
                <w:color w:val="auto"/>
              </w:rPr>
            </w:pPr>
            <w:r>
              <w:rPr>
                <w:rFonts w:ascii="Arial" w:cs="Arial" w:eastAsia="Arial" w:hAnsi="Arial"/>
                <w:sz w:val="16"/>
                <w:szCs w:val="16"/>
                <w:b w:val="1"/>
                <w:bCs w:val="1"/>
                <w:color w:val="auto"/>
              </w:rPr>
              <w:t>January 30, 2016</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$470</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$595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224</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196</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2,125</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1,945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Current deferred tax assets, net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173</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278</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18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2,992</w:t>
            </w:r>
          </w:p>
        </w:tc>
        <w:tc>
          <w:tcPr>
            <w:tcW w:w="2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3,014</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40"/>
              <w:spacing w:after="0"/>
              <w:rPr>
                <w:sz w:val="20"/>
                <w:szCs w:val="20"/>
                <w:color w:val="auto"/>
              </w:rPr>
            </w:pPr>
            <w:r>
              <w:rPr>
                <w:rFonts w:ascii="Arial" w:cs="Arial" w:eastAsia="Arial" w:hAnsi="Arial"/>
                <w:sz w:val="16"/>
                <w:szCs w:val="16"/>
                <w:color w:val="auto"/>
                <w:w w:val="98"/>
              </w:rPr>
              <w:t>Land, property and equipment (net of accumulated depreciation of $5,170, $5,108 and</w:t>
            </w:r>
          </w:p>
        </w:tc>
        <w:tc>
          <w:tcPr>
            <w:tcW w:w="18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3,789</w:t>
            </w:r>
          </w:p>
        </w:tc>
        <w:tc>
          <w:tcPr>
            <w:tcW w:w="2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280"/>
              <w:spacing w:after="0"/>
              <w:rPr>
                <w:sz w:val="20"/>
                <w:szCs w:val="20"/>
                <w:color w:val="auto"/>
              </w:rPr>
            </w:pPr>
            <w:r>
              <w:rPr>
                <w:rFonts w:ascii="Arial" w:cs="Arial" w:eastAsia="Arial" w:hAnsi="Arial"/>
                <w:sz w:val="16"/>
                <w:szCs w:val="16"/>
                <w:color w:val="auto"/>
              </w:rPr>
              <w:t>$4,793)</w:t>
            </w:r>
          </w:p>
        </w:tc>
        <w:tc>
          <w:tcPr>
            <w:tcW w:w="1800" w:type="dxa"/>
            <w:vAlign w:val="bottom"/>
            <w:vMerge w:val="continue"/>
          </w:tcPr>
          <w:p>
            <w:pPr>
              <w:spacing w:after="0"/>
              <w:rPr>
                <w:sz w:val="17"/>
                <w:szCs w:val="17"/>
                <w:color w:val="auto"/>
              </w:rPr>
            </w:pP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3,735</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435</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435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483</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514</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$7,699</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$7,698</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$9,562</w:t>
            </w:r>
          </w:p>
        </w:tc>
        <w:tc>
          <w:tcPr>
            <w:tcW w:w="0" w:type="dxa"/>
            <w:vAlign w:val="bottom"/>
          </w:tcPr>
          <w:p>
            <w:pPr>
              <w:spacing w:after="0"/>
              <w:rPr>
                <w:sz w:val="1"/>
                <w:szCs w:val="1"/>
                <w:color w:val="auto"/>
              </w:rPr>
            </w:pPr>
          </w:p>
        </w:tc>
      </w:tr>
      <w:tr>
        <w:trPr>
          <w:trHeight w:val="291"/>
        </w:trPr>
        <w:tc>
          <w:tcPr>
            <w:tcW w:w="60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$1,456</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$1,324</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320</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416</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1,150</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1,161</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10</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10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2,936</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2,911</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2,776</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2,795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property incentives, net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536</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540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576</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581</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6)</w:t>
            </w:r>
          </w:p>
        </w:tc>
        <w:tc>
          <w:tcPr>
            <w:tcW w:w="18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8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280"/>
              <w:spacing w:after="0"/>
              <w:rPr>
                <w:sz w:val="20"/>
                <w:szCs w:val="20"/>
                <w:color w:val="auto"/>
              </w:rPr>
            </w:pPr>
            <w:r>
              <w:rPr>
                <w:rFonts w:ascii="Arial" w:cs="Arial" w:eastAsia="Arial" w:hAnsi="Arial"/>
                <w:sz w:val="16"/>
                <w:szCs w:val="16"/>
                <w:color w:val="auto"/>
              </w:rPr>
              <w:t>Common stock, no par value: 1,000 shares authorized; 173.4, 173.5 and 191.0</w:t>
            </w:r>
          </w:p>
        </w:tc>
        <w:tc>
          <w:tcPr>
            <w:tcW w:w="18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2,582</w:t>
            </w:r>
          </w:p>
        </w:tc>
        <w:tc>
          <w:tcPr>
            <w:tcW w:w="2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60" w:type="dxa"/>
            <w:vAlign w:val="bottom"/>
          </w:tcPr>
          <w:p>
            <w:pPr>
              <w:ind w:left="520"/>
              <w:spacing w:after="0"/>
              <w:rPr>
                <w:sz w:val="20"/>
                <w:szCs w:val="20"/>
                <w:color w:val="auto"/>
              </w:rPr>
            </w:pPr>
            <w:r>
              <w:rPr>
                <w:rFonts w:ascii="Arial" w:cs="Arial" w:eastAsia="Arial" w:hAnsi="Arial"/>
                <w:sz w:val="16"/>
                <w:szCs w:val="16"/>
                <w:color w:val="auto"/>
              </w:rPr>
              <w:t>shares issued and outstanding</w:t>
            </w:r>
          </w:p>
        </w:tc>
        <w:tc>
          <w:tcPr>
            <w:tcW w:w="1800" w:type="dxa"/>
            <w:vAlign w:val="bottom"/>
            <w:vMerge w:val="continue"/>
          </w:tcPr>
          <w:p>
            <w:pPr>
              <w:spacing w:after="0"/>
              <w:rPr>
                <w:sz w:val="17"/>
                <w:szCs w:val="17"/>
                <w:color w:val="auto"/>
              </w:rPr>
            </w:pP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2,539</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 Retained earnings</w:t>
            </w:r>
          </w:p>
        </w:tc>
        <w:tc>
          <w:tcPr>
            <w:tcW w:w="18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(1,677)</w:t>
            </w:r>
          </w:p>
        </w:tc>
        <w:tc>
          <w:tcPr>
            <w:tcW w:w="21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(1,610)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(30)</w:t>
            </w:r>
          </w:p>
        </w:tc>
        <w:tc>
          <w:tcPr>
            <w:tcW w:w="2100" w:type="dxa"/>
            <w:vAlign w:val="bottom"/>
          </w:tcPr>
          <w:p>
            <w:pPr>
              <w:jc w:val="right"/>
              <w:ind w:right="439"/>
              <w:spacing w:after="0"/>
              <w:rPr>
                <w:sz w:val="20"/>
                <w:szCs w:val="20"/>
                <w:color w:val="auto"/>
              </w:rPr>
            </w:pPr>
            <w:r>
              <w:rPr>
                <w:rFonts w:ascii="Arial" w:cs="Arial" w:eastAsia="Arial" w:hAnsi="Arial"/>
                <w:sz w:val="16"/>
                <w:szCs w:val="16"/>
                <w:color w:val="auto"/>
              </w:rPr>
              <w:t>(58)</w:t>
            </w: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8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875</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871</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w:t>
            </w:r>
          </w:p>
        </w:tc>
        <w:tc>
          <w:tcPr>
            <w:tcW w:w="0" w:type="dxa"/>
            <w:vAlign w:val="bottom"/>
          </w:tcPr>
          <w:p>
            <w:pPr>
              <w:spacing w:after="0"/>
              <w:rPr>
                <w:sz w:val="1"/>
                <w:szCs w:val="1"/>
                <w:color w:val="auto"/>
              </w:rPr>
            </w:pP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8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$7,699</w:t>
            </w:r>
          </w:p>
        </w:tc>
        <w:tc>
          <w:tcPr>
            <w:tcW w:w="2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$7,698</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$9,562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27</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(Accumulated</w:t>
            </w:r>
          </w:p>
        </w:tc>
        <w:tc>
          <w:tcPr>
            <w:tcW w:w="2020" w:type="dxa"/>
            <w:vAlign w:val="bottom"/>
          </w:tcPr>
          <w:p>
            <w:pPr>
              <w:jc w:val="right"/>
              <w:ind w:right="619"/>
              <w:spacing w:after="0"/>
              <w:rPr>
                <w:sz w:val="20"/>
                <w:szCs w:val="20"/>
                <w:color w:val="auto"/>
              </w:rPr>
            </w:pPr>
            <w:r>
              <w:rPr>
                <w:rFonts w:ascii="Arial" w:cs="Arial" w:eastAsia="Arial" w:hAnsi="Arial"/>
                <w:sz w:val="16"/>
                <w:szCs w:val="16"/>
                <w:b w:val="1"/>
                <w:bCs w:val="1"/>
                <w:color w:val="auto"/>
              </w:rPr>
              <w:t>Accumulated</w:t>
            </w:r>
          </w:p>
        </w:tc>
        <w:tc>
          <w:tcPr>
            <w:tcW w:w="1140" w:type="dxa"/>
            <w:vAlign w:val="bottom"/>
          </w:tcPr>
          <w:p>
            <w:pPr>
              <w:spacing w:after="0"/>
              <w:rPr>
                <w:sz w:val="18"/>
                <w:szCs w:val="18"/>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Other</w:t>
            </w:r>
          </w:p>
        </w:tc>
        <w:tc>
          <w:tcPr>
            <w:tcW w:w="1140" w:type="dxa"/>
            <w:vAlign w:val="bottom"/>
          </w:tcPr>
          <w:p>
            <w:pPr>
              <w:spacing w:after="0"/>
              <w:rPr>
                <w:sz w:val="23"/>
                <w:szCs w:val="23"/>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900" w:type="dxa"/>
            <w:vAlign w:val="bottom"/>
          </w:tcPr>
          <w:p>
            <w:pPr>
              <w:spacing w:after="0"/>
              <w:rPr>
                <w:sz w:val="23"/>
                <w:szCs w:val="23"/>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Retained</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tcPr>
          <w:p>
            <w:pPr>
              <w:spacing w:after="0"/>
              <w:rPr>
                <w:sz w:val="23"/>
                <w:szCs w:val="23"/>
                <w:color w:val="auto"/>
              </w:rPr>
            </w:pPr>
          </w:p>
        </w:tc>
      </w:tr>
      <w:tr>
        <w:trPr>
          <w:trHeight w:val="33"/>
        </w:trPr>
        <w:tc>
          <w:tcPr>
            <w:tcW w:w="29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440" w:type="dxa"/>
            <w:vAlign w:val="bottom"/>
          </w:tcPr>
          <w:p>
            <w:pPr>
              <w:jc w:val="right"/>
              <w:ind w:right="87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Earnings</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Loss</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30, 2016</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173.5</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($1,610)</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($58)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46</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28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($0.37 per share)</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(63)</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w:t>
            </w:r>
          </w:p>
        </w:tc>
        <w:tc>
          <w:tcPr>
            <w:tcW w:w="2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 plans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0.7</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0.2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4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(1.0)</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(50)</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April 30, 2016</w:t>
            </w:r>
          </w:p>
        </w:tc>
        <w:tc>
          <w:tcPr>
            <w:tcW w:w="244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173.4</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$2,582</w:t>
            </w:r>
          </w:p>
        </w:tc>
        <w:tc>
          <w:tcPr>
            <w:tcW w:w="19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($1,677)</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($30)</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$875</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49"/>
        </w:trPr>
        <w:tc>
          <w:tcPr>
            <w:tcW w:w="2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Accumulated</w:t>
            </w:r>
          </w:p>
        </w:tc>
        <w:tc>
          <w:tcPr>
            <w:tcW w:w="1140" w:type="dxa"/>
            <w:vAlign w:val="bottom"/>
          </w:tcPr>
          <w:p>
            <w:pPr>
              <w:spacing w:after="0"/>
              <w:rPr>
                <w:sz w:val="24"/>
                <w:szCs w:val="24"/>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Other</w:t>
            </w:r>
          </w:p>
        </w:tc>
        <w:tc>
          <w:tcPr>
            <w:tcW w:w="1140" w:type="dxa"/>
            <w:vAlign w:val="bottom"/>
          </w:tcPr>
          <w:p>
            <w:pPr>
              <w:spacing w:after="0"/>
              <w:rPr>
                <w:sz w:val="23"/>
                <w:szCs w:val="23"/>
                <w:color w:val="auto"/>
              </w:rPr>
            </w:pPr>
          </w:p>
        </w:tc>
      </w:tr>
      <w:tr>
        <w:trPr>
          <w:trHeight w:val="270"/>
        </w:trPr>
        <w:tc>
          <w:tcPr>
            <w:tcW w:w="2980" w:type="dxa"/>
            <w:vAlign w:val="bottom"/>
          </w:tcPr>
          <w:p>
            <w:pPr>
              <w:spacing w:after="0"/>
              <w:rPr>
                <w:sz w:val="23"/>
                <w:szCs w:val="23"/>
                <w:color w:val="auto"/>
              </w:rPr>
            </w:pPr>
          </w:p>
        </w:tc>
        <w:tc>
          <w:tcPr>
            <w:tcW w:w="2440" w:type="dxa"/>
            <w:vAlign w:val="bottom"/>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900" w:type="dxa"/>
            <w:vAlign w:val="bottom"/>
          </w:tcPr>
          <w:p>
            <w:pPr>
              <w:spacing w:after="0"/>
              <w:rPr>
                <w:sz w:val="23"/>
                <w:szCs w:val="23"/>
                <w:color w:val="auto"/>
              </w:rPr>
            </w:pP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Retained</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Comprehensive</w:t>
            </w:r>
          </w:p>
        </w:tc>
        <w:tc>
          <w:tcPr>
            <w:tcW w:w="1140" w:type="dxa"/>
            <w:vAlign w:val="bottom"/>
          </w:tcPr>
          <w:p>
            <w:pPr>
              <w:spacing w:after="0"/>
              <w:rPr>
                <w:sz w:val="23"/>
                <w:szCs w:val="23"/>
                <w:color w:val="auto"/>
              </w:rPr>
            </w:pPr>
          </w:p>
        </w:tc>
      </w:tr>
      <w:tr>
        <w:trPr>
          <w:trHeight w:val="33"/>
        </w:trPr>
        <w:tc>
          <w:tcPr>
            <w:tcW w:w="298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440" w:type="dxa"/>
            <w:vAlign w:val="bottom"/>
          </w:tcPr>
          <w:p>
            <w:pPr>
              <w:jc w:val="right"/>
              <w:ind w:right="87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940" w:type="dxa"/>
            <w:vAlign w:val="bottom"/>
          </w:tcPr>
          <w:p>
            <w:pPr>
              <w:jc w:val="right"/>
              <w:ind w:right="239"/>
              <w:spacing w:after="0"/>
              <w:rPr>
                <w:sz w:val="20"/>
                <w:szCs w:val="20"/>
                <w:color w:val="auto"/>
              </w:rPr>
            </w:pPr>
            <w:r>
              <w:rPr>
                <w:rFonts w:ascii="Arial" w:cs="Arial" w:eastAsia="Arial" w:hAnsi="Arial"/>
                <w:sz w:val="16"/>
                <w:szCs w:val="16"/>
                <w:b w:val="1"/>
                <w:bCs w:val="1"/>
                <w:color w:val="auto"/>
              </w:rPr>
              <w:t>Earnings</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Loss</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31, 2015</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190.1</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$166</w:t>
            </w:r>
          </w:p>
        </w:tc>
        <w:tc>
          <w:tcPr>
            <w:tcW w:w="20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$2,440</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128</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Dividends ($0.37 per share)</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(71)</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under stock</w:t>
            </w:r>
          </w:p>
        </w:tc>
        <w:tc>
          <w:tcPr>
            <w:tcW w:w="2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compensation plans</w:t>
            </w:r>
          </w:p>
        </w:tc>
        <w:tc>
          <w:tcPr>
            <w:tcW w:w="244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1.2</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9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440" w:type="dxa"/>
            <w:vAlign w:val="bottom"/>
          </w:tcPr>
          <w:p>
            <w:pPr>
              <w:jc w:val="right"/>
              <w:ind w:right="879"/>
              <w:spacing w:after="0"/>
              <w:rPr>
                <w:sz w:val="20"/>
                <w:szCs w:val="20"/>
                <w:color w:val="auto"/>
              </w:rPr>
            </w:pPr>
            <w:r>
              <w:rPr>
                <w:rFonts w:ascii="Arial" w:cs="Arial" w:eastAsia="Arial" w:hAnsi="Arial"/>
                <w:sz w:val="16"/>
                <w:szCs w:val="16"/>
                <w:color w:val="auto"/>
              </w:rPr>
              <w:t>0.1</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9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2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4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(33)</w:t>
            </w:r>
          </w:p>
        </w:tc>
        <w:tc>
          <w:tcPr>
            <w:tcW w:w="20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May 2, 2015</w:t>
            </w:r>
          </w:p>
        </w:tc>
        <w:tc>
          <w:tcPr>
            <w:tcW w:w="244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rPr>
              <w:t>191.0</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$2,422</w:t>
            </w:r>
          </w:p>
        </w:tc>
        <w:tc>
          <w:tcPr>
            <w:tcW w:w="19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$190</w:t>
            </w:r>
          </w:p>
        </w:tc>
        <w:tc>
          <w:tcPr>
            <w:tcW w:w="20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($57)</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$2,555</w:t>
            </w:r>
          </w:p>
        </w:tc>
      </w:tr>
      <w:tr>
        <w:trPr>
          <w:trHeight w:val="33"/>
        </w:trPr>
        <w:tc>
          <w:tcPr>
            <w:tcW w:w="2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27</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$46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155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Tax benefit from stock-based compensation</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(212)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94</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192</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(100)</w:t>
            </w:r>
          </w:p>
        </w:tc>
        <w:tc>
          <w:tcPr>
            <w:tcW w:w="11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13</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171</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(205)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credit card receivables originated at third parties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2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(174)</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 cash book overdrafts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(63)</w:t>
            </w: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28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Excess tax benefit from stock-based compensation</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(3)</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91"/>
        </w:trPr>
        <w:tc>
          <w:tcPr>
            <w:tcW w:w="766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595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$470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6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(refund), net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($83)</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27</w:t>
      </w:r>
    </w:p>
    <w:p>
      <w:pPr>
        <w:sectPr>
          <w:pgSz w:w="11900" w:h="16838" w:orient="portrait"/>
          <w:cols w:equalWidth="0" w:num="1">
            <w:col w:w="11420"/>
          </w:cols>
          <w:pgMar w:left="240" w:top="118" w:right="239" w:bottom="59" w:gutter="0" w:footer="0" w:header="0"/>
        </w:sectPr>
      </w:pPr>
    </w:p>
    <w:bookmarkStart w:id="6" w:name="page7"/>
    <w:bookmarkEnd w:id="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2015 Annual Report on Form 10-K (“Annual Report”),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April 30, 2016 and May 2, 2015 are unaudited. The Condensed Consolidated Balance Sheet as of January 30, 2016 has been derived from the audited Consolidated Financial Statements included in our 2015 Annual Report. The interim Condensed Consolidated Financial Statements should be read together with the Consolidated Financial Statements and related footnote disclosures contained in our 2015 Annual Report.</w:t>
      </w:r>
    </w:p>
    <w:p>
      <w:pPr>
        <w:spacing w:after="0" w:line="13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business, like that of other retailers, is subject to seasonal fluctuations. Due to our Anniversary Sale in July and the holidays in the fourth quarter, our sales are typically higher in the second and fourth quarters than in the first and third quarters of the fiscal year. In 2016, our Anniversary Sale will shift to the last week of July and the first week of August, which will move one week of event sales to the third quarter. Results for any quarter are not necessarily indicative of the results that may be achieved for a full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was subsequently modified in August 2015 by ASU No. 2015-14,</w:t>
      </w:r>
      <w:r>
        <w:rPr>
          <w:rFonts w:ascii="Arial" w:cs="Arial" w:eastAsia="Arial" w:hAnsi="Arial"/>
          <w:sz w:val="18"/>
          <w:szCs w:val="18"/>
          <w:i w:val="1"/>
          <w:iCs w:val="1"/>
          <w:color w:val="auto"/>
        </w:rPr>
        <w:t xml:space="preserve"> Revenue from Contracts with Customers: Deferral of the Effective Date</w:t>
      </w:r>
      <w:r>
        <w:rPr>
          <w:rFonts w:ascii="Arial" w:cs="Arial" w:eastAsia="Arial" w:hAnsi="Arial"/>
          <w:sz w:val="18"/>
          <w:szCs w:val="18"/>
          <w:color w:val="auto"/>
        </w:rPr>
        <w:t>. The core principle of ASU No. 2014-09 is that companies should recognize revenue when the transfer of promised goods or services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occurs in an amount that reflects what the company expects to receive. It requires additional disclosures to describe the nature, amount, timing and uncertainty of revenue and cash flows from contracts with customers. In early 2016, the FASB issued additional ASUs which clarify the implementation guidance on principal versus agent considerations, on identifying performance obligations and licensing and on the revenue recognition criteria. This guidance is effective for us beginning in the first quarter of 2018. We are currently evaluating the impact the provisions will have on our Consolidated Financial Statements.</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ASU increases transparency and comparability by recognizing a lessee’s rights and obligations resulting from leases by recording them on the balance sheet as lease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This ASU is effective for us beginning with the first quarter of 2019. Though we are currently evaluating the impact of these provisions, we expect it will have a material impact on our Consolidated Financial Statements.</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 Improvements to Employee Share-Based Payment Accounting</w:t>
      </w:r>
      <w:r>
        <w:rPr>
          <w:rFonts w:ascii="Arial" w:cs="Arial" w:eastAsia="Arial" w:hAnsi="Arial"/>
          <w:sz w:val="18"/>
          <w:szCs w:val="18"/>
          <w:color w:val="auto"/>
        </w:rPr>
        <w:t>. This ASU simplifies several aspects of the accounting for share-based payment transactions, including income tax consequences, classification of awards as either equity or liabilities and classification on the statement of cash flows. This ASU is effective for us beginning with the first quarter of 2017. We are currently evaluating the impact the provisions will have on our Consolidated Financial Statements.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 of 27</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CREDIT CARD RECEIVABLE TRANSACTION</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October 1, 2015, we completed the sale of a substantial majority of our U.S. Visa and private label credit card portfolio to TD Bank, N.A. (“TD”) and we entered into a long-term program agreement under which TD is the exclusive issuer of our U.S. consumer credit cards.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close of the credit card receivables transaction, we completed the defeasance of our $325 Series 2011-1 Class A Notes in order to provide the credit card receivables to TD free and clear. At close, we received $2.2 billion in cash consideration reflecting the par value of the receivables sold and incurred $32 in transaction-related expenses during the third quarter of 2015. Pursuant to the agreement, we are obligated to offer and administer our loyalty program and perform other account servicing functions. In return, we receive a portion of the ongoing credit card revenue, net of credit losses, from both the sold and newly generated credit card receivables.</w:t>
      </w:r>
    </w:p>
    <w:p>
      <w:pPr>
        <w:spacing w:after="0" w:line="13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recorded certain assets and liabilities associated with the arrangement. The beneficial interest asset is carried at fair value (see Note 5: Fair Value Measurements) and is amortized over approximately four years based primarily on the payment rate of the associated receivables. The deferred revenue and investment in contract asset are recognized/amortized over seven years on a straight line basis, following the delivery of the contract obligations and expected life of the agreement. We record each of these items in credit card revenue, net in our Condensed Consolidated Statements of Earnings.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300" w:type="dxa"/>
            <w:vAlign w:val="bottom"/>
          </w:tcPr>
          <w:p>
            <w:pPr>
              <w:jc w:val="right"/>
              <w:ind w:right="359"/>
              <w:spacing w:after="0"/>
              <w:rPr>
                <w:sz w:val="20"/>
                <w:szCs w:val="20"/>
                <w:color w:val="auto"/>
              </w:rPr>
            </w:pPr>
            <w:r>
              <w:rPr>
                <w:rFonts w:ascii="Arial" w:cs="Arial" w:eastAsia="Arial" w:hAnsi="Arial"/>
                <w:sz w:val="16"/>
                <w:szCs w:val="16"/>
                <w:b w:val="1"/>
                <w:bCs w:val="1"/>
                <w:color w:val="auto"/>
              </w:rPr>
              <w:t>April 30, 2016</w:t>
            </w:r>
          </w:p>
        </w:tc>
        <w:tc>
          <w:tcPr>
            <w:tcW w:w="2160" w:type="dxa"/>
            <w:vAlign w:val="bottom"/>
          </w:tcPr>
          <w:p>
            <w:pPr>
              <w:jc w:val="right"/>
              <w:ind w:right="519"/>
              <w:spacing w:after="0"/>
              <w:rPr>
                <w:sz w:val="20"/>
                <w:szCs w:val="20"/>
                <w:color w:val="auto"/>
              </w:rPr>
            </w:pPr>
            <w:r>
              <w:rPr>
                <w:rFonts w:ascii="Arial" w:cs="Arial" w:eastAsia="Arial" w:hAnsi="Arial"/>
                <w:sz w:val="16"/>
                <w:szCs w:val="16"/>
                <w:b w:val="1"/>
                <w:bCs w:val="1"/>
                <w:color w:val="auto"/>
              </w:rPr>
              <w:t>January 30, 2016</w:t>
            </w:r>
          </w:p>
        </w:tc>
        <w:tc>
          <w:tcPr>
            <w:tcW w:w="162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43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receivables and other, net</w:t>
            </w:r>
          </w:p>
        </w:tc>
        <w:tc>
          <w:tcPr>
            <w:tcW w:w="33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$225</w:t>
            </w:r>
          </w:p>
        </w:tc>
        <w:tc>
          <w:tcPr>
            <w:tcW w:w="21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$197</w:t>
            </w: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$2,336</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Allowance for credit losses</w:t>
            </w:r>
          </w:p>
        </w:tc>
        <w:tc>
          <w:tcPr>
            <w:tcW w:w="3300" w:type="dxa"/>
            <w:vAlign w:val="bottom"/>
          </w:tcPr>
          <w:p>
            <w:pPr>
              <w:jc w:val="right"/>
              <w:ind w:right="299"/>
              <w:spacing w:after="0"/>
              <w:rPr>
                <w:sz w:val="20"/>
                <w:szCs w:val="20"/>
                <w:color w:val="auto"/>
              </w:rPr>
            </w:pPr>
            <w:r>
              <w:rPr>
                <w:rFonts w:ascii="Arial" w:cs="Arial" w:eastAsia="Arial" w:hAnsi="Arial"/>
                <w:sz w:val="16"/>
                <w:szCs w:val="16"/>
                <w:b w:val="1"/>
                <w:bCs w:val="1"/>
                <w:color w:val="auto"/>
              </w:rPr>
              <w:t>(1)</w:t>
            </w:r>
          </w:p>
        </w:tc>
        <w:tc>
          <w:tcPr>
            <w:tcW w:w="2160" w:type="dxa"/>
            <w:vAlign w:val="bottom"/>
          </w:tcPr>
          <w:p>
            <w:pPr>
              <w:jc w:val="right"/>
              <w:ind w:right="459"/>
              <w:spacing w:after="0"/>
              <w:rPr>
                <w:sz w:val="20"/>
                <w:szCs w:val="20"/>
                <w:color w:val="auto"/>
              </w:rPr>
            </w:pPr>
            <w:r>
              <w:rPr>
                <w:rFonts w:ascii="Arial" w:cs="Arial" w:eastAsia="Arial" w:hAnsi="Arial"/>
                <w:sz w:val="16"/>
                <w:szCs w:val="16"/>
                <w:color w:val="auto"/>
              </w:rPr>
              <w:t>(1)</w:t>
            </w:r>
          </w:p>
        </w:tc>
        <w:tc>
          <w:tcPr>
            <w:tcW w:w="1620" w:type="dxa"/>
            <w:vAlign w:val="bottom"/>
          </w:tcPr>
          <w:p>
            <w:pPr>
              <w:jc w:val="right"/>
              <w:ind w:right="79"/>
              <w:spacing w:after="0"/>
              <w:rPr>
                <w:sz w:val="20"/>
                <w:szCs w:val="20"/>
                <w:color w:val="auto"/>
              </w:rPr>
            </w:pPr>
            <w:r>
              <w:rPr>
                <w:rFonts w:ascii="Arial" w:cs="Arial" w:eastAsia="Arial" w:hAnsi="Arial"/>
                <w:sz w:val="16"/>
                <w:szCs w:val="16"/>
                <w:color w:val="auto"/>
              </w:rPr>
              <w:t>(70)</w:t>
            </w:r>
          </w:p>
        </w:tc>
      </w:tr>
      <w:tr>
        <w:trPr>
          <w:trHeight w:val="33"/>
        </w:trPr>
        <w:tc>
          <w:tcPr>
            <w:tcW w:w="43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330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$224</w:t>
            </w:r>
          </w:p>
        </w:tc>
        <w:tc>
          <w:tcPr>
            <w:tcW w:w="216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$196</w:t>
            </w:r>
          </w:p>
        </w:tc>
        <w:tc>
          <w:tcPr>
            <w:tcW w:w="16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$2,266</w:t>
            </w:r>
          </w:p>
        </w:tc>
      </w:tr>
      <w:tr>
        <w:trPr>
          <w:trHeight w:val="20"/>
        </w:trPr>
        <w:tc>
          <w:tcPr>
            <w:tcW w:w="432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Credit card receivables and other, net as of April 30, 2016 and January 30, 2016 consist of employee credit card receivables and receivables from non-Nordstrom-branded cards. As of May 2, 2015, credit card receivables and other, net also included U.S. Visa and private label receivables sold to TD on October 1, 2015. There have been no material changes to the delinquency status or net credit losses of the receivables sold.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of 27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30, 2016</w:t>
            </w:r>
          </w:p>
        </w:tc>
        <w:tc>
          <w:tcPr>
            <w:tcW w:w="2100" w:type="dxa"/>
            <w:vAlign w:val="bottom"/>
          </w:tcPr>
          <w:p>
            <w:pPr>
              <w:jc w:val="right"/>
              <w:ind w:right="479"/>
              <w:spacing w:after="0"/>
              <w:rPr>
                <w:sz w:val="20"/>
                <w:szCs w:val="20"/>
                <w:color w:val="auto"/>
              </w:rPr>
            </w:pPr>
            <w:r>
              <w:rPr>
                <w:rFonts w:ascii="Arial" w:cs="Arial" w:eastAsia="Arial" w:hAnsi="Arial"/>
                <w:sz w:val="16"/>
                <w:szCs w:val="16"/>
                <w:b w:val="1"/>
                <w:bCs w:val="1"/>
                <w:color w:val="auto"/>
              </w:rPr>
              <w:t>January 30, 2016</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5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26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Series 2011-1 Class A Notes, 2.28%, due October 2016</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payable, 7.68%, due April 2020</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29</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Other</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4</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5</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5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secured debt</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33</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35</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91"/>
        </w:trPr>
        <w:tc>
          <w:tcPr>
            <w:tcW w:w="51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Unsecured</w:t>
            </w:r>
          </w:p>
        </w:tc>
        <w:tc>
          <w:tcPr>
            <w:tcW w:w="26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80"/>
              <w:spacing w:after="0"/>
              <w:rPr>
                <w:sz w:val="20"/>
                <w:szCs w:val="20"/>
                <w:color w:val="auto"/>
              </w:rPr>
            </w:pPr>
            <w:r>
              <w:rPr>
                <w:rFonts w:ascii="Arial" w:cs="Arial" w:eastAsia="Arial" w:hAnsi="Arial"/>
                <w:sz w:val="16"/>
                <w:szCs w:val="16"/>
                <w:color w:val="auto"/>
              </w:rPr>
              <w:t>Net of unamortized discount:</w:t>
            </w: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6.25%, due January 2018</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649</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649</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499</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499</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500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Senior debentures, 6.95%, due March 2028</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300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7.00%, due January 2038</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146</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7"/>
        </w:trPr>
        <w:tc>
          <w:tcPr>
            <w:tcW w:w="5180" w:type="dxa"/>
            <w:vAlign w:val="bottom"/>
          </w:tcPr>
          <w:p>
            <w:pPr>
              <w:ind w:left="500"/>
              <w:spacing w:after="0"/>
              <w:rPr>
                <w:sz w:val="20"/>
                <w:szCs w:val="20"/>
                <w:color w:val="auto"/>
              </w:rPr>
            </w:pPr>
            <w:r>
              <w:rPr>
                <w:rFonts w:ascii="Arial" w:cs="Arial" w:eastAsia="Arial" w:hAnsi="Arial"/>
                <w:sz w:val="16"/>
                <w:szCs w:val="16"/>
                <w:color w:val="auto"/>
              </w:rPr>
              <w:t>Senior notes, 5.00%, due January 2044</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601</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598</w:t>
            </w: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8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58</w:t>
            </w:r>
          </w:p>
        </w:tc>
        <w:tc>
          <w:tcPr>
            <w:tcW w:w="2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76</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unsecured debt</w:t>
            </w:r>
          </w:p>
        </w:tc>
        <w:tc>
          <w:tcPr>
            <w:tcW w:w="26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2,753</w:t>
            </w:r>
          </w:p>
        </w:tc>
        <w:tc>
          <w:tcPr>
            <w:tcW w:w="2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2,770</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2,777</w:t>
            </w:r>
          </w:p>
        </w:tc>
      </w:tr>
      <w:tr>
        <w:trPr>
          <w:trHeight w:val="33"/>
        </w:trPr>
        <w:tc>
          <w:tcPr>
            <w:tcW w:w="5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91"/>
        </w:trPr>
        <w:tc>
          <w:tcPr>
            <w:tcW w:w="518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Total long-term debt</w:t>
            </w:r>
          </w:p>
        </w:tc>
        <w:tc>
          <w:tcPr>
            <w:tcW w:w="2680" w:type="dxa"/>
            <w:vAlign w:val="bottom"/>
          </w:tcPr>
          <w:p>
            <w:pPr>
              <w:jc w:val="right"/>
              <w:ind w:right="339"/>
              <w:spacing w:after="0"/>
              <w:rPr>
                <w:sz w:val="20"/>
                <w:szCs w:val="20"/>
                <w:color w:val="auto"/>
              </w:rPr>
            </w:pPr>
            <w:r>
              <w:rPr>
                <w:rFonts w:ascii="Arial" w:cs="Arial" w:eastAsia="Arial" w:hAnsi="Arial"/>
                <w:sz w:val="16"/>
                <w:szCs w:val="16"/>
                <w:b w:val="1"/>
                <w:bCs w:val="1"/>
                <w:color w:val="auto"/>
              </w:rPr>
              <w:t>2,786</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2,805</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3,146</w:t>
            </w:r>
          </w:p>
        </w:tc>
      </w:tr>
      <w:tr>
        <w:trPr>
          <w:trHeight w:val="33"/>
        </w:trPr>
        <w:tc>
          <w:tcPr>
            <w:tcW w:w="51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6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(10)</w:t>
            </w:r>
          </w:p>
        </w:tc>
        <w:tc>
          <w:tcPr>
            <w:tcW w:w="21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5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26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$2,776</w:t>
            </w:r>
          </w:p>
        </w:tc>
        <w:tc>
          <w:tcPr>
            <w:tcW w:w="2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$2,795</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$3,138</w:t>
            </w:r>
          </w:p>
        </w:tc>
      </w:tr>
      <w:tr>
        <w:trPr>
          <w:trHeight w:val="33"/>
        </w:trPr>
        <w:tc>
          <w:tcPr>
            <w:tcW w:w="5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condition of closing the credit card receivable transaction (see Note 2: Credit Card Receivable Transaction), we defeased $325 in secured Series 2011-1 Class A Notes in order to provide the receivables to TD free and clear.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April 30, 2016, we had total short-term borrowing capacity of $800, which is our $800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As of April 30, 2016, we had no issuances outstanding under our commercial paper program and no borrowings outstanding under our revolver.</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As of April 30, 2016, we were in compliance with this covenant.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27</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recorded a beneficial interest asset when we completed the sale of a substantial majority of our U.S. Visa and private label credit card portfolio (see Note</w:t>
      </w:r>
    </w:p>
    <w:p>
      <w:pPr>
        <w:spacing w:after="0" w:line="32" w:lineRule="exact"/>
        <w:rPr>
          <w:sz w:val="20"/>
          <w:szCs w:val="20"/>
          <w:color w:val="auto"/>
        </w:rPr>
      </w:pPr>
    </w:p>
    <w:p>
      <w:pPr>
        <w:ind w:right="180" w:firstLine="8"/>
        <w:spacing w:after="0" w:line="295" w:lineRule="auto"/>
        <w:tabs>
          <w:tab w:leader="none" w:pos="185" w:val="left"/>
        </w:tabs>
        <w:numPr>
          <w:ilvl w:val="0"/>
          <w:numId w:val="3"/>
        </w:numPr>
        <w:rPr>
          <w:rFonts w:ascii="Arial" w:cs="Arial" w:eastAsia="Arial" w:hAnsi="Arial"/>
          <w:sz w:val="16"/>
          <w:szCs w:val="16"/>
          <w:color w:val="auto"/>
        </w:rPr>
      </w:pPr>
      <w:r>
        <w:rPr>
          <w:rFonts w:ascii="Arial" w:cs="Arial" w:eastAsia="Arial" w:hAnsi="Arial"/>
          <w:sz w:val="16"/>
          <w:szCs w:val="16"/>
          <w:color w:val="auto"/>
        </w:rPr>
        <w:t>Credit Card Receivable Transaction). We determined the fair value of the beneficial interest asset based on a discounted cash flow model using Level 3 inputs of the fair value hierarchy. Inputs and assumptions include the discount rate, payment rate, credit loss rate and revenues and expenses associated with the program agreement. Given our review of market participant capital structures in the banking and credit card industries and our historical and expected portfolio performance, we used the following ranges of input assumptions to determine the fair value as of April 30, 2016:</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3880" w:type="dxa"/>
            <w:vAlign w:val="bottom"/>
          </w:tcPr>
          <w:p>
            <w:pPr>
              <w:jc w:val="right"/>
              <w:ind w:right="619"/>
              <w:spacing w:after="0"/>
              <w:rPr>
                <w:sz w:val="20"/>
                <w:szCs w:val="20"/>
                <w:color w:val="auto"/>
              </w:rPr>
            </w:pPr>
            <w:r>
              <w:rPr>
                <w:rFonts w:ascii="Arial" w:cs="Arial" w:eastAsia="Arial" w:hAnsi="Arial"/>
                <w:sz w:val="16"/>
                <w:szCs w:val="16"/>
                <w:b w:val="1"/>
                <w:bCs w:val="1"/>
                <w:color w:val="auto"/>
              </w:rPr>
              <w:t>Minimum</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Maximum</w:t>
            </w:r>
          </w:p>
        </w:tc>
      </w:tr>
      <w:tr>
        <w:trPr>
          <w:trHeight w:val="33"/>
        </w:trPr>
        <w:tc>
          <w:tcPr>
            <w:tcW w:w="61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Monthly payment rate</w:t>
            </w:r>
          </w:p>
        </w:tc>
        <w:tc>
          <w:tcPr>
            <w:tcW w:w="3880" w:type="dxa"/>
            <w:vAlign w:val="bottom"/>
          </w:tcPr>
          <w:p>
            <w:pPr>
              <w:jc w:val="right"/>
              <w:ind w:right="479"/>
              <w:spacing w:after="0"/>
              <w:rPr>
                <w:sz w:val="20"/>
                <w:szCs w:val="20"/>
                <w:color w:val="auto"/>
              </w:rPr>
            </w:pPr>
            <w:r>
              <w:rPr>
                <w:rFonts w:ascii="Arial" w:cs="Arial" w:eastAsia="Arial" w:hAnsi="Arial"/>
                <w:sz w:val="16"/>
                <w:szCs w:val="16"/>
                <w:color w:val="auto"/>
              </w:rPr>
              <w:t>6%</w:t>
            </w: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6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credit loss rate</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Annual revenues as a percent to credit card receivables</w:t>
            </w:r>
          </w:p>
        </w:tc>
        <w:tc>
          <w:tcPr>
            <w:tcW w:w="3880" w:type="dxa"/>
            <w:vAlign w:val="bottom"/>
          </w:tcPr>
          <w:p>
            <w:pPr>
              <w:jc w:val="right"/>
              <w:ind w:right="479"/>
              <w:spacing w:after="0"/>
              <w:rPr>
                <w:sz w:val="20"/>
                <w:szCs w:val="20"/>
                <w:color w:val="auto"/>
              </w:rPr>
            </w:pPr>
            <w:r>
              <w:rPr>
                <w:rFonts w:ascii="Arial" w:cs="Arial" w:eastAsia="Arial" w:hAnsi="Arial"/>
                <w:sz w:val="16"/>
                <w:szCs w:val="16"/>
                <w:color w:val="auto"/>
              </w:rPr>
              <w:t>12%</w:t>
            </w:r>
          </w:p>
        </w:tc>
        <w:tc>
          <w:tcPr>
            <w:tcW w:w="1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Annual expenses as a percent to credit card receivables</w:t>
            </w:r>
          </w:p>
        </w:tc>
        <w:tc>
          <w:tcPr>
            <w:tcW w:w="3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61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recognized $10 of amortization expense for the quarter ended April 30, 2016 on the beneficial interest asset which had a fair value of $27 at April 30, 2016. Amortization primarily reflects payments received on the receivables sold and is recorded in credit card revenues, net.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financial assets or liabilities that were measured at fair value on a recurring basis as of May 2,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accounts payable and certificates of deposit and approximate fair value due to their short-term nature.</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500" w:type="dxa"/>
            <w:vAlign w:val="bottom"/>
          </w:tcPr>
          <w:p>
            <w:pPr>
              <w:jc w:val="right"/>
              <w:ind w:right="299"/>
              <w:spacing w:after="0"/>
              <w:rPr>
                <w:sz w:val="20"/>
                <w:szCs w:val="20"/>
                <w:color w:val="auto"/>
              </w:rPr>
            </w:pPr>
            <w:r>
              <w:rPr>
                <w:rFonts w:ascii="Arial" w:cs="Arial" w:eastAsia="Arial" w:hAnsi="Arial"/>
                <w:sz w:val="16"/>
                <w:szCs w:val="16"/>
                <w:b w:val="1"/>
                <w:bCs w:val="1"/>
                <w:color w:val="auto"/>
              </w:rPr>
              <w:t>April 30, 2016</w:t>
            </w:r>
          </w:p>
        </w:tc>
        <w:tc>
          <w:tcPr>
            <w:tcW w:w="2120" w:type="dxa"/>
            <w:vAlign w:val="bottom"/>
          </w:tcPr>
          <w:p>
            <w:pPr>
              <w:jc w:val="right"/>
              <w:ind w:right="459"/>
              <w:spacing w:after="0"/>
              <w:rPr>
                <w:sz w:val="20"/>
                <w:szCs w:val="20"/>
                <w:color w:val="auto"/>
              </w:rPr>
            </w:pPr>
            <w:r>
              <w:rPr>
                <w:rFonts w:ascii="Arial" w:cs="Arial" w:eastAsia="Arial" w:hAnsi="Arial"/>
                <w:sz w:val="16"/>
                <w:szCs w:val="16"/>
                <w:b w:val="1"/>
                <w:bCs w:val="1"/>
                <w:color w:val="auto"/>
              </w:rPr>
              <w:t>January 30, 2016</w:t>
            </w: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$2,786</w:t>
            </w:r>
          </w:p>
        </w:tc>
        <w:tc>
          <w:tcPr>
            <w:tcW w:w="21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$2,805</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500" w:type="dxa"/>
            <w:vAlign w:val="bottom"/>
          </w:tcPr>
          <w:p>
            <w:pPr>
              <w:jc w:val="right"/>
              <w:ind w:right="299"/>
              <w:spacing w:after="0"/>
              <w:rPr>
                <w:sz w:val="20"/>
                <w:szCs w:val="20"/>
                <w:color w:val="auto"/>
              </w:rPr>
            </w:pPr>
            <w:r>
              <w:rPr>
                <w:rFonts w:ascii="Arial" w:cs="Arial" w:eastAsia="Arial" w:hAnsi="Arial"/>
                <w:sz w:val="16"/>
                <w:szCs w:val="16"/>
                <w:b w:val="1"/>
                <w:bCs w:val="1"/>
                <w:color w:val="auto"/>
              </w:rPr>
              <w:t>3,085</w:t>
            </w:r>
          </w:p>
        </w:tc>
        <w:tc>
          <w:tcPr>
            <w:tcW w:w="2120" w:type="dxa"/>
            <w:vAlign w:val="bottom"/>
          </w:tcPr>
          <w:p>
            <w:pPr>
              <w:jc w:val="right"/>
              <w:ind w:right="459"/>
              <w:spacing w:after="0"/>
              <w:rPr>
                <w:sz w:val="20"/>
                <w:szCs w:val="20"/>
                <w:color w:val="auto"/>
              </w:rPr>
            </w:pPr>
            <w:r>
              <w:rPr>
                <w:rFonts w:ascii="Arial" w:cs="Arial" w:eastAsia="Arial" w:hAnsi="Arial"/>
                <w:sz w:val="16"/>
                <w:szCs w:val="16"/>
                <w:color w:val="auto"/>
              </w:rPr>
              <w:t>3,077</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3,606</w:t>
            </w:r>
          </w:p>
        </w:tc>
      </w:tr>
      <w:tr>
        <w:trPr>
          <w:trHeight w:val="33"/>
        </w:trPr>
        <w:tc>
          <w:tcPr>
            <w:tcW w:w="43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measure certain non-financial assets at fair value on a nonrecurring basis, primarily goodwill, investment in contract asset and long-lived tangible and intangible assets, in connection with periodic evaluations for potential impairment. There were no material impairment charges for these assets for the quarters ended April 30, 2016 and May 2, 2015. We estimate the fair value of goodwill, investment in contract asset and long-lived tangible and intangible assets using primarily unobservable inputs and, as such, these are considered Level 3 fair value measurements.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Plans for our Manhattan full-line store, which we currently expect to open in 2019, ultimately include owning a condominium interest in a mixed-use tower and leasing certain nearby properties. As of April 30, 2016, we had approximately $201 of fee interest in land, which is expected to convert to a condominium interest once the store is constructed. We have committed to make future installment payments based on the developer meeting pre-established construction and development milestones. In the unlikely event that this project is not completed, the opening may be delayed and we may be subject to future losses or capital commitments in order to complete construction or to monetize our investment in the land.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27</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October 1, 2015, our Board of Directors authorized a program to repurchase up to $1,000 of our outstanding common stock, through March 1, 2017. During the quarter ended April 30, 2016, we repurchased 1.0 shares of our common stock for an aggregate purchase price of $50 and had $761 remaining in share repurchase capacity as of April 30, 2016. The actual number, price, manner and timing of future share repurchases, if any, will be subject to market and economic conditions and applicable Securities and Exchange Commission (“SEC”) rules.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May 2016, subsequent to quarter end, we declared a quarterly dividend of $0.37 per share, which will be paid on June 15,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stock compensation</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2</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 expense, before income tax benefit</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0"/>
        </w:trPr>
        <w:tc>
          <w:tcPr>
            <w:tcW w:w="7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00" w:type="dxa"/>
            <w:vAlign w:val="bottom"/>
            <w:gridSpan w:val="3"/>
          </w:tcPr>
          <w:p>
            <w:pPr>
              <w:ind w:left="1300"/>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680" w:type="dxa"/>
            <w:vAlign w:val="bottom"/>
            <w:tcBorders>
              <w:bottom w:val="single" w:sz="8" w:color="auto"/>
            </w:tcBorders>
            <w:gridSpan w:val="4"/>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680" w:type="dxa"/>
            <w:vAlign w:val="bottom"/>
            <w:gridSpan w:val="4"/>
          </w:tcPr>
          <w:p>
            <w:pPr>
              <w:ind w:left="1420"/>
              <w:spacing w:after="0"/>
              <w:rPr>
                <w:sz w:val="20"/>
                <w:szCs w:val="20"/>
                <w:color w:val="auto"/>
              </w:rPr>
            </w:pPr>
            <w:r>
              <w:rPr>
                <w:rFonts w:ascii="Arial" w:cs="Arial" w:eastAsia="Arial" w:hAnsi="Arial"/>
                <w:sz w:val="16"/>
                <w:szCs w:val="16"/>
                <w:b w:val="1"/>
                <w:bCs w:val="1"/>
                <w:color w:val="auto"/>
              </w:rPr>
              <w:t>April 30, 2016</w:t>
            </w:r>
          </w:p>
        </w:tc>
        <w:tc>
          <w:tcPr>
            <w:tcW w:w="2960" w:type="dxa"/>
            <w:vAlign w:val="bottom"/>
            <w:gridSpan w:val="2"/>
          </w:tcPr>
          <w:p>
            <w:pPr>
              <w:jc w:val="right"/>
              <w:ind w:right="135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Weighted-average</w:t>
            </w:r>
          </w:p>
        </w:tc>
        <w:tc>
          <w:tcPr>
            <w:tcW w:w="118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grant-date fair value</w:t>
            </w:r>
          </w:p>
        </w:tc>
        <w:tc>
          <w:tcPr>
            <w:tcW w:w="118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7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per unit</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0.7</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0.4</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r>
              <w:rPr>
                <w:rFonts w:ascii="Arial" w:cs="Arial" w:eastAsia="Arial" w:hAnsi="Arial"/>
                <w:sz w:val="21"/>
                <w:szCs w:val="21"/>
                <w:color w:val="auto"/>
                <w:vertAlign w:val="superscript"/>
              </w:rPr>
              <w:t>1</w:t>
            </w:r>
          </w:p>
        </w:tc>
        <w:tc>
          <w:tcPr>
            <w:tcW w:w="1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0.1</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bl>
    <w:p>
      <w:pPr>
        <w:ind w:left="80" w:hanging="72"/>
        <w:spacing w:after="0" w:line="220" w:lineRule="auto"/>
        <w:tabs>
          <w:tab w:leader="none" w:pos="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Performance share units granted in 2015 were liability-based awards, therefore the weighted-average grant-date fair value is not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91"/>
        </w:trPr>
        <w:tc>
          <w:tcPr>
            <w:tcW w:w="766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173.1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Dilutive effect of stock options and other</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2.6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175.7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r>
      <w:tr>
        <w:trPr>
          <w:trHeight w:val="291"/>
        </w:trPr>
        <w:tc>
          <w:tcPr>
            <w:tcW w:w="766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$0.27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$0.26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76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Anti-dilutive stock options and other</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6.8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27</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information for our reportable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Retail</w:t>
            </w:r>
          </w:p>
        </w:tc>
        <w:tc>
          <w:tcPr>
            <w:tcW w:w="1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Retail</w:t>
            </w:r>
          </w:p>
        </w:tc>
        <w:tc>
          <w:tcPr>
            <w:tcW w:w="1700" w:type="dxa"/>
            <w:vAlign w:val="bottom"/>
          </w:tcPr>
          <w:p>
            <w:pPr>
              <w:jc w:val="right"/>
              <w:ind w:right="319"/>
              <w:spacing w:after="0"/>
              <w:rPr>
                <w:sz w:val="20"/>
                <w:szCs w:val="20"/>
                <w:color w:val="auto"/>
              </w:rPr>
            </w:pPr>
            <w:r>
              <w:rPr>
                <w:rFonts w:ascii="Arial" w:cs="Arial" w:eastAsia="Arial" w:hAnsi="Arial"/>
                <w:sz w:val="16"/>
                <w:szCs w:val="16"/>
                <w:b w:val="1"/>
                <w:bCs w:val="1"/>
                <w:color w:val="auto"/>
              </w:rPr>
              <w:t>Corporate/Other</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Business</w:t>
            </w:r>
          </w:p>
        </w:tc>
        <w:tc>
          <w:tcPr>
            <w:tcW w:w="1960" w:type="dxa"/>
            <w:vAlign w:val="bottom"/>
          </w:tcPr>
          <w:p>
            <w:pPr>
              <w:jc w:val="right"/>
              <w:ind w:right="459"/>
              <w:spacing w:after="0"/>
              <w:rPr>
                <w:sz w:val="20"/>
                <w:szCs w:val="20"/>
                <w:color w:val="auto"/>
              </w:rPr>
            </w:pPr>
            <w:r>
              <w:rPr>
                <w:rFonts w:ascii="Arial" w:cs="Arial" w:eastAsia="Arial" w:hAnsi="Arial"/>
                <w:sz w:val="16"/>
                <w:szCs w:val="16"/>
                <w:b w:val="1"/>
                <w:bCs w:val="1"/>
                <w:color w:val="auto"/>
              </w:rPr>
              <w:t>Credit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Ended April 30, 2016</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$3,258</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($66)</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$3,192</w:t>
            </w:r>
          </w:p>
        </w:tc>
        <w:tc>
          <w:tcPr>
            <w:tcW w:w="19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$3,192</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57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189</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(99)</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90</w:t>
            </w:r>
          </w:p>
        </w:tc>
        <w:tc>
          <w:tcPr>
            <w:tcW w:w="1960" w:type="dxa"/>
            <w:vAlign w:val="bottom"/>
          </w:tcPr>
          <w:p>
            <w:pPr>
              <w:jc w:val="right"/>
              <w:ind w:right="459"/>
              <w:spacing w:after="0"/>
              <w:rPr>
                <w:sz w:val="20"/>
                <w:szCs w:val="20"/>
                <w:color w:val="auto"/>
              </w:rPr>
            </w:pPr>
            <w:r>
              <w:rPr>
                <w:rFonts w:ascii="Arial" w:cs="Arial" w:eastAsia="Arial" w:hAnsi="Arial"/>
                <w:sz w:val="16"/>
                <w:szCs w:val="16"/>
                <w:b w:val="1"/>
                <w:bCs w:val="1"/>
                <w:color w:val="auto"/>
              </w:rPr>
              <w:t>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106</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(31)</w:t>
            </w:r>
          </w:p>
        </w:tc>
        <w:tc>
          <w:tcPr>
            <w:tcW w:w="11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w:t>
            </w:r>
          </w:p>
        </w:tc>
        <w:tc>
          <w:tcPr>
            <w:tcW w:w="19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189</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(130)</w:t>
            </w:r>
          </w:p>
        </w:tc>
        <w:tc>
          <w:tcPr>
            <w:tcW w:w="11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59</w:t>
            </w:r>
          </w:p>
        </w:tc>
        <w:tc>
          <w:tcPr>
            <w:tcW w:w="1960" w:type="dxa"/>
            <w:vAlign w:val="bottom"/>
          </w:tcPr>
          <w:p>
            <w:pPr>
              <w:jc w:val="right"/>
              <w:ind w:right="459"/>
              <w:spacing w:after="0"/>
              <w:rPr>
                <w:sz w:val="20"/>
                <w:szCs w:val="20"/>
                <w:color w:val="auto"/>
              </w:rPr>
            </w:pPr>
            <w:r>
              <w:rPr>
                <w:rFonts w:ascii="Arial" w:cs="Arial" w:eastAsia="Arial" w:hAnsi="Arial"/>
                <w:sz w:val="16"/>
                <w:szCs w:val="16"/>
                <w:b w:val="1"/>
                <w:bCs w:val="1"/>
                <w:color w:val="auto"/>
              </w:rPr>
              <w:t>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75</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40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Quarter Ended May 2, 2015</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$3,191</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($76)</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$3,115</w:t>
            </w:r>
          </w:p>
        </w:tc>
        <w:tc>
          <w:tcPr>
            <w:tcW w:w="19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$3,115</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59"/>
              <w:spacing w:after="0"/>
              <w:rPr>
                <w:sz w:val="20"/>
                <w:szCs w:val="20"/>
                <w:color w:val="auto"/>
              </w:rPr>
            </w:pPr>
            <w:r>
              <w:rPr>
                <w:rFonts w:ascii="Arial" w:cs="Arial" w:eastAsia="Arial" w:hAnsi="Arial"/>
                <w:sz w:val="16"/>
                <w:szCs w:val="16"/>
                <w:color w:val="auto"/>
              </w:rPr>
              <w:t>100</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interest and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(83)</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197</w:t>
            </w:r>
          </w:p>
        </w:tc>
        <w:tc>
          <w:tcPr>
            <w:tcW w:w="19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48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9"/>
              <w:spacing w:after="0"/>
              <w:rPr>
                <w:sz w:val="20"/>
                <w:szCs w:val="20"/>
                <w:color w:val="auto"/>
              </w:rPr>
            </w:pPr>
            <w:r>
              <w:rPr>
                <w:rFonts w:ascii="Arial" w:cs="Arial" w:eastAsia="Arial" w:hAnsi="Arial"/>
                <w:sz w:val="16"/>
                <w:szCs w:val="16"/>
                <w:color w:val="auto"/>
              </w:rPr>
              <w:t>(28)</w:t>
            </w:r>
          </w:p>
        </w:tc>
        <w:tc>
          <w:tcPr>
            <w:tcW w:w="1120" w:type="dxa"/>
            <w:vAlign w:val="bottom"/>
            <w:gridSpan w:val="2"/>
          </w:tcPr>
          <w:p>
            <w:pPr>
              <w:jc w:val="right"/>
              <w:ind w:right="39"/>
              <w:spacing w:after="0"/>
              <w:rPr>
                <w:sz w:val="20"/>
                <w:szCs w:val="20"/>
                <w:color w:val="auto"/>
              </w:rPr>
            </w:pPr>
            <w:r>
              <w:rPr>
                <w:rFonts w:ascii="Arial" w:cs="Arial" w:eastAsia="Arial" w:hAnsi="Arial"/>
                <w:sz w:val="16"/>
                <w:szCs w:val="16"/>
                <w:color w:val="auto"/>
              </w:rPr>
              <w:t>(28)</w:t>
            </w:r>
          </w:p>
        </w:tc>
        <w:tc>
          <w:tcPr>
            <w:tcW w:w="1960" w:type="dxa"/>
            <w:vAlign w:val="bottom"/>
          </w:tcPr>
          <w:p>
            <w:pPr>
              <w:jc w:val="right"/>
              <w:ind w:right="419"/>
              <w:spacing w:after="0"/>
              <w:rPr>
                <w:sz w:val="20"/>
                <w:szCs w:val="20"/>
                <w:color w:val="auto"/>
              </w:rPr>
            </w:pPr>
            <w:r>
              <w:rPr>
                <w:rFonts w:ascii="Arial" w:cs="Arial" w:eastAsia="Arial" w:hAnsi="Arial"/>
                <w:sz w:val="16"/>
                <w:szCs w:val="16"/>
                <w:color w:val="auto"/>
              </w:rPr>
              <w:t>(5)</w:t>
            </w: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before income taxes</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w:t>
            </w:r>
          </w:p>
        </w:tc>
        <w:tc>
          <w:tcPr>
            <w:tcW w:w="1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(111)</w:t>
            </w:r>
          </w:p>
        </w:tc>
        <w:tc>
          <w:tcPr>
            <w:tcW w:w="11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169</w:t>
            </w:r>
          </w:p>
        </w:tc>
        <w:tc>
          <w:tcPr>
            <w:tcW w:w="19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43</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372"/>
        </w:trPr>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The following table summarizes net sales within our reportable segments:</w:t>
            </w:r>
          </w:p>
        </w:tc>
        <w:tc>
          <w:tcPr>
            <w:tcW w:w="17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72"/>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24"/>
                <w:szCs w:val="24"/>
                <w:color w:val="auto"/>
              </w:rPr>
            </w:pP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full-line stores - U.S.</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$1,582</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Nordstrom.com</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495</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480</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2,077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2,179</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894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w:t>
            </w:r>
          </w:p>
        </w:tc>
      </w:tr>
      <w:tr>
        <w:trPr>
          <w:trHeight w:val="237"/>
        </w:trPr>
        <w:tc>
          <w:tcPr>
            <w:tcW w:w="404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166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4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1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1,060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r>
      <w:tr>
        <w:trPr>
          <w:trHeight w:val="297"/>
        </w:trPr>
        <w:tc>
          <w:tcPr>
            <w:tcW w:w="4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14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121</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color w:val="auto"/>
              </w:rPr>
              <w:t>Total Retail segment</w:t>
            </w:r>
          </w:p>
        </w:tc>
        <w:tc>
          <w:tcPr>
            <w:tcW w:w="1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60" w:type="dxa"/>
            <w:vAlign w:val="bottom"/>
          </w:tcPr>
          <w:p>
            <w:pPr>
              <w:jc w:val="right"/>
              <w:ind w:right="799"/>
              <w:spacing w:after="0"/>
              <w:rPr>
                <w:sz w:val="20"/>
                <w:szCs w:val="20"/>
                <w:color w:val="auto"/>
              </w:rPr>
            </w:pPr>
            <w:r>
              <w:rPr>
                <w:rFonts w:ascii="Arial" w:cs="Arial" w:eastAsia="Arial" w:hAnsi="Arial"/>
                <w:sz w:val="16"/>
                <w:szCs w:val="16"/>
                <w:b w:val="1"/>
                <w:bCs w:val="1"/>
                <w:color w:val="auto"/>
              </w:rPr>
              <w:t>3,258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3,191</w:t>
            </w:r>
          </w:p>
        </w:tc>
      </w:tr>
      <w:tr>
        <w:trPr>
          <w:trHeight w:val="33"/>
        </w:trPr>
        <w:tc>
          <w:tcPr>
            <w:tcW w:w="4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Corporate/Other</w:t>
            </w:r>
          </w:p>
        </w:tc>
        <w:tc>
          <w:tcPr>
            <w:tcW w:w="1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4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14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$3,192</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$3,115</w:t>
            </w:r>
          </w:p>
        </w:tc>
      </w:tr>
    </w:tbl>
    <w:p>
      <w:pPr>
        <w:spacing w:after="0" w:line="28"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27</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anticipated financial outlook for the fiscal year ending January 28, 2017, anticipated annual total and comparable sales rates, anticipated new store openings in existing, new and international markets, anticipated Return on Invested Capital and trends in our operations. Such statements are based upon the current beliefs and expectations of the Company’s management and are subject to significant risks and uncertainties.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execution of our customer strategy, including expansion into new domestic and international markets, acquisitions, investments in our stores and online as well as investments in technology, our ability to realize the anticipated benefits from growth initiatives and our ability to provide a seamless experience across all channels,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and effective execution of our ecommerce initiatives and ability to manage the costs and organizational changes associated with this evolving business model,</w:t>
      </w:r>
    </w:p>
    <w:p>
      <w:pPr>
        <w:ind w:left="660" w:right="2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completion of construction associated with newly planned stores, relocations and remodels, all of which may be impacted by the financial health of third parties,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relationships with our employees and to effectively attract, develop and retain our future leaders,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processes and systems, disruptions in our supply chain and our ability to control costs,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any systems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utilize data in strategic planning and decision making,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our vendor relationships,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respond to the business environment, fashion trends and consumer preferences, including changing expectations of service and experience in stores and online, and evolve our business model,</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retail industry,</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price, manner and amounts of share repurchases by the Company, if any, or any share issuances by the Company, including issuances associated with option exercises or 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patterns,</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natural disasters, health hazards, national security or other market disruptions, or the prospects of these events and the resulting impact on consumer spending patterns,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660" w:right="1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banking, employment and tax and the outcome of claims and litigation and resolution of such matters,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 of the current regulatory environment and financial system and health care reforms,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debt covenants, availability and cost of credit, changes in our credit rating, changes in interest rates, debt repayment patterns and personal bankruptcies.</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2015 Annual Report on Form 10-K could affect our financial results and cause actual results to differ materially from any forward-looking information we may provide. We undertake no obligation to update or revise any forward-looking statements to reflect subsequent events, new information or future circumstances.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 of 27</w:t>
      </w:r>
    </w:p>
    <w:p>
      <w:pPr>
        <w:sectPr>
          <w:pgSz w:w="11900" w:h="16838" w:orient="portrait"/>
          <w:cols w:equalWidth="0" w:num="1">
            <w:col w:w="11380"/>
          </w:cols>
          <w:pgMar w:left="240" w:top="118" w:right="2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first quarter results were impacted by lower than expected sales. We had a comparable sales decrease of 1.7%, which fell short of our plan. In response to the sales trends, we have worked aggressively to improve our inventory position. This resulted in ending the quarter with inventory growth of 5.4% relative to total net sales growth of 2.5%, an improvement from the negative 7% spread in the fourth quarter of 2015. While we were disciplined in our planned expenses, our results included unexpected credit chargeback expenses related to an industry change in liability rules and severance charges to realign our corporate support functions.</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continue to expand our reach to serve more customers. We opened six Nordstrom Rack stores in the quarter, which exceeded sales expectations, and when combined with Nordstromrack.com/HauteLook performance, off-price net sales increased 11.8%. We plan to open 15 more new Nordstrom Rack stores this fall. We’re building on the continued success of our Canada expansion with two full-line stores opening this fall in Toronto, the most productive market in Canada and one of the top markets in North America. In the U.S., we plan to open our second full-line store in Austin, Texas, which is a dynamic and growing market.</w:t>
      </w:r>
    </w:p>
    <w:p>
      <w:pPr>
        <w:spacing w:after="0" w:line="13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Nordstrom Rewards loyalty program is an important enabler of growth to increase our engagement with new and existing customers. On average our loyalty customers spend four times more and shop three times more than non-members. On May 18th, we launched an expanded program, providing customers the flexibility to earn rewards regardless of how they choose to pay. Our expanded program is expected to drive top-line sales growth and, more importantly, enable us to better engage with our customers.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balance of the year, we are prioritizing our resources to assure that every dollar spent is meaningful to the customer experience. Our efforts include continued focus on product relevance, inventory and expense discipline, operational efficiencies and the continual evaluation and prioritization of our capital initiatives. Specifically:</w:t>
      </w:r>
    </w:p>
    <w:p>
      <w:pPr>
        <w:spacing w:after="0" w:line="127" w:lineRule="exact"/>
        <w:rPr>
          <w:sz w:val="20"/>
          <w:szCs w:val="20"/>
          <w:color w:val="auto"/>
        </w:rPr>
      </w:pPr>
    </w:p>
    <w:p>
      <w:pPr>
        <w:ind w:left="340" w:right="5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We’ve seen strength in our new and emerging brands and are dedicated to offering differentiated products and will continue to introduce and grow relevant brands that are compelling to customers.</w:t>
      </w:r>
    </w:p>
    <w:p>
      <w:pPr>
        <w:spacing w:after="0" w:line="8" w:lineRule="exact"/>
        <w:rPr>
          <w:rFonts w:ascii="Arial" w:cs="Arial" w:eastAsia="Arial" w:hAnsi="Arial"/>
          <w:sz w:val="18"/>
          <w:szCs w:val="18"/>
          <w:color w:val="auto"/>
        </w:rPr>
      </w:pPr>
    </w:p>
    <w:p>
      <w:pPr>
        <w:ind w:left="340" w:right="860" w:hanging="332"/>
        <w:spacing w:after="0" w:line="29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While we continue to invest in our future growth and view technology as a top priority, we are executing on efficiency opportunities and have implemented a new technology operating model that is expected to optimize productivity and reduce complexity.</w:t>
      </w:r>
    </w:p>
    <w:p>
      <w:pPr>
        <w:jc w:val="both"/>
        <w:ind w:left="340" w:right="1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realigning our corporate support functions, which is expected to reduce costs while improving our focus and execution. In our supply chain, we are making changes to improve the unit economics of product delivered to our customers, which includes refining our online assortment and improving our merchandise allocation between stores and fulfillment centers.</w:t>
      </w:r>
    </w:p>
    <w:p>
      <w:pPr>
        <w:spacing w:after="0" w:line="19"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Given the changes we are seeing in our industry, we completed a review of our five-year capital plan, resulting in approximately $400, or 10%, of reduced spend primarily related to new stores and remodels over the next few years.</w:t>
      </w:r>
    </w:p>
    <w:p>
      <w:pPr>
        <w:spacing w:after="0" w:line="116"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While we recognize that the pace of change is increasing, our unwavering goal to serve our customers remains unchanged. We will continue to make the tough but necessary decisions that will ensure we are set up for continued success. We are confident that through our initiatives we are competitively positioned to deliver the products and experiences our customers want, which in turn will deliver long-term value to our shareholders.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27</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Our reportable segments are Retail and Credit. We analyze our results of operations through earnings before interest and income taxes for our Retail Business and Credit, while interest expense, income taxes, earnings per share and return on invested capital are discussed on a total Company basis.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Retail Business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Retail Business includes our Nordstrom U.S. and Canada full-line stores, Nordstrom.com, Nordstrom Rack stores, Nordstromrack.com/HauteLook, Trunk Club, Jeffrey and our Last Chance clearance store. For purposes of discussion and analysis of our results of operations of our Retail Business, we combine our Retail segment results with revenues and expenses in the “Corporate/Other” column of Note 10: Segment Reporting in Item 1 (collectively, the “Retail Business”).</w:t>
      </w:r>
    </w:p>
    <w:p>
      <w:pPr>
        <w:spacing w:after="0" w:line="13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metrics we use to evaluate the Retail Business may not be calculated in a consistent manner among industry peers. Provided below are definitions of metrics we present within our analysis of the Retail Business:</w:t>
      </w:r>
    </w:p>
    <w:p>
      <w:pPr>
        <w:spacing w:after="0" w:line="116" w:lineRule="exact"/>
        <w:rPr>
          <w:sz w:val="20"/>
          <w:szCs w:val="20"/>
          <w:color w:val="auto"/>
        </w:rPr>
      </w:pPr>
    </w:p>
    <w:p>
      <w:pPr>
        <w:ind w:left="340" w:righ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Comparable Sales – sales from stores that have been open at least one full year at the beginning of the year. Total Company comparable sales include sales from our online channels.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Inventory Turnover Rate – annual cost of sales and related buying and occupancy costs (for all segments) divided by the trailing 4-quarter average inventory.</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Sales Per Square Foot – net sales divided by weighted-average square footage.</w:t>
      </w:r>
    </w:p>
    <w:p>
      <w:pPr>
        <w:spacing w:after="0" w:line="63"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4-wall Sales Per Square Foot – sales for Nordstrom U.S. and Canada full-line stores, Nordstrom Rack stores, Trunk Club clubhouses, Jeffrey boutiques and our Last Chance store divided by their weighted-average square footage.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Retail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80" w:type="dxa"/>
            <w:vAlign w:val="bottom"/>
            <w:gridSpan w:val="3"/>
          </w:tcPr>
          <w:p>
            <w:pPr>
              <w:ind w:left="96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6"/>
                <w:szCs w:val="16"/>
                <w:b w:val="1"/>
                <w:bCs w:val="1"/>
                <w:color w:val="auto"/>
              </w:rPr>
              <w:t>April 30, 2016</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May 2, 2015</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Amount</w:t>
            </w: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0"/>
              </w:rPr>
              <w:t>% of net sales</w:t>
            </w:r>
            <w:r>
              <w:rPr>
                <w:rFonts w:ascii="Arial" w:cs="Arial" w:eastAsia="Arial" w:hAnsi="Arial"/>
                <w:sz w:val="21"/>
                <w:szCs w:val="21"/>
                <w:color w:val="auto"/>
                <w:w w:val="90"/>
                <w:vertAlign w:val="superscript"/>
              </w:rPr>
              <w:t>1</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Amount</w:t>
            </w:r>
          </w:p>
        </w:tc>
        <w:tc>
          <w:tcPr>
            <w:tcW w:w="14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2"/>
              </w:rPr>
              <w:t>% of net sales</w:t>
            </w:r>
            <w:r>
              <w:rPr>
                <w:rFonts w:ascii="Arial" w:cs="Arial" w:eastAsia="Arial" w:hAnsi="Arial"/>
                <w:sz w:val="21"/>
                <w:szCs w:val="21"/>
                <w:color w:val="auto"/>
                <w:w w:val="92"/>
                <w:vertAlign w:val="superscript"/>
              </w:rPr>
              <w:t>1</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5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$3,192</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$3,115</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0"/>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Cost of sales and related buying and occupancy</w:t>
            </w:r>
          </w:p>
        </w:tc>
        <w:tc>
          <w:tcPr>
            <w:tcW w:w="2500" w:type="dxa"/>
            <w:vAlign w:val="bottom"/>
            <w:vMerge w:val="restart"/>
          </w:tcPr>
          <w:p>
            <w:pPr>
              <w:jc w:val="right"/>
              <w:ind w:right="779"/>
              <w:spacing w:after="0"/>
              <w:rPr>
                <w:sz w:val="20"/>
                <w:szCs w:val="20"/>
                <w:color w:val="auto"/>
              </w:rPr>
            </w:pPr>
            <w:r>
              <w:rPr>
                <w:rFonts w:ascii="Arial" w:cs="Arial" w:eastAsia="Arial" w:hAnsi="Arial"/>
                <w:sz w:val="16"/>
                <w:szCs w:val="16"/>
                <w:b w:val="1"/>
                <w:bCs w:val="1"/>
                <w:color w:val="auto"/>
              </w:rPr>
              <w:t>(2,099)</w:t>
            </w:r>
          </w:p>
        </w:tc>
        <w:tc>
          <w:tcPr>
            <w:tcW w:w="14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(65.8%)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80" w:type="dxa"/>
            <w:vAlign w:val="bottom"/>
            <w:gridSpan w:val="2"/>
          </w:tcPr>
          <w:p>
            <w:pPr>
              <w:ind w:left="280"/>
              <w:spacing w:after="0"/>
              <w:rPr>
                <w:sz w:val="20"/>
                <w:szCs w:val="20"/>
                <w:color w:val="auto"/>
              </w:rPr>
            </w:pPr>
            <w:r>
              <w:rPr>
                <w:rFonts w:ascii="Arial" w:cs="Arial" w:eastAsia="Arial" w:hAnsi="Arial"/>
                <w:sz w:val="16"/>
                <w:szCs w:val="16"/>
                <w:color w:val="auto"/>
              </w:rPr>
              <w:t>costs</w:t>
            </w:r>
          </w:p>
        </w:tc>
        <w:tc>
          <w:tcPr>
            <w:tcW w:w="25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right"/>
              <w:ind w:right="739"/>
              <w:spacing w:after="0"/>
              <w:rPr>
                <w:sz w:val="20"/>
                <w:szCs w:val="20"/>
                <w:color w:val="auto"/>
              </w:rPr>
            </w:pPr>
            <w:r>
              <w:rPr>
                <w:rFonts w:ascii="Arial" w:cs="Arial" w:eastAsia="Arial" w:hAnsi="Arial"/>
                <w:sz w:val="16"/>
                <w:szCs w:val="16"/>
                <w:color w:val="auto"/>
              </w:rPr>
              <w:t>(1,997)</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5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1,093</w:t>
            </w: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1,118</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37"/>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00" w:type="dxa"/>
            <w:vAlign w:val="bottom"/>
          </w:tcPr>
          <w:p>
            <w:pPr>
              <w:jc w:val="right"/>
              <w:ind w:right="779"/>
              <w:spacing w:after="0"/>
              <w:rPr>
                <w:sz w:val="20"/>
                <w:szCs w:val="20"/>
                <w:color w:val="auto"/>
              </w:rPr>
            </w:pPr>
            <w:r>
              <w:rPr>
                <w:rFonts w:ascii="Arial" w:cs="Arial" w:eastAsia="Arial" w:hAnsi="Arial"/>
                <w:sz w:val="16"/>
                <w:szCs w:val="16"/>
                <w:b w:val="1"/>
                <w:bCs w:val="1"/>
                <w:color w:val="auto"/>
              </w:rPr>
              <w:t>(1,003)</w:t>
            </w: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(31.4%)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tcPr>
          <w:p>
            <w:pPr>
              <w:jc w:val="right"/>
              <w:ind w:right="739"/>
              <w:spacing w:after="0"/>
              <w:rPr>
                <w:sz w:val="20"/>
                <w:szCs w:val="20"/>
                <w:color w:val="auto"/>
              </w:rPr>
            </w:pPr>
            <w:r>
              <w:rPr>
                <w:rFonts w:ascii="Arial" w:cs="Arial" w:eastAsia="Arial" w:hAnsi="Arial"/>
                <w:sz w:val="16"/>
                <w:szCs w:val="16"/>
                <w:color w:val="auto"/>
              </w:rPr>
              <w:t>(921)</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33"/>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500" w:type="dxa"/>
            <w:vAlign w:val="bottom"/>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$90</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$197</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Subtotals and totals may not foot due to rounding.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27</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Net Sales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While our customers may engage with us through multiple channels, we know they value the overall Nordstrom brand experience and view us simply as Nordstrom, which is ultimately how we view our business. To provide additional transparency into our net sales by channel, we present the following summary of our Retail Business: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76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r>
      <w:tr>
        <w:trPr>
          <w:trHeight w:val="33"/>
        </w:trPr>
        <w:tc>
          <w:tcPr>
            <w:tcW w:w="73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300" w:type="dxa"/>
            <w:vAlign w:val="bottom"/>
          </w:tcPr>
          <w:p>
            <w:pPr>
              <w:spacing w:after="0"/>
              <w:rPr>
                <w:sz w:val="20"/>
                <w:szCs w:val="20"/>
                <w:color w:val="auto"/>
              </w:rPr>
            </w:pPr>
          </w:p>
        </w:tc>
        <w:tc>
          <w:tcPr>
            <w:tcW w:w="2760" w:type="dxa"/>
            <w:vAlign w:val="bottom"/>
          </w:tcPr>
          <w:p>
            <w:pPr>
              <w:jc w:val="right"/>
              <w:ind w:right="1039"/>
              <w:spacing w:after="0"/>
              <w:rPr>
                <w:sz w:val="20"/>
                <w:szCs w:val="20"/>
                <w:color w:val="auto"/>
              </w:rPr>
            </w:pPr>
            <w:r>
              <w:rPr>
                <w:rFonts w:ascii="Arial" w:cs="Arial" w:eastAsia="Arial" w:hAnsi="Arial"/>
                <w:sz w:val="16"/>
                <w:szCs w:val="16"/>
                <w:b w:val="1"/>
                <w:bCs w:val="1"/>
                <w:color w:val="auto"/>
              </w:rPr>
              <w:t>April 30, 2016</w:t>
            </w: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channel:</w:t>
            </w:r>
          </w:p>
        </w:tc>
        <w:tc>
          <w:tcPr>
            <w:tcW w:w="2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760" w:type="dxa"/>
            <w:vAlign w:val="bottom"/>
          </w:tcPr>
          <w:p>
            <w:pPr>
              <w:jc w:val="right"/>
              <w:ind w:right="1039"/>
              <w:spacing w:after="0"/>
              <w:rPr>
                <w:sz w:val="20"/>
                <w:szCs w:val="20"/>
                <w:color w:val="auto"/>
              </w:rPr>
            </w:pPr>
            <w:r>
              <w:rPr>
                <w:rFonts w:ascii="Arial" w:cs="Arial" w:eastAsia="Arial" w:hAnsi="Arial"/>
                <w:sz w:val="16"/>
                <w:szCs w:val="16"/>
                <w:b w:val="1"/>
                <w:bCs w:val="1"/>
                <w:color w:val="auto"/>
              </w:rPr>
              <w:t>$1,582</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$1,699</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495</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480</w:t>
            </w:r>
          </w:p>
        </w:tc>
      </w:tr>
      <w:tr>
        <w:trPr>
          <w:trHeight w:val="231"/>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Full-price</w:t>
            </w:r>
          </w:p>
        </w:tc>
        <w:tc>
          <w:tcPr>
            <w:tcW w:w="276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2,077</w:t>
            </w:r>
          </w:p>
        </w:tc>
        <w:tc>
          <w:tcPr>
            <w:tcW w:w="13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2,179</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Nordstrom Rack</w:t>
            </w:r>
          </w:p>
        </w:tc>
        <w:tc>
          <w:tcPr>
            <w:tcW w:w="2760" w:type="dxa"/>
            <w:vAlign w:val="bottom"/>
          </w:tcPr>
          <w:p>
            <w:pPr>
              <w:jc w:val="right"/>
              <w:ind w:right="1039"/>
              <w:spacing w:after="0"/>
              <w:rPr>
                <w:sz w:val="20"/>
                <w:szCs w:val="20"/>
                <w:color w:val="auto"/>
              </w:rPr>
            </w:pPr>
            <w:r>
              <w:rPr>
                <w:rFonts w:ascii="Arial" w:cs="Arial" w:eastAsia="Arial" w:hAnsi="Arial"/>
                <w:sz w:val="16"/>
                <w:szCs w:val="16"/>
                <w:b w:val="1"/>
                <w:bCs w:val="1"/>
                <w:color w:val="auto"/>
              </w:rPr>
              <w:t>894</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831</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Nordstromrack.com/HauteLook</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166</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117</w:t>
            </w:r>
          </w:p>
        </w:tc>
      </w:tr>
      <w:tr>
        <w:trPr>
          <w:trHeight w:val="231"/>
        </w:trPr>
        <w:tc>
          <w:tcPr>
            <w:tcW w:w="7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Off-price</w:t>
            </w:r>
          </w:p>
        </w:tc>
        <w:tc>
          <w:tcPr>
            <w:tcW w:w="276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1,060</w:t>
            </w:r>
          </w:p>
        </w:tc>
        <w:tc>
          <w:tcPr>
            <w:tcW w:w="13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948</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70"/>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 retail</w:t>
            </w:r>
            <w:r>
              <w:rPr>
                <w:rFonts w:ascii="Arial" w:cs="Arial" w:eastAsia="Arial" w:hAnsi="Arial"/>
                <w:sz w:val="21"/>
                <w:szCs w:val="21"/>
                <w:color w:val="auto"/>
                <w:vertAlign w:val="superscript"/>
              </w:rPr>
              <w:t>1</w:t>
            </w:r>
          </w:p>
        </w:tc>
        <w:tc>
          <w:tcPr>
            <w:tcW w:w="276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121</w:t>
            </w:r>
          </w:p>
        </w:tc>
        <w:tc>
          <w:tcPr>
            <w:tcW w:w="13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64</w:t>
            </w:r>
          </w:p>
        </w:tc>
      </w:tr>
      <w:tr>
        <w:trPr>
          <w:trHeight w:val="244"/>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segment</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3,258</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3,191</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Corporate/Other</w:t>
            </w:r>
          </w:p>
        </w:tc>
        <w:tc>
          <w:tcPr>
            <w:tcW w:w="2760" w:type="dxa"/>
            <w:vAlign w:val="bottom"/>
          </w:tcPr>
          <w:p>
            <w:pPr>
              <w:jc w:val="right"/>
              <w:ind w:right="979"/>
              <w:spacing w:after="0"/>
              <w:rPr>
                <w:sz w:val="20"/>
                <w:szCs w:val="20"/>
                <w:color w:val="auto"/>
              </w:rPr>
            </w:pPr>
            <w:r>
              <w:rPr>
                <w:rFonts w:ascii="Arial" w:cs="Arial" w:eastAsia="Arial" w:hAnsi="Arial"/>
                <w:sz w:val="16"/>
                <w:szCs w:val="16"/>
                <w:b w:val="1"/>
                <w:bCs w:val="1"/>
                <w:color w:val="auto"/>
              </w:rPr>
              <w:t>(66)</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(76)</w:t>
            </w:r>
          </w:p>
        </w:tc>
      </w:tr>
      <w:tr>
        <w:trPr>
          <w:trHeight w:val="33"/>
        </w:trPr>
        <w:tc>
          <w:tcPr>
            <w:tcW w:w="7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$3,192</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$3,115</w:t>
            </w:r>
          </w:p>
        </w:tc>
      </w:tr>
      <w:tr>
        <w:trPr>
          <w:trHeight w:val="291"/>
        </w:trPr>
        <w:tc>
          <w:tcPr>
            <w:tcW w:w="73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increase</w:t>
            </w:r>
          </w:p>
        </w:tc>
        <w:tc>
          <w:tcPr>
            <w:tcW w:w="2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2.5%</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w:t>
            </w:r>
          </w:p>
        </w:tc>
      </w:tr>
      <w:tr>
        <w:trPr>
          <w:trHeight w:val="297"/>
        </w:trPr>
        <w:tc>
          <w:tcPr>
            <w:tcW w:w="7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Comparable sales increase (decrease) by channel:</w:t>
            </w:r>
          </w:p>
        </w:tc>
        <w:tc>
          <w:tcPr>
            <w:tcW w:w="2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Nordstrom full-line stores - U.S.</w:t>
            </w:r>
          </w:p>
        </w:tc>
        <w:tc>
          <w:tcPr>
            <w:tcW w:w="2760" w:type="dxa"/>
            <w:vAlign w:val="bottom"/>
          </w:tcPr>
          <w:p>
            <w:pPr>
              <w:jc w:val="right"/>
              <w:ind w:right="819"/>
              <w:spacing w:after="0"/>
              <w:rPr>
                <w:sz w:val="20"/>
                <w:szCs w:val="20"/>
                <w:color w:val="auto"/>
              </w:rPr>
            </w:pPr>
            <w:r>
              <w:rPr>
                <w:rFonts w:ascii="Arial" w:cs="Arial" w:eastAsia="Arial" w:hAnsi="Arial"/>
                <w:sz w:val="16"/>
                <w:szCs w:val="16"/>
                <w:b w:val="1"/>
                <w:bCs w:val="1"/>
                <w:color w:val="auto"/>
              </w:rPr>
              <w:t>(7.7%)</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0.5%</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Nordstrom.com</w:t>
            </w:r>
          </w:p>
        </w:tc>
        <w:tc>
          <w:tcPr>
            <w:tcW w:w="2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3.1%</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19.8%</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760" w:type="dxa"/>
            <w:vAlign w:val="bottom"/>
          </w:tcPr>
          <w:p>
            <w:pPr>
              <w:jc w:val="right"/>
              <w:ind w:right="819"/>
              <w:spacing w:after="0"/>
              <w:rPr>
                <w:sz w:val="20"/>
                <w:szCs w:val="20"/>
                <w:color w:val="auto"/>
              </w:rPr>
            </w:pPr>
            <w:r>
              <w:rPr>
                <w:rFonts w:ascii="Arial" w:cs="Arial" w:eastAsia="Arial" w:hAnsi="Arial"/>
                <w:sz w:val="16"/>
                <w:szCs w:val="16"/>
                <w:b w:val="1"/>
                <w:bCs w:val="1"/>
                <w:color w:val="auto"/>
              </w:rPr>
              <w:t>(5.4%)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4.2%</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Rack</w:t>
            </w:r>
          </w:p>
        </w:tc>
        <w:tc>
          <w:tcPr>
            <w:tcW w:w="27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(0.8%)</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Nordstromrack.com/HauteLook</w:t>
            </w:r>
          </w:p>
        </w:tc>
        <w:tc>
          <w:tcPr>
            <w:tcW w:w="2760" w:type="dxa"/>
            <w:vAlign w:val="bottom"/>
          </w:tcPr>
          <w:p>
            <w:pPr>
              <w:jc w:val="right"/>
              <w:ind w:right="859"/>
              <w:spacing w:after="0"/>
              <w:rPr>
                <w:sz w:val="20"/>
                <w:szCs w:val="20"/>
                <w:color w:val="auto"/>
              </w:rPr>
            </w:pPr>
            <w:r>
              <w:rPr>
                <w:rFonts w:ascii="Arial" w:cs="Arial" w:eastAsia="Arial" w:hAnsi="Arial"/>
                <w:sz w:val="16"/>
                <w:szCs w:val="16"/>
                <w:b w:val="1"/>
                <w:bCs w:val="1"/>
                <w:color w:val="auto"/>
              </w:rPr>
              <w:t>41.8%</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51.2%</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4.6%</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760" w:type="dxa"/>
            <w:vAlign w:val="bottom"/>
          </w:tcPr>
          <w:p>
            <w:pPr>
              <w:jc w:val="right"/>
              <w:ind w:right="819"/>
              <w:spacing w:after="0"/>
              <w:rPr>
                <w:sz w:val="20"/>
                <w:szCs w:val="20"/>
                <w:color w:val="auto"/>
              </w:rPr>
            </w:pPr>
            <w:r>
              <w:rPr>
                <w:rFonts w:ascii="Arial" w:cs="Arial" w:eastAsia="Arial" w:hAnsi="Arial"/>
                <w:sz w:val="16"/>
                <w:szCs w:val="16"/>
                <w:b w:val="1"/>
                <w:bCs w:val="1"/>
                <w:color w:val="auto"/>
              </w:rPr>
              <w:t>(1.7%)</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4.4%</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b w:val="1"/>
                <w:bCs w:val="1"/>
                <w:color w:val="auto"/>
              </w:rPr>
              <w:t>Sales per square foot:</w:t>
            </w:r>
          </w:p>
        </w:tc>
        <w:tc>
          <w:tcPr>
            <w:tcW w:w="27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sales per square foot</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$111</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$115</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4-wall sales per square foot</w:t>
            </w:r>
          </w:p>
        </w:tc>
        <w:tc>
          <w:tcPr>
            <w:tcW w:w="2760" w:type="dxa"/>
            <w:vAlign w:val="bottom"/>
          </w:tcPr>
          <w:p>
            <w:pPr>
              <w:jc w:val="right"/>
              <w:ind w:right="1039"/>
              <w:spacing w:after="0"/>
              <w:rPr>
                <w:sz w:val="20"/>
                <w:szCs w:val="20"/>
                <w:color w:val="auto"/>
              </w:rPr>
            </w:pPr>
            <w:r>
              <w:rPr>
                <w:rFonts w:ascii="Arial" w:cs="Arial" w:eastAsia="Arial" w:hAnsi="Arial"/>
                <w:sz w:val="16"/>
                <w:szCs w:val="16"/>
                <w:b w:val="1"/>
                <w:bCs w:val="1"/>
                <w:color w:val="auto"/>
              </w:rPr>
              <w:t>89</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94</w:t>
            </w:r>
          </w:p>
        </w:tc>
      </w:tr>
      <w:tr>
        <w:trPr>
          <w:trHeight w:val="33"/>
        </w:trPr>
        <w:tc>
          <w:tcPr>
            <w:tcW w:w="73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Full-line sales per square foot - U.S.</w:t>
            </w:r>
          </w:p>
        </w:tc>
        <w:tc>
          <w:tcPr>
            <w:tcW w:w="276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76</w:t>
            </w:r>
          </w:p>
        </w:tc>
        <w:tc>
          <w:tcPr>
            <w:tcW w:w="13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83</w:t>
            </w: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Nordstrom Rack sales per square foot</w:t>
            </w:r>
          </w:p>
        </w:tc>
        <w:tc>
          <w:tcPr>
            <w:tcW w:w="2760" w:type="dxa"/>
            <w:vAlign w:val="bottom"/>
          </w:tcPr>
          <w:p>
            <w:pPr>
              <w:jc w:val="right"/>
              <w:ind w:right="1039"/>
              <w:spacing w:after="0"/>
              <w:rPr>
                <w:sz w:val="20"/>
                <w:szCs w:val="20"/>
                <w:color w:val="auto"/>
              </w:rPr>
            </w:pPr>
            <w:r>
              <w:rPr>
                <w:rFonts w:ascii="Arial" w:cs="Arial" w:eastAsia="Arial" w:hAnsi="Arial"/>
                <w:sz w:val="16"/>
                <w:szCs w:val="16"/>
                <w:b w:val="1"/>
                <w:bCs w:val="1"/>
                <w:color w:val="auto"/>
              </w:rPr>
              <w:t>123</w:t>
            </w:r>
          </w:p>
        </w:tc>
        <w:tc>
          <w:tcPr>
            <w:tcW w:w="1360" w:type="dxa"/>
            <w:vAlign w:val="bottom"/>
          </w:tcPr>
          <w:p>
            <w:pPr>
              <w:jc w:val="right"/>
              <w:ind w:right="279"/>
              <w:spacing w:after="0"/>
              <w:rPr>
                <w:sz w:val="20"/>
                <w:szCs w:val="20"/>
                <w:color w:val="auto"/>
              </w:rPr>
            </w:pPr>
            <w:r>
              <w:rPr>
                <w:rFonts w:ascii="Arial" w:cs="Arial" w:eastAsia="Arial" w:hAnsi="Arial"/>
                <w:sz w:val="16"/>
                <w:szCs w:val="16"/>
                <w:color w:val="auto"/>
              </w:rPr>
              <w:t>130</w:t>
            </w:r>
          </w:p>
        </w:tc>
      </w:tr>
    </w:tbl>
    <w:p>
      <w:pPr>
        <w:spacing w:after="0" w:line="28"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Other retail includes Nordstrom Canada full-line stores, Trunk Club and Jeffrey boutiques.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Company net sales increased 2.5% for the first quarter ended 2016, compared with the same period in 2015, while comparable sales decreased 1.7% for the first quarter ended 2016. During the quarter, we relocated one full-line store and opened six Nordstrom Rack stores.</w:t>
      </w:r>
    </w:p>
    <w:p>
      <w:pPr>
        <w:spacing w:after="0" w:line="1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Full-price net sales, which consists of U.S. full-line and Nordstrom.com channels, decreased 4.7% for the first quarter ended 2016, compared with the same period in 2015, while comparable sales decreased 5.4%. These decreases were driven by softer sales across stores and online, merchandise categories and regions. On a comparable basis, full-price experienced a decrease in the total number of items sold, partially offset by an increase in the average selling price per item sold. The top-performing merchandise category was Beauty. The younger customer-focused departments in Women's Apparel continued to reflect strength with positive comparable sales increases. The Midwest was the top-performing full-price geographic region.</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U.S. full-line stores’ net sales decreased 6.9% and comparable sales decreased 7.7% for the quarter ended April 30, 2016, compared with the same period in 2015. Nordstrom.com net sales increased 3.1% for the quarter ended April 30, 2016, on top of last year’s 19.8% increase.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Within our off-price offering, Nordstrom Rack net sales increased 7.5%, for the first quarter ended April 30, 2016, compared with the same period in 2015, attributable to 23 new store openings since the end of the first quarter of 2015. Nordstrom Rack comparable sales decreased 0.8% for the first quarter ended April 30, 2016. Also on a comparable basis, the number of transactions decreased at Nordstrom Rack, partially offset by an increase in the average transaction size. Accessories was the top-performing merchandise category, while the Northeast was the top-performing geographic region. Nordstrom Rack sales per square foot decreased 5.2% for the first quarter ended April 30, 2016 primarily due to store expansion.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Nordstromrack.com/HauteLook continued to experience outsized growth, with a net sales increase of 41.8%.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Retail Business gross profit (“Retail GP”):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74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740" w:type="dxa"/>
            <w:vAlign w:val="bottom"/>
          </w:tcPr>
          <w:p>
            <w:pPr>
              <w:jc w:val="right"/>
              <w:ind w:right="999"/>
              <w:spacing w:after="0"/>
              <w:rPr>
                <w:sz w:val="20"/>
                <w:szCs w:val="20"/>
                <w:color w:val="auto"/>
              </w:rPr>
            </w:pPr>
            <w:r>
              <w:rPr>
                <w:rFonts w:ascii="Arial" w:cs="Arial" w:eastAsia="Arial" w:hAnsi="Arial"/>
                <w:sz w:val="16"/>
                <w:szCs w:val="16"/>
                <w:b w:val="1"/>
                <w:bCs w:val="1"/>
                <w:color w:val="auto"/>
              </w:rPr>
              <w:t>April 30, 2016</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gross profit</w:t>
            </w:r>
          </w:p>
        </w:tc>
        <w:tc>
          <w:tcPr>
            <w:tcW w:w="27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$1,093</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$1,118</w:t>
            </w:r>
          </w:p>
        </w:tc>
      </w:tr>
      <w:tr>
        <w:trPr>
          <w:trHeight w:val="224"/>
        </w:trPr>
        <w:tc>
          <w:tcPr>
            <w:tcW w:w="7360" w:type="dxa"/>
            <w:vAlign w:val="bottom"/>
          </w:tcPr>
          <w:p>
            <w:pPr>
              <w:ind w:left="40"/>
              <w:spacing w:after="0"/>
              <w:rPr>
                <w:sz w:val="20"/>
                <w:szCs w:val="20"/>
                <w:color w:val="auto"/>
              </w:rPr>
            </w:pPr>
            <w:r>
              <w:rPr>
                <w:rFonts w:ascii="Arial" w:cs="Arial" w:eastAsia="Arial" w:hAnsi="Arial"/>
                <w:sz w:val="16"/>
                <w:szCs w:val="16"/>
                <w:color w:val="auto"/>
              </w:rPr>
              <w:t>Retail gross profit as a % of net sales</w:t>
            </w:r>
          </w:p>
        </w:tc>
        <w:tc>
          <w:tcPr>
            <w:tcW w:w="2740" w:type="dxa"/>
            <w:vAlign w:val="bottom"/>
          </w:tcPr>
          <w:p>
            <w:pPr>
              <w:jc w:val="right"/>
              <w:ind w:right="819"/>
              <w:spacing w:after="0"/>
              <w:rPr>
                <w:sz w:val="20"/>
                <w:szCs w:val="20"/>
                <w:color w:val="auto"/>
              </w:rPr>
            </w:pPr>
            <w:r>
              <w:rPr>
                <w:rFonts w:ascii="Arial" w:cs="Arial" w:eastAsia="Arial" w:hAnsi="Arial"/>
                <w:sz w:val="16"/>
                <w:szCs w:val="16"/>
                <w:b w:val="1"/>
                <w:bCs w:val="1"/>
                <w:color w:val="auto"/>
              </w:rPr>
              <w:t>34.2%</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35.9%</w:t>
            </w:r>
          </w:p>
        </w:tc>
      </w:tr>
      <w:tr>
        <w:trPr>
          <w:trHeight w:val="33"/>
        </w:trPr>
        <w:tc>
          <w:tcPr>
            <w:tcW w:w="7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inventory per square foot</w:t>
            </w:r>
          </w:p>
        </w:tc>
        <w:tc>
          <w:tcPr>
            <w:tcW w:w="27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$73.87</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$73.28</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Inventory turnover rate</w:t>
            </w:r>
          </w:p>
        </w:tc>
        <w:tc>
          <w:tcPr>
            <w:tcW w:w="2740" w:type="dxa"/>
            <w:vAlign w:val="bottom"/>
          </w:tcPr>
          <w:p>
            <w:pPr>
              <w:jc w:val="right"/>
              <w:ind w:right="999"/>
              <w:spacing w:after="0"/>
              <w:rPr>
                <w:sz w:val="20"/>
                <w:szCs w:val="20"/>
                <w:color w:val="auto"/>
              </w:rPr>
            </w:pPr>
            <w:r>
              <w:rPr>
                <w:rFonts w:ascii="Arial" w:cs="Arial" w:eastAsia="Arial" w:hAnsi="Arial"/>
                <w:sz w:val="16"/>
                <w:szCs w:val="16"/>
                <w:b w:val="1"/>
                <w:bCs w:val="1"/>
                <w:color w:val="auto"/>
              </w:rPr>
              <w:t>4.42</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4.53</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Retail GP rate for the first quarter ended April 30, 2016 decreased 165 basis points primarily due to higher markdowns to better align inventory to current trends. Our Retail GP decreased $25 primarily due to decreased sales at our U.S. full-line stores and higher markdowns across most channels. While sales trends were below expectations, we ended the period with inventory growth of 5.4% and net sales growth of 2.5% resulting in a negative spread of 3%, which represents an improvement over the negative spread of 7% in the fourth quarter of 2015.</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inventory turnover rate decreased to 4.42 for the trailing 12 months ended April 30, 2016, from 4.53 for the same period 2015, due to softer sales trends experienced since the third quarter of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Business 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Retail Business selling, general and administrative expenses (“Retail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740" w:type="dxa"/>
            <w:vAlign w:val="bottom"/>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740" w:type="dxa"/>
            <w:vAlign w:val="bottom"/>
          </w:tcPr>
          <w:p>
            <w:pPr>
              <w:jc w:val="right"/>
              <w:ind w:right="999"/>
              <w:spacing w:after="0"/>
              <w:rPr>
                <w:sz w:val="20"/>
                <w:szCs w:val="20"/>
                <w:color w:val="auto"/>
              </w:rPr>
            </w:pPr>
            <w:r>
              <w:rPr>
                <w:rFonts w:ascii="Arial" w:cs="Arial" w:eastAsia="Arial" w:hAnsi="Arial"/>
                <w:sz w:val="16"/>
                <w:szCs w:val="16"/>
                <w:b w:val="1"/>
                <w:bCs w:val="1"/>
                <w:color w:val="auto"/>
              </w:rPr>
              <w:t>April 30, 2016</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selling, general and administrative expenses</w:t>
            </w:r>
          </w:p>
        </w:tc>
        <w:tc>
          <w:tcPr>
            <w:tcW w:w="27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$1,003</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$921</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Retail selling, general and administrative expenses as a % of net sales</w:t>
            </w:r>
          </w:p>
        </w:tc>
        <w:tc>
          <w:tcPr>
            <w:tcW w:w="2740" w:type="dxa"/>
            <w:vAlign w:val="bottom"/>
          </w:tcPr>
          <w:p>
            <w:pPr>
              <w:jc w:val="right"/>
              <w:ind w:right="819"/>
              <w:spacing w:after="0"/>
              <w:rPr>
                <w:sz w:val="20"/>
                <w:szCs w:val="20"/>
                <w:color w:val="auto"/>
              </w:rPr>
            </w:pPr>
            <w:r>
              <w:rPr>
                <w:rFonts w:ascii="Arial" w:cs="Arial" w:eastAsia="Arial" w:hAnsi="Arial"/>
                <w:sz w:val="16"/>
                <w:szCs w:val="16"/>
                <w:b w:val="1"/>
                <w:bCs w:val="1"/>
                <w:color w:val="auto"/>
              </w:rPr>
              <w:t>31.4%</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29.6%</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Retail SG&amp;A increased $82 and our Retail SG&amp;A rate increased 188 basis points for the quarter ended April 30, 2016, primarily due to higher credit chargeback expenses associated with an industry change in liability rules effective October 2015, severance charges related to the realignment of corporate support functions and planned fulfillment and technology costs supporting the Company’s growth initiatives.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Segment</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we completed the sale of a substantial majority of our U.S. Visa and private label credit card portfolio to TD on October 1, 2015, and entered into a long-term program agreement under which TD is the exclusive issuer of our U.S. consumer credit cards, our Credit Segment business has changed. With these changes, although we receive a smaller share of available profits under the program agreement, we no longer fund this portfolio alleviating significant working capital requirements (see Note 2: Credit Card Receivable Transaction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detailed view of the operational results of our Credit segment, consistent with Note 10: Segment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68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r>
      <w:tr>
        <w:trPr>
          <w:trHeight w:val="33"/>
        </w:trPr>
        <w:tc>
          <w:tcPr>
            <w:tcW w:w="75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spacing w:after="0"/>
              <w:rPr>
                <w:sz w:val="20"/>
                <w:szCs w:val="20"/>
                <w:color w:val="auto"/>
              </w:rPr>
            </w:pPr>
          </w:p>
        </w:tc>
        <w:tc>
          <w:tcPr>
            <w:tcW w:w="2680" w:type="dxa"/>
            <w:vAlign w:val="bottom"/>
          </w:tcPr>
          <w:p>
            <w:pPr>
              <w:jc w:val="right"/>
              <w:ind w:right="899"/>
              <w:spacing w:after="0"/>
              <w:rPr>
                <w:sz w:val="20"/>
                <w:szCs w:val="20"/>
                <w:color w:val="auto"/>
              </w:rPr>
            </w:pPr>
            <w:r>
              <w:rPr>
                <w:rFonts w:ascii="Arial" w:cs="Arial" w:eastAsia="Arial" w:hAnsi="Arial"/>
                <w:sz w:val="16"/>
                <w:szCs w:val="16"/>
                <w:b w:val="1"/>
                <w:bCs w:val="1"/>
                <w:color w:val="auto"/>
              </w:rPr>
              <w:t>April 30, 2016</w:t>
            </w: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5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card revenues, net</w:t>
            </w:r>
          </w:p>
        </w:tc>
        <w:tc>
          <w:tcPr>
            <w:tcW w:w="26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$57</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$100</w:t>
            </w:r>
          </w:p>
        </w:tc>
      </w:tr>
      <w:tr>
        <w:trPr>
          <w:trHeight w:val="237"/>
        </w:trPr>
        <w:tc>
          <w:tcPr>
            <w:tcW w:w="7500" w:type="dxa"/>
            <w:vAlign w:val="bottom"/>
          </w:tcPr>
          <w:p>
            <w:pPr>
              <w:ind w:left="40"/>
              <w:spacing w:after="0"/>
              <w:rPr>
                <w:sz w:val="20"/>
                <w:szCs w:val="20"/>
                <w:color w:val="auto"/>
              </w:rPr>
            </w:pPr>
            <w:r>
              <w:rPr>
                <w:rFonts w:ascii="Arial" w:cs="Arial" w:eastAsia="Arial" w:hAnsi="Arial"/>
                <w:sz w:val="16"/>
                <w:szCs w:val="16"/>
                <w:color w:val="auto"/>
              </w:rPr>
              <w:t>Credit expenses</w:t>
            </w:r>
          </w:p>
        </w:tc>
        <w:tc>
          <w:tcPr>
            <w:tcW w:w="2680" w:type="dxa"/>
            <w:vAlign w:val="bottom"/>
          </w:tcPr>
          <w:p>
            <w:pPr>
              <w:jc w:val="right"/>
              <w:ind w:right="859"/>
              <w:spacing w:after="0"/>
              <w:rPr>
                <w:sz w:val="20"/>
                <w:szCs w:val="20"/>
                <w:color w:val="auto"/>
              </w:rPr>
            </w:pPr>
            <w:r>
              <w:rPr>
                <w:rFonts w:ascii="Arial" w:cs="Arial" w:eastAsia="Arial" w:hAnsi="Arial"/>
                <w:sz w:val="16"/>
                <w:szCs w:val="16"/>
                <w:b w:val="1"/>
                <w:bCs w:val="1"/>
                <w:color w:val="auto"/>
              </w:rPr>
              <w:t>(41)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(52)</w:t>
            </w:r>
          </w:p>
        </w:tc>
      </w:tr>
      <w:tr>
        <w:trPr>
          <w:trHeight w:val="33"/>
        </w:trPr>
        <w:tc>
          <w:tcPr>
            <w:tcW w:w="75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before interest and income taxes</w:t>
            </w:r>
          </w:p>
        </w:tc>
        <w:tc>
          <w:tcPr>
            <w:tcW w:w="26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16</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r>
      <w:tr>
        <w:trPr>
          <w:trHeight w:val="264"/>
        </w:trPr>
        <w:tc>
          <w:tcPr>
            <w:tcW w:w="7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1</w:t>
            </w:r>
          </w:p>
        </w:tc>
        <w:tc>
          <w:tcPr>
            <w:tcW w:w="26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69"/>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Credit segment earnings before income taxes</w:t>
            </w:r>
          </w:p>
        </w:tc>
        <w:tc>
          <w:tcPr>
            <w:tcW w:w="26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$16</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w:t>
            </w:r>
          </w:p>
        </w:tc>
      </w:tr>
      <w:tr>
        <w:trPr>
          <w:trHeight w:val="291"/>
        </w:trPr>
        <w:tc>
          <w:tcPr>
            <w:tcW w:w="750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70"/>
        </w:trPr>
        <w:tc>
          <w:tcPr>
            <w:tcW w:w="7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and debit card volume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26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7"/>
        </w:trPr>
        <w:tc>
          <w:tcPr>
            <w:tcW w:w="7500" w:type="dxa"/>
            <w:vAlign w:val="bottom"/>
          </w:tcPr>
          <w:p>
            <w:pPr>
              <w:ind w:left="280"/>
              <w:spacing w:after="0"/>
              <w:rPr>
                <w:sz w:val="20"/>
                <w:szCs w:val="20"/>
                <w:color w:val="auto"/>
              </w:rPr>
            </w:pPr>
            <w:r>
              <w:rPr>
                <w:rFonts w:ascii="Arial" w:cs="Arial" w:eastAsia="Arial" w:hAnsi="Arial"/>
                <w:sz w:val="16"/>
                <w:szCs w:val="16"/>
                <w:color w:val="auto"/>
              </w:rPr>
              <w:t>Outside</w:t>
            </w:r>
          </w:p>
        </w:tc>
        <w:tc>
          <w:tcPr>
            <w:tcW w:w="2680" w:type="dxa"/>
            <w:vAlign w:val="bottom"/>
          </w:tcPr>
          <w:p>
            <w:pPr>
              <w:jc w:val="right"/>
              <w:ind w:right="899"/>
              <w:spacing w:after="0"/>
              <w:rPr>
                <w:sz w:val="20"/>
                <w:szCs w:val="20"/>
                <w:color w:val="auto"/>
              </w:rPr>
            </w:pPr>
            <w:r>
              <w:rPr>
                <w:rFonts w:ascii="Arial" w:cs="Arial" w:eastAsia="Arial" w:hAnsi="Arial"/>
                <w:sz w:val="16"/>
                <w:szCs w:val="16"/>
                <w:b w:val="1"/>
                <w:bCs w:val="1"/>
                <w:color w:val="auto"/>
              </w:rPr>
              <w:t>$1,016</w:t>
            </w: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$1,053</w:t>
            </w:r>
          </w:p>
        </w:tc>
      </w:tr>
      <w:tr>
        <w:trPr>
          <w:trHeight w:val="33"/>
        </w:trPr>
        <w:tc>
          <w:tcPr>
            <w:tcW w:w="7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7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Inside</w:t>
            </w:r>
          </w:p>
        </w:tc>
        <w:tc>
          <w:tcPr>
            <w:tcW w:w="26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1,267</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1,269</w:t>
            </w:r>
          </w:p>
        </w:tc>
      </w:tr>
      <w:tr>
        <w:trPr>
          <w:trHeight w:val="231"/>
        </w:trPr>
        <w:tc>
          <w:tcPr>
            <w:tcW w:w="7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volume</w:t>
            </w:r>
          </w:p>
        </w:tc>
        <w:tc>
          <w:tcPr>
            <w:tcW w:w="26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$2,283</w:t>
            </w:r>
          </w:p>
        </w:tc>
        <w:tc>
          <w:tcPr>
            <w:tcW w:w="12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$2,322</w:t>
            </w:r>
          </w:p>
        </w:tc>
      </w:tr>
    </w:tbl>
    <w:p>
      <w:pPr>
        <w:spacing w:after="0" w:line="28" w:lineRule="exact"/>
        <w:rPr>
          <w:sz w:val="20"/>
          <w:szCs w:val="20"/>
          <w:color w:val="auto"/>
        </w:rPr>
      </w:pPr>
    </w:p>
    <w:p>
      <w:pPr>
        <w:ind w:left="80" w:hanging="72"/>
        <w:spacing w:after="0"/>
        <w:tabs>
          <w:tab w:leader="none" w:pos="80" w:val="left"/>
        </w:tabs>
        <w:numPr>
          <w:ilvl w:val="0"/>
          <w:numId w:val="13"/>
        </w:numPr>
        <w:rPr>
          <w:rFonts w:ascii="Arial" w:cs="Arial" w:eastAsia="Arial" w:hAnsi="Arial"/>
          <w:sz w:val="9"/>
          <w:szCs w:val="9"/>
          <w:color w:val="auto"/>
        </w:rPr>
      </w:pPr>
      <w:r>
        <w:rPr>
          <w:rFonts w:ascii="Arial" w:cs="Arial" w:eastAsia="Arial" w:hAnsi="Arial"/>
          <w:sz w:val="14"/>
          <w:szCs w:val="14"/>
          <w:color w:val="auto"/>
        </w:rPr>
        <w:t>Prior to the credit card receivable transaction, interest expense was allocated to the Credit segment as if it carried debt of up to 80% of the credit card receivables.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Volume represents sales on the total portfolio plus applicable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credit card revenues, net</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charge revenue</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Interchange fees</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Late fees and other</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Credit program revenues, net</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54</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credit card revenues, net</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$57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0"/>
        </w:trPr>
        <w:tc>
          <w:tcPr>
            <w:tcW w:w="76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 to the close of the credit card receivable transaction on October 1, 2015, credit card revenues included finance charges, interchange fees, late fees and other revenue, recorded net of estimated uncollectible finance charges and fees. Finance charges represent interest earned on unpaid balances while interchange fees are earned from the use of Nordstrom Visa credit cards at merchants outside of Nordstrom. Late fees are assessed when a credit card account becomes past due. We continue to recognize revenue in this manner for the credit card receivables retained subsequent to the close of the credit card receivable transaction.</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Following the close of the transaction and pursuant to the program agreement with TD, we receive our portion of the ongoing credit card revenue, net of credit losses, from both the sold and newly generated credit card receivables, which is recorded in credit program revenues, net. Revenue earned under the program agreement is impacted by the credit quality of receivables, both owned and serviced, and factors such as deteriorating economic conditions, declining creditworthiness of cardholders and the execution of account management and collection activities may heighten the risk of credit losses. Asset amortization and deferred revenue recognition associated with the assets and liabilities recorded as part of the transaction are also recorded in credit program revenues, net.</w:t>
      </w:r>
    </w:p>
    <w:p>
      <w:pPr>
        <w:spacing w:after="0" w:line="13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Credit card revenues, net decreased $43 for the quarter ended April 30, 2016, compared with the same period in 2015, primarily due to the impact of the program agreement with TD.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Credit expenses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Operational expenses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$40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Bad debt expense</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Occupancy expenses</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expenses</w:t>
            </w:r>
          </w:p>
        </w:tc>
        <w:tc>
          <w:tcPr>
            <w:tcW w:w="26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$41</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credit expenses decreased $11 for the quarter ended April 30, 2016, compared with the same period in 2015, due to a decrease in bad debt expense since the sale of our credit card receivables in the third quarter of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Company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Interest expense, net was $31 for the first quarter ended April 30, 2016, compared with $33 for the same period in 2015. The decrease was primarily due to the defeasance of our $325 Series 2011-1 Class A Notes in the third quarter of 2015 as a result of the credit card receivable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74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r>
      <w:tr>
        <w:trPr>
          <w:trHeight w:val="33"/>
        </w:trPr>
        <w:tc>
          <w:tcPr>
            <w:tcW w:w="73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7360" w:type="dxa"/>
            <w:vAlign w:val="bottom"/>
          </w:tcPr>
          <w:p>
            <w:pPr>
              <w:spacing w:after="0"/>
              <w:rPr>
                <w:sz w:val="20"/>
                <w:szCs w:val="20"/>
                <w:color w:val="auto"/>
              </w:rPr>
            </w:pPr>
          </w:p>
        </w:tc>
        <w:tc>
          <w:tcPr>
            <w:tcW w:w="2740" w:type="dxa"/>
            <w:vAlign w:val="bottom"/>
          </w:tcPr>
          <w:p>
            <w:pPr>
              <w:jc w:val="right"/>
              <w:ind w:right="999"/>
              <w:spacing w:after="0"/>
              <w:rPr>
                <w:sz w:val="20"/>
                <w:szCs w:val="20"/>
                <w:color w:val="auto"/>
              </w:rPr>
            </w:pPr>
            <w:r>
              <w:rPr>
                <w:rFonts w:ascii="Arial" w:cs="Arial" w:eastAsia="Arial" w:hAnsi="Arial"/>
                <w:sz w:val="16"/>
                <w:szCs w:val="16"/>
                <w:b w:val="1"/>
                <w:bCs w:val="1"/>
                <w:color w:val="auto"/>
              </w:rPr>
              <w:t>April 30, 2016</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7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$29</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740" w:type="dxa"/>
            <w:vAlign w:val="bottom"/>
          </w:tcPr>
          <w:p>
            <w:pPr>
              <w:jc w:val="right"/>
              <w:ind w:right="819"/>
              <w:spacing w:after="0"/>
              <w:rPr>
                <w:sz w:val="20"/>
                <w:szCs w:val="20"/>
                <w:color w:val="auto"/>
              </w:rPr>
            </w:pPr>
            <w:r>
              <w:rPr>
                <w:rFonts w:ascii="Arial" w:cs="Arial" w:eastAsia="Arial" w:hAnsi="Arial"/>
                <w:sz w:val="16"/>
                <w:szCs w:val="16"/>
                <w:b w:val="1"/>
                <w:bCs w:val="1"/>
                <w:color w:val="auto"/>
              </w:rPr>
              <w:t>38.4%</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39.8%</w:t>
            </w:r>
          </w:p>
        </w:tc>
      </w:tr>
      <w:tr>
        <w:trPr>
          <w:trHeight w:val="33"/>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 tax rate decreased for the first quarter ended April 30, 2016, compared with the same period in 2015, primarily due to increased federal income tax credits.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$0.27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$0.26</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33"/>
        </w:trPr>
        <w:tc>
          <w:tcPr>
            <w:tcW w:w="76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Earnings per diluted share decreased for the first quarter ended April 30, 2016 compared with the same period in 2015, primarily due to a decrease in comparable sales and an increase in expenses, resulting in lower net earnings. This was partially offset by a decrease in weighted average shares outstanding resulting from increased share repurchases in the second, third and fourth quarters of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Outlook</w:t>
      </w:r>
    </w:p>
    <w:p>
      <w:pPr>
        <w:spacing w:after="0" w:line="27"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We updated our annual earnings per diluted share expectations, reflecting our updated sales outlook and expectations for a continued promotional environment. Our current outlook expectations for fiscal 2016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(percent)</w:t>
            </w:r>
          </w:p>
        </w:tc>
        <w:tc>
          <w:tcPr>
            <w:tcW w:w="3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to 4.5 increase</w:t>
            </w:r>
          </w:p>
        </w:tc>
      </w:tr>
      <w:tr>
        <w:trPr>
          <w:trHeight w:val="224"/>
        </w:trPr>
        <w:tc>
          <w:tcPr>
            <w:tcW w:w="7580" w:type="dxa"/>
            <w:vAlign w:val="bottom"/>
          </w:tcPr>
          <w:p>
            <w:pPr>
              <w:ind w:left="40"/>
              <w:spacing w:after="0"/>
              <w:rPr>
                <w:sz w:val="20"/>
                <w:szCs w:val="20"/>
                <w:color w:val="auto"/>
              </w:rPr>
            </w:pPr>
            <w:r>
              <w:rPr>
                <w:rFonts w:ascii="Arial" w:cs="Arial" w:eastAsia="Arial" w:hAnsi="Arial"/>
                <w:sz w:val="16"/>
                <w:szCs w:val="16"/>
                <w:color w:val="auto"/>
              </w:rPr>
              <w:t>Comparable sales (percent)</w:t>
            </w:r>
          </w:p>
        </w:tc>
        <w:tc>
          <w:tcPr>
            <w:tcW w:w="3840" w:type="dxa"/>
            <w:vAlign w:val="bottom"/>
          </w:tcPr>
          <w:p>
            <w:pPr>
              <w:jc w:val="right"/>
              <w:spacing w:after="0"/>
              <w:rPr>
                <w:sz w:val="20"/>
                <w:szCs w:val="20"/>
                <w:color w:val="auto"/>
              </w:rPr>
            </w:pPr>
            <w:r>
              <w:rPr>
                <w:rFonts w:ascii="Arial" w:cs="Arial" w:eastAsia="Arial" w:hAnsi="Arial"/>
                <w:sz w:val="16"/>
                <w:szCs w:val="16"/>
                <w:color w:val="auto"/>
              </w:rPr>
              <w:t>1 decrease to 1 increase</w:t>
            </w:r>
          </w:p>
        </w:tc>
      </w:tr>
      <w:tr>
        <w:trPr>
          <w:trHeight w:val="33"/>
        </w:trPr>
        <w:tc>
          <w:tcPr>
            <w:tcW w:w="75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3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EBIT (percent)</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to 20 decrease</w:t>
            </w:r>
          </w:p>
        </w:tc>
      </w:tr>
      <w:tr>
        <w:trPr>
          <w:trHeight w:val="224"/>
        </w:trPr>
        <w:tc>
          <w:tcPr>
            <w:tcW w:w="7580" w:type="dxa"/>
            <w:vAlign w:val="bottom"/>
          </w:tcPr>
          <w:p>
            <w:pPr>
              <w:ind w:left="40"/>
              <w:spacing w:after="0"/>
              <w:rPr>
                <w:sz w:val="20"/>
                <w:szCs w:val="20"/>
                <w:color w:val="auto"/>
              </w:rPr>
            </w:pPr>
            <w:r>
              <w:rPr>
                <w:rFonts w:ascii="Arial" w:cs="Arial" w:eastAsia="Arial" w:hAnsi="Arial"/>
                <w:sz w:val="16"/>
                <w:szCs w:val="16"/>
                <w:color w:val="auto"/>
              </w:rPr>
              <w:t>Credit EBIT</w:t>
            </w:r>
          </w:p>
        </w:tc>
        <w:tc>
          <w:tcPr>
            <w:tcW w:w="3840" w:type="dxa"/>
            <w:vAlign w:val="bottom"/>
          </w:tcPr>
          <w:p>
            <w:pPr>
              <w:jc w:val="right"/>
              <w:spacing w:after="0"/>
              <w:rPr>
                <w:sz w:val="20"/>
                <w:szCs w:val="20"/>
                <w:color w:val="auto"/>
              </w:rPr>
            </w:pPr>
            <w:r>
              <w:rPr>
                <w:rFonts w:ascii="Arial" w:cs="Arial" w:eastAsia="Arial" w:hAnsi="Arial"/>
                <w:sz w:val="16"/>
                <w:szCs w:val="16"/>
                <w:color w:val="auto"/>
              </w:rPr>
              <w:t>$70 to $80 million</w:t>
            </w:r>
          </w:p>
        </w:tc>
      </w:tr>
      <w:tr>
        <w:trPr>
          <w:trHeight w:val="33"/>
        </w:trPr>
        <w:tc>
          <w:tcPr>
            <w:tcW w:w="758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3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 to $2.70</w:t>
            </w:r>
          </w:p>
        </w:tc>
      </w:tr>
      <w:tr>
        <w:trPr>
          <w:trHeight w:val="20"/>
        </w:trPr>
        <w:tc>
          <w:tcPr>
            <w:tcW w:w="758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Anniversary Sale, which historically is our largest sale event of the year, is planned to start one week later in July relative to last year. This event shift is expected to result in a less favorable comparison in the second quarter, offset by a favorable comparison in the third quarter. Comparable sales are expected to be impacted by approximately 200 basis points in the second quarter and approximately 250 basis points in the third quarter.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Invested Capital (“ROIC”) (Non-GAAP financial measure)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believe ROIC is a useful financial measure for investors in evaluating the efficiency and effectiveness of our use of capital and believe ROIC is an important component of shareholders’ return over the long term. In addition, we incorporate ROIC in our executive incentive compensation measures. For the 12 fiscal months ended April 30, 2016, our ROIC decreased to 10.0% compared with 12.2% for the 12 fiscal months ended May 2, 2015, primarily due to reduced earnings.</w:t>
      </w:r>
    </w:p>
    <w:p>
      <w:pPr>
        <w:spacing w:after="0" w:line="13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define ROIC as our net operating profit after tax divided by our average invested capital using the trailing 12-month average.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ROIC is return on assets. The following is a reconciliation of the components of ROIC and return on assets: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2900" w:type="dxa"/>
            <w:vAlign w:val="bottom"/>
          </w:tcPr>
          <w:p>
            <w:pPr>
              <w:jc w:val="right"/>
              <w:spacing w:after="0"/>
              <w:rPr>
                <w:sz w:val="20"/>
                <w:szCs w:val="20"/>
                <w:color w:val="auto"/>
              </w:rPr>
            </w:pPr>
            <w:r>
              <w:rPr>
                <w:rFonts w:ascii="Arial" w:cs="Arial" w:eastAsia="Arial" w:hAnsi="Arial"/>
                <w:sz w:val="16"/>
                <w:szCs w:val="16"/>
                <w:b w:val="1"/>
                <w:bCs w:val="1"/>
                <w:color w:val="auto"/>
              </w:rPr>
              <w:t>12 Fiscal Months Ended</w:t>
            </w:r>
          </w:p>
        </w:tc>
        <w:tc>
          <w:tcPr>
            <w:tcW w:w="1160" w:type="dxa"/>
            <w:vAlign w:val="bottom"/>
          </w:tcPr>
          <w:p>
            <w:pPr>
              <w:spacing w:after="0"/>
              <w:rPr>
                <w:sz w:val="18"/>
                <w:szCs w:val="18"/>
                <w:color w:val="auto"/>
              </w:rPr>
            </w:pPr>
          </w:p>
        </w:tc>
      </w:tr>
      <w:tr>
        <w:trPr>
          <w:trHeight w:val="33"/>
        </w:trPr>
        <w:tc>
          <w:tcPr>
            <w:tcW w:w="73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7340" w:type="dxa"/>
            <w:vAlign w:val="bottom"/>
          </w:tcPr>
          <w:p>
            <w:pPr>
              <w:spacing w:after="0"/>
              <w:rPr>
                <w:sz w:val="20"/>
                <w:szCs w:val="20"/>
                <w:color w:val="auto"/>
              </w:rPr>
            </w:pPr>
          </w:p>
        </w:tc>
        <w:tc>
          <w:tcPr>
            <w:tcW w:w="2900" w:type="dxa"/>
            <w:vAlign w:val="bottom"/>
          </w:tcPr>
          <w:p>
            <w:pPr>
              <w:jc w:val="right"/>
              <w:ind w:right="1159"/>
              <w:spacing w:after="0"/>
              <w:rPr>
                <w:sz w:val="20"/>
                <w:szCs w:val="20"/>
                <w:color w:val="auto"/>
              </w:rPr>
            </w:pPr>
            <w:r>
              <w:rPr>
                <w:rFonts w:ascii="Arial" w:cs="Arial" w:eastAsia="Arial" w:hAnsi="Arial"/>
                <w:sz w:val="16"/>
                <w:szCs w:val="16"/>
                <w:b w:val="1"/>
                <w:bCs w:val="1"/>
                <w:color w:val="auto"/>
              </w:rPr>
              <w:t>April 30, 2016</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May 2, 2015</w:t>
            </w:r>
          </w:p>
        </w:tc>
      </w:tr>
      <w:tr>
        <w:trPr>
          <w:trHeight w:val="33"/>
        </w:trPr>
        <w:tc>
          <w:tcPr>
            <w:tcW w:w="73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9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$518</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$709</w:t>
            </w: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900" w:type="dxa"/>
            <w:vAlign w:val="bottom"/>
          </w:tcPr>
          <w:p>
            <w:pPr>
              <w:jc w:val="right"/>
              <w:ind w:right="1159"/>
              <w:spacing w:after="0"/>
              <w:rPr>
                <w:sz w:val="20"/>
                <w:szCs w:val="20"/>
                <w:color w:val="auto"/>
              </w:rPr>
            </w:pPr>
            <w:r>
              <w:rPr>
                <w:rFonts w:ascii="Arial" w:cs="Arial" w:eastAsia="Arial" w:hAnsi="Arial"/>
                <w:sz w:val="16"/>
                <w:szCs w:val="16"/>
                <w:b w:val="1"/>
                <w:bCs w:val="1"/>
                <w:color w:val="auto"/>
              </w:rPr>
              <w:t>321</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459</w:t>
            </w:r>
          </w:p>
        </w:tc>
      </w:tr>
      <w:tr>
        <w:trPr>
          <w:trHeight w:val="33"/>
        </w:trPr>
        <w:tc>
          <w:tcPr>
            <w:tcW w:w="7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9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123</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136</w:t>
            </w:r>
          </w:p>
        </w:tc>
      </w:tr>
      <w:tr>
        <w:trPr>
          <w:trHeight w:val="231"/>
        </w:trPr>
        <w:tc>
          <w:tcPr>
            <w:tcW w:w="7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900" w:type="dxa"/>
            <w:vAlign w:val="bottom"/>
            <w:tcBorders>
              <w:top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962</w:t>
            </w:r>
          </w:p>
        </w:tc>
        <w:tc>
          <w:tcPr>
            <w:tcW w:w="11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1,304</w:t>
            </w:r>
          </w:p>
        </w:tc>
      </w:tr>
      <w:tr>
        <w:trPr>
          <w:trHeight w:val="33"/>
        </w:trPr>
        <w:tc>
          <w:tcPr>
            <w:tcW w:w="7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73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2900" w:type="dxa"/>
            <w:vAlign w:val="bottom"/>
          </w:tcPr>
          <w:p>
            <w:pPr>
              <w:jc w:val="right"/>
              <w:ind w:right="1159"/>
              <w:spacing w:after="0"/>
              <w:rPr>
                <w:sz w:val="20"/>
                <w:szCs w:val="20"/>
                <w:color w:val="auto"/>
              </w:rPr>
            </w:pPr>
            <w:r>
              <w:rPr>
                <w:rFonts w:ascii="Arial" w:cs="Arial" w:eastAsia="Arial" w:hAnsi="Arial"/>
                <w:sz w:val="16"/>
                <w:szCs w:val="16"/>
                <w:b w:val="1"/>
                <w:bCs w:val="1"/>
                <w:color w:val="auto"/>
              </w:rPr>
              <w:t>182</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143</w:t>
            </w:r>
          </w:p>
        </w:tc>
      </w:tr>
      <w:tr>
        <w:trPr>
          <w:trHeight w:val="33"/>
        </w:trPr>
        <w:tc>
          <w:tcPr>
            <w:tcW w:w="7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1</w:t>
            </w:r>
          </w:p>
        </w:tc>
        <w:tc>
          <w:tcPr>
            <w:tcW w:w="29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(96)</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(76)</w:t>
            </w:r>
          </w:p>
        </w:tc>
      </w:tr>
      <w:tr>
        <w:trPr>
          <w:trHeight w:val="231"/>
        </w:trPr>
        <w:tc>
          <w:tcPr>
            <w:tcW w:w="7340" w:type="dxa"/>
            <w:vAlign w:val="bottom"/>
          </w:tcPr>
          <w:p>
            <w:pPr>
              <w:ind w:left="40"/>
              <w:spacing w:after="0"/>
              <w:rPr>
                <w:sz w:val="20"/>
                <w:szCs w:val="20"/>
                <w:color w:val="auto"/>
              </w:rPr>
            </w:pPr>
            <w:r>
              <w:rPr>
                <w:rFonts w:ascii="Arial" w:cs="Arial" w:eastAsia="Arial" w:hAnsi="Arial"/>
                <w:sz w:val="16"/>
                <w:szCs w:val="16"/>
                <w:color w:val="auto"/>
              </w:rPr>
              <w:t>Net operating profit</w:t>
            </w:r>
          </w:p>
        </w:tc>
        <w:tc>
          <w:tcPr>
            <w:tcW w:w="2900" w:type="dxa"/>
            <w:vAlign w:val="bottom"/>
          </w:tcPr>
          <w:p>
            <w:pPr>
              <w:jc w:val="right"/>
              <w:ind w:right="1159"/>
              <w:spacing w:after="0"/>
              <w:rPr>
                <w:sz w:val="20"/>
                <w:szCs w:val="20"/>
                <w:color w:val="auto"/>
              </w:rPr>
            </w:pPr>
            <w:r>
              <w:rPr>
                <w:rFonts w:ascii="Arial" w:cs="Arial" w:eastAsia="Arial" w:hAnsi="Arial"/>
                <w:sz w:val="16"/>
                <w:szCs w:val="16"/>
                <w:b w:val="1"/>
                <w:bCs w:val="1"/>
                <w:color w:val="auto"/>
              </w:rPr>
              <w:t>1,048</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1,371</w:t>
            </w:r>
          </w:p>
        </w:tc>
      </w:tr>
      <w:tr>
        <w:trPr>
          <w:trHeight w:val="33"/>
        </w:trPr>
        <w:tc>
          <w:tcPr>
            <w:tcW w:w="7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73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900" w:type="dxa"/>
            <w:vAlign w:val="bottom"/>
          </w:tcPr>
          <w:p>
            <w:pPr>
              <w:jc w:val="right"/>
              <w:ind w:right="1099"/>
              <w:spacing w:after="0"/>
              <w:rPr>
                <w:sz w:val="20"/>
                <w:szCs w:val="20"/>
                <w:color w:val="auto"/>
              </w:rPr>
            </w:pPr>
            <w:r>
              <w:rPr>
                <w:rFonts w:ascii="Arial" w:cs="Arial" w:eastAsia="Arial" w:hAnsi="Arial"/>
                <w:sz w:val="16"/>
                <w:szCs w:val="16"/>
                <w:b w:val="1"/>
                <w:bCs w:val="1"/>
                <w:color w:val="auto"/>
              </w:rPr>
              <w:t>(402)</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(539)</w:t>
            </w:r>
          </w:p>
        </w:tc>
      </w:tr>
      <w:tr>
        <w:trPr>
          <w:trHeight w:val="33"/>
        </w:trPr>
        <w:tc>
          <w:tcPr>
            <w:tcW w:w="73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profit after tax</w:t>
            </w:r>
          </w:p>
        </w:tc>
        <w:tc>
          <w:tcPr>
            <w:tcW w:w="29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$646</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$832</w:t>
            </w:r>
          </w:p>
        </w:tc>
      </w:tr>
      <w:tr>
        <w:trPr>
          <w:trHeight w:val="291"/>
        </w:trPr>
        <w:tc>
          <w:tcPr>
            <w:tcW w:w="734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total assets</w:t>
            </w:r>
          </w:p>
        </w:tc>
        <w:tc>
          <w:tcPr>
            <w:tcW w:w="29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$8,719</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$9,069</w:t>
            </w: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p>
        </w:tc>
        <w:tc>
          <w:tcPr>
            <w:tcW w:w="2900" w:type="dxa"/>
            <w:vAlign w:val="bottom"/>
          </w:tcPr>
          <w:p>
            <w:pPr>
              <w:jc w:val="right"/>
              <w:ind w:right="1099"/>
              <w:spacing w:after="0"/>
              <w:rPr>
                <w:sz w:val="20"/>
                <w:szCs w:val="20"/>
                <w:color w:val="auto"/>
              </w:rPr>
            </w:pPr>
            <w:r>
              <w:rPr>
                <w:rFonts w:ascii="Arial" w:cs="Arial" w:eastAsia="Arial" w:hAnsi="Arial"/>
                <w:sz w:val="16"/>
                <w:szCs w:val="16"/>
                <w:b w:val="1"/>
                <w:bCs w:val="1"/>
                <w:color w:val="auto"/>
              </w:rPr>
              <w:t>(3,039)</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(2,806)</w:t>
            </w:r>
          </w:p>
        </w:tc>
      </w:tr>
      <w:tr>
        <w:trPr>
          <w:trHeight w:val="33"/>
        </w:trPr>
        <w:tc>
          <w:tcPr>
            <w:tcW w:w="7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w:t>
            </w:r>
          </w:p>
        </w:tc>
        <w:tc>
          <w:tcPr>
            <w:tcW w:w="29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rPr>
              <w:t>(552)</w:t>
            </w:r>
          </w:p>
        </w:tc>
        <w:tc>
          <w:tcPr>
            <w:tcW w:w="11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(510)</w:t>
            </w:r>
          </w:p>
        </w:tc>
      </w:tr>
      <w:tr>
        <w:trPr>
          <w:trHeight w:val="270"/>
        </w:trPr>
        <w:tc>
          <w:tcPr>
            <w:tcW w:w="7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9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1,312</w:t>
            </w: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1,085</w:t>
            </w:r>
          </w:p>
        </w:tc>
      </w:tr>
      <w:tr>
        <w:trPr>
          <w:trHeight w:val="269"/>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90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$6,440</w:t>
            </w:r>
          </w:p>
        </w:tc>
        <w:tc>
          <w:tcPr>
            <w:tcW w:w="11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$6,838</w:t>
            </w:r>
          </w:p>
        </w:tc>
      </w:tr>
      <w:tr>
        <w:trPr>
          <w:trHeight w:val="291"/>
        </w:trPr>
        <w:tc>
          <w:tcPr>
            <w:tcW w:w="734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p>
        </w:tc>
        <w:tc>
          <w:tcPr>
            <w:tcW w:w="29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5.9%</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237"/>
        </w:trPr>
        <w:tc>
          <w:tcPr>
            <w:tcW w:w="7340" w:type="dxa"/>
            <w:vAlign w:val="bottom"/>
          </w:tcPr>
          <w:p>
            <w:pPr>
              <w:ind w:left="40"/>
              <w:spacing w:after="0"/>
              <w:rPr>
                <w:sz w:val="20"/>
                <w:szCs w:val="20"/>
                <w:color w:val="auto"/>
              </w:rPr>
            </w:pPr>
            <w:r>
              <w:rPr>
                <w:rFonts w:ascii="Arial" w:cs="Arial" w:eastAsia="Arial" w:hAnsi="Arial"/>
                <w:sz w:val="16"/>
                <w:szCs w:val="16"/>
                <w:b w:val="1"/>
                <w:bCs w:val="1"/>
                <w:color w:val="auto"/>
              </w:rPr>
              <w:t>ROIC</w:t>
            </w:r>
          </w:p>
        </w:tc>
        <w:tc>
          <w:tcPr>
            <w:tcW w:w="2900" w:type="dxa"/>
            <w:vAlign w:val="bottom"/>
          </w:tcPr>
          <w:p>
            <w:pPr>
              <w:jc w:val="right"/>
              <w:ind w:right="999"/>
              <w:spacing w:after="0"/>
              <w:rPr>
                <w:sz w:val="20"/>
                <w:szCs w:val="20"/>
                <w:color w:val="auto"/>
              </w:rPr>
            </w:pPr>
            <w:r>
              <w:rPr>
                <w:rFonts w:ascii="Arial" w:cs="Arial" w:eastAsia="Arial" w:hAnsi="Arial"/>
                <w:sz w:val="16"/>
                <w:szCs w:val="16"/>
                <w:b w:val="1"/>
                <w:bCs w:val="1"/>
                <w:color w:val="auto"/>
              </w:rPr>
              <w:t>10.0%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12.2%</w:t>
            </w:r>
          </w:p>
        </w:tc>
      </w:tr>
    </w:tbl>
    <w:p>
      <w:pPr>
        <w:spacing w:after="0" w:line="28" w:lineRule="exact"/>
        <w:rPr>
          <w:sz w:val="20"/>
          <w:szCs w:val="20"/>
          <w:color w:val="auto"/>
        </w:rPr>
      </w:pPr>
    </w:p>
    <w:p>
      <w:pPr>
        <w:ind w:left="80" w:right="180" w:hanging="72"/>
        <w:spacing w:after="0" w:line="250" w:lineRule="auto"/>
        <w:tabs>
          <w:tab w:leader="none" w:pos="66" w:val="left"/>
        </w:tabs>
        <w:numPr>
          <w:ilvl w:val="0"/>
          <w:numId w:val="14"/>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if they had met the criteria for a capital lease or we had purchased the property. Asset base is calculated as described in footnote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right="60" w:hanging="72"/>
        <w:spacing w:after="0" w:line="255" w:lineRule="auto"/>
        <w:tabs>
          <w:tab w:leader="none" w:pos="66" w:val="left"/>
        </w:tabs>
        <w:numPr>
          <w:ilvl w:val="0"/>
          <w:numId w:val="15"/>
        </w:numPr>
        <w:rPr>
          <w:rFonts w:ascii="Arial" w:cs="Arial" w:eastAsia="Arial" w:hAnsi="Arial"/>
          <w:sz w:val="9"/>
          <w:szCs w:val="9"/>
          <w:color w:val="auto"/>
        </w:rPr>
      </w:pPr>
      <w:r>
        <w:rPr>
          <w:rFonts w:ascii="Arial" w:cs="Arial" w:eastAsia="Arial" w:hAnsi="Arial"/>
          <w:sz w:val="14"/>
          <w:szCs w:val="14"/>
          <w:color w:val="auto"/>
        </w:rPr>
        <w:t>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 described in footnote 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 of 27</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facilities and potential future borrowings are sufficient to finance our cash requirements for the next 12 months and beyond.</w:t>
      </w:r>
    </w:p>
    <w:p>
      <w:pPr>
        <w:spacing w:after="0" w:line="1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April 30, 2016, our existing cash and cash equivalents on-hand of $470, available credit facilities of $800 and potential future operating cash flows and borrowings will be sufficient to fund these scheduled future payments and potential long-term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Net cash provided by operating activities decreased $37 for the first quarter ended April 30, 2016, compared with the same period in 2015, primarily due to a decrease in earnings partially offset by favorable changes in working capital.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Net cash used in investing activities was $174 for the first quarter ended April 30, 2016, compared with net cash used of $239 for the same period in 2015 primarily due to a decrease in capital expenditures related to new U.S. full-line stores and relocations.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Net cash used in financing activities was $122 for the first quarter ended April 30, 2016, compared with $27 for the same period in 2015, primarily due to lower proceeds from common stock issuances, a decrease in cash book overdrafts and an increase in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first quarter ended 2016, we had negative Free Cash Flow of ($130) compared with ($116) for the first quarter ended 2015.</w:t>
      </w:r>
    </w:p>
    <w:p>
      <w:pPr>
        <w:spacing w:after="0" w:line="13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20" w:type="dxa"/>
            <w:vAlign w:val="bottom"/>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April 30, 2016</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May 2, 2015</w:t>
            </w:r>
          </w:p>
        </w:tc>
      </w:tr>
      <w:tr>
        <w:trPr>
          <w:trHeight w:val="33"/>
        </w:trPr>
        <w:tc>
          <w:tcPr>
            <w:tcW w:w="7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$171</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(205)</w:t>
            </w:r>
          </w:p>
        </w:tc>
        <w:tc>
          <w:tcPr>
            <w:tcW w:w="11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33"/>
        </w:trPr>
        <w:tc>
          <w:tcPr>
            <w:tcW w:w="7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dividends paid</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change in credit card receivables originated at third parties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w:t>
            </w:r>
          </w:p>
        </w:tc>
      </w:tr>
      <w:tr>
        <w:trPr>
          <w:trHeight w:val="33"/>
        </w:trPr>
        <w:tc>
          <w:tcPr>
            <w:tcW w:w="7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change in cash book overdrafts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62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($130)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76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76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27"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Pr>
          <w:p>
            <w:pPr>
              <w:jc w:val="right"/>
              <w:ind w:right="659"/>
              <w:spacing w:after="0"/>
              <w:rPr>
                <w:sz w:val="20"/>
                <w:szCs w:val="20"/>
                <w:color w:val="auto"/>
              </w:rPr>
            </w:pPr>
            <w:r>
              <w:rPr>
                <w:rFonts w:ascii="Arial" w:cs="Arial" w:eastAsia="Arial" w:hAnsi="Arial"/>
                <w:sz w:val="16"/>
                <w:szCs w:val="16"/>
                <w:b w:val="1"/>
                <w:bCs w:val="1"/>
                <w:color w:val="auto"/>
                <w:w w:val="90"/>
              </w:rPr>
              <w:t>($174)</w:t>
            </w:r>
          </w:p>
        </w:tc>
        <w:tc>
          <w:tcPr>
            <w:tcW w:w="11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70"/>
        </w:trPr>
        <w:tc>
          <w:tcPr>
            <w:tcW w:w="1180" w:type="dxa"/>
            <w:vAlign w:val="bottom"/>
          </w:tcPr>
          <w:p>
            <w:pPr>
              <w:jc w:val="right"/>
              <w:ind w:right="659"/>
              <w:spacing w:after="0"/>
              <w:rPr>
                <w:sz w:val="20"/>
                <w:szCs w:val="20"/>
                <w:color w:val="auto"/>
              </w:rPr>
            </w:pPr>
            <w:r>
              <w:rPr>
                <w:rFonts w:ascii="Arial" w:cs="Arial" w:eastAsia="Arial" w:hAnsi="Arial"/>
                <w:sz w:val="16"/>
                <w:szCs w:val="16"/>
                <w:b w:val="1"/>
                <w:bCs w:val="1"/>
                <w:color w:val="auto"/>
              </w:rPr>
              <w:t>(122)</w:t>
            </w: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-149860</wp:posOffset>
            </wp:positionV>
            <wp:extent cx="7229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20"/>
          </w:cols>
          <w:pgMar w:left="240" w:top="118" w:right="259" w:bottom="1440" w:gutter="0" w:footer="0" w:header="0"/>
          <w:type w:val="continuous"/>
        </w:sectPr>
      </w:pP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 of 27</w:t>
      </w:r>
    </w:p>
    <w:p>
      <w:pPr>
        <w:sectPr>
          <w:pgSz w:w="11900" w:h="16838" w:orient="portrait"/>
          <w:cols w:equalWidth="0" w:num="1">
            <w:col w:w="11400"/>
          </w:cols>
          <w:pgMar w:left="240" w:top="118" w:right="25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As of April 30, 2016, we had total short-term borrowing capacity of $800, which is our $800 senior unsecured revolving credit facility (“revolver”) that expires in April 2020, with an option to extend for an additional year.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 From time to time we utilize our commercial paper program to fund working capital needs, which has the effect of reducing our available liquidity under the revolver until repaid.</w:t>
      </w:r>
    </w:p>
    <w:p>
      <w:pPr>
        <w:spacing w:after="0" w:line="109" w:lineRule="exact"/>
        <w:rPr>
          <w:sz w:val="20"/>
          <w:szCs w:val="20"/>
          <w:color w:val="auto"/>
        </w:rPr>
      </w:pPr>
    </w:p>
    <w:p>
      <w:pPr>
        <w:ind w:right="1040"/>
        <w:spacing w:after="0" w:line="352" w:lineRule="auto"/>
        <w:rPr>
          <w:sz w:val="20"/>
          <w:szCs w:val="20"/>
          <w:color w:val="auto"/>
        </w:rPr>
      </w:pPr>
      <w:r>
        <w:rPr>
          <w:rFonts w:ascii="Arial" w:cs="Arial" w:eastAsia="Arial" w:hAnsi="Arial"/>
          <w:sz w:val="18"/>
          <w:szCs w:val="18"/>
          <w:color w:val="auto"/>
        </w:rPr>
        <w:t xml:space="preserve">As of April 30, 2016,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less than four times (see the following additional discussion of Adjusted Debt to EBITDAR). As of April 30, 2016, we were in compliance with this covenant.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27</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less than four times. As of April 30, 2016, our Adjusted Debt to EBITDAR was 2.4, compared with 2.1 as of May 2, 2015. This increase was primarily driven by reduced earnings.</w:t>
      </w:r>
    </w:p>
    <w:p>
      <w:pPr>
        <w:spacing w:after="0" w:line="1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color w:val="auto"/>
                <w:vertAlign w:val="superscript"/>
              </w:rPr>
              <w:t>1</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r>
              <w:rPr>
                <w:rFonts w:ascii="Arial" w:cs="Arial" w:eastAsia="Arial" w:hAnsi="Arial"/>
                <w:sz w:val="21"/>
                <w:szCs w:val="21"/>
                <w:color w:val="auto"/>
                <w:vertAlign w:val="superscript"/>
              </w:rPr>
              <w:t>1</w:t>
            </w: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$2,786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$3,146</w:t>
            </w:r>
          </w:p>
        </w:tc>
      </w:tr>
      <w:tr>
        <w:trPr>
          <w:trHeight w:val="270"/>
        </w:trPr>
        <w:tc>
          <w:tcPr>
            <w:tcW w:w="6440" w:type="dxa"/>
            <w:vAlign w:val="bottom"/>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1,459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1,147</w:t>
            </w: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fair value hedge adjustment included in long-term debt</w:t>
            </w:r>
          </w:p>
        </w:tc>
        <w:tc>
          <w:tcPr>
            <w:tcW w:w="37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Debt</w:t>
            </w:r>
          </w:p>
        </w:tc>
        <w:tc>
          <w:tcPr>
            <w:tcW w:w="37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$4,224</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$4,260</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$518</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$709</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321</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136</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962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w:t>
            </w:r>
          </w:p>
        </w:tc>
      </w:tr>
      <w:tr>
        <w:trPr>
          <w:trHeight w:val="297"/>
        </w:trPr>
        <w:tc>
          <w:tcPr>
            <w:tcW w:w="6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593</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Add: rent expense</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182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non-cash acquisition-related charges</w:t>
            </w:r>
          </w:p>
        </w:tc>
        <w:tc>
          <w:tcPr>
            <w:tcW w:w="37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r>
      <w:tr>
        <w:trPr>
          <w:trHeight w:val="231"/>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EBITDAR</w:t>
            </w:r>
          </w:p>
        </w:tc>
        <w:tc>
          <w:tcPr>
            <w:tcW w:w="370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$1,746</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$1,987</w:t>
            </w:r>
          </w:p>
        </w:tc>
      </w:tr>
      <w:tr>
        <w:trPr>
          <w:trHeight w:val="33"/>
        </w:trPr>
        <w:tc>
          <w:tcPr>
            <w:tcW w:w="64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4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b w:val="1"/>
                <w:bCs w:val="1"/>
                <w:color w:val="auto"/>
              </w:rPr>
              <w:t>Debt to Net Earnings</w:t>
            </w:r>
          </w:p>
        </w:tc>
        <w:tc>
          <w:tcPr>
            <w:tcW w:w="3700" w:type="dxa"/>
            <w:vAlign w:val="bottom"/>
          </w:tcPr>
          <w:p>
            <w:pPr>
              <w:jc w:val="right"/>
              <w:ind w:right="699"/>
              <w:spacing w:after="0"/>
              <w:rPr>
                <w:sz w:val="20"/>
                <w:szCs w:val="20"/>
                <w:color w:val="auto"/>
              </w:rPr>
            </w:pPr>
            <w:r>
              <w:rPr>
                <w:rFonts w:ascii="Arial" w:cs="Arial" w:eastAsia="Arial" w:hAnsi="Arial"/>
                <w:sz w:val="16"/>
                <w:szCs w:val="16"/>
                <w:b w:val="1"/>
                <w:bCs w:val="1"/>
                <w:color w:val="auto"/>
              </w:rPr>
              <w:t>5.4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w:t>
            </w:r>
          </w:p>
        </w:tc>
      </w:tr>
      <w:tr>
        <w:trPr>
          <w:trHeight w:val="33"/>
        </w:trPr>
        <w:tc>
          <w:tcPr>
            <w:tcW w:w="64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70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2.4</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r>
      <w:tr>
        <w:trPr>
          <w:trHeight w:val="33"/>
        </w:trPr>
        <w:tc>
          <w:tcPr>
            <w:tcW w:w="64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components of Adjusted Debt are as of April 30, 2016 and May 2, 2015, while the components of EBITDAR are for the 12 months ended April 30, 2016 and May 2, 2015.</w:t>
      </w:r>
    </w:p>
    <w:p>
      <w:pPr>
        <w:spacing w:after="0" w:line="8" w:lineRule="exact"/>
        <w:rPr>
          <w:sz w:val="20"/>
          <w:szCs w:val="20"/>
          <w:color w:val="auto"/>
        </w:rPr>
      </w:pPr>
    </w:p>
    <w:p>
      <w:pPr>
        <w:ind w:left="80" w:right="60" w:hanging="72"/>
        <w:spacing w:after="0" w:line="293" w:lineRule="auto"/>
        <w:tabs>
          <w:tab w:leader="none" w:pos="66" w:val="left"/>
        </w:tabs>
        <w:numPr>
          <w:ilvl w:val="0"/>
          <w:numId w:val="17"/>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 used method of estimating the debt we would record for our leases that are classified as operating if they had met the criteria for a capital lease or we had purchased the property.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 of 27</w:t>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discussed our interest rate risk and our foreign currency exchange risk in Part II, “Item 7A. Quantitative and Qualitative Disclosures About Market Risk” in our 2015 Annual Report on Form 10-K filed with the Securities and Exchange Commission on March 14, 2016. There have been no material changes to these risks since that time.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 of 27</w:t>
      </w:r>
    </w:p>
    <w:p>
      <w:pPr>
        <w:sectPr>
          <w:pgSz w:w="11900" w:h="16838" w:orient="portrait"/>
          <w:cols w:equalWidth="0" w:num="1">
            <w:col w:w="11360"/>
          </w:cols>
          <w:pgMar w:left="240" w:top="118"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first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Number of Shares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3700" w:type="dxa"/>
            <w:vAlign w:val="bottom"/>
          </w:tcPr>
          <w:p>
            <w:pPr>
              <w:spacing w:after="0"/>
              <w:rPr>
                <w:sz w:val="17"/>
                <w:szCs w:val="17"/>
                <w:color w:val="auto"/>
              </w:rPr>
            </w:pPr>
          </w:p>
        </w:tc>
        <w:tc>
          <w:tcPr>
            <w:tcW w:w="226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3700" w:type="dxa"/>
            <w:vAlign w:val="bottom"/>
          </w:tcPr>
          <w:p>
            <w:pPr>
              <w:spacing w:after="0"/>
              <w:rPr>
                <w:sz w:val="17"/>
                <w:szCs w:val="17"/>
                <w:color w:val="auto"/>
              </w:rPr>
            </w:pPr>
          </w:p>
        </w:tc>
        <w:tc>
          <w:tcPr>
            <w:tcW w:w="226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 Paid</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43"/>
        </w:trPr>
        <w:tc>
          <w:tcPr>
            <w:tcW w:w="370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Per Share</w:t>
            </w:r>
          </w:p>
        </w:tc>
        <w:tc>
          <w:tcPr>
            <w:tcW w:w="2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Plans or Programs</w:t>
            </w: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color w:val="auto"/>
                <w:vertAlign w:val="superscript"/>
              </w:rPr>
              <w:t>1</w:t>
            </w:r>
          </w:p>
        </w:tc>
      </w:tr>
      <w:tr>
        <w:trPr>
          <w:trHeight w:val="213"/>
        </w:trPr>
        <w:tc>
          <w:tcPr>
            <w:tcW w:w="3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2016</w:t>
            </w: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2016 to February 27, 2016)</w:t>
            </w:r>
          </w:p>
        </w:tc>
        <w:tc>
          <w:tcPr>
            <w:tcW w:w="2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$49.36</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20"/>
        </w:trPr>
        <w:tc>
          <w:tcPr>
            <w:tcW w:w="3700" w:type="dxa"/>
            <w:vAlign w:val="bottom"/>
          </w:tcPr>
          <w:p>
            <w:pPr>
              <w:ind w:left="40"/>
              <w:spacing w:after="0"/>
              <w:rPr>
                <w:sz w:val="20"/>
                <w:szCs w:val="20"/>
                <w:color w:val="auto"/>
              </w:rPr>
            </w:pPr>
            <w:r>
              <w:rPr>
                <w:rFonts w:ascii="Arial" w:cs="Arial" w:eastAsia="Arial" w:hAnsi="Arial"/>
                <w:sz w:val="16"/>
                <w:szCs w:val="16"/>
                <w:color w:val="auto"/>
              </w:rPr>
              <w:t>March 2016</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6"/>
        </w:trPr>
        <w:tc>
          <w:tcPr>
            <w:tcW w:w="3700" w:type="dxa"/>
            <w:vAlign w:val="bottom"/>
          </w:tcPr>
          <w:p>
            <w:pPr>
              <w:ind w:left="40"/>
              <w:spacing w:after="0"/>
              <w:rPr>
                <w:sz w:val="20"/>
                <w:szCs w:val="20"/>
                <w:color w:val="auto"/>
              </w:rPr>
            </w:pPr>
            <w:r>
              <w:rPr>
                <w:rFonts w:ascii="Arial" w:cs="Arial" w:eastAsia="Arial" w:hAnsi="Arial"/>
                <w:sz w:val="16"/>
                <w:szCs w:val="16"/>
                <w:color w:val="auto"/>
              </w:rPr>
              <w:t>(February 28, 2016 to April 2, 2016)</w:t>
            </w:r>
          </w:p>
        </w:tc>
        <w:tc>
          <w:tcPr>
            <w:tcW w:w="2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761</w:t>
            </w:r>
          </w:p>
        </w:tc>
      </w:tr>
      <w:tr>
        <w:trPr>
          <w:trHeight w:val="33"/>
        </w:trPr>
        <w:tc>
          <w:tcPr>
            <w:tcW w:w="3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0"/>
        </w:trPr>
        <w:tc>
          <w:tcPr>
            <w:tcW w:w="3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2016</w:t>
            </w:r>
          </w:p>
        </w:tc>
        <w:tc>
          <w:tcPr>
            <w:tcW w:w="2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 2016 to April 30, 2016)</w:t>
            </w:r>
          </w:p>
        </w:tc>
        <w:tc>
          <w:tcPr>
            <w:tcW w:w="2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31"/>
        </w:trPr>
        <w:tc>
          <w:tcPr>
            <w:tcW w:w="37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$49.36</w:t>
            </w:r>
          </w:p>
        </w:tc>
        <w:tc>
          <w:tcPr>
            <w:tcW w:w="21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1.0</w:t>
            </w:r>
          </w:p>
        </w:tc>
        <w:tc>
          <w:tcPr>
            <w:tcW w:w="2260" w:type="dxa"/>
            <w:vAlign w:val="bottom"/>
            <w:tcBorders>
              <w:top w:val="single" w:sz="8" w:color="auto"/>
            </w:tcBorders>
          </w:tcPr>
          <w:p>
            <w:pPr>
              <w:spacing w:after="0"/>
              <w:rPr>
                <w:sz w:val="20"/>
                <w:szCs w:val="20"/>
                <w:color w:val="auto"/>
              </w:rPr>
            </w:pPr>
          </w:p>
        </w:tc>
      </w:tr>
    </w:tbl>
    <w:p>
      <w:pPr>
        <w:spacing w:after="0" w:line="28" w:lineRule="exact"/>
        <w:rPr>
          <w:sz w:val="20"/>
          <w:szCs w:val="20"/>
          <w:color w:val="auto"/>
        </w:rPr>
      </w:pPr>
    </w:p>
    <w:p>
      <w:pPr>
        <w:ind w:left="80" w:right="400" w:hanging="72"/>
        <w:spacing w:after="0" w:line="273" w:lineRule="auto"/>
        <w:tabs>
          <w:tab w:leader="none" w:pos="66" w:val="left"/>
        </w:tabs>
        <w:numPr>
          <w:ilvl w:val="0"/>
          <w:numId w:val="18"/>
        </w:numPr>
        <w:rPr>
          <w:rFonts w:ascii="Arial" w:cs="Arial" w:eastAsia="Arial" w:hAnsi="Arial"/>
          <w:sz w:val="9"/>
          <w:szCs w:val="9"/>
          <w:color w:val="auto"/>
        </w:rPr>
      </w:pPr>
      <w:r>
        <w:rPr>
          <w:rFonts w:ascii="Arial" w:cs="Arial" w:eastAsia="Arial" w:hAnsi="Arial"/>
          <w:sz w:val="14"/>
          <w:szCs w:val="14"/>
          <w:color w:val="auto"/>
        </w:rPr>
        <w:t>On October 1, 2015, our Board of Directors authorized a program to repurchase up to $1,000 of our outstanding common stock through March 1, 2017. The actual number, price, manner and timing of future share repurchases, if any, will be subject to market and economic conditions and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27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 of 27</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2016</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 of 27</w:t>
      </w:r>
    </w:p>
    <w:p>
      <w:pPr>
        <w:sectPr>
          <w:pgSz w:w="11900" w:h="16838" w:orient="portrait"/>
          <w:cols w:equalWidth="0" w:num="1">
            <w:col w:w="11220"/>
          </w:cols>
          <w:pgMar w:left="240" w:top="118" w:right="4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5300" w:type="dxa"/>
            <w:vAlign w:val="bottom"/>
          </w:tcPr>
          <w:p>
            <w:pPr>
              <w:ind w:left="190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9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2"/>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5300" w:type="dxa"/>
            <w:vAlign w:val="bottom"/>
          </w:tcPr>
          <w:p>
            <w:pPr>
              <w:ind w:left="180"/>
              <w:spacing w:after="0"/>
              <w:rPr>
                <w:sz w:val="20"/>
                <w:szCs w:val="20"/>
                <w:color w:val="auto"/>
              </w:rPr>
            </w:pPr>
            <w:r>
              <w:rPr>
                <w:rFonts w:ascii="Arial" w:cs="Arial" w:eastAsia="Arial" w:hAnsi="Arial"/>
                <w:sz w:val="18"/>
                <w:szCs w:val="18"/>
                <w:color w:val="auto"/>
              </w:rPr>
              <w:t>Form of the 2016 Nonqualified Stock Option Grant Agreement</w:t>
            </w:r>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0"/>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March 1, 2016, Exhibit 10.1</w:t>
            </w: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5300" w:type="dxa"/>
            <w:vAlign w:val="bottom"/>
          </w:tcPr>
          <w:p>
            <w:pPr>
              <w:ind w:left="180"/>
              <w:spacing w:after="0"/>
              <w:rPr>
                <w:sz w:val="20"/>
                <w:szCs w:val="20"/>
                <w:color w:val="auto"/>
              </w:rPr>
            </w:pPr>
            <w:r>
              <w:rPr>
                <w:rFonts w:ascii="Arial" w:cs="Arial" w:eastAsia="Arial" w:hAnsi="Arial"/>
                <w:sz w:val="18"/>
                <w:szCs w:val="18"/>
                <w:color w:val="auto"/>
              </w:rPr>
              <w:t>Form of the 2016 Restricted Stock Unit Award Agreement</w:t>
            </w:r>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0"/>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March 1, 2016, Exhibit 10.2</w:t>
            </w: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5300" w:type="dxa"/>
            <w:vAlign w:val="bottom"/>
          </w:tcPr>
          <w:p>
            <w:pPr>
              <w:ind w:left="180"/>
              <w:spacing w:after="0"/>
              <w:rPr>
                <w:sz w:val="20"/>
                <w:szCs w:val="20"/>
                <w:color w:val="auto"/>
              </w:rPr>
            </w:pPr>
            <w:r>
              <w:rPr>
                <w:rFonts w:ascii="Arial" w:cs="Arial" w:eastAsia="Arial" w:hAnsi="Arial"/>
                <w:sz w:val="18"/>
                <w:szCs w:val="18"/>
                <w:color w:val="auto"/>
              </w:rPr>
              <w:t>Form of the 2016 Performance Share Unit Award Agreement</w:t>
            </w:r>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0"/>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March 1, 2016, Exhibit 10.3</w:t>
            </w: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5300" w:type="dxa"/>
            <w:vAlign w:val="bottom"/>
          </w:tcPr>
          <w:p>
            <w:pPr>
              <w:ind w:left="180"/>
              <w:spacing w:after="0"/>
              <w:rPr>
                <w:sz w:val="20"/>
                <w:szCs w:val="20"/>
                <w:color w:val="auto"/>
              </w:rPr>
            </w:pPr>
            <w:r>
              <w:rPr>
                <w:rFonts w:ascii="Arial" w:cs="Arial" w:eastAsia="Arial" w:hAnsi="Arial"/>
                <w:sz w:val="18"/>
                <w:szCs w:val="18"/>
                <w:color w:val="auto"/>
              </w:rPr>
              <w:t>Amendment 2016-1 to Nordstrom Leadership Separation Plan</w:t>
            </w:r>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30"/>
        </w:trPr>
        <w:tc>
          <w:tcPr>
            <w:tcW w:w="9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March 1, 2016, Exhibit 10.4</w:t>
            </w: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5300" w:type="dxa"/>
            <w:vAlign w:val="bottom"/>
          </w:tcPr>
          <w:p>
            <w:pPr>
              <w:ind w:left="180"/>
              <w:spacing w:after="0"/>
              <w:rPr>
                <w:sz w:val="20"/>
                <w:szCs w:val="20"/>
                <w:color w:val="auto"/>
              </w:rPr>
            </w:pPr>
            <w:r>
              <w:rPr>
                <w:rFonts w:ascii="Arial" w:cs="Arial" w:eastAsia="Arial" w:hAnsi="Arial"/>
                <w:sz w:val="18"/>
                <w:szCs w:val="18"/>
                <w:color w:val="auto"/>
                <w:w w:val="97"/>
              </w:rPr>
              <w:t>First Amendment to Revolving Credit Agreement dated March 31,</w:t>
            </w:r>
          </w:p>
        </w:tc>
        <w:tc>
          <w:tcPr>
            <w:tcW w:w="5220" w:type="dxa"/>
            <w:vAlign w:val="bottom"/>
          </w:tcPr>
          <w:p>
            <w:pPr>
              <w:ind w:left="120"/>
              <w:spacing w:after="0"/>
              <w:rPr>
                <w:sz w:val="20"/>
                <w:szCs w:val="20"/>
                <w:color w:val="auto"/>
              </w:rPr>
            </w:pPr>
            <w:r>
              <w:rPr>
                <w:rFonts w:ascii="Arial" w:cs="Arial" w:eastAsia="Arial" w:hAnsi="Arial"/>
                <w:sz w:val="18"/>
                <w:szCs w:val="18"/>
                <w:color w:val="auto"/>
                <w:w w:val="97"/>
              </w:rPr>
              <w:t>Incorporated by reference from the Registrant’s Form 8-K filed on</w:t>
            </w:r>
          </w:p>
        </w:tc>
      </w:tr>
      <w:tr>
        <w:trPr>
          <w:trHeight w:val="216"/>
        </w:trPr>
        <w:tc>
          <w:tcPr>
            <w:tcW w:w="90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5"/>
              </w:rPr>
              <w:t>2016, between Registrant, Bank of America, N.A. as Agent and the</w:t>
            </w:r>
          </w:p>
        </w:tc>
        <w:tc>
          <w:tcPr>
            <w:tcW w:w="5220" w:type="dxa"/>
            <w:vAlign w:val="bottom"/>
          </w:tcPr>
          <w:p>
            <w:pPr>
              <w:ind w:left="120"/>
              <w:spacing w:after="0"/>
              <w:rPr>
                <w:sz w:val="20"/>
                <w:szCs w:val="20"/>
                <w:color w:val="auto"/>
              </w:rPr>
            </w:pPr>
            <w:r>
              <w:rPr>
                <w:rFonts w:ascii="Arial" w:cs="Arial" w:eastAsia="Arial" w:hAnsi="Arial"/>
                <w:sz w:val="18"/>
                <w:szCs w:val="18"/>
                <w:color w:val="auto"/>
              </w:rPr>
              <w:t>April 6, 2016, Exhibit 10.1</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Lenders party thereto</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5300" w:type="dxa"/>
            <w:vAlign w:val="bottom"/>
          </w:tcPr>
          <w:p>
            <w:pPr>
              <w:ind w:left="180"/>
              <w:spacing w:after="0"/>
              <w:rPr>
                <w:sz w:val="20"/>
                <w:szCs w:val="20"/>
                <w:color w:val="auto"/>
              </w:rPr>
            </w:pPr>
            <w:r>
              <w:rPr>
                <w:rFonts w:ascii="Arial" w:cs="Arial" w:eastAsia="Arial" w:hAnsi="Arial"/>
                <w:sz w:val="18"/>
                <w:szCs w:val="18"/>
                <w:color w:val="auto"/>
              </w:rPr>
              <w:t>Certification of Co-President required by Section 302(a) of the</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5300" w:type="dxa"/>
            <w:vAlign w:val="bottom"/>
          </w:tcPr>
          <w:p>
            <w:pPr>
              <w:ind w:left="180"/>
              <w:spacing w:after="0"/>
              <w:rPr>
                <w:sz w:val="20"/>
                <w:szCs w:val="20"/>
                <w:color w:val="auto"/>
              </w:rPr>
            </w:pPr>
            <w:r>
              <w:rPr>
                <w:rFonts w:ascii="Arial" w:cs="Arial" w:eastAsia="Arial" w:hAnsi="Arial"/>
                <w:sz w:val="18"/>
                <w:szCs w:val="18"/>
                <w:color w:val="auto"/>
                <w:w w:val="95"/>
              </w:rPr>
              <w:t>Certification of Chief Financial Officer required by Section 302(a) of</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the Sarbanes-Oxley Act of 2002</w:t>
            </w:r>
          </w:p>
        </w:tc>
        <w:tc>
          <w:tcPr>
            <w:tcW w:w="5220" w:type="dxa"/>
            <w:vAlign w:val="bottom"/>
          </w:tcPr>
          <w:p>
            <w:pPr>
              <w:spacing w:after="0"/>
              <w:rPr>
                <w:sz w:val="20"/>
                <w:szCs w:val="20"/>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5300" w:type="dxa"/>
            <w:vAlign w:val="bottom"/>
          </w:tcPr>
          <w:p>
            <w:pPr>
              <w:ind w:left="180"/>
              <w:spacing w:after="0"/>
              <w:rPr>
                <w:sz w:val="20"/>
                <w:szCs w:val="20"/>
                <w:color w:val="auto"/>
              </w:rPr>
            </w:pPr>
            <w:r>
              <w:rPr>
                <w:rFonts w:ascii="Arial" w:cs="Arial" w:eastAsia="Arial" w:hAnsi="Arial"/>
                <w:sz w:val="18"/>
                <w:szCs w:val="18"/>
                <w:color w:val="auto"/>
                <w:w w:val="94"/>
              </w:rPr>
              <w:t>Certification of Co-President and Chief Financial Officer pursuant to</w:t>
            </w:r>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216"/>
        </w:trPr>
        <w:tc>
          <w:tcPr>
            <w:tcW w:w="900" w:type="dxa"/>
            <w:vAlign w:val="bottom"/>
          </w:tcPr>
          <w:p>
            <w:pPr>
              <w:spacing w:after="0"/>
              <w:rPr>
                <w:sz w:val="18"/>
                <w:szCs w:val="18"/>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w w:val="91"/>
              </w:rPr>
              <w:t>18 U.S.C. 1350, as adopted pursuant to Section 906 of the Sarbanes-</w:t>
            </w:r>
          </w:p>
        </w:tc>
        <w:tc>
          <w:tcPr>
            <w:tcW w:w="522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Oxley Act of 2002</w:t>
            </w:r>
          </w:p>
        </w:tc>
        <w:tc>
          <w:tcPr>
            <w:tcW w:w="5220" w:type="dxa"/>
            <w:vAlign w:val="bottom"/>
          </w:tcPr>
          <w:p>
            <w:pPr>
              <w:spacing w:after="0"/>
              <w:rPr>
                <w:sz w:val="20"/>
                <w:szCs w:val="20"/>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53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53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90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900" w:type="dxa"/>
            <w:vAlign w:val="bottom"/>
          </w:tcPr>
          <w:p>
            <w:pPr>
              <w:spacing w:after="0"/>
              <w:rPr>
                <w:sz w:val="24"/>
                <w:szCs w:val="24"/>
                <w:color w:val="auto"/>
              </w:rPr>
            </w:pPr>
          </w:p>
        </w:tc>
        <w:tc>
          <w:tcPr>
            <w:tcW w:w="5300" w:type="dxa"/>
            <w:vAlign w:val="bottom"/>
          </w:tcPr>
          <w:p>
            <w:pPr>
              <w:ind w:left="4520"/>
              <w:spacing w:after="0"/>
              <w:rPr>
                <w:sz w:val="20"/>
                <w:szCs w:val="20"/>
                <w:color w:val="auto"/>
              </w:rPr>
            </w:pPr>
            <w:r>
              <w:rPr>
                <w:rFonts w:ascii="Arial" w:cs="Arial" w:eastAsia="Arial" w:hAnsi="Arial"/>
                <w:sz w:val="18"/>
                <w:szCs w:val="18"/>
                <w:color w:val="auto"/>
              </w:rPr>
              <w:t>27 of 27</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32"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2016</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 Koppel,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G. Koppel</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pacing w:after="0" w:line="319"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June 1, 2016</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April 30, 2016, as filed with the Securities and Exchange Commission on the date hereof (the “Report”), we, Blake W. Nordstrom, Co-President (Principal Executive Officer), and Michael G. Koppel, Executive Vice President and Chief Financial Officer (Principal Financial Officer), of the Company,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G. Koppel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of Nordstrom, Inc.</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1, 2016</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abstractNum>
  <w:abstractNum w:abstractNumId="15">
    <w:nsid w:val="3F2DBA31"/>
    <w:multiLevelType w:val="hybridMultilevel"/>
    <w:lvl w:ilvl="0">
      <w:lvlJc w:val="left"/>
      <w:lvlText w:val="1"/>
      <w:numFmt w:val="bullet"/>
      <w:start w:val="1"/>
    </w:lvl>
  </w:abstractNum>
  <w:abstractNum w:abstractNumId="16">
    <w:nsid w:val="7C83E458"/>
    <w:multiLevelType w:val="hybridMultilevel"/>
    <w:lvl w:ilvl="0">
      <w:lvlJc w:val="left"/>
      <w:lvlText w:val="2"/>
      <w:numFmt w:val="bullet"/>
      <w:start w:val="1"/>
    </w:lvl>
  </w:abstractNum>
  <w:abstractNum w:abstractNumId="17">
    <w:nsid w:val="257130A3"/>
    <w:multiLevelType w:val="hybridMultilevel"/>
    <w:lvl w:ilvl="0">
      <w:lvlJc w:val="left"/>
      <w:lvlText w:val="1"/>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2019-12-29T11:24:03Z</dcterms:created>
  <dcterms:modified xsi:type="dcterms:W3CDTF">2019-12-29T11:24:03Z</dcterms:modified>
</cp:coreProperties>
</file>