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342"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11-K</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020" w:right="2199" w:hanging="4012"/>
        <w:spacing w:after="0" w:line="278" w:lineRule="auto"/>
        <w:tabs>
          <w:tab w:leader="none" w:pos="18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15(d) OF THE SECURITIES EXCHANGE ACT OF 1934 </w:t>
      </w:r>
      <w:r>
        <w:rPr>
          <w:rFonts w:ascii="Arial" w:cs="Arial" w:eastAsia="Arial" w:hAnsi="Arial"/>
          <w:sz w:val="17"/>
          <w:szCs w:val="17"/>
          <w:b w:val="1"/>
          <w:bCs w:val="1"/>
          <w:color w:val="auto"/>
        </w:rPr>
        <w:t>For the fiscal year ended December 31, 2018</w:t>
      </w:r>
    </w:p>
    <w:p>
      <w:pPr>
        <w:spacing w:after="0" w:line="113"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440" w:right="1779" w:hanging="3432"/>
        <w:spacing w:after="0" w:line="303" w:lineRule="auto"/>
        <w:tabs>
          <w:tab w:leader="none" w:pos="25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15(d) OF THE SECURITIES EXCHANGE ACT OF 1934 </w:t>
      </w:r>
      <w:r>
        <w:rPr>
          <w:rFonts w:ascii="Arial" w:cs="Arial" w:eastAsia="Arial" w:hAnsi="Arial"/>
          <w:sz w:val="17"/>
          <w:szCs w:val="17"/>
          <w:b w:val="1"/>
          <w:bCs w:val="1"/>
          <w:color w:val="auto"/>
        </w:rPr>
        <w:t>For the transition period from ___________ to___________</w:t>
      </w:r>
    </w:p>
    <w:p>
      <w:pPr>
        <w:spacing w:after="0" w:line="9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001-15059</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10"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Nordstrom 401(k) Plan</w:t>
      </w:r>
    </w:p>
    <w:p>
      <w:pPr>
        <w:spacing w:after="0" w:line="250" w:lineRule="exact"/>
        <w:rPr>
          <w:sz w:val="24"/>
          <w:szCs w:val="24"/>
          <w:color w:val="auto"/>
        </w:rPr>
      </w:pPr>
    </w:p>
    <w:p>
      <w:pPr>
        <w:spacing w:after="0"/>
        <w:rPr>
          <w:sz w:val="20"/>
          <w:szCs w:val="20"/>
          <w:color w:val="auto"/>
        </w:rPr>
      </w:pPr>
      <w:r>
        <w:rPr>
          <w:rFonts w:ascii="Arial" w:cs="Arial" w:eastAsia="Arial" w:hAnsi="Arial"/>
          <w:sz w:val="17"/>
          <w:szCs w:val="17"/>
          <w:color w:val="auto"/>
        </w:rPr>
        <w:t>B. Name of issuer of the securities held pursuant to the plan and the address of its principal executive office:</w:t>
      </w: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Nordstrom, Inc.</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1617 Sixth Avenue, Seattle, Washington 98101</w:t>
      </w:r>
    </w:p>
    <w:p>
      <w:pPr>
        <w:spacing w:after="0" w:line="238" w:lineRule="exact"/>
        <w:rPr>
          <w:sz w:val="24"/>
          <w:szCs w:val="24"/>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283"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REQUIRED INFORMATION</w:t>
      </w:r>
    </w:p>
    <w:p>
      <w:pPr>
        <w:spacing w:after="0" w:line="22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Nordstrom 401(k) Plan is subject to the requirements of the Employee Retirement Income Security Act of 1974 (“ERISA”). Plan financial statements and schedules prepared in accordance with the financial reporting requirements of ERISA are filed as Exhibit 99.1.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Consent of Independent Registered Public Accounting Firm is filed as 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located on page 3.</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101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Nordstrom 401(k)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20" w:type="dxa"/>
            <w:vAlign w:val="bottom"/>
            <w:gridSpan w:val="6"/>
          </w:tcPr>
          <w:p>
            <w:pPr>
              <w:ind w:left="1680"/>
              <w:spacing w:after="0"/>
              <w:rPr>
                <w:sz w:val="20"/>
                <w:szCs w:val="20"/>
                <w:color w:val="auto"/>
              </w:rPr>
            </w:pPr>
            <w:r>
              <w:rPr>
                <w:rFonts w:ascii="Arial" w:cs="Arial" w:eastAsia="Arial" w:hAnsi="Arial"/>
                <w:sz w:val="18"/>
                <w:szCs w:val="18"/>
                <w:b w:val="1"/>
                <w:bCs w:val="1"/>
                <w:color w:val="auto"/>
              </w:rPr>
              <w:t>Exhibit</w:t>
            </w:r>
          </w:p>
        </w:tc>
        <w:tc>
          <w:tcPr>
            <w:tcW w:w="5320" w:type="dxa"/>
            <w:vAlign w:val="bottom"/>
          </w:tcPr>
          <w:p>
            <w:pPr>
              <w:ind w:left="212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196"/>
        </w:trPr>
        <w:tc>
          <w:tcPr>
            <w:tcW w:w="84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96"/>
              </w:rPr>
              <w:t>23.1</w:t>
            </w:r>
          </w:p>
        </w:tc>
        <w:tc>
          <w:tcPr>
            <w:tcW w:w="5260" w:type="dxa"/>
            <w:vAlign w:val="bottom"/>
            <w:gridSpan w:val="7"/>
          </w:tcPr>
          <w:p>
            <w:pPr>
              <w:spacing w:after="0" w:line="196" w:lineRule="exact"/>
              <w:rPr>
                <w:sz w:val="20"/>
                <w:szCs w:val="20"/>
                <w:color w:val="auto"/>
              </w:rPr>
            </w:pPr>
            <w:r>
              <w:rPr>
                <w:rFonts w:ascii="Arial" w:cs="Arial" w:eastAsia="Arial" w:hAnsi="Arial"/>
                <w:sz w:val="18"/>
                <w:szCs w:val="18"/>
                <w:color w:val="0000FF"/>
              </w:rPr>
              <w:t>Consent of Independent Registered Public Accounting Firm</w:t>
            </w:r>
          </w:p>
        </w:tc>
        <w:tc>
          <w:tcPr>
            <w:tcW w:w="5320" w:type="dxa"/>
            <w:vAlign w:val="bottom"/>
          </w:tcPr>
          <w:p>
            <w:pPr>
              <w:ind w:left="100"/>
              <w:spacing w:after="0" w:line="196" w:lineRule="exact"/>
              <w:rPr>
                <w:sz w:val="20"/>
                <w:szCs w:val="20"/>
                <w:color w:val="auto"/>
              </w:rPr>
            </w:pPr>
            <w:r>
              <w:rPr>
                <w:rFonts w:ascii="Arial" w:cs="Arial" w:eastAsia="Arial" w:hAnsi="Arial"/>
                <w:sz w:val="18"/>
                <w:szCs w:val="18"/>
                <w:color w:val="auto"/>
              </w:rPr>
              <w:t>Filed herewith electronically</w:t>
            </w:r>
          </w:p>
        </w:tc>
      </w:tr>
      <w:tr>
        <w:trPr>
          <w:trHeight w:val="372"/>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99.1</w:t>
            </w:r>
          </w:p>
        </w:tc>
        <w:tc>
          <w:tcPr>
            <w:tcW w:w="4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Nordstrom 401(k) Plan Financial Statements</w:t>
            </w:r>
          </w:p>
        </w:tc>
        <w:tc>
          <w:tcPr>
            <w:tcW w:w="940" w:type="dxa"/>
            <w:vAlign w:val="bottom"/>
            <w:gridSpan w:val="3"/>
          </w:tcPr>
          <w:p>
            <w:pPr>
              <w:spacing w:after="0"/>
              <w:rPr>
                <w:sz w:val="24"/>
                <w:szCs w:val="24"/>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20"/>
        </w:trPr>
        <w:tc>
          <w:tcPr>
            <w:tcW w:w="8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72"/>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99.2</w:t>
            </w:r>
          </w:p>
        </w:tc>
        <w:tc>
          <w:tcPr>
            <w:tcW w:w="5260" w:type="dxa"/>
            <w:vAlign w:val="bottom"/>
            <w:gridSpan w:val="7"/>
          </w:tcPr>
          <w:p>
            <w:pPr>
              <w:spacing w:after="0"/>
              <w:rPr>
                <w:rFonts w:ascii="Arial" w:cs="Arial" w:eastAsia="Arial" w:hAnsi="Arial"/>
                <w:sz w:val="18"/>
                <w:szCs w:val="18"/>
                <w:color w:val="0000FF"/>
                <w:w w:val="91"/>
              </w:rPr>
            </w:pPr>
            <w:hyperlink r:id="rId8">
              <w:r>
                <w:rPr>
                  <w:rFonts w:ascii="Arial" w:cs="Arial" w:eastAsia="Arial" w:hAnsi="Arial"/>
                  <w:sz w:val="18"/>
                  <w:szCs w:val="18"/>
                  <w:color w:val="0000FF"/>
                  <w:w w:val="91"/>
                </w:rPr>
                <w:t>Nordstrom 401(k) Plan &amp; Profit Sharing, amended and restated on June</w:t>
              </w:r>
            </w:hyperlink>
          </w:p>
        </w:tc>
        <w:tc>
          <w:tcPr>
            <w:tcW w:w="5320" w:type="dxa"/>
            <w:vAlign w:val="bottom"/>
          </w:tcPr>
          <w:p>
            <w:pPr>
              <w:ind w:left="100"/>
              <w:spacing w:after="0"/>
              <w:rPr>
                <w:sz w:val="20"/>
                <w:szCs w:val="20"/>
                <w:color w:val="auto"/>
              </w:rPr>
            </w:pPr>
            <w:r>
              <w:rPr>
                <w:rFonts w:ascii="Arial" w:cs="Arial" w:eastAsia="Arial" w:hAnsi="Arial"/>
                <w:sz w:val="18"/>
                <w:szCs w:val="18"/>
                <w:color w:val="auto"/>
                <w:w w:val="95"/>
              </w:rPr>
              <w:t>Incorporated by reference from the Nordstrom, Inc. Quarterly Report</w:t>
            </w:r>
          </w:p>
        </w:tc>
      </w:tr>
      <w:tr>
        <w:trPr>
          <w:trHeight w:val="196"/>
        </w:trPr>
        <w:tc>
          <w:tcPr>
            <w:tcW w:w="84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8">
              <w:r>
                <w:rPr>
                  <w:rFonts w:ascii="Arial" w:cs="Arial" w:eastAsia="Arial" w:hAnsi="Arial"/>
                  <w:sz w:val="18"/>
                  <w:szCs w:val="18"/>
                  <w:color w:val="0000FF"/>
                  <w:w w:val="88"/>
                </w:rPr>
                <w:t>12, 2014</w:t>
              </w:r>
            </w:hyperlink>
          </w:p>
        </w:tc>
        <w:tc>
          <w:tcPr>
            <w:tcW w:w="25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tcPr>
          <w:p>
            <w:pPr>
              <w:ind w:left="100"/>
              <w:spacing w:after="0" w:line="196" w:lineRule="exact"/>
              <w:rPr>
                <w:sz w:val="20"/>
                <w:szCs w:val="20"/>
                <w:color w:val="auto"/>
              </w:rPr>
            </w:pPr>
            <w:r>
              <w:rPr>
                <w:rFonts w:ascii="Arial" w:cs="Arial" w:eastAsia="Arial" w:hAnsi="Arial"/>
                <w:sz w:val="18"/>
                <w:szCs w:val="18"/>
                <w:color w:val="auto"/>
              </w:rPr>
              <w:t>on Form 10-Q for the quarter ended May 2, 2015, Exhibit 10.2</w:t>
            </w:r>
          </w:p>
        </w:tc>
      </w:tr>
      <w:tr>
        <w:trPr>
          <w:trHeight w:val="372"/>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99.3</w:t>
            </w:r>
          </w:p>
        </w:tc>
        <w:tc>
          <w:tcPr>
            <w:tcW w:w="5260" w:type="dxa"/>
            <w:vAlign w:val="bottom"/>
            <w:gridSpan w:val="7"/>
          </w:tcPr>
          <w:p>
            <w:pPr>
              <w:spacing w:after="0"/>
              <w:rPr>
                <w:rFonts w:ascii="Arial" w:cs="Arial" w:eastAsia="Arial" w:hAnsi="Arial"/>
                <w:sz w:val="18"/>
                <w:szCs w:val="18"/>
                <w:color w:val="0000FF"/>
                <w:w w:val="99"/>
              </w:rPr>
            </w:pPr>
            <w:hyperlink r:id="rId9">
              <w:r>
                <w:rPr>
                  <w:rFonts w:ascii="Arial" w:cs="Arial" w:eastAsia="Arial" w:hAnsi="Arial"/>
                  <w:sz w:val="18"/>
                  <w:szCs w:val="18"/>
                  <w:color w:val="0000FF"/>
                  <w:w w:val="99"/>
                </w:rPr>
                <w:t>Amendment 2014-4 to the Nordstrom 401(k) Plan &amp; Profit Sharing</w:t>
              </w:r>
            </w:hyperlink>
          </w:p>
        </w:tc>
        <w:tc>
          <w:tcPr>
            <w:tcW w:w="5320" w:type="dxa"/>
            <w:vAlign w:val="bottom"/>
          </w:tcPr>
          <w:p>
            <w:pPr>
              <w:ind w:left="100"/>
              <w:spacing w:after="0"/>
              <w:rPr>
                <w:sz w:val="20"/>
                <w:szCs w:val="20"/>
                <w:color w:val="auto"/>
              </w:rPr>
            </w:pPr>
            <w:r>
              <w:rPr>
                <w:rFonts w:ascii="Arial" w:cs="Arial" w:eastAsia="Arial" w:hAnsi="Arial"/>
                <w:sz w:val="18"/>
                <w:szCs w:val="18"/>
                <w:color w:val="auto"/>
                <w:w w:val="95"/>
              </w:rPr>
              <w:t>Incorporated by reference from the Nordstrom, Inc. Quarterly Report</w:t>
            </w:r>
          </w:p>
        </w:tc>
      </w:tr>
      <w:tr>
        <w:trPr>
          <w:trHeight w:val="237"/>
        </w:trPr>
        <w:tc>
          <w:tcPr>
            <w:tcW w:w="84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5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on Form 10-Q for the quarter ended August 2, 2014, Exhibit 10.6</w:t>
            </w:r>
          </w:p>
        </w:tc>
      </w:tr>
      <w:tr>
        <w:trPr>
          <w:trHeight w:val="351"/>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99.4</w:t>
            </w:r>
          </w:p>
        </w:tc>
        <w:tc>
          <w:tcPr>
            <w:tcW w:w="5260" w:type="dxa"/>
            <w:vAlign w:val="bottom"/>
            <w:gridSpan w:val="7"/>
          </w:tcPr>
          <w:p>
            <w:pPr>
              <w:spacing w:after="0"/>
              <w:rPr>
                <w:rFonts w:ascii="Arial" w:cs="Arial" w:eastAsia="Arial" w:hAnsi="Arial"/>
                <w:sz w:val="18"/>
                <w:szCs w:val="18"/>
                <w:color w:val="0000FF"/>
                <w:w w:val="99"/>
              </w:rPr>
            </w:pPr>
            <w:hyperlink r:id="rId10">
              <w:r>
                <w:rPr>
                  <w:rFonts w:ascii="Arial" w:cs="Arial" w:eastAsia="Arial" w:hAnsi="Arial"/>
                  <w:sz w:val="18"/>
                  <w:szCs w:val="18"/>
                  <w:color w:val="0000FF"/>
                  <w:w w:val="99"/>
                </w:rPr>
                <w:t>Amendment 2014-5 to the Nordstrom 401(k) Plan &amp; Profit Sharing</w:t>
              </w:r>
            </w:hyperlink>
          </w:p>
        </w:tc>
        <w:tc>
          <w:tcPr>
            <w:tcW w:w="5320" w:type="dxa"/>
            <w:vAlign w:val="bottom"/>
          </w:tcPr>
          <w:p>
            <w:pPr>
              <w:ind w:left="100"/>
              <w:spacing w:after="0"/>
              <w:rPr>
                <w:sz w:val="20"/>
                <w:szCs w:val="20"/>
                <w:color w:val="auto"/>
              </w:rPr>
            </w:pPr>
            <w:r>
              <w:rPr>
                <w:rFonts w:ascii="Arial" w:cs="Arial" w:eastAsia="Arial" w:hAnsi="Arial"/>
                <w:sz w:val="18"/>
                <w:szCs w:val="18"/>
                <w:color w:val="auto"/>
                <w:w w:val="95"/>
              </w:rPr>
              <w:t>Incorporated by reference from the Nordstrom, Inc. Quarterly Report</w:t>
            </w:r>
          </w:p>
        </w:tc>
      </w:tr>
      <w:tr>
        <w:trPr>
          <w:trHeight w:val="237"/>
        </w:trPr>
        <w:tc>
          <w:tcPr>
            <w:tcW w:w="84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5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w w:val="95"/>
              </w:rPr>
              <w:t>on Form 10-Q for the quarter ended November 1, 2014, Exhibit 10.2</w:t>
            </w:r>
          </w:p>
        </w:tc>
      </w:tr>
      <w:tr>
        <w:trPr>
          <w:trHeight w:val="351"/>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99.5</w:t>
            </w:r>
          </w:p>
        </w:tc>
        <w:tc>
          <w:tcPr>
            <w:tcW w:w="5260" w:type="dxa"/>
            <w:vAlign w:val="bottom"/>
            <w:gridSpan w:val="7"/>
          </w:tcPr>
          <w:p>
            <w:pPr>
              <w:spacing w:after="0"/>
              <w:rPr>
                <w:rFonts w:ascii="Arial" w:cs="Arial" w:eastAsia="Arial" w:hAnsi="Arial"/>
                <w:sz w:val="18"/>
                <w:szCs w:val="18"/>
                <w:color w:val="0000FF"/>
                <w:w w:val="99"/>
              </w:rPr>
            </w:pPr>
            <w:hyperlink r:id="rId11">
              <w:r>
                <w:rPr>
                  <w:rFonts w:ascii="Arial" w:cs="Arial" w:eastAsia="Arial" w:hAnsi="Arial"/>
                  <w:sz w:val="18"/>
                  <w:szCs w:val="18"/>
                  <w:color w:val="0000FF"/>
                  <w:w w:val="99"/>
                </w:rPr>
                <w:t>Amendment 2014-6 to the Nordstrom 401(k) Plan &amp; Profit Sharing</w:t>
              </w:r>
            </w:hyperlink>
          </w:p>
        </w:tc>
        <w:tc>
          <w:tcPr>
            <w:tcW w:w="5320" w:type="dxa"/>
            <w:vAlign w:val="bottom"/>
          </w:tcPr>
          <w:p>
            <w:pPr>
              <w:ind w:left="100"/>
              <w:spacing w:after="0"/>
              <w:rPr>
                <w:sz w:val="20"/>
                <w:szCs w:val="20"/>
                <w:color w:val="auto"/>
              </w:rPr>
            </w:pPr>
            <w:r>
              <w:rPr>
                <w:rFonts w:ascii="Arial" w:cs="Arial" w:eastAsia="Arial" w:hAnsi="Arial"/>
                <w:sz w:val="18"/>
                <w:szCs w:val="18"/>
                <w:color w:val="auto"/>
                <w:w w:val="95"/>
              </w:rPr>
              <w:t>Incorporated by reference from the Nordstrom, Inc. Quarterly Report</w:t>
            </w:r>
          </w:p>
        </w:tc>
      </w:tr>
      <w:tr>
        <w:trPr>
          <w:trHeight w:val="237"/>
        </w:trPr>
        <w:tc>
          <w:tcPr>
            <w:tcW w:w="84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5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w w:val="95"/>
              </w:rPr>
              <w:t>on Form 10-Q for the quarter ended November 1, 2014, Exhibit 10.3</w:t>
            </w:r>
          </w:p>
        </w:tc>
      </w:tr>
      <w:tr>
        <w:trPr>
          <w:trHeight w:val="351"/>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99.6</w:t>
            </w:r>
          </w:p>
        </w:tc>
        <w:tc>
          <w:tcPr>
            <w:tcW w:w="5260" w:type="dxa"/>
            <w:vAlign w:val="bottom"/>
            <w:gridSpan w:val="7"/>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Amendment 2018-1 to the Nordstrom 401(k) Plan</w:t>
              </w:r>
            </w:hyperlink>
          </w:p>
        </w:tc>
        <w:tc>
          <w:tcPr>
            <w:tcW w:w="5320" w:type="dxa"/>
            <w:vAlign w:val="bottom"/>
          </w:tcPr>
          <w:p>
            <w:pPr>
              <w:ind w:left="100"/>
              <w:spacing w:after="0"/>
              <w:rPr>
                <w:sz w:val="20"/>
                <w:szCs w:val="20"/>
                <w:color w:val="auto"/>
              </w:rPr>
            </w:pPr>
            <w:r>
              <w:rPr>
                <w:rFonts w:ascii="Arial" w:cs="Arial" w:eastAsia="Arial" w:hAnsi="Arial"/>
                <w:sz w:val="18"/>
                <w:szCs w:val="18"/>
                <w:color w:val="auto"/>
                <w:w w:val="94"/>
              </w:rPr>
              <w:t>Incorporated by reference from the Nordstrom, Inc. Annual Report on</w:t>
            </w:r>
          </w:p>
        </w:tc>
      </w:tr>
      <w:tr>
        <w:trPr>
          <w:trHeight w:val="237"/>
        </w:trPr>
        <w:tc>
          <w:tcPr>
            <w:tcW w:w="84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5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Form 10-K for the year ended February 2, 2019, Exhibit 10.5</w:t>
            </w:r>
          </w:p>
        </w:tc>
      </w:tr>
      <w:tr>
        <w:trPr>
          <w:trHeight w:val="486"/>
        </w:trPr>
        <w:tc>
          <w:tcPr>
            <w:tcW w:w="840" w:type="dxa"/>
            <w:vAlign w:val="bottom"/>
          </w:tcPr>
          <w:p>
            <w:pPr>
              <w:spacing w:after="0"/>
              <w:rPr>
                <w:sz w:val="24"/>
                <w:szCs w:val="24"/>
                <w:color w:val="auto"/>
              </w:rPr>
            </w:pPr>
          </w:p>
        </w:tc>
        <w:tc>
          <w:tcPr>
            <w:tcW w:w="5160" w:type="dxa"/>
            <w:vAlign w:val="bottom"/>
            <w:gridSpan w:val="6"/>
          </w:tcPr>
          <w:p>
            <w:pPr>
              <w:ind w:left="48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320" w:type="dxa"/>
            <w:vAlign w:val="bottom"/>
          </w:tcPr>
          <w:p>
            <w:pPr>
              <w:spacing w:after="0"/>
              <w:rPr>
                <w:sz w:val="24"/>
                <w:szCs w:val="24"/>
                <w:color w:val="auto"/>
              </w:rPr>
            </w:pPr>
          </w:p>
        </w:tc>
      </w:tr>
    </w:tbl>
    <w:p>
      <w:pPr>
        <w:sectPr>
          <w:pgSz w:w="11900" w:h="16838" w:orient="portrait"/>
          <w:cols w:equalWidth="0" w:num="1">
            <w:col w:w="11420"/>
          </w:cols>
          <w:pgMar w:left="240" w:top="999"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administrators of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Nordstrom 401(k) Plan</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14, 2019</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1013"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333-79791, 333-40066, 333-101110, 333-118756, 333-146049, 333-161803, 333-166961, 333-174336, 333-189301, 333-198413, 333-207396, 333-211825, 333-225295 and 333-231969) on Form S-8 and in the Registration Statements (No. 333-198408 and 333-230379) on Form S-3 of Nordstrom, Inc., of our report dated June 14, 2019, with respect to the statements of net assets available for benefits of the Nordstrom 401(k) Plan as of December 31, 2018 and 2017, the related statement of changes in net assets available for benefits for the year ended December 31, 2018, and the related supplementary information as of December 31, 2018, appearing in this Annual Report (Form 11-K) of the Nordstrom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Moss Adams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2019</w:t>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40"/>
          <w:szCs w:val="40"/>
          <w:b w:val="1"/>
          <w:bCs w:val="1"/>
          <w:i w:val="1"/>
          <w:iCs w:val="1"/>
          <w:color w:val="auto"/>
        </w:rPr>
        <w:t>Nordstrom 401(k) Plan</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Employer ID No: 91-0515058</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Plan Number: 001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Report of Independent Registered Public Accounting Firm and</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Financial Statements as of December 31, 2018 and 2017</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for the Year Ended December 31, 2018,</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with Supplementary Information</w:t>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NORDSTROM 401(k) PLAN</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PLAN YEAR ENDED DECEMBER 31, 2018</w:t>
      </w:r>
    </w:p>
    <w:p>
      <w:pPr>
        <w:jc w:val="center"/>
        <w:ind w:right="-159"/>
        <w:spacing w:after="0"/>
        <w:rPr>
          <w:sz w:val="20"/>
          <w:szCs w:val="20"/>
          <w:color w:val="auto"/>
        </w:rPr>
      </w:pPr>
      <w:r>
        <w:rPr>
          <w:rFonts w:ascii="Arial" w:cs="Arial" w:eastAsia="Arial" w:hAnsi="Arial"/>
          <w:sz w:val="20"/>
          <w:szCs w:val="20"/>
          <w:b w:val="1"/>
          <w:bCs w:val="1"/>
          <w:color w:val="auto"/>
        </w:rPr>
        <w:t>TABLE OF CONTENTS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40" w:type="dxa"/>
            <w:vAlign w:val="bottom"/>
            <w:gridSpan w:val="3"/>
          </w:tcPr>
          <w:p>
            <w:pPr>
              <w:ind w:left="338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6160" w:type="dxa"/>
            <w:vAlign w:val="bottom"/>
            <w:gridSpan w:val="3"/>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REPORT OF INDEPENDENT REGISTERED PUBLIC ACCOUNTING FIRM</w:t>
              </w:r>
            </w:hyperlink>
          </w:p>
        </w:tc>
        <w:tc>
          <w:tcPr>
            <w:tcW w:w="1320" w:type="dxa"/>
            <w:vAlign w:val="bottom"/>
            <w:gridSpan w:val="3"/>
          </w:tcPr>
          <w:p>
            <w:pPr>
              <w:spacing w:after="0"/>
              <w:rPr>
                <w:sz w:val="19"/>
                <w:szCs w:val="19"/>
                <w:color w:val="auto"/>
              </w:rPr>
            </w:pPr>
          </w:p>
        </w:tc>
        <w:tc>
          <w:tcPr>
            <w:tcW w:w="3600" w:type="dxa"/>
            <w:vAlign w:val="bottom"/>
            <w:gridSpan w:val="2"/>
          </w:tcPr>
          <w:p>
            <w:pPr>
              <w:jc w:val="center"/>
              <w:ind w:left="343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c>
          <w:tcPr>
            <w:tcW w:w="140" w:type="dxa"/>
            <w:vAlign w:val="bottom"/>
          </w:tcPr>
          <w:p>
            <w:pPr>
              <w:spacing w:after="0"/>
              <w:rPr>
                <w:sz w:val="19"/>
                <w:szCs w:val="19"/>
                <w:color w:val="auto"/>
              </w:rPr>
            </w:pPr>
          </w:p>
        </w:tc>
      </w:tr>
      <w:tr>
        <w:trPr>
          <w:trHeight w:val="412"/>
        </w:trPr>
        <w:tc>
          <w:tcPr>
            <w:tcW w:w="616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FINANCIAL STATEMENTS</w:t>
            </w:r>
          </w:p>
        </w:tc>
        <w:tc>
          <w:tcPr>
            <w:tcW w:w="1320" w:type="dxa"/>
            <w:vAlign w:val="bottom"/>
            <w:gridSpan w:val="3"/>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460" w:type="dxa"/>
            <w:vAlign w:val="bottom"/>
          </w:tcPr>
          <w:p>
            <w:pPr>
              <w:spacing w:after="0"/>
              <w:rPr>
                <w:sz w:val="19"/>
                <w:szCs w:val="19"/>
                <w:color w:val="auto"/>
              </w:rPr>
            </w:pPr>
          </w:p>
        </w:tc>
        <w:tc>
          <w:tcPr>
            <w:tcW w:w="7020" w:type="dxa"/>
            <w:vAlign w:val="bottom"/>
            <w:gridSpan w:val="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Statements of Net Assets Available for Benefits as of December 31, 2018 and 2017</w:t>
              </w:r>
            </w:hyperlink>
          </w:p>
        </w:tc>
        <w:tc>
          <w:tcPr>
            <w:tcW w:w="3600" w:type="dxa"/>
            <w:vAlign w:val="bottom"/>
            <w:gridSpan w:val="2"/>
          </w:tcPr>
          <w:p>
            <w:pPr>
              <w:jc w:val="center"/>
              <w:ind w:left="343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c>
          <w:tcPr>
            <w:tcW w:w="14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7020" w:type="dxa"/>
            <w:vAlign w:val="bottom"/>
            <w:gridSpan w:val="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Statement of Changes in Net Assets Available for Benefits for the year ended December 31, 2018</w:t>
              </w:r>
            </w:hyperlink>
          </w:p>
        </w:tc>
        <w:tc>
          <w:tcPr>
            <w:tcW w:w="3600" w:type="dxa"/>
            <w:vAlign w:val="bottom"/>
            <w:gridSpan w:val="2"/>
          </w:tcPr>
          <w:p>
            <w:pPr>
              <w:jc w:val="center"/>
              <w:ind w:left="343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5</w:t>
              </w:r>
            </w:hyperlink>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7020" w:type="dxa"/>
            <w:vAlign w:val="bottom"/>
            <w:gridSpan w:val="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Financial Statements</w:t>
              </w:r>
            </w:hyperlink>
          </w:p>
        </w:tc>
        <w:tc>
          <w:tcPr>
            <w:tcW w:w="3600" w:type="dxa"/>
            <w:vAlign w:val="bottom"/>
            <w:gridSpan w:val="2"/>
          </w:tcPr>
          <w:p>
            <w:pPr>
              <w:jc w:val="center"/>
              <w:ind w:left="343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6</w:t>
              </w:r>
            </w:hyperlink>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7480" w:type="dxa"/>
            <w:vAlign w:val="bottom"/>
            <w:gridSpan w:val="6"/>
          </w:tcPr>
          <w:p>
            <w:pPr>
              <w:spacing w:after="0"/>
              <w:rPr>
                <w:sz w:val="20"/>
                <w:szCs w:val="20"/>
                <w:color w:val="auto"/>
              </w:rPr>
            </w:pPr>
            <w:r>
              <w:rPr>
                <w:rFonts w:ascii="Arial" w:cs="Arial" w:eastAsia="Arial" w:hAnsi="Arial"/>
                <w:sz w:val="18"/>
                <w:szCs w:val="18"/>
                <w:b w:val="1"/>
                <w:bCs w:val="1"/>
                <w:color w:val="auto"/>
              </w:rPr>
              <w:t>SUPPLEMENTARY INFORMATION</w:t>
            </w: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460" w:type="dxa"/>
            <w:vAlign w:val="bottom"/>
          </w:tcPr>
          <w:p>
            <w:pPr>
              <w:spacing w:after="0"/>
              <w:rPr>
                <w:sz w:val="19"/>
                <w:szCs w:val="19"/>
                <w:color w:val="auto"/>
              </w:rPr>
            </w:pPr>
          </w:p>
        </w:tc>
        <w:tc>
          <w:tcPr>
            <w:tcW w:w="6640" w:type="dxa"/>
            <w:vAlign w:val="bottom"/>
            <w:gridSpan w:val="4"/>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Schedule H, Line 4(i) — Schedule of Assets (Held at End of Year) as of December 31, 2018</w:t>
              </w:r>
            </w:hyperlink>
          </w:p>
        </w:tc>
        <w:tc>
          <w:tcPr>
            <w:tcW w:w="380" w:type="dxa"/>
            <w:vAlign w:val="bottom"/>
          </w:tcPr>
          <w:p>
            <w:pPr>
              <w:spacing w:after="0"/>
              <w:rPr>
                <w:sz w:val="19"/>
                <w:szCs w:val="19"/>
                <w:color w:val="auto"/>
              </w:rPr>
            </w:pPr>
          </w:p>
        </w:tc>
        <w:tc>
          <w:tcPr>
            <w:tcW w:w="3740" w:type="dxa"/>
            <w:vAlign w:val="bottom"/>
            <w:gridSpan w:val="3"/>
          </w:tcPr>
          <w:p>
            <w:pPr>
              <w:jc w:val="center"/>
              <w:ind w:left="3290"/>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r>
      <w:tr>
        <w:trPr>
          <w:trHeight w:val="20"/>
        </w:trPr>
        <w:tc>
          <w:tcPr>
            <w:tcW w:w="4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All other schedules required by Section 2520.103-10 of the Department of Labor’s (“DOL”) Rules and Regulations for Reporting and Disclosure under the Employee Retirement Income Security Act of 1974 have been omitted because they are not applicable.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 of 19</w:t>
      </w:r>
    </w:p>
    <w:p>
      <w:pPr>
        <w:sectPr>
          <w:pgSz w:w="11900" w:h="16838" w:orient="portrait"/>
          <w:cols w:equalWidth="0" w:num="1">
            <w:col w:w="11260"/>
          </w:cols>
          <w:pgMar w:left="240" w:top="118" w:right="3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Retirement Committee, Plan Administrator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Nordstrom 401(k)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the Nordstrom 401(k) Plan (the “Plan”) as of December 31, 2018 and 2017, the related statement of changes in net assets available for benefits for the year ended December 31, 2018, and the related notes (collectively referred to as the “financial statements”). In our opinion, the financial statements present fairly, in all material respects, the net assets available for benefits of the Plan as of December 31, 2018 and 2017, and the changes in net assets available for benefits for the year ended December 31, 2018,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Supplementary Information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supplementary information included in Schedule H, line 4(i) - Schedule of Assets (Held at End of Year) as of December 31, 2018 has been subjected to audit procedures performed in conjunction with the audit of the Plan’s financial statements. The supplementary information is the responsibility of the Plan’s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supplementary information in the accompanying schedule, we evaluated whether the supplementary information, including its form and content, is presented in conformity with DOL’s Rules and Regulations for Reporting and Disclosure under ERISA. In our opinion, the supplementary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Moss Adams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2016.</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 of 19</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NET ASSETS AVAILABLE FOR BENEFITS</w:t>
      </w:r>
    </w:p>
    <w:p>
      <w:pPr>
        <w:jc w:val="center"/>
        <w:spacing w:after="0"/>
        <w:rPr>
          <w:sz w:val="20"/>
          <w:szCs w:val="20"/>
          <w:color w:val="auto"/>
        </w:rPr>
      </w:pPr>
      <w:r>
        <w:rPr>
          <w:rFonts w:ascii="Arial" w:cs="Arial" w:eastAsia="Arial" w:hAnsi="Arial"/>
          <w:sz w:val="18"/>
          <w:szCs w:val="18"/>
          <w:color w:val="auto"/>
        </w:rPr>
        <w:t>(Amounts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4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40" w:type="dxa"/>
            <w:vAlign w:val="bottom"/>
          </w:tcPr>
          <w:p>
            <w:pPr>
              <w:jc w:val="right"/>
              <w:ind w:right="1379"/>
              <w:spacing w:after="0"/>
              <w:rPr>
                <w:sz w:val="20"/>
                <w:szCs w:val="20"/>
                <w:color w:val="auto"/>
              </w:rPr>
            </w:pPr>
            <w:r>
              <w:rPr>
                <w:rFonts w:ascii="Arial" w:cs="Arial" w:eastAsia="Arial" w:hAnsi="Arial"/>
                <w:sz w:val="16"/>
                <w:szCs w:val="16"/>
                <w:b w:val="1"/>
                <w:bCs w:val="1"/>
                <w:color w:val="auto"/>
              </w:rPr>
              <w:t>2018</w:t>
            </w:r>
          </w:p>
        </w:tc>
        <w:tc>
          <w:tcPr>
            <w:tcW w:w="12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r>
      <w:tr>
        <w:trPr>
          <w:trHeight w:val="33"/>
        </w:trPr>
        <w:tc>
          <w:tcPr>
            <w:tcW w:w="7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Participant-directed investments at fair value (see Note 3: Fair Value Measurements)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$2,955,132</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$3,131,491</w:t>
            </w:r>
          </w:p>
        </w:tc>
      </w:tr>
      <w:tr>
        <w:trPr>
          <w:trHeight w:val="33"/>
        </w:trPr>
        <w:tc>
          <w:tcPr>
            <w:tcW w:w="7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Company contributions receivable</w:t>
            </w: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98,294</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110,778</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Notes receivable from participants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95,368</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94,990</w:t>
            </w:r>
          </w:p>
        </w:tc>
      </w:tr>
      <w:tr>
        <w:trPr>
          <w:trHeight w:val="33"/>
        </w:trPr>
        <w:tc>
          <w:tcPr>
            <w:tcW w:w="7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and broker receivable</w:t>
            </w: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3,183</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2,842</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54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3,151,977</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3,340,101</w:t>
            </w:r>
          </w:p>
        </w:tc>
      </w:tr>
      <w:tr>
        <w:trPr>
          <w:trHeight w:val="33"/>
        </w:trPr>
        <w:tc>
          <w:tcPr>
            <w:tcW w:w="7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76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5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Administrative expenses and other payables</w:t>
            </w: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971</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Excess contributions payable to participants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2,074</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1,896</w:t>
            </w:r>
          </w:p>
        </w:tc>
      </w:tr>
      <w:tr>
        <w:trPr>
          <w:trHeight w:val="33"/>
        </w:trPr>
        <w:tc>
          <w:tcPr>
            <w:tcW w:w="7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broker for securities purchased</w:t>
            </w: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673</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w:t>
            </w:r>
          </w:p>
        </w:tc>
        <w:tc>
          <w:tcPr>
            <w:tcW w:w="254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3,718</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3,522</w:t>
            </w:r>
          </w:p>
        </w:tc>
      </w:tr>
      <w:tr>
        <w:trPr>
          <w:trHeight w:val="33"/>
        </w:trPr>
        <w:tc>
          <w:tcPr>
            <w:tcW w:w="7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7660" w:type="dxa"/>
            <w:vAlign w:val="bottom"/>
            <w:tcBorders>
              <w:bottom w:val="single" w:sz="8" w:color="auto"/>
            </w:tcBorders>
            <w:shd w:val="clear" w:color="auto" w:fill="CCEEFF"/>
          </w:tcPr>
          <w:p>
            <w:pPr>
              <w:spacing w:after="0"/>
              <w:rPr>
                <w:sz w:val="24"/>
                <w:szCs w:val="24"/>
                <w:color w:val="auto"/>
              </w:rPr>
            </w:pPr>
          </w:p>
        </w:tc>
        <w:tc>
          <w:tcPr>
            <w:tcW w:w="25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Net assets available for benefits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$3,148,259</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$3,336,579</w:t>
            </w:r>
          </w:p>
        </w:tc>
      </w:tr>
      <w:tr>
        <w:trPr>
          <w:trHeight w:val="33"/>
        </w:trPr>
        <w:tc>
          <w:tcPr>
            <w:tcW w:w="7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Financial Statements are an integral part of these financial statements.</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 of 19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20" w:type="dxa"/>
            <w:vAlign w:val="bottom"/>
          </w:tcPr>
          <w:p>
            <w:pPr>
              <w:jc w:val="center"/>
              <w:ind w:left="1736"/>
              <w:spacing w:after="0"/>
              <w:rPr>
                <w:sz w:val="20"/>
                <w:szCs w:val="20"/>
                <w:color w:val="auto"/>
              </w:rPr>
            </w:pPr>
            <w:r>
              <w:rPr>
                <w:rFonts w:ascii="Arial" w:cs="Arial" w:eastAsia="Arial" w:hAnsi="Arial"/>
                <w:sz w:val="22"/>
                <w:szCs w:val="22"/>
                <w:b w:val="1"/>
                <w:bCs w:val="1"/>
                <w:color w:val="auto"/>
                <w:w w:val="97"/>
              </w:rPr>
              <w:t>NORDSTROM 401(k) PLAN</w:t>
            </w:r>
          </w:p>
        </w:tc>
        <w:tc>
          <w:tcPr>
            <w:tcW w:w="1800" w:type="dxa"/>
            <w:vAlign w:val="bottom"/>
          </w:tcPr>
          <w:p>
            <w:pPr>
              <w:spacing w:after="0"/>
              <w:rPr>
                <w:sz w:val="22"/>
                <w:szCs w:val="22"/>
                <w:color w:val="auto"/>
              </w:rPr>
            </w:pPr>
          </w:p>
        </w:tc>
      </w:tr>
      <w:tr>
        <w:trPr>
          <w:trHeight w:val="256"/>
        </w:trPr>
        <w:tc>
          <w:tcPr>
            <w:tcW w:w="9620" w:type="dxa"/>
            <w:vAlign w:val="bottom"/>
          </w:tcPr>
          <w:p>
            <w:pPr>
              <w:jc w:val="center"/>
              <w:ind w:left="1716"/>
              <w:spacing w:after="0"/>
              <w:rPr>
                <w:sz w:val="20"/>
                <w:szCs w:val="20"/>
                <w:color w:val="auto"/>
              </w:rPr>
            </w:pPr>
            <w:r>
              <w:rPr>
                <w:rFonts w:ascii="Arial" w:cs="Arial" w:eastAsia="Arial" w:hAnsi="Arial"/>
                <w:sz w:val="22"/>
                <w:szCs w:val="22"/>
                <w:b w:val="1"/>
                <w:bCs w:val="1"/>
                <w:color w:val="auto"/>
                <w:w w:val="97"/>
              </w:rPr>
              <w:t>STATEMENT OF CHANGES IN NET ASSETS AVAILABLE FOR BENEFITS</w:t>
            </w:r>
          </w:p>
        </w:tc>
        <w:tc>
          <w:tcPr>
            <w:tcW w:w="1800" w:type="dxa"/>
            <w:vAlign w:val="bottom"/>
          </w:tcPr>
          <w:p>
            <w:pPr>
              <w:spacing w:after="0"/>
              <w:rPr>
                <w:sz w:val="22"/>
                <w:szCs w:val="22"/>
                <w:color w:val="auto"/>
              </w:rPr>
            </w:pPr>
          </w:p>
        </w:tc>
      </w:tr>
      <w:tr>
        <w:trPr>
          <w:trHeight w:val="230"/>
        </w:trPr>
        <w:tc>
          <w:tcPr>
            <w:tcW w:w="9620" w:type="dxa"/>
            <w:vAlign w:val="bottom"/>
          </w:tcPr>
          <w:p>
            <w:pPr>
              <w:jc w:val="center"/>
              <w:ind w:left="1716"/>
              <w:spacing w:after="0"/>
              <w:rPr>
                <w:sz w:val="20"/>
                <w:szCs w:val="20"/>
                <w:color w:val="auto"/>
              </w:rPr>
            </w:pPr>
            <w:r>
              <w:rPr>
                <w:rFonts w:ascii="Arial" w:cs="Arial" w:eastAsia="Arial" w:hAnsi="Arial"/>
                <w:sz w:val="18"/>
                <w:szCs w:val="18"/>
                <w:color w:val="auto"/>
                <w:w w:val="91"/>
              </w:rPr>
              <w:t>(Amounts in thousands)</w:t>
            </w:r>
          </w:p>
        </w:tc>
        <w:tc>
          <w:tcPr>
            <w:tcW w:w="1800" w:type="dxa"/>
            <w:vAlign w:val="bottom"/>
          </w:tcPr>
          <w:p>
            <w:pPr>
              <w:spacing w:after="0"/>
              <w:rPr>
                <w:sz w:val="20"/>
                <w:szCs w:val="20"/>
                <w:color w:val="auto"/>
              </w:rPr>
            </w:pPr>
          </w:p>
        </w:tc>
      </w:tr>
      <w:tr>
        <w:trPr>
          <w:trHeight w:val="359"/>
        </w:trPr>
        <w:tc>
          <w:tcPr>
            <w:tcW w:w="9620" w:type="dxa"/>
            <w:vAlign w:val="bottom"/>
          </w:tcPr>
          <w:p>
            <w:pPr>
              <w:ind w:left="40"/>
              <w:spacing w:after="0"/>
              <w:rPr>
                <w:sz w:val="20"/>
                <w:szCs w:val="20"/>
                <w:color w:val="auto"/>
              </w:rPr>
            </w:pPr>
            <w:r>
              <w:rPr>
                <w:rFonts w:ascii="Arial" w:cs="Arial" w:eastAsia="Arial" w:hAnsi="Arial"/>
                <w:sz w:val="16"/>
                <w:szCs w:val="16"/>
                <w:b w:val="1"/>
                <w:bCs w:val="1"/>
                <w:color w:val="auto"/>
              </w:rPr>
              <w:t>Plan year ended</w:t>
            </w: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9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Additions</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180"/>
              <w:spacing w:after="0"/>
              <w:rPr>
                <w:sz w:val="20"/>
                <w:szCs w:val="20"/>
                <w:color w:val="auto"/>
              </w:rPr>
            </w:pPr>
            <w:r>
              <w:rPr>
                <w:rFonts w:ascii="Arial" w:cs="Arial" w:eastAsia="Arial" w:hAnsi="Arial"/>
                <w:sz w:val="16"/>
                <w:szCs w:val="16"/>
                <w:color w:val="auto"/>
              </w:rPr>
              <w:t>Contributions</w:t>
            </w:r>
          </w:p>
        </w:tc>
        <w:tc>
          <w:tcPr>
            <w:tcW w:w="180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Company contributions</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$98,294</w:t>
            </w:r>
          </w:p>
        </w:tc>
      </w:tr>
      <w:tr>
        <w:trPr>
          <w:trHeight w:val="224"/>
        </w:trPr>
        <w:tc>
          <w:tcPr>
            <w:tcW w:w="9620" w:type="dxa"/>
            <w:vAlign w:val="bottom"/>
          </w:tcPr>
          <w:p>
            <w:pPr>
              <w:ind w:left="380"/>
              <w:spacing w:after="0"/>
              <w:rPr>
                <w:sz w:val="20"/>
                <w:szCs w:val="20"/>
                <w:color w:val="auto"/>
              </w:rPr>
            </w:pPr>
            <w:r>
              <w:rPr>
                <w:rFonts w:ascii="Arial" w:cs="Arial" w:eastAsia="Arial" w:hAnsi="Arial"/>
                <w:sz w:val="16"/>
                <w:szCs w:val="16"/>
                <w:color w:val="auto"/>
              </w:rPr>
              <w:t>Employee contributions</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140,082</w:t>
            </w:r>
          </w:p>
        </w:tc>
      </w:tr>
      <w:tr>
        <w:trPr>
          <w:trHeight w:val="33"/>
        </w:trPr>
        <w:tc>
          <w:tcPr>
            <w:tcW w:w="9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contributions</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238,376</w:t>
            </w:r>
          </w:p>
        </w:tc>
      </w:tr>
      <w:tr>
        <w:trPr>
          <w:trHeight w:val="297"/>
        </w:trPr>
        <w:tc>
          <w:tcPr>
            <w:tcW w:w="96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income (loss)</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24"/>
        </w:trPr>
        <w:tc>
          <w:tcPr>
            <w:tcW w:w="9620" w:type="dxa"/>
            <w:vAlign w:val="bottom"/>
          </w:tcPr>
          <w:p>
            <w:pPr>
              <w:ind w:left="380"/>
              <w:spacing w:after="0"/>
              <w:rPr>
                <w:sz w:val="20"/>
                <w:szCs w:val="20"/>
                <w:color w:val="auto"/>
              </w:rPr>
            </w:pPr>
            <w:r>
              <w:rPr>
                <w:rFonts w:ascii="Arial" w:cs="Arial" w:eastAsia="Arial" w:hAnsi="Arial"/>
                <w:sz w:val="16"/>
                <w:szCs w:val="16"/>
                <w:color w:val="auto"/>
              </w:rPr>
              <w:t>Net depreciation in fair value of investments</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(188,716)</w:t>
            </w:r>
          </w:p>
        </w:tc>
      </w:tr>
      <w:tr>
        <w:trPr>
          <w:trHeight w:val="33"/>
        </w:trPr>
        <w:tc>
          <w:tcPr>
            <w:tcW w:w="96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62"/>
        </w:trPr>
        <w:tc>
          <w:tcPr>
            <w:tcW w:w="9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and dividends</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44,346</w:t>
            </w:r>
          </w:p>
        </w:tc>
      </w:tr>
      <w:tr>
        <w:trPr>
          <w:trHeight w:val="217"/>
        </w:trPr>
        <w:tc>
          <w:tcPr>
            <w:tcW w:w="962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Total investment loss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(144,370)</w:t>
            </w:r>
          </w:p>
        </w:tc>
      </w:tr>
      <w:tr>
        <w:trPr>
          <w:trHeight w:val="33"/>
        </w:trPr>
        <w:tc>
          <w:tcPr>
            <w:tcW w:w="96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7"/>
        </w:trPr>
        <w:tc>
          <w:tcPr>
            <w:tcW w:w="962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r>
      <w:tr>
        <w:trPr>
          <w:trHeight w:val="217"/>
        </w:trPr>
        <w:tc>
          <w:tcPr>
            <w:tcW w:w="9620" w:type="dxa"/>
            <w:vAlign w:val="bottom"/>
          </w:tcPr>
          <w:p>
            <w:pPr>
              <w:ind w:left="40"/>
              <w:spacing w:after="0"/>
              <w:rPr>
                <w:sz w:val="20"/>
                <w:szCs w:val="20"/>
                <w:color w:val="auto"/>
              </w:rPr>
            </w:pPr>
            <w:r>
              <w:rPr>
                <w:rFonts w:ascii="Arial" w:cs="Arial" w:eastAsia="Arial" w:hAnsi="Arial"/>
                <w:sz w:val="16"/>
                <w:szCs w:val="16"/>
                <w:b w:val="1"/>
                <w:bCs w:val="1"/>
                <w:color w:val="auto"/>
              </w:rPr>
              <w:t>Total additions</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94,006</w:t>
            </w:r>
          </w:p>
        </w:tc>
      </w:tr>
      <w:tr>
        <w:trPr>
          <w:trHeight w:val="33"/>
        </w:trPr>
        <w:tc>
          <w:tcPr>
            <w:tcW w:w="9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91"/>
        </w:trPr>
        <w:tc>
          <w:tcPr>
            <w:tcW w:w="96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b w:val="1"/>
                <w:bCs w:val="1"/>
                <w:color w:val="auto"/>
              </w:rPr>
              <w:t>Deductions</w:t>
            </w:r>
          </w:p>
        </w:tc>
        <w:tc>
          <w:tcPr>
            <w:tcW w:w="180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 payments to participants</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274,663</w:t>
            </w:r>
          </w:p>
        </w:tc>
      </w:tr>
      <w:tr>
        <w:trPr>
          <w:trHeight w:val="224"/>
        </w:trPr>
        <w:tc>
          <w:tcPr>
            <w:tcW w:w="9620" w:type="dxa"/>
            <w:vAlign w:val="bottom"/>
          </w:tcPr>
          <w:p>
            <w:pPr>
              <w:ind w:left="180"/>
              <w:spacing w:after="0"/>
              <w:rPr>
                <w:sz w:val="20"/>
                <w:szCs w:val="20"/>
                <w:color w:val="auto"/>
              </w:rPr>
            </w:pPr>
            <w:r>
              <w:rPr>
                <w:rFonts w:ascii="Arial" w:cs="Arial" w:eastAsia="Arial" w:hAnsi="Arial"/>
                <w:sz w:val="16"/>
                <w:szCs w:val="16"/>
                <w:color w:val="auto"/>
              </w:rPr>
              <w:t>Administrative expenses and other</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7,663</w:t>
            </w:r>
          </w:p>
        </w:tc>
      </w:tr>
      <w:tr>
        <w:trPr>
          <w:trHeight w:val="33"/>
        </w:trPr>
        <w:tc>
          <w:tcPr>
            <w:tcW w:w="9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deductions</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282,326</w:t>
            </w:r>
          </w:p>
        </w:tc>
      </w:tr>
      <w:tr>
        <w:trPr>
          <w:trHeight w:val="291"/>
        </w:trPr>
        <w:tc>
          <w:tcPr>
            <w:tcW w:w="96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37"/>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net assets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(188,320)</w:t>
            </w:r>
          </w:p>
        </w:tc>
      </w:tr>
      <w:tr>
        <w:trPr>
          <w:trHeight w:val="324"/>
        </w:trPr>
        <w:tc>
          <w:tcPr>
            <w:tcW w:w="96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55"/>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available for benefits at beginning of year</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3,336,579</w:t>
            </w:r>
          </w:p>
        </w:tc>
      </w:tr>
      <w:tr>
        <w:trPr>
          <w:trHeight w:val="231"/>
        </w:trPr>
        <w:tc>
          <w:tcPr>
            <w:tcW w:w="9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assets available for benefits at end of year</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$3,148,259</w:t>
            </w:r>
          </w:p>
        </w:tc>
      </w:tr>
      <w:tr>
        <w:trPr>
          <w:trHeight w:val="33"/>
        </w:trPr>
        <w:tc>
          <w:tcPr>
            <w:tcW w:w="9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Financial Statements are an integral part of these financial statements.</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 of 19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NORDSTROM 401(k)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w:t>
      </w:r>
    </w:p>
    <w:p>
      <w:pPr>
        <w:jc w:val="center"/>
        <w:ind w:right="-39"/>
        <w:spacing w:after="0"/>
        <w:rPr>
          <w:sz w:val="20"/>
          <w:szCs w:val="20"/>
          <w:color w:val="auto"/>
        </w:rPr>
      </w:pPr>
      <w:r>
        <w:rPr>
          <w:rFonts w:ascii="Arial" w:cs="Arial" w:eastAsia="Arial" w:hAnsi="Arial"/>
          <w:sz w:val="18"/>
          <w:szCs w:val="18"/>
          <w:color w:val="auto"/>
        </w:rPr>
        <w:t>(Dollar and share amounts in thousands)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PLAN</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Nordstrom 401(k) Plan (the “Plan”), as amended, was originally established on January 1, 1953 and is a defined contribution plan. The following description of the Plan’s provisions is for informational purposes only and does not bind the Plan. Participants should refer to the Plan documents for a more complete description of the Plan’s provisions.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Plan covers substantially all employees of Nordstrom, Inc. and its participating subsidiaries (the “Company”). For Company contributions, participation begins on the first of the month coinciding with or following the first anniversary of the employee’s original hire date. For elective salary deferrals (401(k) contributions), participation begins on the employee’s hire date. The Plan is subject to the provisions of the Employee Retirement Income Security Act of 1974 (“ERISA”).</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Plan contains eligibility provisions to ensure that all eligible employees enter the Plan by the latest participation date required under the applicable provisions of the Internal Revenue Code (“IRC”). Eligible employees who neither make an affirmative salary deferral election nor affirmatively opt out of the Plan are automatically enrolled in the Plan beginning on the first of the month coinciding with or following the first anniversary of their original hire date with a salary deferral contribution equal to 2% of eligible compensation. Employees have the option to elect a zero percent salary deferral or to change their salary deferral percentage at any time in accordance with the Plan.</w:t>
      </w:r>
    </w:p>
    <w:p>
      <w:pPr>
        <w:spacing w:after="0" w:line="13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Plan years ended December 31, 2018 and 2017, to qualify for Company contributions, eligible participants must work at least 1,000 hours during the payroll calendar year and be employed on the last day of the Plan year. The “last day” requirement is waived if the participant terminates employment due to retirement, disability, or death.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Year</w:t>
      </w:r>
    </w:p>
    <w:p>
      <w:pPr>
        <w:spacing w:after="0" w:line="27"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Plan operates on a calendar year ending on December 31. References to 2018 and 2017 relate to the Plan years ended December 31, 2018 and December 31,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Trustees and Administrator of the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asset trustee of the Plan is the Bank of New York Mellon (“BNY Mellon”). Alight Solutions provides recordkeeping services for the Plan.</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Plan is administered by the Company in conjunction with the Nordstrom Retirement Committee (the “Plan Administrator”), a committee appointed by the Company’s Board of Directors (the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Contributions</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Contributions to the Plan are made through employee contributions, including catch-up contributions, Company contributions and participant rollover contributions.</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Employee Contributions— </w:t>
      </w:r>
      <w:r>
        <w:rPr>
          <w:rFonts w:ascii="Arial" w:cs="Arial" w:eastAsia="Arial" w:hAnsi="Arial"/>
          <w:sz w:val="17"/>
          <w:szCs w:val="17"/>
          <w:color w:val="auto"/>
        </w:rPr>
        <w:t>Eligible employees may elect to defer eligible compensation on a pre-tax basis, an after-tax (Roth) basis or a combination of both.</w:t>
      </w:r>
      <w:r>
        <w:rPr>
          <w:rFonts w:ascii="Arial" w:cs="Arial" w:eastAsia="Arial" w:hAnsi="Arial"/>
          <w:sz w:val="17"/>
          <w:szCs w:val="17"/>
          <w:i w:val="1"/>
          <w:iCs w:val="1"/>
          <w:color w:val="auto"/>
        </w:rPr>
        <w:t xml:space="preserve"> </w:t>
      </w:r>
      <w:r>
        <w:rPr>
          <w:rFonts w:ascii="Arial" w:cs="Arial" w:eastAsia="Arial" w:hAnsi="Arial"/>
          <w:sz w:val="17"/>
          <w:szCs w:val="17"/>
          <w:color w:val="auto"/>
        </w:rPr>
        <w:t>The maximum elective salary deferral is 50% for non-highly compensated employees and 16% for highly compensated employees. However, that percentage can be reduced for highly compensated employees as required to satisfy applicable non-discrimination testing requirements. Employees age 50 and over are allowed a catch-up contribution on a pre-tax basis, an after-tax (Roth) basis or a combination of both, beginning in the year they turn age 50. For all employees, the Internal Revenue Service (“IRS”) limited participant contributions to a maximum of $18.5 in 2018 and $18 in 2017. For those age 50 and over, the IRS limited participant contributions to a maximum of $24.5 in 2018 and $24 in 2017.</w:t>
      </w:r>
    </w:p>
    <w:p>
      <w:pPr>
        <w:spacing w:after="0" w:line="1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Company Contributions— </w:t>
      </w:r>
      <w:r>
        <w:rPr>
          <w:rFonts w:ascii="Arial" w:cs="Arial" w:eastAsia="Arial" w:hAnsi="Arial"/>
          <w:sz w:val="16"/>
          <w:szCs w:val="16"/>
          <w:color w:val="auto"/>
        </w:rPr>
        <w:t>The Company intends to match employee contributions dollar for dollar up to 4% of the participant’s eligible compensation, at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of the Board. Catch-up contributions are not eligible for matching contributions. Depending on Company performance and at the discretion of the Board, the Company may also make an additional profit-based matching contribution of up to 50 cents per dollar on the first 4% of eligible compensation contributed. In March 2019, related to 2018, participants received 4% Company matching contributions of $69,136 and profit-based matching contributions of $30,420, which were made at the Board-approved amount of 44 cents per dollar on the first 4% of eligible compensation contributed.</w:t>
      </w:r>
    </w:p>
    <w:p>
      <w:pPr>
        <w:spacing w:after="0" w:line="104"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Participant Rollover Contributions— </w:t>
      </w:r>
      <w:r>
        <w:rPr>
          <w:rFonts w:ascii="Arial" w:cs="Arial" w:eastAsia="Arial" w:hAnsi="Arial"/>
          <w:sz w:val="17"/>
          <w:szCs w:val="17"/>
          <w:color w:val="auto"/>
        </w:rPr>
        <w:t>Participants eligible for a withdrawal from another eligible retirement plan or traditional Individual Retirement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(“IRA”) may roll over all or part of that amount into the Plan. Participants may not roll over amounts from a Roth IRA into the Plan.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 of 19</w:t>
      </w:r>
    </w:p>
    <w:p>
      <w:pPr>
        <w:sectPr>
          <w:pgSz w:w="11900" w:h="16838" w:orient="portrait"/>
          <w:cols w:equalWidth="0" w:num="1">
            <w:col w:w="11380"/>
          </w:cols>
          <w:pgMar w:left="240" w:top="118" w:right="2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Participants are able to direct the investment of their accounts (including employee and Company contributions) among various funds, debt securities and Company common stock. The funds as of December 31, 2018 and 2017 include a variety of mutual funds, common/collective trust (“CCT”) funds, separately managed funds, and custom target retirement date funds. The available funds are regularly reviewed by the Plan Administrator and are subject to change at any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Investment Activity</w:t>
      </w:r>
    </w:p>
    <w:p>
      <w:pPr>
        <w:spacing w:after="0" w:line="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Individual accounts are credited daily with a pro-rata share of investment income or loss experienced by the respective funds into which their account balances have been directed. This income or loss is included in net appreciation or depreciation in fair value of investments on the Statement of Changes in Net Assets Available for Benefits.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in the Plan</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Employees who terminate employment due to retirement, disability or death are 100% vested in their Plan accounts, regardless of years of service. The Plan defines “retirement” as age 60 or older for the purposes of vesting. On termination of employment for reasons other than retirement, disability or death, the amounts credited to the accounts of participants are vested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 Contributions — </w:t>
      </w:r>
      <w:r>
        <w:rPr>
          <w:rFonts w:ascii="Arial" w:cs="Arial" w:eastAsia="Arial" w:hAnsi="Arial"/>
          <w:sz w:val="18"/>
          <w:szCs w:val="18"/>
          <w:color w:val="auto"/>
        </w:rPr>
        <w:t>Employee contributions (salary deferral, catch-up and rollover contributions) are always 100% vested.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Company Matching Contributions — </w:t>
      </w:r>
      <w:r>
        <w:rPr>
          <w:rFonts w:ascii="Arial" w:cs="Arial" w:eastAsia="Arial" w:hAnsi="Arial"/>
          <w:sz w:val="17"/>
          <w:szCs w:val="17"/>
          <w:color w:val="auto"/>
        </w:rPr>
        <w:t>Company matching contributions, including the profit-based matching contribution, for employees vest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jc w:val="center"/>
              <w:spacing w:after="0"/>
              <w:rPr>
                <w:sz w:val="20"/>
                <w:szCs w:val="20"/>
                <w:color w:val="auto"/>
              </w:rPr>
            </w:pPr>
            <w:r>
              <w:rPr>
                <w:rFonts w:ascii="Arial" w:cs="Arial" w:eastAsia="Arial" w:hAnsi="Arial"/>
                <w:sz w:val="16"/>
                <w:szCs w:val="16"/>
                <w:b w:val="1"/>
                <w:bCs w:val="1"/>
                <w:color w:val="auto"/>
                <w:w w:val="88"/>
              </w:rPr>
              <w:t>Years of Service</w:t>
            </w:r>
          </w:p>
        </w:tc>
        <w:tc>
          <w:tcPr>
            <w:tcW w:w="5780" w:type="dxa"/>
            <w:vAlign w:val="bottom"/>
          </w:tcPr>
          <w:p>
            <w:pPr>
              <w:ind w:left="2280"/>
              <w:spacing w:after="0"/>
              <w:rPr>
                <w:sz w:val="20"/>
                <w:szCs w:val="20"/>
                <w:color w:val="auto"/>
              </w:rPr>
            </w:pPr>
            <w:r>
              <w:rPr>
                <w:rFonts w:ascii="Arial" w:cs="Arial" w:eastAsia="Arial" w:hAnsi="Arial"/>
                <w:sz w:val="16"/>
                <w:szCs w:val="16"/>
                <w:b w:val="1"/>
                <w:bCs w:val="1"/>
                <w:color w:val="auto"/>
              </w:rPr>
              <w:t>Vesting Percentage</w:t>
            </w:r>
          </w:p>
        </w:tc>
      </w:tr>
      <w:tr>
        <w:trPr>
          <w:trHeight w:val="33"/>
        </w:trPr>
        <w:tc>
          <w:tcPr>
            <w:tcW w:w="564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Less than one</w:t>
            </w:r>
          </w:p>
        </w:tc>
        <w:tc>
          <w:tcPr>
            <w:tcW w:w="5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0%</w:t>
            </w:r>
          </w:p>
        </w:tc>
      </w:tr>
      <w:tr>
        <w:trPr>
          <w:trHeight w:val="237"/>
        </w:trPr>
        <w:tc>
          <w:tcPr>
            <w:tcW w:w="5640" w:type="dxa"/>
            <w:vAlign w:val="bottom"/>
          </w:tcPr>
          <w:p>
            <w:pPr>
              <w:jc w:val="center"/>
              <w:spacing w:after="0"/>
              <w:rPr>
                <w:sz w:val="20"/>
                <w:szCs w:val="20"/>
                <w:color w:val="auto"/>
              </w:rPr>
            </w:pPr>
            <w:r>
              <w:rPr>
                <w:rFonts w:ascii="Arial" w:cs="Arial" w:eastAsia="Arial" w:hAnsi="Arial"/>
                <w:sz w:val="16"/>
                <w:szCs w:val="16"/>
                <w:color w:val="auto"/>
                <w:w w:val="85"/>
              </w:rPr>
              <w:t>One</w:t>
            </w:r>
          </w:p>
        </w:tc>
        <w:tc>
          <w:tcPr>
            <w:tcW w:w="5780" w:type="dxa"/>
            <w:vAlign w:val="bottom"/>
          </w:tcPr>
          <w:p>
            <w:pPr>
              <w:jc w:val="center"/>
              <w:spacing w:after="0"/>
              <w:rPr>
                <w:sz w:val="20"/>
                <w:szCs w:val="20"/>
                <w:color w:val="auto"/>
              </w:rPr>
            </w:pPr>
            <w:r>
              <w:rPr>
                <w:rFonts w:ascii="Arial" w:cs="Arial" w:eastAsia="Arial" w:hAnsi="Arial"/>
                <w:sz w:val="16"/>
                <w:szCs w:val="16"/>
                <w:color w:val="auto"/>
                <w:w w:val="93"/>
              </w:rPr>
              <w:t>33%</w:t>
            </w:r>
          </w:p>
        </w:tc>
      </w:tr>
      <w:tr>
        <w:trPr>
          <w:trHeight w:val="33"/>
        </w:trPr>
        <w:tc>
          <w:tcPr>
            <w:tcW w:w="564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Two</w:t>
            </w:r>
          </w:p>
        </w:tc>
        <w:tc>
          <w:tcPr>
            <w:tcW w:w="5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67%</w:t>
            </w:r>
          </w:p>
        </w:tc>
      </w:tr>
      <w:tr>
        <w:trPr>
          <w:trHeight w:val="237"/>
        </w:trPr>
        <w:tc>
          <w:tcPr>
            <w:tcW w:w="5640" w:type="dxa"/>
            <w:vAlign w:val="bottom"/>
          </w:tcPr>
          <w:p>
            <w:pPr>
              <w:jc w:val="center"/>
              <w:spacing w:after="0"/>
              <w:rPr>
                <w:sz w:val="20"/>
                <w:szCs w:val="20"/>
                <w:color w:val="auto"/>
              </w:rPr>
            </w:pPr>
            <w:r>
              <w:rPr>
                <w:rFonts w:ascii="Arial" w:cs="Arial" w:eastAsia="Arial" w:hAnsi="Arial"/>
                <w:sz w:val="16"/>
                <w:szCs w:val="16"/>
                <w:color w:val="auto"/>
                <w:w w:val="92"/>
              </w:rPr>
              <w:t>Three or more</w:t>
            </w:r>
          </w:p>
        </w:tc>
        <w:tc>
          <w:tcPr>
            <w:tcW w:w="578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When a participant terminates, the unvested portion of the participant’s account represents a forfeiture, unless the participant resumes service with the Company within five years. At December 31, 2018 and 2017, forfeited unvested accounts were $1,418 and $1,329. Forfeitures of unvested Company matching contributions from terminated participant accounts can be used to offset Company matching contributions or to pay Plan administrative expenses, as determined by the Plan Administrator. In March 2019 and March 2018, the Plan used forfeitures of $1,262 and $1,436 to offset the 2018 and 2017 Company matching contributions.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termination of service, a participant (or participant’s beneficiary in the case of death) may elect to roll over the value of the vested interest in his or her account to another qualified plan, to receive the value as a lump-sum distribution or elect to remain in the Plan, if the vested account balance exceeds $1 (subject to required distributions under Section 401(a)(9) of the IRC). When an active participant reaches age 59½ and continues to work for the Company, the participant is eligible to receive a partial or full distribution of their account.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 (Notes Receivable from Participants)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borrow a minimum of $1 from their account up to a maximum that is equal to the lesser of:</w:t>
      </w:r>
    </w:p>
    <w:p>
      <w:pPr>
        <w:spacing w:after="0" w:line="15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 of their vested account balance, less the balance of any other outstanding loans from the Plan as of the loan request date, or</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 less the highest outstanding principal balance of any loans, from this Plan or any other qualified Plan of the employer or a related employer, during the one-year period immediately preceding the loan request date.</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Loan terms are a maximum of five years or, if for the purchase of a principal residence, up to 20 years. The loans are secured by the balance in the participant’s account. The interest rate for a loan is determined at the time it is approved. The rate will be the prime rate as reported by the Wall Street Journal on the last business day of the prior month, plus 1%. Interest rates for participant loans outstanding at December 31, 2018 range from 4.25% to 10.5% with various maturities through January 2039. Principal and interest is paid through payroll deductions, following the participant’s semi-monthly or weekly payroll cycle. A participant may have a maximum of two loans outstanding at any one time.</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Participants may make monthly loan repayments during approved leaves of absence. Alternatively, payment obligations may be suspended during approved leaves of absence not longer than one year and during periods of qualified military service. Participants may continue to make loan repayments after termination of employment under procedures established by the Plan Administrator. If the participant does not make a payment within 90 days of the due date, the loan balances will be deemed distributed and become taxable income to the participant.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19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401(k)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rPr>
          <w:sz w:val="20"/>
          <w:szCs w:val="20"/>
          <w:color w:val="auto"/>
        </w:rPr>
      </w:pPr>
      <w:r>
        <w:rPr>
          <w:rFonts w:ascii="Arial" w:cs="Arial" w:eastAsia="Arial" w:hAnsi="Arial"/>
          <w:sz w:val="18"/>
          <w:szCs w:val="18"/>
          <w:color w:val="auto"/>
        </w:rPr>
        <w:t>(Dollar and share amounts in thousands)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7" w:lineRule="exact"/>
        <w:rPr>
          <w:sz w:val="20"/>
          <w:szCs w:val="20"/>
          <w:color w:val="auto"/>
        </w:rPr>
      </w:pPr>
    </w:p>
    <w:p>
      <w:pPr>
        <w:ind w:right="1880"/>
        <w:spacing w:after="0" w:line="344" w:lineRule="auto"/>
        <w:rPr>
          <w:sz w:val="20"/>
          <w:szCs w:val="20"/>
          <w:color w:val="auto"/>
        </w:rPr>
      </w:pPr>
      <w:r>
        <w:rPr>
          <w:rFonts w:ascii="Arial" w:cs="Arial" w:eastAsia="Arial" w:hAnsi="Arial"/>
          <w:sz w:val="18"/>
          <w:szCs w:val="18"/>
          <w:color w:val="auto"/>
        </w:rPr>
        <w:t xml:space="preserve">The accompanying financial statements have been prepared in accordance with generally accepted accounting principles (“GAAP”). </w:t>
      </w:r>
      <w:r>
        <w:rPr>
          <w:rFonts w:ascii="Arial" w:cs="Arial" w:eastAsia="Arial" w:hAnsi="Arial"/>
          <w:sz w:val="18"/>
          <w:szCs w:val="18"/>
          <w:b w:val="1"/>
          <w:bCs w:val="1"/>
          <w:color w:val="auto"/>
        </w:rPr>
        <w:t>Use of Estimates</w:t>
      </w:r>
    </w:p>
    <w:p>
      <w:pPr>
        <w:spacing w:after="0" w:line="1" w:lineRule="exact"/>
        <w:rPr>
          <w:sz w:val="20"/>
          <w:szCs w:val="20"/>
          <w:color w:val="auto"/>
        </w:rPr>
      </w:pPr>
    </w:p>
    <w:p>
      <w:pPr>
        <w:jc w:val="both"/>
        <w:ind w:right="160"/>
        <w:spacing w:after="0" w:line="32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liabilities, and changes therein and disclosure of contingent assets and liabilities. Actual results could differ from those estimates and assumptions.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Plan holds various investment instruments, including, but not limited to, common stock, debt securities, mutual funds and CCTs. Investment securities, in general, are exposed to various risks, such as interest rate risk, credit risk and overall market volatility.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Plan’s investments are held by the trustee and are recorded at fair value as follows:</w:t>
      </w:r>
    </w:p>
    <w:p>
      <w:pPr>
        <w:spacing w:after="0" w:line="15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 is valued at quoted market prices as of the last trading day of the Plan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of mutual funds are valued at quoted market prices as of the last trading day of the Plan year.</w:t>
      </w:r>
    </w:p>
    <w:p>
      <w:pPr>
        <w:spacing w:after="0" w:line="9" w:lineRule="exact"/>
        <w:rPr>
          <w:rFonts w:ascii="Arial" w:cs="Arial" w:eastAsia="Arial" w:hAnsi="Arial"/>
          <w:sz w:val="18"/>
          <w:szCs w:val="18"/>
          <w:color w:val="auto"/>
        </w:rPr>
      </w:pPr>
    </w:p>
    <w:p>
      <w:pPr>
        <w:ind w:left="660" w:right="24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CCTs are measured using the net asset value (“NAV”) practical expedient of the CCT as reported by the CCT managers. The NAV practical expedient is based on the fair value of the underlying assets owned by the CCT, less its liabilities, and divided by the number of units outstanding.</w:t>
      </w:r>
    </w:p>
    <w:p>
      <w:pPr>
        <w:spacing w:after="0" w:line="1"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in debt securities are valued using the market approach and observable inputs, such as observable trade prices, multiple broker/dealer quotes, related yield curves and other assumptions about the securities.</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Self-directed brokerage accounts allow participants to invest all or a portion of their account in investments of their choice. The fair value is based on the underlying investments, which may include common stock, mutual funds, debt securities and CCTs.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Purchases and sales of securities are recorded on a trade-date basis. Interest income is recorded on an accrual basis. Dividends are recorded when earned.</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realized gains or losses on investment sales represent the difference between the sale proceeds and cost of the investments, or the adjusted market price. Net unrealized appreciation or depreciation on investments held at the end of the Plan year represents the net change in fair value of investments during the year. The Statement of Changes in Net Assets Available for Benefits presents the net appreciation or depreciation in fair value of investments, which consists of realized and unrealized gains and losses.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7"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Participant loans are included in notes receivable from participants on the Statements of Net Assets Available for Benefits and are measured at their unpaid principal balance plus any accrued unpaid interest. Delinquent participant loans are recorded as distributions based on the terms of the Plan document.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Benefits are recorded when paid. Amounts allocated to former participants who have withdrawn from the Plan, but have not yet been paid as of December 31, 2018 and 2017 were $667 and $520.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Substantially all of the administrative expenses, including recordkeeping, trustee and other fees, incurred in connection with the Plan are paid by the Plan through an allocation to participant accounts.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of 19</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Plan discloses its assets that are measured at fair value in the Statements of Net Assets Available for Benefits by level within the fair value hierarchy as defined by applicable accounting standards: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1300" w:right="2780" w:hanging="647"/>
        <w:spacing w:after="0" w:line="261" w:lineRule="auto"/>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3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tables set forth, by level within the fair value hierarchy, a summary of the Plan’s investments that were measured at fair value on a recurring basis as of December 31, 2018 and 2017. There have been no changes in the methodologies used at December 31, 2018 and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60" w:type="dxa"/>
            <w:vAlign w:val="bottom"/>
          </w:tcPr>
          <w:p>
            <w:pPr>
              <w:jc w:val="center"/>
              <w:ind w:right="299"/>
              <w:spacing w:after="0"/>
              <w:rPr>
                <w:sz w:val="20"/>
                <w:szCs w:val="20"/>
                <w:color w:val="auto"/>
              </w:rPr>
            </w:pPr>
            <w:r>
              <w:rPr>
                <w:rFonts w:ascii="Arial" w:cs="Arial" w:eastAsia="Arial" w:hAnsi="Arial"/>
                <w:sz w:val="16"/>
                <w:szCs w:val="16"/>
                <w:b w:val="1"/>
                <w:bCs w:val="1"/>
                <w:color w:val="auto"/>
                <w:w w:val="90"/>
              </w:rPr>
              <w:t>December 31, 2018</w:t>
            </w:r>
          </w:p>
        </w:tc>
        <w:tc>
          <w:tcPr>
            <w:tcW w:w="156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Level 1</w:t>
            </w:r>
          </w:p>
        </w:tc>
        <w:tc>
          <w:tcPr>
            <w:tcW w:w="2160" w:type="dxa"/>
            <w:vAlign w:val="bottom"/>
          </w:tcPr>
          <w:p>
            <w:pPr>
              <w:jc w:val="center"/>
              <w:ind w:right="299"/>
              <w:spacing w:after="0"/>
              <w:rPr>
                <w:sz w:val="20"/>
                <w:szCs w:val="20"/>
                <w:color w:val="auto"/>
              </w:rPr>
            </w:pPr>
            <w:r>
              <w:rPr>
                <w:rFonts w:ascii="Arial" w:cs="Arial" w:eastAsia="Arial" w:hAnsi="Arial"/>
                <w:sz w:val="16"/>
                <w:szCs w:val="16"/>
                <w:b w:val="1"/>
                <w:bCs w:val="1"/>
                <w:color w:val="auto"/>
                <w:w w:val="92"/>
              </w:rPr>
              <w:t>Level 2</w:t>
            </w:r>
          </w:p>
        </w:tc>
        <w:tc>
          <w:tcPr>
            <w:tcW w:w="156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33"/>
        </w:trPr>
        <w:tc>
          <w:tcPr>
            <w:tcW w:w="57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hierarchy:</w:t>
            </w:r>
          </w:p>
        </w:tc>
        <w:tc>
          <w:tcPr>
            <w:tcW w:w="19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$942,414</w:t>
            </w:r>
          </w:p>
        </w:tc>
        <w:tc>
          <w:tcPr>
            <w:tcW w:w="21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$942,414</w:t>
            </w:r>
          </w:p>
        </w:tc>
      </w:tr>
      <w:tr>
        <w:trPr>
          <w:trHeight w:val="33"/>
        </w:trPr>
        <w:tc>
          <w:tcPr>
            <w:tcW w:w="57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11,691</w:t>
            </w:r>
          </w:p>
        </w:tc>
        <w:tc>
          <w:tcPr>
            <w:tcW w:w="21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141,073</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152,764</w:t>
            </w:r>
          </w:p>
        </w:tc>
      </w:tr>
      <w:tr>
        <w:trPr>
          <w:trHeight w:val="237"/>
        </w:trPr>
        <w:tc>
          <w:tcPr>
            <w:tcW w:w="5720" w:type="dxa"/>
            <w:vAlign w:val="bottom"/>
          </w:tcPr>
          <w:p>
            <w:pPr>
              <w:ind w:left="280"/>
              <w:spacing w:after="0"/>
              <w:rPr>
                <w:sz w:val="20"/>
                <w:szCs w:val="20"/>
                <w:color w:val="auto"/>
              </w:rPr>
            </w:pPr>
            <w:r>
              <w:rPr>
                <w:rFonts w:ascii="Arial" w:cs="Arial" w:eastAsia="Arial" w:hAnsi="Arial"/>
                <w:sz w:val="16"/>
                <w:szCs w:val="16"/>
                <w:color w:val="auto"/>
              </w:rPr>
              <w:t>Mutual funds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1,005,811</w:t>
            </w:r>
          </w:p>
        </w:tc>
        <w:tc>
          <w:tcPr>
            <w:tcW w:w="21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1,005,811</w:t>
            </w:r>
          </w:p>
        </w:tc>
      </w:tr>
      <w:tr>
        <w:trPr>
          <w:trHeight w:val="33"/>
        </w:trPr>
        <w:tc>
          <w:tcPr>
            <w:tcW w:w="57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Brokerage securities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22,463</w:t>
            </w:r>
          </w:p>
        </w:tc>
        <w:tc>
          <w:tcPr>
            <w:tcW w:w="21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2,660</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25,123</w:t>
            </w:r>
          </w:p>
        </w:tc>
      </w:tr>
      <w:tr>
        <w:trPr>
          <w:trHeight w:val="237"/>
        </w:trPr>
        <w:tc>
          <w:tcPr>
            <w:tcW w:w="5720" w:type="dxa"/>
            <w:vAlign w:val="bottom"/>
          </w:tcPr>
          <w:p>
            <w:pPr>
              <w:ind w:left="280"/>
              <w:spacing w:after="0"/>
              <w:rPr>
                <w:sz w:val="20"/>
                <w:szCs w:val="20"/>
                <w:color w:val="auto"/>
              </w:rPr>
            </w:pPr>
            <w:r>
              <w:rPr>
                <w:rFonts w:ascii="Arial" w:cs="Arial" w:eastAsia="Arial" w:hAnsi="Arial"/>
                <w:sz w:val="16"/>
                <w:szCs w:val="16"/>
                <w:color w:val="auto"/>
              </w:rPr>
              <w:t>Other</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4,188</w:t>
            </w:r>
          </w:p>
        </w:tc>
        <w:tc>
          <w:tcPr>
            <w:tcW w:w="21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4,188</w:t>
            </w:r>
          </w:p>
        </w:tc>
      </w:tr>
      <w:tr>
        <w:trPr>
          <w:trHeight w:val="33"/>
        </w:trPr>
        <w:tc>
          <w:tcPr>
            <w:tcW w:w="57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in fair value hierarchy</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$1,986,567</w:t>
            </w:r>
          </w:p>
        </w:tc>
        <w:tc>
          <w:tcPr>
            <w:tcW w:w="21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$143,733</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$2,130,300</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Investments measured at NAV practical expedient</w:t>
            </w:r>
          </w:p>
        </w:tc>
        <w:tc>
          <w:tcPr>
            <w:tcW w:w="1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824,832</w:t>
            </w:r>
          </w:p>
        </w:tc>
      </w:tr>
      <w:tr>
        <w:trPr>
          <w:trHeight w:val="33"/>
        </w:trPr>
        <w:tc>
          <w:tcPr>
            <w:tcW w:w="57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participant-directed investments at fair value</w:t>
            </w:r>
          </w:p>
        </w:tc>
        <w:tc>
          <w:tcPr>
            <w:tcW w:w="198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$2,955,132</w:t>
            </w:r>
          </w:p>
        </w:tc>
      </w:tr>
      <w:tr>
        <w:trPr>
          <w:trHeight w:val="366"/>
        </w:trPr>
        <w:tc>
          <w:tcPr>
            <w:tcW w:w="57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0"/>
              </w:rPr>
              <w:t>December 31, 2017</w:t>
            </w:r>
          </w:p>
        </w:tc>
        <w:tc>
          <w:tcPr>
            <w:tcW w:w="1560" w:type="dxa"/>
            <w:vAlign w:val="bottom"/>
            <w:tcBorders>
              <w:top w:val="single" w:sz="8" w:color="auto"/>
            </w:tcBorders>
          </w:tcPr>
          <w:p>
            <w:pPr>
              <w:spacing w:after="0"/>
              <w:rPr>
                <w:sz w:val="24"/>
                <w:szCs w:val="24"/>
                <w:color w:val="auto"/>
              </w:rPr>
            </w:pPr>
          </w:p>
        </w:tc>
      </w:tr>
      <w:tr>
        <w:trPr>
          <w:trHeight w:val="33"/>
        </w:trPr>
        <w:tc>
          <w:tcPr>
            <w:tcW w:w="57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Level 1</w:t>
            </w:r>
          </w:p>
        </w:tc>
        <w:tc>
          <w:tcPr>
            <w:tcW w:w="2160" w:type="dxa"/>
            <w:vAlign w:val="bottom"/>
          </w:tcPr>
          <w:p>
            <w:pPr>
              <w:jc w:val="center"/>
              <w:ind w:right="299"/>
              <w:spacing w:after="0"/>
              <w:rPr>
                <w:sz w:val="20"/>
                <w:szCs w:val="20"/>
                <w:color w:val="auto"/>
              </w:rPr>
            </w:pPr>
            <w:r>
              <w:rPr>
                <w:rFonts w:ascii="Arial" w:cs="Arial" w:eastAsia="Arial" w:hAnsi="Arial"/>
                <w:sz w:val="16"/>
                <w:szCs w:val="16"/>
                <w:b w:val="1"/>
                <w:bCs w:val="1"/>
                <w:color w:val="auto"/>
                <w:w w:val="92"/>
              </w:rPr>
              <w:t>Level 2</w:t>
            </w:r>
          </w:p>
        </w:tc>
        <w:tc>
          <w:tcPr>
            <w:tcW w:w="156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33"/>
        </w:trPr>
        <w:tc>
          <w:tcPr>
            <w:tcW w:w="57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hierarchy:</w:t>
            </w:r>
          </w:p>
        </w:tc>
        <w:tc>
          <w:tcPr>
            <w:tcW w:w="19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1980" w:type="dxa"/>
            <w:vAlign w:val="bottom"/>
          </w:tcPr>
          <w:p>
            <w:pPr>
              <w:jc w:val="right"/>
              <w:ind w:right="179"/>
              <w:spacing w:after="0"/>
              <w:rPr>
                <w:sz w:val="20"/>
                <w:szCs w:val="20"/>
                <w:color w:val="auto"/>
              </w:rPr>
            </w:pPr>
            <w:r>
              <w:rPr>
                <w:rFonts w:ascii="Arial" w:cs="Arial" w:eastAsia="Arial" w:hAnsi="Arial"/>
                <w:sz w:val="16"/>
                <w:szCs w:val="16"/>
                <w:color w:val="auto"/>
              </w:rPr>
              <w:t>$1,000,839</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$1,000,839</w:t>
            </w:r>
          </w:p>
        </w:tc>
      </w:tr>
      <w:tr>
        <w:trPr>
          <w:trHeight w:val="33"/>
        </w:trPr>
        <w:tc>
          <w:tcPr>
            <w:tcW w:w="57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157,220</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157,220</w:t>
            </w:r>
          </w:p>
        </w:tc>
      </w:tr>
      <w:tr>
        <w:trPr>
          <w:trHeight w:val="237"/>
        </w:trPr>
        <w:tc>
          <w:tcPr>
            <w:tcW w:w="5720" w:type="dxa"/>
            <w:vAlign w:val="bottom"/>
          </w:tcPr>
          <w:p>
            <w:pPr>
              <w:ind w:left="280"/>
              <w:spacing w:after="0"/>
              <w:rPr>
                <w:sz w:val="20"/>
                <w:szCs w:val="20"/>
                <w:color w:val="auto"/>
              </w:rPr>
            </w:pPr>
            <w:r>
              <w:rPr>
                <w:rFonts w:ascii="Arial" w:cs="Arial" w:eastAsia="Arial" w:hAnsi="Arial"/>
                <w:sz w:val="16"/>
                <w:szCs w:val="16"/>
                <w:color w:val="auto"/>
              </w:rPr>
              <w:t>Mutual funds</w:t>
            </w:r>
          </w:p>
        </w:tc>
        <w:tc>
          <w:tcPr>
            <w:tcW w:w="1980" w:type="dxa"/>
            <w:vAlign w:val="bottom"/>
          </w:tcPr>
          <w:p>
            <w:pPr>
              <w:jc w:val="right"/>
              <w:ind w:right="179"/>
              <w:spacing w:after="0"/>
              <w:rPr>
                <w:sz w:val="20"/>
                <w:szCs w:val="20"/>
                <w:color w:val="auto"/>
              </w:rPr>
            </w:pPr>
            <w:r>
              <w:rPr>
                <w:rFonts w:ascii="Arial" w:cs="Arial" w:eastAsia="Arial" w:hAnsi="Arial"/>
                <w:sz w:val="16"/>
                <w:szCs w:val="16"/>
                <w:color w:val="auto"/>
              </w:rPr>
              <w:t>1,271,875</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1,271,875</w:t>
            </w:r>
          </w:p>
        </w:tc>
      </w:tr>
      <w:tr>
        <w:trPr>
          <w:trHeight w:val="33"/>
        </w:trPr>
        <w:tc>
          <w:tcPr>
            <w:tcW w:w="57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Brokerage securities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21,370</w:t>
            </w:r>
          </w:p>
        </w:tc>
        <w:tc>
          <w:tcPr>
            <w:tcW w:w="21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3,894</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25,264</w:t>
            </w:r>
          </w:p>
        </w:tc>
      </w:tr>
      <w:tr>
        <w:trPr>
          <w:trHeight w:val="237"/>
        </w:trPr>
        <w:tc>
          <w:tcPr>
            <w:tcW w:w="5720" w:type="dxa"/>
            <w:vAlign w:val="bottom"/>
          </w:tcPr>
          <w:p>
            <w:pPr>
              <w:ind w:left="280"/>
              <w:spacing w:after="0"/>
              <w:rPr>
                <w:sz w:val="20"/>
                <w:szCs w:val="20"/>
                <w:color w:val="auto"/>
              </w:rPr>
            </w:pPr>
            <w:r>
              <w:rPr>
                <w:rFonts w:ascii="Arial" w:cs="Arial" w:eastAsia="Arial" w:hAnsi="Arial"/>
                <w:sz w:val="16"/>
                <w:szCs w:val="16"/>
                <w:color w:val="auto"/>
              </w:rPr>
              <w:t>Other</w:t>
            </w:r>
          </w:p>
        </w:tc>
        <w:tc>
          <w:tcPr>
            <w:tcW w:w="1980" w:type="dxa"/>
            <w:vAlign w:val="bottom"/>
          </w:tcPr>
          <w:p>
            <w:pPr>
              <w:jc w:val="right"/>
              <w:ind w:right="179"/>
              <w:spacing w:after="0"/>
              <w:rPr>
                <w:sz w:val="20"/>
                <w:szCs w:val="20"/>
                <w:color w:val="auto"/>
              </w:rPr>
            </w:pPr>
            <w:r>
              <w:rPr>
                <w:rFonts w:ascii="Arial" w:cs="Arial" w:eastAsia="Arial" w:hAnsi="Arial"/>
                <w:sz w:val="16"/>
                <w:szCs w:val="16"/>
                <w:color w:val="auto"/>
              </w:rPr>
              <w:t>1,105</w:t>
            </w:r>
          </w:p>
        </w:tc>
        <w:tc>
          <w:tcPr>
            <w:tcW w:w="2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1,105</w:t>
            </w:r>
          </w:p>
        </w:tc>
      </w:tr>
      <w:tr>
        <w:trPr>
          <w:trHeight w:val="33"/>
        </w:trPr>
        <w:tc>
          <w:tcPr>
            <w:tcW w:w="57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in fair value hierarchy</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$2,295,189</w:t>
            </w:r>
          </w:p>
        </w:tc>
        <w:tc>
          <w:tcPr>
            <w:tcW w:w="21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$161,114</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$2,456,303</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Investments measured at NAV practical expedient</w:t>
            </w:r>
          </w:p>
        </w:tc>
        <w:tc>
          <w:tcPr>
            <w:tcW w:w="1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675,188</w:t>
            </w:r>
          </w:p>
        </w:tc>
      </w:tr>
      <w:tr>
        <w:trPr>
          <w:trHeight w:val="33"/>
        </w:trPr>
        <w:tc>
          <w:tcPr>
            <w:tcW w:w="57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participant-directed investments at fair value</w:t>
            </w:r>
          </w:p>
        </w:tc>
        <w:tc>
          <w:tcPr>
            <w:tcW w:w="19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$3,131,491</w:t>
            </w:r>
          </w:p>
        </w:tc>
      </w:tr>
      <w:tr>
        <w:trPr>
          <w:trHeight w:val="20"/>
        </w:trPr>
        <w:tc>
          <w:tcPr>
            <w:tcW w:w="57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Plan’s NAV funds are primarily composed of CCT’s, which are measured daily and may be redeemed daily with no restrictions related to the redemption notice period.</w:t>
      </w:r>
    </w:p>
    <w:p>
      <w:pPr>
        <w:spacing w:after="0" w:line="116" w:lineRule="exact"/>
        <w:rPr>
          <w:sz w:val="20"/>
          <w:szCs w:val="20"/>
          <w:color w:val="auto"/>
        </w:rPr>
      </w:pPr>
    </w:p>
    <w:p>
      <w:pPr>
        <w:ind w:right="500"/>
        <w:spacing w:after="0" w:line="352" w:lineRule="auto"/>
        <w:rPr>
          <w:sz w:val="20"/>
          <w:szCs w:val="20"/>
          <w:color w:val="auto"/>
        </w:rPr>
      </w:pPr>
      <w:r>
        <w:rPr>
          <w:rFonts w:ascii="Arial" w:cs="Arial" w:eastAsia="Arial" w:hAnsi="Arial"/>
          <w:sz w:val="18"/>
          <w:szCs w:val="18"/>
          <w:color w:val="auto"/>
        </w:rPr>
        <w:t xml:space="preserve">The Plan did not have any Level 3 measurements as of December 31, 2018 and 2017. During 2018, there were no transfers in or out of Levels 1, 2 or 3. </w:t>
      </w:r>
      <w:r>
        <w:rPr>
          <w:rFonts w:ascii="Arial" w:cs="Arial" w:eastAsia="Arial" w:hAnsi="Arial"/>
          <w:sz w:val="18"/>
          <w:szCs w:val="18"/>
          <w:b w:val="1"/>
          <w:bCs w:val="1"/>
          <w:color w:val="auto"/>
        </w:rPr>
        <w:t>NOTE 4: PARTY-IN-INTEREST TRANSACTIONS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December 31, 2018 and 2017, Plan investments included units held in a collective trust managed by BNY Mellon, BNY Mellon common stock and interest-bearing cash managed by BNY Mellon. Transactions with this entity qualify as exempt party-in-interest transactions. Fees paid by the Plan to BNY Mellon were $406 for 2018 and fees payable to BNY Mellon were $317 as of December 31, 2018. Fees paid by the Plan to Alight Solutions were $2,293 for 2018.</w:t>
      </w:r>
    </w:p>
    <w:p>
      <w:pPr>
        <w:spacing w:after="0" w:line="13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the Plan sponsor, the Company is a party-in-interest with respect to the Plan. As of December 31, 2018 and 2017, the Plan held 3,732 and 4,502 shares of Nordstrom common stock, with a cost basis of $170,479 and $202,900. The Plan recorded dividend income of $5,991 during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19</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401(k)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rPr>
          <w:sz w:val="20"/>
          <w:szCs w:val="20"/>
          <w:color w:val="auto"/>
        </w:rPr>
      </w:pPr>
      <w:r>
        <w:rPr>
          <w:rFonts w:ascii="Arial" w:cs="Arial" w:eastAsia="Arial" w:hAnsi="Arial"/>
          <w:sz w:val="18"/>
          <w:szCs w:val="18"/>
          <w:color w:val="auto"/>
        </w:rPr>
        <w:t>(Dollar and share amounts in thousands)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FEDERAL INCOME TAX STATUS</w:t>
      </w:r>
    </w:p>
    <w:p>
      <w:pPr>
        <w:spacing w:after="0" w:line="2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IRS has determined and informed the Company by a letter dated June 12, 2014, that the Plan is designed in accordance with applicable sections of the IRC. Although the Plan has been amended since the date of the latest determination letter, the Company and Plan management believe that the Plan is currently designed and operated in compliance with the applicable requirements of the IRC, and the Plan and related trust continue to be tax-exempt. Therefore, no provision for income taxes has been included in the Plan’s financial statements.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Administrator has concluded that as of December 31, 2018 and 2017, there are no uncertain tax positions taken or expected to be taken that would require recognition of a liability (or asset) or disclosure in the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PLAN TERMINATION</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at any time and to terminate the Plan subject to the provisions of ERISA. Under the Plan, the Company may also temporarily suspend contributions, which does not constitute or require termination of the Plan.</w:t>
      </w:r>
    </w:p>
    <w:p>
      <w:pPr>
        <w:spacing w:after="0" w:line="13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event the Plan is terminated, the respective accounts of the participants under the Plan shall become fully vested and nonforfeitable. After payment of expenses properly chargeable against the Plan, the trustee shall distribute all Plan assets to the participants in the proportions determined by their respective accounts.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EXCESS CONTRIBUTIONS PAYABLE TO PARTICIPANTS</w:t>
      </w:r>
    </w:p>
    <w:p>
      <w:pPr>
        <w:spacing w:after="0" w:line="2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Plan is subject to certain non-discrimination rules under ERISA and the IRC. For 2018 and 2017, the Plan failed certain non-discrimination tests under the IRC due to lower deferral percentages by non-highly compensated eligible employees relative to the deferral percentages of highly compensated eligible employees. In order to meet the requirements of the non-discrimination rules, the Plan refunded a portion of the contributions made by highly compensated participants, in accordance with applicable provisions of the IRC. Additionally, the Plan is required to return contributions received from participants during the Plan year in excess of the IRC limits (see Note 1: Description of the Plan for additional information on IRS contribution limitations). These refunds are accrued within excess contributions payable to participants in the Statements of Net Assets Available for Benefits and reduce participant contributions on the Statement of Changes in Net Assets Available for Benefits. The net refund for 2018, paid in March 2019, totaled $2,074 and included approximately $126 of investment loss. The net refund for 2017, paid in March 2018, totaled $1,896 and included approximately $142 of investment earnings.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 of 19</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EIN: 91-0515058</w:t>
      </w:r>
    </w:p>
    <w:p>
      <w:pPr>
        <w:jc w:val="center"/>
        <w:spacing w:after="0" w:line="239" w:lineRule="auto"/>
        <w:rPr>
          <w:sz w:val="20"/>
          <w:szCs w:val="20"/>
          <w:color w:val="auto"/>
        </w:rPr>
      </w:pPr>
      <w:r>
        <w:rPr>
          <w:rFonts w:ascii="Arial" w:cs="Arial" w:eastAsia="Arial" w:hAnsi="Arial"/>
          <w:sz w:val="22"/>
          <w:szCs w:val="22"/>
          <w:b w:val="1"/>
          <w:bCs w:val="1"/>
          <w:color w:val="auto"/>
        </w:rPr>
        <w:t>Plan #: 001</w:t>
      </w:r>
    </w:p>
    <w:p>
      <w:pPr>
        <w:jc w:val="center"/>
        <w:spacing w:after="0"/>
        <w:rPr>
          <w:sz w:val="20"/>
          <w:szCs w:val="20"/>
          <w:color w:val="auto"/>
        </w:rPr>
      </w:pPr>
      <w:r>
        <w:rPr>
          <w:rFonts w:ascii="Arial" w:cs="Arial" w:eastAsia="Arial" w:hAnsi="Arial"/>
          <w:sz w:val="18"/>
          <w:szCs w:val="18"/>
          <w:color w:val="auto"/>
        </w:rPr>
        <w:t>(Dollars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740" w:type="dxa"/>
            <w:vAlign w:val="bottom"/>
          </w:tcPr>
          <w:p>
            <w:pPr>
              <w:ind w:left="200"/>
              <w:spacing w:after="0"/>
              <w:rPr>
                <w:sz w:val="20"/>
                <w:szCs w:val="20"/>
                <w:color w:val="auto"/>
              </w:rPr>
            </w:pPr>
            <w:r>
              <w:rPr>
                <w:rFonts w:ascii="Arial" w:cs="Arial" w:eastAsia="Arial" w:hAnsi="Arial"/>
                <w:sz w:val="16"/>
                <w:szCs w:val="16"/>
                <w:b w:val="1"/>
                <w:bCs w:val="1"/>
                <w:color w:val="auto"/>
                <w:w w:val="98"/>
              </w:rPr>
              <w:t>(c) Description of investment including maturity date, rate of</w:t>
            </w:r>
          </w:p>
        </w:tc>
        <w:tc>
          <w:tcPr>
            <w:tcW w:w="1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r>
      <w:tr>
        <w:trPr>
          <w:trHeight w:val="210"/>
        </w:trPr>
        <w:tc>
          <w:tcPr>
            <w:tcW w:w="320" w:type="dxa"/>
            <w:vAlign w:val="bottom"/>
          </w:tcPr>
          <w:p>
            <w:pPr>
              <w:ind w:left="40"/>
              <w:spacing w:after="0"/>
              <w:rPr>
                <w:sz w:val="20"/>
                <w:szCs w:val="20"/>
                <w:color w:val="auto"/>
              </w:rPr>
            </w:pPr>
            <w:r>
              <w:rPr>
                <w:rFonts w:ascii="Arial" w:cs="Arial" w:eastAsia="Arial" w:hAnsi="Arial"/>
                <w:sz w:val="16"/>
                <w:szCs w:val="16"/>
                <w:b w:val="1"/>
                <w:bCs w:val="1"/>
                <w:color w:val="auto"/>
              </w:rPr>
              <w:t>(a)</w:t>
            </w:r>
          </w:p>
        </w:tc>
        <w:tc>
          <w:tcPr>
            <w:tcW w:w="4000" w:type="dxa"/>
            <w:vAlign w:val="bottom"/>
          </w:tcPr>
          <w:p>
            <w:pPr>
              <w:ind w:left="100"/>
              <w:spacing w:after="0"/>
              <w:rPr>
                <w:sz w:val="20"/>
                <w:szCs w:val="20"/>
                <w:color w:val="auto"/>
              </w:rPr>
            </w:pPr>
            <w:r>
              <w:rPr>
                <w:rFonts w:ascii="Arial" w:cs="Arial" w:eastAsia="Arial" w:hAnsi="Arial"/>
                <w:sz w:val="16"/>
                <w:szCs w:val="16"/>
                <w:b w:val="1"/>
                <w:bCs w:val="1"/>
                <w:color w:val="auto"/>
                <w:w w:val="95"/>
              </w:rPr>
              <w:t>(b) Identity of issue, borrower, lessor, or similar party</w:t>
            </w:r>
          </w:p>
        </w:tc>
        <w:tc>
          <w:tcPr>
            <w:tcW w:w="4740" w:type="dxa"/>
            <w:vAlign w:val="bottom"/>
          </w:tcPr>
          <w:p>
            <w:pPr>
              <w:ind w:left="200"/>
              <w:spacing w:after="0"/>
              <w:rPr>
                <w:sz w:val="20"/>
                <w:szCs w:val="20"/>
                <w:color w:val="auto"/>
              </w:rPr>
            </w:pPr>
            <w:r>
              <w:rPr>
                <w:rFonts w:ascii="Arial" w:cs="Arial" w:eastAsia="Arial" w:hAnsi="Arial"/>
                <w:sz w:val="16"/>
                <w:szCs w:val="16"/>
                <w:b w:val="1"/>
                <w:bCs w:val="1"/>
                <w:color w:val="auto"/>
              </w:rPr>
              <w:t>interest, collateral, par, or maturity value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r>
      <w:tr>
        <w:trPr>
          <w:trHeight w:val="33"/>
        </w:trPr>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4000" w:type="dxa"/>
            <w:vAlign w:val="bottom"/>
          </w:tcPr>
          <w:p>
            <w:pPr>
              <w:ind w:left="100"/>
              <w:spacing w:after="0"/>
              <w:rPr>
                <w:sz w:val="20"/>
                <w:szCs w:val="20"/>
                <w:color w:val="auto"/>
              </w:rPr>
            </w:pPr>
            <w:r>
              <w:rPr>
                <w:rFonts w:ascii="Arial" w:cs="Arial" w:eastAsia="Arial" w:hAnsi="Arial"/>
                <w:sz w:val="16"/>
                <w:szCs w:val="16"/>
                <w:color w:val="auto"/>
              </w:rPr>
              <w:t>EB Temporary Investment Fund</w:t>
            </w:r>
          </w:p>
        </w:tc>
        <w:tc>
          <w:tcPr>
            <w:tcW w:w="4740" w:type="dxa"/>
            <w:vAlign w:val="bottom"/>
          </w:tcPr>
          <w:p>
            <w:pPr>
              <w:ind w:left="200"/>
              <w:spacing w:after="0"/>
              <w:rPr>
                <w:sz w:val="20"/>
                <w:szCs w:val="20"/>
                <w:color w:val="auto"/>
              </w:rPr>
            </w:pPr>
            <w:r>
              <w:rPr>
                <w:rFonts w:ascii="Arial" w:cs="Arial" w:eastAsia="Arial" w:hAnsi="Arial"/>
                <w:sz w:val="16"/>
                <w:szCs w:val="16"/>
                <w:color w:val="auto"/>
              </w:rPr>
              <w:t>CCT - due 12/31/2049 - 1.147%</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22,974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Loomis Core Plus Fixed Income Fund</w:t>
            </w:r>
          </w:p>
        </w:tc>
        <w:tc>
          <w:tcPr>
            <w:tcW w:w="4740" w:type="dxa"/>
            <w:vAlign w:val="bottom"/>
          </w:tcPr>
          <w:p>
            <w:pPr>
              <w:ind w:left="200"/>
              <w:spacing w:after="0"/>
              <w:rPr>
                <w:sz w:val="20"/>
                <w:szCs w:val="20"/>
                <w:color w:val="auto"/>
              </w:rPr>
            </w:pPr>
            <w:r>
              <w:rPr>
                <w:rFonts w:ascii="Arial" w:cs="Arial" w:eastAsia="Arial" w:hAnsi="Arial"/>
                <w:sz w:val="16"/>
                <w:szCs w:val="16"/>
                <w:color w:val="auto"/>
              </w:rPr>
              <w:t>CCT</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297,943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Putnam Stable Value Fund</w:t>
            </w:r>
          </w:p>
        </w:tc>
        <w:tc>
          <w:tcPr>
            <w:tcW w:w="4740" w:type="dxa"/>
            <w:vAlign w:val="bottom"/>
          </w:tcPr>
          <w:p>
            <w:pPr>
              <w:ind w:left="200"/>
              <w:spacing w:after="0"/>
              <w:rPr>
                <w:sz w:val="20"/>
                <w:szCs w:val="20"/>
                <w:color w:val="auto"/>
              </w:rPr>
            </w:pPr>
            <w:r>
              <w:rPr>
                <w:rFonts w:ascii="Arial" w:cs="Arial" w:eastAsia="Arial" w:hAnsi="Arial"/>
                <w:sz w:val="16"/>
                <w:szCs w:val="16"/>
                <w:color w:val="auto"/>
              </w:rPr>
              <w:t>CCT</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265,026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Schroder International Multi-Cap Equity Trust - Class 2</w:t>
            </w:r>
          </w:p>
        </w:tc>
        <w:tc>
          <w:tcPr>
            <w:tcW w:w="4740" w:type="dxa"/>
            <w:vAlign w:val="bottom"/>
          </w:tcPr>
          <w:p>
            <w:pPr>
              <w:ind w:left="200"/>
              <w:spacing w:after="0"/>
              <w:rPr>
                <w:sz w:val="20"/>
                <w:szCs w:val="20"/>
                <w:color w:val="auto"/>
              </w:rPr>
            </w:pPr>
            <w:r>
              <w:rPr>
                <w:rFonts w:ascii="Arial" w:cs="Arial" w:eastAsia="Arial" w:hAnsi="Arial"/>
                <w:sz w:val="16"/>
                <w:szCs w:val="16"/>
                <w:color w:val="auto"/>
              </w:rPr>
              <w:t>CCT</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194,772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SSGA TIPS Index</w:t>
            </w:r>
          </w:p>
        </w:tc>
        <w:tc>
          <w:tcPr>
            <w:tcW w:w="4740" w:type="dxa"/>
            <w:vAlign w:val="bottom"/>
          </w:tcPr>
          <w:p>
            <w:pPr>
              <w:ind w:left="200"/>
              <w:spacing w:after="0"/>
              <w:rPr>
                <w:sz w:val="20"/>
                <w:szCs w:val="20"/>
                <w:color w:val="auto"/>
              </w:rPr>
            </w:pPr>
            <w:r>
              <w:rPr>
                <w:rFonts w:ascii="Arial" w:cs="Arial" w:eastAsia="Arial" w:hAnsi="Arial"/>
                <w:sz w:val="16"/>
                <w:szCs w:val="16"/>
                <w:color w:val="auto"/>
              </w:rPr>
              <w:t>CCT</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45,095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2U,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1,868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Adtalem Global Education,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5,060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Aegon N.V.</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1,759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Alnylam Pharmaceuticals,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Alphabet, Inc. Class A</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12,569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Alphabet, Inc. Class 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13,292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Altria Group,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3,815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Amazon.com,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15,822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American Express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8,064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American Tower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2,337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AMETEK,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2,795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Anadarko Petroleum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6,024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Apache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4,368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Apple,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9,806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Aramark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1,717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Aspen Technology,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2,676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AstraZeneca plc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6,798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AT&amp;T,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2,566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Axalta Coating Systems Ltd.</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1,871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Baker Hughes, a GE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3,687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Ball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6,449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Bank of America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8,863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Baxter International,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4,565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BB&amp;T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2,673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Biogen,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4,023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Booking Holdings,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4,995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Booz Allen Hamilton Holding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5,786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Boston Scientific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3,942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Brighthouse Financial,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1,049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BrightSphere Investment Group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Bristol-Myers Squibb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6,965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Burlington Stores,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7,853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BWX Technologies,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5,347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Cable One,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1,591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Cambrex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2,198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Capital One Financial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8,791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Catalent,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3,057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Cboe Global Markets,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5,823</w:t>
            </w:r>
          </w:p>
        </w:tc>
      </w:tr>
    </w:tbl>
    <w:p>
      <w:pPr>
        <w:spacing w:after="0" w:line="109" w:lineRule="exact"/>
        <w:rPr>
          <w:sz w:val="20"/>
          <w:szCs w:val="20"/>
          <w:color w:val="auto"/>
        </w:rPr>
      </w:pPr>
    </w:p>
    <w:p>
      <w:pPr>
        <w:ind w:left="100" w:hanging="65"/>
        <w:spacing w:after="0"/>
        <w:tabs>
          <w:tab w:leader="none" w:pos="100" w:val="left"/>
        </w:tabs>
        <w:numPr>
          <w:ilvl w:val="0"/>
          <w:numId w:val="6"/>
        </w:numPr>
        <w:rPr>
          <w:rFonts w:ascii="Arial" w:cs="Arial" w:eastAsia="Arial" w:hAnsi="Arial"/>
          <w:sz w:val="9"/>
          <w:szCs w:val="9"/>
          <w:color w:val="auto"/>
        </w:rPr>
      </w:pPr>
      <w:r>
        <w:rPr>
          <w:rFonts w:ascii="Arial" w:cs="Arial" w:eastAsia="Arial" w:hAnsi="Arial"/>
          <w:sz w:val="14"/>
          <w:szCs w:val="14"/>
          <w:color w:val="auto"/>
        </w:rPr>
        <w:t>Party-in-interest</w:t>
      </w:r>
    </w:p>
    <w:p>
      <w:pPr>
        <w:spacing w:after="0" w:line="42" w:lineRule="exact"/>
        <w:rPr>
          <w:sz w:val="20"/>
          <w:szCs w:val="20"/>
          <w:color w:val="auto"/>
        </w:rPr>
      </w:pPr>
    </w:p>
    <w:p>
      <w:pPr>
        <w:ind w:left="140" w:hanging="105"/>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Cost information is not required for participant-directed investments and therefore is not included.</w:t>
      </w:r>
    </w:p>
    <w:p>
      <w:pPr>
        <w:sectPr>
          <w:pgSz w:w="11900" w:h="16838" w:orient="portrait"/>
          <w:cols w:equalWidth="0" w:num="1">
            <w:col w:w="11420"/>
          </w:cols>
          <w:pgMar w:left="240" w:top="118" w:right="239" w:bottom="744"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 of 19</w:t>
      </w:r>
    </w:p>
    <w:p>
      <w:pPr>
        <w:sectPr>
          <w:pgSz w:w="11900" w:h="16838" w:orient="portrait"/>
          <w:cols w:equalWidth="0" w:num="1">
            <w:col w:w="11420"/>
          </w:cols>
          <w:pgMar w:left="240" w:top="118" w:right="239" w:bottom="744"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4740" w:type="dxa"/>
            <w:vAlign w:val="bottom"/>
          </w:tcPr>
          <w:p>
            <w:pPr>
              <w:ind w:left="200"/>
              <w:spacing w:after="0"/>
              <w:rPr>
                <w:sz w:val="20"/>
                <w:szCs w:val="20"/>
                <w:color w:val="auto"/>
              </w:rPr>
            </w:pPr>
            <w:r>
              <w:rPr>
                <w:rFonts w:ascii="Arial" w:cs="Arial" w:eastAsia="Arial" w:hAnsi="Arial"/>
                <w:sz w:val="16"/>
                <w:szCs w:val="16"/>
                <w:b w:val="1"/>
                <w:bCs w:val="1"/>
                <w:color w:val="auto"/>
                <w:w w:val="98"/>
              </w:rPr>
              <w:t>(c) Description of investment including maturity date, rate of</w:t>
            </w:r>
          </w:p>
        </w:tc>
        <w:tc>
          <w:tcPr>
            <w:tcW w:w="1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r>
      <w:tr>
        <w:trPr>
          <w:trHeight w:val="210"/>
        </w:trPr>
        <w:tc>
          <w:tcPr>
            <w:tcW w:w="4320" w:type="dxa"/>
            <w:vAlign w:val="bottom"/>
          </w:tcPr>
          <w:p>
            <w:pPr>
              <w:ind w:left="40"/>
              <w:spacing w:after="0"/>
              <w:rPr>
                <w:sz w:val="20"/>
                <w:szCs w:val="20"/>
                <w:color w:val="auto"/>
              </w:rPr>
            </w:pPr>
            <w:r>
              <w:rPr>
                <w:rFonts w:ascii="Arial" w:cs="Arial" w:eastAsia="Arial" w:hAnsi="Arial"/>
                <w:sz w:val="16"/>
                <w:szCs w:val="16"/>
                <w:b w:val="1"/>
                <w:bCs w:val="1"/>
                <w:color w:val="auto"/>
                <w:w w:val="98"/>
              </w:rPr>
              <w:t>(a)  (b) Identity of issue, borrower, lessor, or similar party</w:t>
            </w:r>
          </w:p>
        </w:tc>
        <w:tc>
          <w:tcPr>
            <w:tcW w:w="4740" w:type="dxa"/>
            <w:vAlign w:val="bottom"/>
          </w:tcPr>
          <w:p>
            <w:pPr>
              <w:ind w:left="200"/>
              <w:spacing w:after="0"/>
              <w:rPr>
                <w:sz w:val="20"/>
                <w:szCs w:val="20"/>
                <w:color w:val="auto"/>
              </w:rPr>
            </w:pPr>
            <w:r>
              <w:rPr>
                <w:rFonts w:ascii="Arial" w:cs="Arial" w:eastAsia="Arial" w:hAnsi="Arial"/>
                <w:sz w:val="16"/>
                <w:szCs w:val="16"/>
                <w:b w:val="1"/>
                <w:bCs w:val="1"/>
                <w:color w:val="auto"/>
              </w:rPr>
              <w:t>interest, collateral, par, or maturity value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r>
      <w:tr>
        <w:trPr>
          <w:trHeight w:val="33"/>
        </w:trPr>
        <w:tc>
          <w:tcPr>
            <w:tcW w:w="43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320" w:type="dxa"/>
            <w:vAlign w:val="bottom"/>
          </w:tcPr>
          <w:p>
            <w:pPr>
              <w:ind w:left="420"/>
              <w:spacing w:after="0"/>
              <w:rPr>
                <w:sz w:val="20"/>
                <w:szCs w:val="20"/>
                <w:color w:val="auto"/>
              </w:rPr>
            </w:pPr>
            <w:r>
              <w:rPr>
                <w:rFonts w:ascii="Arial" w:cs="Arial" w:eastAsia="Arial" w:hAnsi="Arial"/>
                <w:sz w:val="16"/>
                <w:szCs w:val="16"/>
                <w:color w:val="auto"/>
              </w:rPr>
              <w:t>Celanese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6,493</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Centennial Resource Development,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1,059</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Charter Communications,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10,572</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Church &amp; Dwight Co.,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Cigna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8,009</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Cisco Systems,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4,485</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Citrix Systems,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3,197</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Cognizant Technology Solutions</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3,958</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Colliers International Group,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Comcast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16,019</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Concho Resources,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2,887</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Copart,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7,024</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CoStar Group,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6,355</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Crown Holdings,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1,625</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CVS Health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3,112</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Danaher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1,753</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Dell Technologies,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1,372</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Delta Air Lines,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3,988</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Dexcom,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3,745</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Dish Network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1,506</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Domino’s Pizza,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6,050</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E*TRADE Financial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1,873</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East West Bancorp,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1,305</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Electronic Arts,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3,956</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Eli Lilly &amp; Company</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5,768</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Encompass Health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4,442</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Encore Capital Group,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1,630</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Euronet Worldwide,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5,615</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Exact Sciences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3,549</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Extra Space Storage,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2,930</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Facebook,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6,123</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FedEx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7,857</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Fidelity National Information Services,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5,269</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FirstCash,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3,309</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FirstService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2,332</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Fiserv,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5,021</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Fortinet,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2,926</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Genesee &amp; Wyoming,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2,607</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Gilead Sciences,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3,372</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Glaukos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3,353</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GlaxoSmithKline plc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6,278</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GoDaddy,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6,717</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Grand Canyon Education,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3,951</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Guidewire Software,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2,216</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Halliburton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2,560</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Harley-Davidson,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1,030</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Healthcare Services Group,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3,776</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HEICO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3,957</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Hewlett Packard Enterprise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5,667</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Hilton Grand Vacations,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1,905</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Hilton Worldwide Holdings,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4,032</w:t>
            </w:r>
          </w:p>
        </w:tc>
      </w:tr>
      <w:tr>
        <w:trPr>
          <w:trHeight w:val="270"/>
        </w:trPr>
        <w:tc>
          <w:tcPr>
            <w:tcW w:w="4320" w:type="dxa"/>
            <w:vAlign w:val="bottom"/>
          </w:tcPr>
          <w:p>
            <w:pPr>
              <w:ind w:left="420"/>
              <w:spacing w:after="0"/>
              <w:rPr>
                <w:sz w:val="20"/>
                <w:szCs w:val="20"/>
                <w:color w:val="auto"/>
              </w:rPr>
            </w:pPr>
            <w:r>
              <w:rPr>
                <w:rFonts w:ascii="Arial" w:cs="Arial" w:eastAsia="Arial" w:hAnsi="Arial"/>
                <w:sz w:val="16"/>
                <w:szCs w:val="16"/>
                <w:color w:val="auto"/>
              </w:rPr>
              <w:t>Honeywell International,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3,172</w:t>
            </w:r>
          </w:p>
        </w:tc>
      </w:tr>
    </w:tbl>
    <w:p>
      <w:pPr>
        <w:spacing w:after="0" w:line="200" w:lineRule="exact"/>
        <w:rPr>
          <w:sz w:val="20"/>
          <w:szCs w:val="20"/>
          <w:color w:val="auto"/>
        </w:rPr>
      </w:pPr>
    </w:p>
    <w:p>
      <w:pPr>
        <w:sectPr>
          <w:pgSz w:w="11900" w:h="16838" w:orient="portrait"/>
          <w:cols w:equalWidth="0" w:num="1">
            <w:col w:w="11420"/>
          </w:cols>
          <w:pgMar w:left="240" w:top="531" w:right="239" w:bottom="825"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 of 19</w:t>
      </w:r>
    </w:p>
    <w:p>
      <w:pPr>
        <w:sectPr>
          <w:pgSz w:w="11900" w:h="16838" w:orient="portrait"/>
          <w:cols w:equalWidth="0" w:num="1">
            <w:col w:w="11420"/>
          </w:cols>
          <w:pgMar w:left="240" w:top="531" w:right="239" w:bottom="825"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740" w:type="dxa"/>
            <w:vAlign w:val="bottom"/>
          </w:tcPr>
          <w:p>
            <w:pPr>
              <w:ind w:left="200"/>
              <w:spacing w:after="0"/>
              <w:rPr>
                <w:sz w:val="20"/>
                <w:szCs w:val="20"/>
                <w:color w:val="auto"/>
              </w:rPr>
            </w:pPr>
            <w:r>
              <w:rPr>
                <w:rFonts w:ascii="Arial" w:cs="Arial" w:eastAsia="Arial" w:hAnsi="Arial"/>
                <w:sz w:val="16"/>
                <w:szCs w:val="16"/>
                <w:b w:val="1"/>
                <w:bCs w:val="1"/>
                <w:color w:val="auto"/>
                <w:w w:val="98"/>
              </w:rPr>
              <w:t>(c) Description of investment including maturity date, rate of</w:t>
            </w:r>
          </w:p>
        </w:tc>
        <w:tc>
          <w:tcPr>
            <w:tcW w:w="1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r>
      <w:tr>
        <w:trPr>
          <w:trHeight w:val="210"/>
        </w:trPr>
        <w:tc>
          <w:tcPr>
            <w:tcW w:w="320" w:type="dxa"/>
            <w:vAlign w:val="bottom"/>
          </w:tcPr>
          <w:p>
            <w:pPr>
              <w:ind w:left="40"/>
              <w:spacing w:after="0"/>
              <w:rPr>
                <w:sz w:val="20"/>
                <w:szCs w:val="20"/>
                <w:color w:val="auto"/>
              </w:rPr>
            </w:pPr>
            <w:r>
              <w:rPr>
                <w:rFonts w:ascii="Arial" w:cs="Arial" w:eastAsia="Arial" w:hAnsi="Arial"/>
                <w:sz w:val="16"/>
                <w:szCs w:val="16"/>
                <w:b w:val="1"/>
                <w:bCs w:val="1"/>
                <w:color w:val="auto"/>
              </w:rPr>
              <w:t>(a)</w:t>
            </w:r>
          </w:p>
        </w:tc>
        <w:tc>
          <w:tcPr>
            <w:tcW w:w="4000" w:type="dxa"/>
            <w:vAlign w:val="bottom"/>
          </w:tcPr>
          <w:p>
            <w:pPr>
              <w:ind w:left="100"/>
              <w:spacing w:after="0"/>
              <w:rPr>
                <w:sz w:val="20"/>
                <w:szCs w:val="20"/>
                <w:color w:val="auto"/>
              </w:rPr>
            </w:pPr>
            <w:r>
              <w:rPr>
                <w:rFonts w:ascii="Arial" w:cs="Arial" w:eastAsia="Arial" w:hAnsi="Arial"/>
                <w:sz w:val="16"/>
                <w:szCs w:val="16"/>
                <w:b w:val="1"/>
                <w:bCs w:val="1"/>
                <w:color w:val="auto"/>
                <w:w w:val="95"/>
              </w:rPr>
              <w:t>(b) Identity of issue, borrower, lessor, or similar party</w:t>
            </w:r>
          </w:p>
        </w:tc>
        <w:tc>
          <w:tcPr>
            <w:tcW w:w="4740" w:type="dxa"/>
            <w:vAlign w:val="bottom"/>
          </w:tcPr>
          <w:p>
            <w:pPr>
              <w:ind w:left="200"/>
              <w:spacing w:after="0"/>
              <w:rPr>
                <w:sz w:val="20"/>
                <w:szCs w:val="20"/>
                <w:color w:val="auto"/>
              </w:rPr>
            </w:pPr>
            <w:r>
              <w:rPr>
                <w:rFonts w:ascii="Arial" w:cs="Arial" w:eastAsia="Arial" w:hAnsi="Arial"/>
                <w:sz w:val="16"/>
                <w:szCs w:val="16"/>
                <w:b w:val="1"/>
                <w:bCs w:val="1"/>
                <w:color w:val="auto"/>
              </w:rPr>
              <w:t>interest, collateral, par, or maturity value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r>
      <w:tr>
        <w:trPr>
          <w:trHeight w:val="33"/>
        </w:trPr>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Horizon Pharma plc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3,092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HP,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5,580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Incyte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Ingersoll-Rand plc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2,805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Inogen,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1,770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Insulet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3,965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Intuit,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4,568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J2 Global,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2,177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Johnson &amp; Johnson</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2,345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Johnson Controls International PLC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6,413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Jones Lang LaSalle,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2,332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JPMorgan Chase &amp;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8,288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Juniper Networks,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3,062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L3 Technologies,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2,313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Lamb Weston Holdings,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2,017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Ligand Pharmaceuticals,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3,137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Live Nation Entertainment,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5,036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Martin Marietta Materials,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4,729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Mastercard,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4,945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Mattel,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Maxim Integrated Products,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MaxLinear,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Medtronic PLC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1,646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Merck &amp; Co.,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2,390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MetLife,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6,471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Micro Focus International plc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Microchip Technology,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4,049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Microsoft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28,290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Molson Coors Brewing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1,623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Monster Beverage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3,499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Motorola Solutions,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2,435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National Instruments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2,871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National Oilwell Varco,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1,434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News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Nice Ltd.</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2,789</w:t>
            </w:r>
          </w:p>
        </w:tc>
      </w:tr>
      <w:tr>
        <w:trPr>
          <w:trHeight w:val="270"/>
        </w:trPr>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4000" w:type="dxa"/>
            <w:vAlign w:val="bottom"/>
          </w:tcPr>
          <w:p>
            <w:pPr>
              <w:ind w:left="100"/>
              <w:spacing w:after="0"/>
              <w:rPr>
                <w:sz w:val="20"/>
                <w:szCs w:val="20"/>
                <w:color w:val="auto"/>
              </w:rPr>
            </w:pPr>
            <w:r>
              <w:rPr>
                <w:rFonts w:ascii="Arial" w:cs="Arial" w:eastAsia="Arial" w:hAnsi="Arial"/>
                <w:sz w:val="16"/>
                <w:szCs w:val="16"/>
                <w:color w:val="auto"/>
              </w:rPr>
              <w:t>Nordstrom,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173,959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Novanta,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1,537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Novartis AG</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8,701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Nu Skin Enterprises,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1,777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Occidental Petroleum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5,438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O’Reilly Automotive,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3,286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Packaging Corporation Of America</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Parsley Energy,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1,386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Penumbra,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2,297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Portola Pharmaceuticals,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Pure Storage,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3,512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Qurate Retail,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3,022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Ritchie Bros Auctioneers,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Roche Holding AG</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6,673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Rogers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3,461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S&amp;P Global,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4,377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Sabre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2,794</w:t>
            </w:r>
          </w:p>
        </w:tc>
      </w:tr>
    </w:tbl>
    <w:p>
      <w:pPr>
        <w:spacing w:after="0" w:line="200" w:lineRule="exact"/>
        <w:rPr>
          <w:sz w:val="20"/>
          <w:szCs w:val="20"/>
          <w:color w:val="auto"/>
        </w:rPr>
      </w:pPr>
    </w:p>
    <w:p>
      <w:pPr>
        <w:sectPr>
          <w:pgSz w:w="11900" w:h="16838" w:orient="portrait"/>
          <w:cols w:equalWidth="0" w:num="1">
            <w:col w:w="11420"/>
          </w:cols>
          <w:pgMar w:left="240" w:top="531" w:right="239" w:bottom="825"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 of 19</w:t>
      </w:r>
    </w:p>
    <w:p>
      <w:pPr>
        <w:sectPr>
          <w:pgSz w:w="11900" w:h="16838" w:orient="portrait"/>
          <w:cols w:equalWidth="0" w:num="1">
            <w:col w:w="11420"/>
          </w:cols>
          <w:pgMar w:left="240" w:top="531" w:right="239" w:bottom="825"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740" w:type="dxa"/>
            <w:vAlign w:val="bottom"/>
          </w:tcPr>
          <w:p>
            <w:pPr>
              <w:ind w:left="200"/>
              <w:spacing w:after="0"/>
              <w:rPr>
                <w:sz w:val="20"/>
                <w:szCs w:val="20"/>
                <w:color w:val="auto"/>
              </w:rPr>
            </w:pPr>
            <w:r>
              <w:rPr>
                <w:rFonts w:ascii="Arial" w:cs="Arial" w:eastAsia="Arial" w:hAnsi="Arial"/>
                <w:sz w:val="16"/>
                <w:szCs w:val="16"/>
                <w:b w:val="1"/>
                <w:bCs w:val="1"/>
                <w:color w:val="auto"/>
                <w:w w:val="98"/>
              </w:rPr>
              <w:t>(c) Description of investment including maturity date, rate of</w:t>
            </w:r>
          </w:p>
        </w:tc>
        <w:tc>
          <w:tcPr>
            <w:tcW w:w="1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r>
      <w:tr>
        <w:trPr>
          <w:trHeight w:val="210"/>
        </w:trPr>
        <w:tc>
          <w:tcPr>
            <w:tcW w:w="320" w:type="dxa"/>
            <w:vAlign w:val="bottom"/>
          </w:tcPr>
          <w:p>
            <w:pPr>
              <w:ind w:left="40"/>
              <w:spacing w:after="0"/>
              <w:rPr>
                <w:sz w:val="20"/>
                <w:szCs w:val="20"/>
                <w:color w:val="auto"/>
              </w:rPr>
            </w:pPr>
            <w:r>
              <w:rPr>
                <w:rFonts w:ascii="Arial" w:cs="Arial" w:eastAsia="Arial" w:hAnsi="Arial"/>
                <w:sz w:val="16"/>
                <w:szCs w:val="16"/>
                <w:b w:val="1"/>
                <w:bCs w:val="1"/>
                <w:color w:val="auto"/>
              </w:rPr>
              <w:t>(a)</w:t>
            </w:r>
          </w:p>
        </w:tc>
        <w:tc>
          <w:tcPr>
            <w:tcW w:w="4000" w:type="dxa"/>
            <w:vAlign w:val="bottom"/>
          </w:tcPr>
          <w:p>
            <w:pPr>
              <w:ind w:left="100"/>
              <w:spacing w:after="0"/>
              <w:rPr>
                <w:sz w:val="20"/>
                <w:szCs w:val="20"/>
                <w:color w:val="auto"/>
              </w:rPr>
            </w:pPr>
            <w:r>
              <w:rPr>
                <w:rFonts w:ascii="Arial" w:cs="Arial" w:eastAsia="Arial" w:hAnsi="Arial"/>
                <w:sz w:val="16"/>
                <w:szCs w:val="16"/>
                <w:b w:val="1"/>
                <w:bCs w:val="1"/>
                <w:color w:val="auto"/>
                <w:w w:val="95"/>
              </w:rPr>
              <w:t>(b) Identity of issue, borrower, lessor, or similar party</w:t>
            </w:r>
          </w:p>
        </w:tc>
        <w:tc>
          <w:tcPr>
            <w:tcW w:w="4740" w:type="dxa"/>
            <w:vAlign w:val="bottom"/>
          </w:tcPr>
          <w:p>
            <w:pPr>
              <w:ind w:left="200"/>
              <w:spacing w:after="0"/>
              <w:rPr>
                <w:sz w:val="20"/>
                <w:szCs w:val="20"/>
                <w:color w:val="auto"/>
              </w:rPr>
            </w:pPr>
            <w:r>
              <w:rPr>
                <w:rFonts w:ascii="Arial" w:cs="Arial" w:eastAsia="Arial" w:hAnsi="Arial"/>
                <w:sz w:val="16"/>
                <w:szCs w:val="16"/>
                <w:b w:val="1"/>
                <w:bCs w:val="1"/>
                <w:color w:val="auto"/>
              </w:rPr>
              <w:t>interest, collateral, par, or maturity value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r>
      <w:tr>
        <w:trPr>
          <w:trHeight w:val="33"/>
        </w:trPr>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Sanofi</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9,034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Schlumberger Ltd.</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2,785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SiteOne Landscape Supply,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Six Flags Entertainment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3,394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Sprint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Synopsys,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Target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TE Connectivity Ltd.</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3,706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Teledyne Technologies,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4,357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Teleflex,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4,694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Texas Instruments,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4,170</w:t>
            </w:r>
          </w:p>
        </w:tc>
      </w:tr>
      <w:tr>
        <w:trPr>
          <w:trHeight w:val="270"/>
        </w:trPr>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4000" w:type="dxa"/>
            <w:vAlign w:val="bottom"/>
          </w:tcPr>
          <w:p>
            <w:pPr>
              <w:ind w:left="100"/>
              <w:spacing w:after="0"/>
              <w:rPr>
                <w:sz w:val="20"/>
                <w:szCs w:val="20"/>
                <w:color w:val="auto"/>
              </w:rPr>
            </w:pPr>
            <w:r>
              <w:rPr>
                <w:rFonts w:ascii="Arial" w:cs="Arial" w:eastAsia="Arial" w:hAnsi="Arial"/>
                <w:sz w:val="16"/>
                <w:szCs w:val="16"/>
                <w:color w:val="auto"/>
              </w:rPr>
              <w:t>The Bank Of New York Mellon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7,611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Boeing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5,934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Charles Schwab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10,432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Gap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Goldman Sachs Group,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5,446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Hershey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4,003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Home Depot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6,065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Middleby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3,572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Progressive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4,640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 Toro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1,538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Thermo Fisher Scientific,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5,033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TransUnion</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4,261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Trex Co.,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2,414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Twenty-First Century Fox,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8,565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Union Pacific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1,935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United Technologies Corp.</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4,483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UnitedHealth Group,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13,170</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Universal Electronics,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Vail Resorts,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4,071</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Veeva Systems,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4,833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Vertex Pharmaceuticals,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3,755</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VIRTU Financial,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2,419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VMware,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4,454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W.W. Grainger,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2,842</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Waste Management,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5,008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Weatherford International plc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Weight Watchers International,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Wells Fargo &amp; Co.</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11,727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West Pharmaceutical Services,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1,858</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WEX,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2,723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XPO Logistics,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1,606</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Zayo Group Holdings,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1,699</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21st Century Fox America,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11/15/2037 - 6.650%</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21st Century Fox America,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12/15/2035 - 6.400%</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21st Century Fox America,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3/1/2037 - 6.150%</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American Express Credit AC 3 A</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11/15/2022 - 1.770%</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AT&amp;T,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11/15/2031 - Variable</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AT&amp;T,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2/15/2047 - 5.650%</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AT&amp;T,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3/1/2047 - 5.450%</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AT&amp;T,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3/9/2048 - 4.500%</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767</w:t>
            </w:r>
          </w:p>
        </w:tc>
      </w:tr>
      <w:tr>
        <w:trPr>
          <w:trHeight w:val="270"/>
        </w:trPr>
        <w:tc>
          <w:tcPr>
            <w:tcW w:w="320" w:type="dxa"/>
            <w:vAlign w:val="bottom"/>
          </w:tcPr>
          <w:p>
            <w:pPr>
              <w:spacing w:after="0"/>
              <w:rPr>
                <w:sz w:val="23"/>
                <w:szCs w:val="23"/>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AT&amp;T, Inc.</w:t>
            </w:r>
          </w:p>
        </w:tc>
        <w:tc>
          <w:tcPr>
            <w:tcW w:w="4740" w:type="dxa"/>
            <w:vAlign w:val="bottom"/>
          </w:tcPr>
          <w:p>
            <w:pPr>
              <w:ind w:left="200"/>
              <w:spacing w:after="0"/>
              <w:rPr>
                <w:sz w:val="20"/>
                <w:szCs w:val="20"/>
                <w:color w:val="auto"/>
              </w:rPr>
            </w:pPr>
            <w:r>
              <w:rPr>
                <w:rFonts w:ascii="Arial" w:cs="Arial" w:eastAsia="Arial" w:hAnsi="Arial"/>
                <w:sz w:val="16"/>
                <w:szCs w:val="16"/>
                <w:color w:val="auto"/>
              </w:rPr>
              <w:t>Corporate Debt - due 5/15/2046 - 4.750%</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155</w:t>
            </w:r>
          </w:p>
        </w:tc>
      </w:tr>
    </w:tbl>
    <w:p>
      <w:pPr>
        <w:spacing w:after="0" w:line="200" w:lineRule="exact"/>
        <w:rPr>
          <w:sz w:val="20"/>
          <w:szCs w:val="20"/>
          <w:color w:val="auto"/>
        </w:rPr>
      </w:pPr>
    </w:p>
    <w:p>
      <w:pPr>
        <w:sectPr>
          <w:pgSz w:w="11900" w:h="16838" w:orient="portrait"/>
          <w:cols w:equalWidth="0" w:num="1">
            <w:col w:w="11420"/>
          </w:cols>
          <w:pgMar w:left="240" w:top="531" w:right="239" w:bottom="825"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 of 19</w:t>
      </w:r>
    </w:p>
    <w:p>
      <w:pPr>
        <w:sectPr>
          <w:pgSz w:w="11900" w:h="16838" w:orient="portrait"/>
          <w:cols w:equalWidth="0" w:num="1">
            <w:col w:w="11420"/>
          </w:cols>
          <w:pgMar w:left="240" w:top="531" w:right="239" w:bottom="825" w:gutter="0" w:footer="0" w:header="0"/>
          <w:type w:val="continuous"/>
        </w:sectPr>
      </w:pPr>
    </w:p>
    <w:bookmarkStart w:id="19" w:name="page20"/>
    <w:bookmarkEnd w:id="19"/>
    <w:p>
      <w:pPr>
        <w:jc w:val="right"/>
        <w:spacing w:after="0"/>
        <w:tabs>
          <w:tab w:leader="none" w:pos="780" w:val="left"/>
        </w:tabs>
        <w:rPr>
          <w:sz w:val="20"/>
          <w:szCs w:val="20"/>
          <w:color w:val="auto"/>
        </w:rPr>
      </w:pPr>
      <w:r>
        <w:rPr>
          <w:rFonts w:ascii="Arial" w:cs="Arial" w:eastAsia="Arial" w:hAnsi="Arial"/>
          <w:sz w:val="16"/>
          <w:szCs w:val="16"/>
          <w:b w:val="1"/>
          <w:bCs w:val="1"/>
          <w:color w:val="auto"/>
        </w:rPr>
        <w:t>(c) Description of investment including maturity date, rate of</w:t>
      </w:r>
      <w:r>
        <w:rPr>
          <w:sz w:val="20"/>
          <w:szCs w:val="20"/>
          <w:color w:val="auto"/>
        </w:rPr>
        <w:tab/>
      </w:r>
      <w:r>
        <w:rPr>
          <w:rFonts w:ascii="Arial" w:cs="Arial" w:eastAsia="Arial" w:hAnsi="Arial"/>
          <w:sz w:val="15"/>
          <w:szCs w:val="15"/>
          <w:b w:val="1"/>
          <w:bCs w:val="1"/>
          <w:color w:val="auto"/>
        </w:rPr>
        <w:t>(e) Current</w:t>
      </w:r>
    </w:p>
    <w:p>
      <w:pPr>
        <w:spacing w:after="0" w:line="26" w:lineRule="exact"/>
        <w:rPr>
          <w:sz w:val="20"/>
          <w:szCs w:val="20"/>
          <w:color w:val="auto"/>
        </w:rPr>
      </w:pPr>
    </w:p>
    <w:p>
      <w:pPr>
        <w:spacing w:after="0"/>
        <w:tabs>
          <w:tab w:leader="none" w:pos="360" w:val="left"/>
          <w:tab w:leader="none" w:pos="4460" w:val="left"/>
          <w:tab w:leader="none" w:pos="9340" w:val="left"/>
          <w:tab w:leader="none" w:pos="10940" w:val="left"/>
        </w:tabs>
        <w:rPr>
          <w:sz w:val="20"/>
          <w:szCs w:val="20"/>
          <w:color w:val="auto"/>
        </w:rPr>
      </w:pPr>
      <w:r>
        <w:rPr>
          <w:rFonts w:ascii="Arial" w:cs="Arial" w:eastAsia="Arial" w:hAnsi="Arial"/>
          <w:sz w:val="16"/>
          <w:szCs w:val="16"/>
          <w:b w:val="1"/>
          <w:bCs w:val="1"/>
          <w:color w:val="auto"/>
        </w:rPr>
        <w:t>(a)</w:t>
        <w:tab/>
        <w:t>(b) Identity of issue, borrower, lessor, or similar party</w:t>
      </w:r>
      <w:r>
        <w:rPr>
          <w:sz w:val="20"/>
          <w:szCs w:val="20"/>
          <w:color w:val="auto"/>
        </w:rPr>
        <w:tab/>
      </w:r>
      <w:r>
        <w:rPr>
          <w:rFonts w:ascii="Arial" w:cs="Arial" w:eastAsia="Arial" w:hAnsi="Arial"/>
          <w:sz w:val="16"/>
          <w:szCs w:val="16"/>
          <w:b w:val="1"/>
          <w:bCs w:val="1"/>
          <w:color w:val="auto"/>
        </w:rPr>
        <w:t>interest, collateral, par, or maturity value</w:t>
      </w:r>
      <w:r>
        <w:rPr>
          <w:sz w:val="20"/>
          <w:szCs w:val="20"/>
          <w:color w:val="auto"/>
        </w:rPr>
        <w:tab/>
      </w:r>
      <w:r>
        <w:rPr>
          <w:rFonts w:ascii="Arial" w:cs="Arial" w:eastAsia="Arial" w:hAnsi="Arial"/>
          <w:sz w:val="16"/>
          <w:szCs w:val="16"/>
          <w:b w:val="1"/>
          <w:bCs w:val="1"/>
          <w:color w:val="auto"/>
        </w:rPr>
        <w:t>(d) Cost</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31" w:right="259" w:bottom="825" w:gutter="0" w:footer="0" w:header="0"/>
        </w:sectPr>
      </w:pPr>
    </w:p>
    <w:p>
      <w:pPr>
        <w:spacing w:after="0" w:line="9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AT&amp;T, Inc.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 Credit Card Trust A1 A1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America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America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America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America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Barclays PLC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Barclays PLC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Barclays PLC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Bayer US Finance II LLC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Bayer US Finance II LLC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Bayer US Finance II LLC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BHP BILLITON FINANCE USA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BNP Paribas S.A.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BNP Paribas S.A.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BNP Paribas S.A. 144A</w:t>
      </w:r>
    </w:p>
    <w:p>
      <w:pPr>
        <w:spacing w:after="0" w:line="86" w:lineRule="exact"/>
        <w:rPr>
          <w:sz w:val="20"/>
          <w:szCs w:val="20"/>
          <w:color w:val="auto"/>
        </w:rPr>
      </w:pPr>
    </w:p>
    <w:p>
      <w:pPr>
        <w:ind w:left="380" w:right="1060"/>
        <w:spacing w:after="0" w:line="352" w:lineRule="auto"/>
        <w:rPr>
          <w:sz w:val="20"/>
          <w:szCs w:val="20"/>
          <w:color w:val="auto"/>
        </w:rPr>
      </w:pPr>
      <w:r>
        <w:rPr>
          <w:rFonts w:ascii="Arial" w:cs="Arial" w:eastAsia="Arial" w:hAnsi="Arial"/>
          <w:sz w:val="16"/>
          <w:szCs w:val="16"/>
          <w:color w:val="auto"/>
        </w:rPr>
        <w:t>BNSF Railway Co 2015-1 Pa 144A BNSF Railway Co. Boston Properties LP</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Boston Properties LP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Boston Properties LP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Boston Properties LP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Boston Properties LP</w:t>
      </w:r>
    </w:p>
    <w:p>
      <w:pPr>
        <w:spacing w:after="0" w:line="86" w:lineRule="exact"/>
        <w:rPr>
          <w:sz w:val="20"/>
          <w:szCs w:val="20"/>
          <w:color w:val="auto"/>
        </w:rPr>
      </w:pPr>
    </w:p>
    <w:p>
      <w:pPr>
        <w:ind w:left="380" w:right="1100"/>
        <w:spacing w:after="0" w:line="375" w:lineRule="auto"/>
        <w:rPr>
          <w:sz w:val="20"/>
          <w:szCs w:val="20"/>
          <w:color w:val="auto"/>
        </w:rPr>
      </w:pPr>
      <w:r>
        <w:rPr>
          <w:rFonts w:ascii="Arial" w:cs="Arial" w:eastAsia="Arial" w:hAnsi="Arial"/>
          <w:sz w:val="15"/>
          <w:szCs w:val="15"/>
          <w:color w:val="auto"/>
        </w:rPr>
        <w:t>Burlington Northern Santa Fe LLC Burlington Northern Santa Fe LLC Capital One Financial Corp. Capital One Financial Corp.</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 One Financial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CEMEX Finance LLC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CEMEX SAB de CV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CEMEX SAB de CV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Charter Communications Operating LLC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Charter Communications Operating LLC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Charter Communications Operating LLC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Charter Communications Operating LLC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Cigna Corp.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Cigna Corp.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Cigna Holding Co.</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Cigna Holding Co.</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Cigna Holding Co.</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Citigroup, Inc.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Citigroup, Inc.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Comcast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Comcast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Cox Communications, Inc.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Cox Communications, Inc.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Cox Communications, Inc.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CRH America, Inc. 144A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CSX Transportation, Inc.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CVS Health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CVS Health Corp.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CVS Health Corp.</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9/1/2040 - 5.350%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7/17/2023 - 2.700%</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11/25/2027 - 4.183%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12/20/2023 - Variable</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3/3/2026 - 4.450%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8/26/2024 - 4.200%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5/12/2026 - 5.200%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5/9/2028 - 4.836%</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9/11/2024 - 4.375%</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12/15/2023 - 3.875%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12/15/2025 - 4.250%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12/15/2028 - 4.375%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10/19/2075 - Variable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10/15/2024 - 4.250%</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3/13/2027 - 4.625%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9/28/2025 - 4.375%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6/16/2028 - 3.442%</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4/1/2024 - 5.996%</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1/15/2025 - 3.200%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12/1/2028 - 4.500%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2/1/2023 - 3.850%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2/1/2026 - 3.650%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5/15/2021 - 4.125%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1/15/2021 - 8.251%</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9/1/2023 - 3.850%</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10/29/2025 - 4.200%</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2/5/2025 - 3.200%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6/15/2023 - 3.500%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4/1/2024 - 6.000%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1/11/2025 - 5.700%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5/5/2025 - 6.125%</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10/23/2045 - 6.484%</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4/1/2048 - 5.750%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5/1/2047 - 5.375%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7/23/2025 - 4.908%</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11/15/2025 - 4.125%</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7/15/2023 - 3.750%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2/15/2022 - 4.000%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5/15/2027 - 7.875%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6/15/2020 - 5.125%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5/15/2023 - 3.500%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8/5/2024 - 4.000%</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Corporate Debt - due 10/15/2025 - 3.950%</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11/1/2047 - 3.969%</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2/1/2025 - 3.850%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6/30/2023 - 2.950%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8/15/2027 - 3.500%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5/18/2025 - 3.875%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1/15/2023 - 6.251%</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3/25/2025 - 4.100%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3/25/2028 - 4.300%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Corporate Debt - due 3/25/2038 - 4.780%</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r>
    </w:tbl>
    <w:p>
      <w:pPr>
        <w:spacing w:after="0" w:line="64" w:lineRule="exact"/>
        <w:rPr>
          <w:sz w:val="20"/>
          <w:szCs w:val="20"/>
          <w:color w:val="auto"/>
        </w:rPr>
      </w:pPr>
    </w:p>
    <w:p>
      <w:pPr>
        <w:ind w:left="1430" w:hanging="1430"/>
        <w:spacing w:after="0"/>
        <w:tabs>
          <w:tab w:leader="none" w:pos="1430" w:val="left"/>
        </w:tabs>
        <w:numPr>
          <w:ilvl w:val="0"/>
          <w:numId w:val="8"/>
        </w:numPr>
        <w:rPr>
          <w:rFonts w:ascii="Arial" w:cs="Arial" w:eastAsia="Arial" w:hAnsi="Arial"/>
          <w:sz w:val="15"/>
          <w:szCs w:val="15"/>
          <w:color w:val="auto"/>
        </w:rPr>
      </w:pPr>
      <w:r>
        <w:rPr>
          <w:rFonts w:ascii="Arial" w:cs="Arial" w:eastAsia="Arial" w:hAnsi="Arial"/>
          <w:sz w:val="15"/>
          <w:szCs w:val="15"/>
          <w:color w:val="auto"/>
        </w:rPr>
        <w:t>1,380</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195</w:t>
            </w:r>
          </w:p>
        </w:tc>
      </w:tr>
    </w:tbl>
    <w:p>
      <w:pPr>
        <w:spacing w:after="0" w:line="64" w:lineRule="exact"/>
        <w:rPr>
          <w:sz w:val="20"/>
          <w:szCs w:val="20"/>
          <w:color w:val="auto"/>
        </w:rPr>
      </w:pPr>
    </w:p>
    <w:p>
      <w:pPr>
        <w:ind w:left="1430" w:hanging="1430"/>
        <w:spacing w:after="0"/>
        <w:tabs>
          <w:tab w:leader="none" w:pos="1430" w:val="left"/>
        </w:tabs>
        <w:numPr>
          <w:ilvl w:val="0"/>
          <w:numId w:val="9"/>
        </w:numPr>
        <w:rPr>
          <w:rFonts w:ascii="Arial" w:cs="Arial" w:eastAsia="Arial" w:hAnsi="Arial"/>
          <w:sz w:val="15"/>
          <w:szCs w:val="15"/>
          <w:color w:val="auto"/>
        </w:rPr>
      </w:pPr>
      <w:r>
        <w:rPr>
          <w:rFonts w:ascii="Arial" w:cs="Arial" w:eastAsia="Arial" w:hAnsi="Arial"/>
          <w:sz w:val="15"/>
          <w:szCs w:val="15"/>
          <w:color w:val="auto"/>
        </w:rPr>
        <w:t>1,542</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r>
    </w:tbl>
    <w:p>
      <w:pPr>
        <w:spacing w:after="0" w:line="64" w:lineRule="exact"/>
        <w:rPr>
          <w:sz w:val="20"/>
          <w:szCs w:val="20"/>
          <w:color w:val="auto"/>
        </w:rPr>
      </w:pPr>
    </w:p>
    <w:p>
      <w:pPr>
        <w:ind w:left="1430" w:hanging="1430"/>
        <w:spacing w:after="0"/>
        <w:tabs>
          <w:tab w:leader="none" w:pos="1430" w:val="left"/>
        </w:tabs>
        <w:numPr>
          <w:ilvl w:val="0"/>
          <w:numId w:val="10"/>
        </w:numPr>
        <w:rPr>
          <w:rFonts w:ascii="Arial" w:cs="Arial" w:eastAsia="Arial" w:hAnsi="Arial"/>
          <w:sz w:val="15"/>
          <w:szCs w:val="15"/>
          <w:color w:val="auto"/>
        </w:rPr>
      </w:pPr>
      <w:r>
        <w:rPr>
          <w:rFonts w:ascii="Arial" w:cs="Arial" w:eastAsia="Arial" w:hAnsi="Arial"/>
          <w:sz w:val="15"/>
          <w:szCs w:val="15"/>
          <w:color w:val="auto"/>
        </w:rPr>
        <w:t>1,022</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402</w:t>
            </w:r>
          </w:p>
        </w:tc>
      </w:tr>
    </w:tbl>
    <w:p>
      <w:pPr>
        <w:spacing w:after="0" w:line="64" w:lineRule="exact"/>
        <w:rPr>
          <w:sz w:val="20"/>
          <w:szCs w:val="20"/>
          <w:color w:val="auto"/>
        </w:rPr>
      </w:pPr>
    </w:p>
    <w:p>
      <w:pPr>
        <w:ind w:left="1430" w:hanging="1430"/>
        <w:spacing w:after="0"/>
        <w:tabs>
          <w:tab w:leader="none" w:pos="143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1,059</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192</w:t>
            </w:r>
          </w:p>
        </w:tc>
      </w:tr>
    </w:tbl>
    <w:p>
      <w:pPr>
        <w:spacing w:after="0" w:line="200" w:lineRule="exact"/>
        <w:rPr>
          <w:sz w:val="20"/>
          <w:szCs w:val="20"/>
          <w:color w:val="auto"/>
        </w:rPr>
      </w:pPr>
    </w:p>
    <w:p>
      <w:pPr>
        <w:sectPr>
          <w:pgSz w:w="11900" w:h="16838" w:orient="portrait"/>
          <w:cols w:equalWidth="0" w:num="3">
            <w:col w:w="3760" w:space="720"/>
            <w:col w:w="4350" w:space="720"/>
            <w:col w:w="1810"/>
          </w:cols>
          <w:pgMar w:left="280" w:top="531" w:right="259" w:bottom="825"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 of 19</w:t>
      </w:r>
    </w:p>
    <w:p>
      <w:pPr>
        <w:sectPr>
          <w:pgSz w:w="11900" w:h="16838" w:orient="portrait"/>
          <w:cols w:equalWidth="0" w:num="1">
            <w:col w:w="11360"/>
          </w:cols>
          <w:pgMar w:left="280" w:top="531" w:right="259" w:bottom="825" w:gutter="0" w:footer="0" w:header="0"/>
          <w:type w:val="continuous"/>
        </w:sectPr>
      </w:pPr>
    </w:p>
    <w:bookmarkStart w:id="20" w:name="page21"/>
    <w:bookmarkEnd w:id="20"/>
    <w:p>
      <w:pPr>
        <w:jc w:val="right"/>
        <w:spacing w:after="0"/>
        <w:tabs>
          <w:tab w:leader="none" w:pos="780" w:val="left"/>
        </w:tabs>
        <w:rPr>
          <w:sz w:val="20"/>
          <w:szCs w:val="20"/>
          <w:color w:val="auto"/>
        </w:rPr>
      </w:pPr>
      <w:r>
        <w:rPr>
          <w:rFonts w:ascii="Arial" w:cs="Arial" w:eastAsia="Arial" w:hAnsi="Arial"/>
          <w:sz w:val="16"/>
          <w:szCs w:val="16"/>
          <w:b w:val="1"/>
          <w:bCs w:val="1"/>
          <w:color w:val="auto"/>
        </w:rPr>
        <w:t>(c) Description of investment including maturity date, rate of</w:t>
      </w:r>
      <w:r>
        <w:rPr>
          <w:sz w:val="20"/>
          <w:szCs w:val="20"/>
          <w:color w:val="auto"/>
        </w:rPr>
        <w:tab/>
      </w:r>
      <w:r>
        <w:rPr>
          <w:rFonts w:ascii="Arial" w:cs="Arial" w:eastAsia="Arial" w:hAnsi="Arial"/>
          <w:sz w:val="15"/>
          <w:szCs w:val="15"/>
          <w:b w:val="1"/>
          <w:bCs w:val="1"/>
          <w:color w:val="auto"/>
        </w:rPr>
        <w:t>(e) Current</w:t>
      </w:r>
    </w:p>
    <w:p>
      <w:pPr>
        <w:spacing w:after="0" w:line="26" w:lineRule="exact"/>
        <w:rPr>
          <w:sz w:val="20"/>
          <w:szCs w:val="20"/>
          <w:color w:val="auto"/>
        </w:rPr>
      </w:pPr>
    </w:p>
    <w:p>
      <w:pPr>
        <w:spacing w:after="0"/>
        <w:tabs>
          <w:tab w:leader="none" w:pos="360" w:val="left"/>
          <w:tab w:leader="none" w:pos="4460" w:val="left"/>
          <w:tab w:leader="none" w:pos="9340" w:val="left"/>
          <w:tab w:leader="none" w:pos="10940" w:val="left"/>
        </w:tabs>
        <w:rPr>
          <w:sz w:val="20"/>
          <w:szCs w:val="20"/>
          <w:color w:val="auto"/>
        </w:rPr>
      </w:pPr>
      <w:r>
        <w:rPr>
          <w:rFonts w:ascii="Arial" w:cs="Arial" w:eastAsia="Arial" w:hAnsi="Arial"/>
          <w:sz w:val="16"/>
          <w:szCs w:val="16"/>
          <w:b w:val="1"/>
          <w:bCs w:val="1"/>
          <w:color w:val="auto"/>
        </w:rPr>
        <w:t>(a)</w:t>
        <w:tab/>
        <w:t>(b) Identity of issue, borrower, lessor, or similar party</w:t>
      </w:r>
      <w:r>
        <w:rPr>
          <w:sz w:val="20"/>
          <w:szCs w:val="20"/>
          <w:color w:val="auto"/>
        </w:rPr>
        <w:tab/>
      </w:r>
      <w:r>
        <w:rPr>
          <w:rFonts w:ascii="Arial" w:cs="Arial" w:eastAsia="Arial" w:hAnsi="Arial"/>
          <w:sz w:val="16"/>
          <w:szCs w:val="16"/>
          <w:b w:val="1"/>
          <w:bCs w:val="1"/>
          <w:color w:val="auto"/>
        </w:rPr>
        <w:t>interest, collateral, par, or maturity value</w:t>
      </w:r>
      <w:r>
        <w:rPr>
          <w:sz w:val="20"/>
          <w:szCs w:val="20"/>
          <w:color w:val="auto"/>
        </w:rPr>
        <w:tab/>
      </w:r>
      <w:r>
        <w:rPr>
          <w:rFonts w:ascii="Arial" w:cs="Arial" w:eastAsia="Arial" w:hAnsi="Arial"/>
          <w:sz w:val="16"/>
          <w:szCs w:val="16"/>
          <w:b w:val="1"/>
          <w:bCs w:val="1"/>
          <w:color w:val="auto"/>
        </w:rPr>
        <w:t>(d) Cost</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31" w:right="259" w:bottom="825"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CVS Health Corp.</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3/9/2023 - 3.700%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Dell International LLC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6/15/2023 - 5.450%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Dillard’s, Inc.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5/15/2027 - 7.750%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Dominion Energy, Inc.</w:t>
            </w:r>
          </w:p>
        </w:tc>
        <w:tc>
          <w:tcPr>
            <w:tcW w:w="3640" w:type="dxa"/>
            <w:vAlign w:val="bottom"/>
          </w:tcPr>
          <w:p>
            <w:pPr>
              <w:ind w:left="860"/>
              <w:spacing w:after="0"/>
              <w:rPr>
                <w:sz w:val="20"/>
                <w:szCs w:val="20"/>
                <w:color w:val="auto"/>
              </w:rPr>
            </w:pPr>
            <w:r>
              <w:rPr>
                <w:rFonts w:ascii="Arial" w:cs="Arial" w:eastAsia="Arial" w:hAnsi="Arial"/>
                <w:sz w:val="16"/>
                <w:szCs w:val="16"/>
                <w:color w:val="auto"/>
                <w:w w:val="92"/>
              </w:rPr>
              <w:t>Corporate Debt - due 10/1/2054 - Variable</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Dominion Energy, Inc.</w:t>
            </w:r>
          </w:p>
        </w:tc>
        <w:tc>
          <w:tcPr>
            <w:tcW w:w="3640" w:type="dxa"/>
            <w:vAlign w:val="bottom"/>
          </w:tcPr>
          <w:p>
            <w:pPr>
              <w:ind w:left="860"/>
              <w:spacing w:after="0"/>
              <w:rPr>
                <w:sz w:val="20"/>
                <w:szCs w:val="20"/>
                <w:color w:val="auto"/>
              </w:rPr>
            </w:pPr>
            <w:r>
              <w:rPr>
                <w:rFonts w:ascii="Arial" w:cs="Arial" w:eastAsia="Arial" w:hAnsi="Arial"/>
                <w:sz w:val="16"/>
                <w:szCs w:val="16"/>
                <w:color w:val="auto"/>
              </w:rPr>
              <w:t>Corporate Debt - due 4/1/2021 - Step</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Dominion Energy, Inc.</w:t>
            </w:r>
          </w:p>
        </w:tc>
        <w:tc>
          <w:tcPr>
            <w:tcW w:w="3640" w:type="dxa"/>
            <w:vAlign w:val="bottom"/>
          </w:tcPr>
          <w:p>
            <w:pPr>
              <w:ind w:left="860"/>
              <w:spacing w:after="0"/>
              <w:rPr>
                <w:sz w:val="20"/>
                <w:szCs w:val="20"/>
                <w:color w:val="auto"/>
              </w:rPr>
            </w:pPr>
            <w:r>
              <w:rPr>
                <w:rFonts w:ascii="Arial" w:cs="Arial" w:eastAsia="Arial" w:hAnsi="Arial"/>
                <w:sz w:val="16"/>
                <w:szCs w:val="16"/>
                <w:color w:val="auto"/>
                <w:w w:val="95"/>
              </w:rPr>
              <w:t>Corporate Debt - due 7/1/2020 - Variable</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Elanco Animal Health, Inc.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8/27/2021 - 3.912%</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Elanco Animal Health, Inc.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8/28/2023 - 4.272%</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Elanco Animal Health, Inc.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8/28/2028 - 4.900%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Enel Finance International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10/7/2039 - 6.000%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Enel Finance International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9/14/2025 - 4.625%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Enel Finance International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9/15/2037 - 6.800%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ERP Operating LP</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4/15/2023 - 3.000%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Federal Express Corp. 1998 Pass</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7/15/2023 - 6.720%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Ford Motor Credit Co. LLC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1/15/2020 - 8.125%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Ford Motor Credit Co. LLC</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1/9/2020 - 2.681%</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Ford Motor Credit Co. LLC</w:t>
            </w:r>
          </w:p>
        </w:tc>
        <w:tc>
          <w:tcPr>
            <w:tcW w:w="3640" w:type="dxa"/>
            <w:vAlign w:val="bottom"/>
          </w:tcPr>
          <w:p>
            <w:pPr>
              <w:ind w:left="860"/>
              <w:spacing w:after="0"/>
              <w:rPr>
                <w:sz w:val="20"/>
                <w:szCs w:val="20"/>
                <w:color w:val="auto"/>
              </w:rPr>
            </w:pPr>
            <w:r>
              <w:rPr>
                <w:rFonts w:ascii="Arial" w:cs="Arial" w:eastAsia="Arial" w:hAnsi="Arial"/>
                <w:sz w:val="16"/>
                <w:szCs w:val="16"/>
                <w:color w:val="auto"/>
                <w:w w:val="90"/>
              </w:rPr>
              <w:t>Corporate Debt - due 10/12/2021 - 3.813%</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Ford Motor Credit Co. LLC</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2/1/2021 - 5.750%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Ford Motor Credit Co. LLC</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8/2/2021 - 5.875%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Ford Motor Credit Co. LLC</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8/6/2023 - 4.375%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HSBC Holdings PLC</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1/5/2022 - 2.650%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HSBC Holdings PLC</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3/8/2026 - 4.300%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HSBC Holdings PLC</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4/5/2021 - 5.100%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HSBC Holdings PLC</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5/2/2036 - 6.500%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HSBC Holdings PLC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9/15/2037 - 6.500%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Imperial Brands Finance PLC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7/21/2022 - 3.750%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Imperial Brands Finance PLC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7/21/2025 - 4.250%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JPMorgan Chase &amp; Co.</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10/1/2027 - 4.250%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JPMorgan Chase &amp; Co.</w:t>
            </w:r>
          </w:p>
        </w:tc>
        <w:tc>
          <w:tcPr>
            <w:tcW w:w="3640" w:type="dxa"/>
            <w:vAlign w:val="bottom"/>
          </w:tcPr>
          <w:p>
            <w:pPr>
              <w:ind w:left="860"/>
              <w:spacing w:after="0"/>
              <w:rPr>
                <w:sz w:val="20"/>
                <w:szCs w:val="20"/>
                <w:color w:val="auto"/>
              </w:rPr>
            </w:pPr>
            <w:r>
              <w:rPr>
                <w:rFonts w:ascii="Arial" w:cs="Arial" w:eastAsia="Arial" w:hAnsi="Arial"/>
                <w:sz w:val="16"/>
                <w:szCs w:val="16"/>
                <w:color w:val="auto"/>
                <w:w w:val="90"/>
              </w:rPr>
              <w:t>Corporate Debt - due 12/15/2026 - 4.125%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JPMorgan Chase &amp; Co.</w:t>
            </w:r>
          </w:p>
        </w:tc>
        <w:tc>
          <w:tcPr>
            <w:tcW w:w="3640" w:type="dxa"/>
            <w:vAlign w:val="bottom"/>
          </w:tcPr>
          <w:p>
            <w:pPr>
              <w:ind w:left="860"/>
              <w:spacing w:after="0"/>
              <w:rPr>
                <w:sz w:val="20"/>
                <w:szCs w:val="20"/>
                <w:color w:val="auto"/>
              </w:rPr>
            </w:pPr>
            <w:r>
              <w:rPr>
                <w:rFonts w:ascii="Arial" w:cs="Arial" w:eastAsia="Arial" w:hAnsi="Arial"/>
                <w:sz w:val="16"/>
                <w:szCs w:val="16"/>
                <w:color w:val="auto"/>
                <w:w w:val="92"/>
              </w:rPr>
              <w:t>Corporate Debt - due 7/23/2024 - Variable</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Kinder Morgan Energy Partners</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8/15/2042 - 5.000%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Kinder Morgan Energy Partners</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9/1/2023 - 3.500%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Kinder Morgan Energy Partners</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9/1/2039 - 6.500%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Kinder Morgan Energy Partners</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9/1/2044 - 5.400%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Lloyds Banking Group PLC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11/4/2024 - 4.500%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Lloyds Banking Group PLC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3/24/2026 - 4.650%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Lloyds Banking Group PLC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8/16/2023 - 4.050%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Macy’s Retail Holdings, Inc.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3/15/2037 - 6.375%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Macy’s Retail Holdings, Inc.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9/15/2028 - 6.700%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Myriad International Holdings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7/18/2020 - 6.000%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Myriad International Holdings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7/21/2025 - 5.500%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Myriad International Holdings 144A</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7/6/2027 - 4.850%</w:t>
            </w:r>
          </w:p>
        </w:tc>
      </w:tr>
      <w:tr>
        <w:trPr>
          <w:trHeight w:val="270"/>
        </w:trPr>
        <w:tc>
          <w:tcPr>
            <w:tcW w:w="220" w:type="dxa"/>
            <w:vAlign w:val="bottom"/>
          </w:tcPr>
          <w:p>
            <w:pPr>
              <w:jc w:val="right"/>
              <w:ind w:right="59"/>
              <w:spacing w:after="0"/>
              <w:rPr>
                <w:sz w:val="20"/>
                <w:szCs w:val="20"/>
                <w:color w:val="auto"/>
              </w:rPr>
            </w:pPr>
            <w:r>
              <w:rPr>
                <w:rFonts w:ascii="Arial" w:cs="Arial" w:eastAsia="Arial" w:hAnsi="Arial"/>
                <w:sz w:val="16"/>
                <w:szCs w:val="16"/>
                <w:color w:val="auto"/>
                <w:w w:val="95"/>
              </w:rPr>
              <w:t>*</w:t>
            </w:r>
          </w:p>
        </w:tc>
        <w:tc>
          <w:tcPr>
            <w:tcW w:w="3400" w:type="dxa"/>
            <w:vAlign w:val="bottom"/>
          </w:tcPr>
          <w:p>
            <w:pPr>
              <w:ind w:left="160"/>
              <w:spacing w:after="0"/>
              <w:rPr>
                <w:sz w:val="20"/>
                <w:szCs w:val="20"/>
                <w:color w:val="auto"/>
              </w:rPr>
            </w:pPr>
            <w:r>
              <w:rPr>
                <w:rFonts w:ascii="Arial" w:cs="Arial" w:eastAsia="Arial" w:hAnsi="Arial"/>
                <w:sz w:val="16"/>
                <w:szCs w:val="16"/>
                <w:color w:val="auto"/>
              </w:rPr>
              <w:t>Nordstrom, Inc.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3/15/2028 - 6.950%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Petrobras Global Finance B.V.</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1/27/2028 - 5.999%</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Petrobras Global Finance B.V.</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3/17/2044 - 7.250%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Petroleos Mexicanos</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1/18/2024 - 4.875%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Petroleos Mexicanos</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1/23/2045 - 6.375%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Petroleos Mexicanos</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3/13/2027 - 6.500%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Petroleos Mexicanos</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6/15/2035 - 6.625%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Petroleos Mexicanos</w:t>
            </w:r>
          </w:p>
        </w:tc>
        <w:tc>
          <w:tcPr>
            <w:tcW w:w="3640" w:type="dxa"/>
            <w:vAlign w:val="bottom"/>
          </w:tcPr>
          <w:p>
            <w:pPr>
              <w:ind w:left="860"/>
              <w:spacing w:after="0"/>
              <w:rPr>
                <w:sz w:val="20"/>
                <w:szCs w:val="20"/>
                <w:color w:val="auto"/>
              </w:rPr>
            </w:pPr>
            <w:r>
              <w:rPr>
                <w:rFonts w:ascii="Arial" w:cs="Arial" w:eastAsia="Arial" w:hAnsi="Arial"/>
                <w:sz w:val="16"/>
                <w:szCs w:val="16"/>
                <w:color w:val="auto"/>
                <w:w w:val="96"/>
              </w:rPr>
              <w:t>Corporate Debt - due 8/4/2026 - 6.875%</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Petroleos Mexicanos</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9/21/2047 - 6.750%</w:t>
            </w:r>
          </w:p>
        </w:tc>
      </w:tr>
      <w:tr>
        <w:trPr>
          <w:trHeight w:val="270"/>
        </w:trPr>
        <w:tc>
          <w:tcPr>
            <w:tcW w:w="220" w:type="dxa"/>
            <w:vAlign w:val="bottom"/>
          </w:tcPr>
          <w:p>
            <w:pPr>
              <w:spacing w:after="0"/>
              <w:rPr>
                <w:sz w:val="23"/>
                <w:szCs w:val="23"/>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RELX Capital, Inc.</w:t>
            </w:r>
          </w:p>
        </w:tc>
        <w:tc>
          <w:tcPr>
            <w:tcW w:w="3640" w:type="dxa"/>
            <w:vAlign w:val="bottom"/>
          </w:tcPr>
          <w:p>
            <w:pPr>
              <w:ind w:left="860"/>
              <w:spacing w:after="0"/>
              <w:rPr>
                <w:sz w:val="20"/>
                <w:szCs w:val="20"/>
                <w:color w:val="auto"/>
              </w:rPr>
            </w:pPr>
            <w:r>
              <w:rPr>
                <w:rFonts w:ascii="Arial" w:cs="Arial" w:eastAsia="Arial" w:hAnsi="Arial"/>
                <w:sz w:val="16"/>
                <w:szCs w:val="16"/>
                <w:color w:val="auto"/>
                <w:w w:val="93"/>
              </w:rPr>
              <w:t>Corporate Debt - due 1/15/2019 - 8.625%</w:t>
            </w: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298</w:t>
            </w:r>
          </w:p>
        </w:tc>
      </w:tr>
    </w:tbl>
    <w:p>
      <w:pPr>
        <w:spacing w:after="0" w:line="64" w:lineRule="exact"/>
        <w:rPr>
          <w:sz w:val="20"/>
          <w:szCs w:val="20"/>
          <w:color w:val="auto"/>
        </w:rPr>
      </w:pPr>
    </w:p>
    <w:p>
      <w:pPr>
        <w:ind w:left="1430" w:hanging="1430"/>
        <w:spacing w:after="0"/>
        <w:tabs>
          <w:tab w:leader="none" w:pos="1430" w:val="left"/>
        </w:tabs>
        <w:numPr>
          <w:ilvl w:val="0"/>
          <w:numId w:val="12"/>
        </w:numPr>
        <w:rPr>
          <w:rFonts w:ascii="Arial" w:cs="Arial" w:eastAsia="Arial" w:hAnsi="Arial"/>
          <w:sz w:val="15"/>
          <w:szCs w:val="15"/>
          <w:color w:val="auto"/>
        </w:rPr>
      </w:pPr>
      <w:r>
        <w:rPr>
          <w:rFonts w:ascii="Arial" w:cs="Arial" w:eastAsia="Arial" w:hAnsi="Arial"/>
          <w:sz w:val="15"/>
          <w:szCs w:val="15"/>
          <w:color w:val="auto"/>
        </w:rPr>
        <w:t>1,451</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r>
    </w:tbl>
    <w:p>
      <w:pPr>
        <w:spacing w:after="0" w:line="200" w:lineRule="exact"/>
        <w:rPr>
          <w:sz w:val="20"/>
          <w:szCs w:val="20"/>
          <w:color w:val="auto"/>
        </w:rPr>
      </w:pPr>
    </w:p>
    <w:p>
      <w:pPr>
        <w:sectPr>
          <w:pgSz w:w="11900" w:h="16838" w:orient="portrait"/>
          <w:cols w:equalWidth="0" w:num="2">
            <w:col w:w="8830" w:space="720"/>
            <w:col w:w="1810"/>
          </w:cols>
          <w:pgMar w:left="280" w:top="531" w:right="259" w:bottom="825"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 of 19</w:t>
      </w:r>
    </w:p>
    <w:p>
      <w:pPr>
        <w:sectPr>
          <w:pgSz w:w="11900" w:h="16838" w:orient="portrait"/>
          <w:cols w:equalWidth="0" w:num="1">
            <w:col w:w="11360"/>
          </w:cols>
          <w:pgMar w:left="280" w:top="531" w:right="259" w:bottom="825" w:gutter="0" w:footer="0" w:header="0"/>
          <w:type w:val="continuous"/>
        </w:sectPr>
      </w:pPr>
    </w:p>
    <w:bookmarkStart w:id="21" w:name="page22"/>
    <w:bookmarkEnd w:id="21"/>
    <w:p>
      <w:pPr>
        <w:jc w:val="right"/>
        <w:spacing w:after="0"/>
        <w:tabs>
          <w:tab w:leader="none" w:pos="780" w:val="left"/>
        </w:tabs>
        <w:rPr>
          <w:sz w:val="20"/>
          <w:szCs w:val="20"/>
          <w:color w:val="auto"/>
        </w:rPr>
      </w:pPr>
      <w:r>
        <w:rPr>
          <w:rFonts w:ascii="Arial" w:cs="Arial" w:eastAsia="Arial" w:hAnsi="Arial"/>
          <w:sz w:val="16"/>
          <w:szCs w:val="16"/>
          <w:b w:val="1"/>
          <w:bCs w:val="1"/>
          <w:color w:val="auto"/>
        </w:rPr>
        <w:t>(c) Description of investment including maturity date, rate of</w:t>
      </w:r>
      <w:r>
        <w:rPr>
          <w:sz w:val="20"/>
          <w:szCs w:val="20"/>
          <w:color w:val="auto"/>
        </w:rPr>
        <w:tab/>
      </w:r>
      <w:r>
        <w:rPr>
          <w:rFonts w:ascii="Arial" w:cs="Arial" w:eastAsia="Arial" w:hAnsi="Arial"/>
          <w:sz w:val="15"/>
          <w:szCs w:val="15"/>
          <w:b w:val="1"/>
          <w:bCs w:val="1"/>
          <w:color w:val="auto"/>
        </w:rPr>
        <w:t>(e) Current</w:t>
      </w:r>
    </w:p>
    <w:p>
      <w:pPr>
        <w:spacing w:after="0" w:line="26" w:lineRule="exact"/>
        <w:rPr>
          <w:sz w:val="20"/>
          <w:szCs w:val="20"/>
          <w:color w:val="auto"/>
        </w:rPr>
      </w:pPr>
    </w:p>
    <w:p>
      <w:pPr>
        <w:spacing w:after="0"/>
        <w:tabs>
          <w:tab w:leader="none" w:pos="360" w:val="left"/>
          <w:tab w:leader="none" w:pos="4460" w:val="left"/>
          <w:tab w:leader="none" w:pos="9340" w:val="left"/>
          <w:tab w:leader="none" w:pos="10940" w:val="left"/>
        </w:tabs>
        <w:rPr>
          <w:sz w:val="20"/>
          <w:szCs w:val="20"/>
          <w:color w:val="auto"/>
        </w:rPr>
      </w:pPr>
      <w:r>
        <w:rPr>
          <w:rFonts w:ascii="Arial" w:cs="Arial" w:eastAsia="Arial" w:hAnsi="Arial"/>
          <w:sz w:val="16"/>
          <w:szCs w:val="16"/>
          <w:b w:val="1"/>
          <w:bCs w:val="1"/>
          <w:color w:val="auto"/>
        </w:rPr>
        <w:t>(a)</w:t>
        <w:tab/>
        <w:t>(b) Identity of issue, borrower, lessor, or similar party</w:t>
      </w:r>
      <w:r>
        <w:rPr>
          <w:sz w:val="20"/>
          <w:szCs w:val="20"/>
          <w:color w:val="auto"/>
        </w:rPr>
        <w:tab/>
      </w:r>
      <w:r>
        <w:rPr>
          <w:rFonts w:ascii="Arial" w:cs="Arial" w:eastAsia="Arial" w:hAnsi="Arial"/>
          <w:sz w:val="16"/>
          <w:szCs w:val="16"/>
          <w:b w:val="1"/>
          <w:bCs w:val="1"/>
          <w:color w:val="auto"/>
        </w:rPr>
        <w:t>interest, collateral, par, or maturity value</w:t>
      </w:r>
      <w:r>
        <w:rPr>
          <w:sz w:val="20"/>
          <w:szCs w:val="20"/>
          <w:color w:val="auto"/>
        </w:rPr>
        <w:tab/>
      </w:r>
      <w:r>
        <w:rPr>
          <w:rFonts w:ascii="Arial" w:cs="Arial" w:eastAsia="Arial" w:hAnsi="Arial"/>
          <w:sz w:val="16"/>
          <w:szCs w:val="16"/>
          <w:b w:val="1"/>
          <w:bCs w:val="1"/>
          <w:color w:val="auto"/>
        </w:rPr>
        <w:t>(d) Cost</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31" w:right="259" w:bottom="906"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RELX Capital, Inc.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10/15/2022 - 3.125%</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Rio Oil Finance Trust Series 144A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1/6/2027 - 9.750%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Rio Oil Finance Trust Series 144A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4/6/2028 - 8.200%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Rio Oil Finance Trust Series 144A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7/6/2024 - 9.250%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Royal Bank of Scotland Group PLC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12/15/2022 - 6.125%</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Royal Bank of Scotland Group PLC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12/19/2023 - 6.000%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SLM Student Loan Trust 2 9 A7A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1/25/2041 - Variable</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SLM Student Loan Trust 20 3 A6</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4/25/2040 - Variable</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SLM Student Loan Trust 20 8 A6</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1/25/2041 - Variable</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Telecom Italia Capital S.A.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6/18/2019 - 7.175%</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Telecom Italia Capital S.A.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6/4/2038 - 7.721%</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Telecom Italia Capital S.A.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7/18/2036 - 7.200%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Telecom Italia SPA 144A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5/30/2024 - 5.303%</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The Dow Chemical Co.</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11/1/2029 - 7.375%</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The Dow Chemical Co.</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5/15/2039 - 9.400%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The Dow Chemical Co. 144A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11/30/2048 - 5.550%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Time Warner Cable LLC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2/1/2020 - 5.000%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Time Warner Cable LLC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2/15/2021 - 4.125%</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Time Warner Cable LLC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4/1/2019 - 8.250%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Time Warner Cable LLC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7/1/2038 - 7.300%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Time Warner Cable LLC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9/1/2021 - 4.000%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TransCanada Trust</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3/15/2077 - Variable</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TransCanada Trust</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5/20/2075 - Variable</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TransCanada Trust</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8/15/2076 - Variable</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Ultrapar International S.A. 144A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10/6/2026 - 5.250%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Union Pacific Railroad Co. 2006</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7/2/2030 - 5.866%</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United Technologies Corp.</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8/16/2021 - 3.350%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United Technologies Corp.</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8/16/2023 - 3.650%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Unum Group Corp.</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3/15/2028 - 7.250%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Verizon Communications, Inc.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1/15/2036 - 4.272%</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Verizon Communications, Inc.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4/15/2049 - 5.012%</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Wells Fargo &amp; Co.</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7/22/2027 - 4.300%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Wells Fargo Bank NA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12/6/2019 - 2.150%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Wells Fargo Bank NA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12/6/2019 - Variable</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Wells Fargo Bank NA</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8/14/2023 - 3.550%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Xerox Corp.</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5/15/2021 - 4.500%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Zoetis, Inc.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11/13/2020 - 3.450%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Zoetis, Inc.</w:t>
            </w:r>
          </w:p>
        </w:tc>
        <w:tc>
          <w:tcPr>
            <w:tcW w:w="4900" w:type="dxa"/>
            <w:vAlign w:val="bottom"/>
          </w:tcPr>
          <w:p>
            <w:pPr>
              <w:ind w:left="320"/>
              <w:spacing w:after="0"/>
              <w:rPr>
                <w:sz w:val="20"/>
                <w:szCs w:val="20"/>
                <w:color w:val="auto"/>
              </w:rPr>
            </w:pPr>
            <w:r>
              <w:rPr>
                <w:rFonts w:ascii="Arial" w:cs="Arial" w:eastAsia="Arial" w:hAnsi="Arial"/>
                <w:sz w:val="16"/>
                <w:szCs w:val="16"/>
                <w:color w:val="auto"/>
              </w:rPr>
              <w:t>Corporate Debt - due 11/13/2025 - 4.500%</w:t>
            </w:r>
          </w:p>
        </w:tc>
      </w:tr>
      <w:tr>
        <w:trPr>
          <w:trHeight w:val="270"/>
        </w:trPr>
        <w:tc>
          <w:tcPr>
            <w:tcW w:w="220" w:type="dxa"/>
            <w:vAlign w:val="bottom"/>
          </w:tcPr>
          <w:p>
            <w:pPr>
              <w:jc w:val="right"/>
              <w:ind w:right="59"/>
              <w:spacing w:after="0"/>
              <w:rPr>
                <w:sz w:val="20"/>
                <w:szCs w:val="20"/>
                <w:color w:val="auto"/>
              </w:rPr>
            </w:pPr>
            <w:r>
              <w:rPr>
                <w:rFonts w:ascii="Arial" w:cs="Arial" w:eastAsia="Arial" w:hAnsi="Arial"/>
                <w:sz w:val="16"/>
                <w:szCs w:val="16"/>
                <w:color w:val="auto"/>
                <w:w w:val="95"/>
              </w:rPr>
              <w:t>*</w:t>
            </w:r>
          </w:p>
        </w:tc>
        <w:tc>
          <w:tcPr>
            <w:tcW w:w="3940" w:type="dxa"/>
            <w:vAlign w:val="bottom"/>
          </w:tcPr>
          <w:p>
            <w:pPr>
              <w:ind w:left="160"/>
              <w:spacing w:after="0"/>
              <w:rPr>
                <w:sz w:val="20"/>
                <w:szCs w:val="20"/>
                <w:color w:val="auto"/>
              </w:rPr>
            </w:pPr>
            <w:r>
              <w:rPr>
                <w:rFonts w:ascii="Arial" w:cs="Arial" w:eastAsia="Arial" w:hAnsi="Arial"/>
                <w:sz w:val="16"/>
                <w:szCs w:val="16"/>
                <w:color w:val="auto"/>
              </w:rPr>
              <w:t>BNY Mellon Cash Reserve</w:t>
            </w:r>
          </w:p>
        </w:tc>
        <w:tc>
          <w:tcPr>
            <w:tcW w:w="4900" w:type="dxa"/>
            <w:vAlign w:val="bottom"/>
          </w:tcPr>
          <w:p>
            <w:pPr>
              <w:ind w:left="320"/>
              <w:spacing w:after="0"/>
              <w:rPr>
                <w:sz w:val="20"/>
                <w:szCs w:val="20"/>
                <w:color w:val="auto"/>
              </w:rPr>
            </w:pPr>
            <w:r>
              <w:rPr>
                <w:rFonts w:ascii="Arial" w:cs="Arial" w:eastAsia="Arial" w:hAnsi="Arial"/>
                <w:sz w:val="16"/>
                <w:szCs w:val="16"/>
                <w:color w:val="auto"/>
              </w:rPr>
              <w:t>Interest-Bearing Cash - due 12/31/2049 - 0.100%</w:t>
            </w:r>
          </w:p>
        </w:tc>
      </w:tr>
      <w:tr>
        <w:trPr>
          <w:trHeight w:val="253"/>
        </w:trPr>
        <w:tc>
          <w:tcPr>
            <w:tcW w:w="2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4900" w:type="dxa"/>
            <w:vAlign w:val="bottom"/>
          </w:tcPr>
          <w:p>
            <w:pPr>
              <w:ind w:left="320"/>
              <w:spacing w:after="0"/>
              <w:rPr>
                <w:sz w:val="20"/>
                <w:szCs w:val="20"/>
                <w:color w:val="auto"/>
              </w:rPr>
            </w:pPr>
            <w:r>
              <w:rPr>
                <w:rFonts w:ascii="Arial" w:cs="Arial" w:eastAsia="Arial" w:hAnsi="Arial"/>
                <w:sz w:val="16"/>
                <w:szCs w:val="16"/>
                <w:color w:val="auto"/>
                <w:w w:val="92"/>
              </w:rPr>
              <w:t>Loan interest rates range from 4.25% to 10.5% with various maturities</w:t>
            </w:r>
          </w:p>
        </w:tc>
      </w:tr>
      <w:tr>
        <w:trPr>
          <w:trHeight w:val="206"/>
        </w:trPr>
        <w:tc>
          <w:tcPr>
            <w:tcW w:w="220" w:type="dxa"/>
            <w:vAlign w:val="bottom"/>
          </w:tcPr>
          <w:p>
            <w:pPr>
              <w:jc w:val="right"/>
              <w:ind w:right="59"/>
              <w:spacing w:after="0"/>
              <w:rPr>
                <w:sz w:val="20"/>
                <w:szCs w:val="20"/>
                <w:color w:val="auto"/>
              </w:rPr>
            </w:pPr>
            <w:r>
              <w:rPr>
                <w:rFonts w:ascii="Arial" w:cs="Arial" w:eastAsia="Arial" w:hAnsi="Arial"/>
                <w:sz w:val="16"/>
                <w:szCs w:val="16"/>
                <w:color w:val="auto"/>
                <w:w w:val="95"/>
              </w:rPr>
              <w:t>*</w:t>
            </w:r>
          </w:p>
        </w:tc>
        <w:tc>
          <w:tcPr>
            <w:tcW w:w="3940" w:type="dxa"/>
            <w:vAlign w:val="bottom"/>
          </w:tcPr>
          <w:p>
            <w:pPr>
              <w:ind w:left="160"/>
              <w:spacing w:after="0"/>
              <w:rPr>
                <w:sz w:val="20"/>
                <w:szCs w:val="20"/>
                <w:color w:val="auto"/>
              </w:rPr>
            </w:pPr>
            <w:r>
              <w:rPr>
                <w:rFonts w:ascii="Arial" w:cs="Arial" w:eastAsia="Arial" w:hAnsi="Arial"/>
                <w:sz w:val="16"/>
                <w:szCs w:val="16"/>
                <w:color w:val="auto"/>
              </w:rPr>
              <w:t>Participant Loans</w:t>
            </w:r>
          </w:p>
        </w:tc>
        <w:tc>
          <w:tcPr>
            <w:tcW w:w="4900" w:type="dxa"/>
            <w:vAlign w:val="bottom"/>
          </w:tcPr>
          <w:p>
            <w:pPr>
              <w:ind w:left="320"/>
              <w:spacing w:after="0"/>
              <w:rPr>
                <w:sz w:val="20"/>
                <w:szCs w:val="20"/>
                <w:color w:val="auto"/>
              </w:rPr>
            </w:pPr>
            <w:r>
              <w:rPr>
                <w:rFonts w:ascii="Arial" w:cs="Arial" w:eastAsia="Arial" w:hAnsi="Arial"/>
                <w:sz w:val="16"/>
                <w:szCs w:val="16"/>
                <w:color w:val="auto"/>
              </w:rPr>
              <w:t>through January 2039.</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California State</w:t>
            </w:r>
          </w:p>
        </w:tc>
        <w:tc>
          <w:tcPr>
            <w:tcW w:w="4900" w:type="dxa"/>
            <w:vAlign w:val="bottom"/>
          </w:tcPr>
          <w:p>
            <w:pPr>
              <w:ind w:left="320"/>
              <w:spacing w:after="0"/>
              <w:rPr>
                <w:sz w:val="20"/>
                <w:szCs w:val="20"/>
                <w:color w:val="auto"/>
              </w:rPr>
            </w:pPr>
            <w:r>
              <w:rPr>
                <w:rFonts w:ascii="Arial" w:cs="Arial" w:eastAsia="Arial" w:hAnsi="Arial"/>
                <w:sz w:val="16"/>
                <w:szCs w:val="16"/>
                <w:color w:val="auto"/>
              </w:rPr>
              <w:t>Municipal Debt - due 10/1/2039 - 7.300%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California State</w:t>
            </w:r>
          </w:p>
        </w:tc>
        <w:tc>
          <w:tcPr>
            <w:tcW w:w="4900" w:type="dxa"/>
            <w:vAlign w:val="bottom"/>
          </w:tcPr>
          <w:p>
            <w:pPr>
              <w:ind w:left="320"/>
              <w:spacing w:after="0"/>
              <w:rPr>
                <w:sz w:val="20"/>
                <w:szCs w:val="20"/>
                <w:color w:val="auto"/>
              </w:rPr>
            </w:pPr>
            <w:r>
              <w:rPr>
                <w:rFonts w:ascii="Arial" w:cs="Arial" w:eastAsia="Arial" w:hAnsi="Arial"/>
                <w:sz w:val="16"/>
                <w:szCs w:val="16"/>
                <w:color w:val="auto"/>
              </w:rPr>
              <w:t>Municipal Debt - due 3/1/2040 - 7.625%</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California State</w:t>
            </w:r>
          </w:p>
        </w:tc>
        <w:tc>
          <w:tcPr>
            <w:tcW w:w="4900" w:type="dxa"/>
            <w:vAlign w:val="bottom"/>
          </w:tcPr>
          <w:p>
            <w:pPr>
              <w:ind w:left="320"/>
              <w:spacing w:after="0"/>
              <w:rPr>
                <w:sz w:val="20"/>
                <w:szCs w:val="20"/>
                <w:color w:val="auto"/>
              </w:rPr>
            </w:pPr>
            <w:r>
              <w:rPr>
                <w:rFonts w:ascii="Arial" w:cs="Arial" w:eastAsia="Arial" w:hAnsi="Arial"/>
                <w:sz w:val="16"/>
                <w:szCs w:val="16"/>
                <w:color w:val="auto"/>
              </w:rPr>
              <w:t>Municipal Debt - due 4/1/2034 - 7.500%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Illinois State</w:t>
            </w:r>
          </w:p>
        </w:tc>
        <w:tc>
          <w:tcPr>
            <w:tcW w:w="4900" w:type="dxa"/>
            <w:vAlign w:val="bottom"/>
          </w:tcPr>
          <w:p>
            <w:pPr>
              <w:ind w:left="320"/>
              <w:spacing w:after="0"/>
              <w:rPr>
                <w:sz w:val="20"/>
                <w:szCs w:val="20"/>
                <w:color w:val="auto"/>
              </w:rPr>
            </w:pPr>
            <w:r>
              <w:rPr>
                <w:rFonts w:ascii="Arial" w:cs="Arial" w:eastAsia="Arial" w:hAnsi="Arial"/>
                <w:sz w:val="16"/>
                <w:szCs w:val="16"/>
                <w:color w:val="auto"/>
              </w:rPr>
              <w:t>Municipal Debt - due 6/1/2033 - 5.100%</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Los Angeles CA Unified School District</w:t>
            </w:r>
          </w:p>
        </w:tc>
        <w:tc>
          <w:tcPr>
            <w:tcW w:w="4900" w:type="dxa"/>
            <w:vAlign w:val="bottom"/>
          </w:tcPr>
          <w:p>
            <w:pPr>
              <w:ind w:left="320"/>
              <w:spacing w:after="0"/>
              <w:rPr>
                <w:sz w:val="20"/>
                <w:szCs w:val="20"/>
                <w:color w:val="auto"/>
              </w:rPr>
            </w:pPr>
            <w:r>
              <w:rPr>
                <w:rFonts w:ascii="Arial" w:cs="Arial" w:eastAsia="Arial" w:hAnsi="Arial"/>
                <w:sz w:val="16"/>
                <w:szCs w:val="16"/>
                <w:color w:val="auto"/>
              </w:rPr>
              <w:t>Municipal Debt - due 7/1/2034 - 6.758%</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New Jersey State Turnpike Authority</w:t>
            </w:r>
          </w:p>
        </w:tc>
        <w:tc>
          <w:tcPr>
            <w:tcW w:w="4900" w:type="dxa"/>
            <w:vAlign w:val="bottom"/>
          </w:tcPr>
          <w:p>
            <w:pPr>
              <w:ind w:left="320"/>
              <w:spacing w:after="0"/>
              <w:rPr>
                <w:sz w:val="20"/>
                <w:szCs w:val="20"/>
                <w:color w:val="auto"/>
              </w:rPr>
            </w:pPr>
            <w:r>
              <w:rPr>
                <w:rFonts w:ascii="Arial" w:cs="Arial" w:eastAsia="Arial" w:hAnsi="Arial"/>
                <w:sz w:val="16"/>
                <w:szCs w:val="16"/>
                <w:color w:val="auto"/>
              </w:rPr>
              <w:t>Municipal Debt - due 1/1/2041 - 7.102%</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American Funds EuroPacific Growth Fund Class R-6</w:t>
            </w:r>
          </w:p>
        </w:tc>
        <w:tc>
          <w:tcPr>
            <w:tcW w:w="4900" w:type="dxa"/>
            <w:vAlign w:val="bottom"/>
          </w:tcPr>
          <w:p>
            <w:pPr>
              <w:ind w:left="320"/>
              <w:spacing w:after="0"/>
              <w:rPr>
                <w:sz w:val="20"/>
                <w:szCs w:val="20"/>
                <w:color w:val="auto"/>
              </w:rPr>
            </w:pPr>
            <w:r>
              <w:rPr>
                <w:rFonts w:ascii="Arial" w:cs="Arial" w:eastAsia="Arial" w:hAnsi="Arial"/>
                <w:sz w:val="16"/>
                <w:szCs w:val="16"/>
                <w:color w:val="auto"/>
              </w:rPr>
              <w:t>Mutual Fund</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Neuberger Berman Genesis Fund Class R6</w:t>
            </w:r>
          </w:p>
        </w:tc>
        <w:tc>
          <w:tcPr>
            <w:tcW w:w="4900" w:type="dxa"/>
            <w:vAlign w:val="bottom"/>
          </w:tcPr>
          <w:p>
            <w:pPr>
              <w:ind w:left="320"/>
              <w:spacing w:after="0"/>
              <w:rPr>
                <w:sz w:val="20"/>
                <w:szCs w:val="20"/>
                <w:color w:val="auto"/>
              </w:rPr>
            </w:pPr>
            <w:r>
              <w:rPr>
                <w:rFonts w:ascii="Arial" w:cs="Arial" w:eastAsia="Arial" w:hAnsi="Arial"/>
                <w:sz w:val="16"/>
                <w:szCs w:val="16"/>
                <w:color w:val="auto"/>
              </w:rPr>
              <w:t>Mutual Fund</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Vanguard Institutional Index Fund Institutional +</w:t>
            </w:r>
          </w:p>
        </w:tc>
        <w:tc>
          <w:tcPr>
            <w:tcW w:w="4900" w:type="dxa"/>
            <w:vAlign w:val="bottom"/>
          </w:tcPr>
          <w:p>
            <w:pPr>
              <w:ind w:left="320"/>
              <w:spacing w:after="0"/>
              <w:rPr>
                <w:sz w:val="20"/>
                <w:szCs w:val="20"/>
                <w:color w:val="auto"/>
              </w:rPr>
            </w:pPr>
            <w:r>
              <w:rPr>
                <w:rFonts w:ascii="Arial" w:cs="Arial" w:eastAsia="Arial" w:hAnsi="Arial"/>
                <w:sz w:val="16"/>
                <w:szCs w:val="16"/>
                <w:color w:val="auto"/>
              </w:rPr>
              <w:t>Mutual Fund</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Citigroup Capital XIII</w:t>
            </w:r>
          </w:p>
        </w:tc>
        <w:tc>
          <w:tcPr>
            <w:tcW w:w="4900" w:type="dxa"/>
            <w:vAlign w:val="bottom"/>
          </w:tcPr>
          <w:p>
            <w:pPr>
              <w:ind w:left="320"/>
              <w:spacing w:after="0"/>
              <w:rPr>
                <w:sz w:val="20"/>
                <w:szCs w:val="20"/>
                <w:color w:val="auto"/>
              </w:rPr>
            </w:pPr>
            <w:r>
              <w:rPr>
                <w:rFonts w:ascii="Arial" w:cs="Arial" w:eastAsia="Arial" w:hAnsi="Arial"/>
                <w:sz w:val="16"/>
                <w:szCs w:val="16"/>
                <w:color w:val="auto"/>
              </w:rPr>
              <w:t>Preferred Stock - 9.121%</w:t>
            </w:r>
          </w:p>
        </w:tc>
      </w:tr>
      <w:tr>
        <w:trPr>
          <w:trHeight w:val="270"/>
        </w:trPr>
        <w:tc>
          <w:tcPr>
            <w:tcW w:w="220" w:type="dxa"/>
            <w:vAlign w:val="bottom"/>
          </w:tcPr>
          <w:p>
            <w:pPr>
              <w:spacing w:after="0"/>
              <w:rPr>
                <w:sz w:val="23"/>
                <w:szCs w:val="23"/>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JPMorgan Chase &amp; Co.</w:t>
            </w:r>
          </w:p>
        </w:tc>
        <w:tc>
          <w:tcPr>
            <w:tcW w:w="4900" w:type="dxa"/>
            <w:vAlign w:val="bottom"/>
          </w:tcPr>
          <w:p>
            <w:pPr>
              <w:ind w:left="320"/>
              <w:spacing w:after="0"/>
              <w:rPr>
                <w:sz w:val="20"/>
                <w:szCs w:val="20"/>
                <w:color w:val="auto"/>
              </w:rPr>
            </w:pPr>
            <w:r>
              <w:rPr>
                <w:rFonts w:ascii="Arial" w:cs="Arial" w:eastAsia="Arial" w:hAnsi="Arial"/>
                <w:sz w:val="16"/>
                <w:szCs w:val="16"/>
                <w:color w:val="auto"/>
              </w:rPr>
              <w:t>Preferred Stock - due 9/1/2030 - 8.750%</w:t>
            </w: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393</w:t>
            </w:r>
          </w:p>
        </w:tc>
      </w:tr>
    </w:tbl>
    <w:p>
      <w:pPr>
        <w:spacing w:after="0" w:line="64" w:lineRule="exact"/>
        <w:rPr>
          <w:sz w:val="20"/>
          <w:szCs w:val="20"/>
          <w:color w:val="auto"/>
        </w:rPr>
      </w:pPr>
    </w:p>
    <w:p>
      <w:pPr>
        <w:ind w:left="1430" w:hanging="1430"/>
        <w:spacing w:after="0"/>
        <w:tabs>
          <w:tab w:leader="none" w:pos="1430" w:val="left"/>
        </w:tabs>
        <w:numPr>
          <w:ilvl w:val="0"/>
          <w:numId w:val="13"/>
        </w:numPr>
        <w:rPr>
          <w:rFonts w:ascii="Arial" w:cs="Arial" w:eastAsia="Arial" w:hAnsi="Arial"/>
          <w:sz w:val="15"/>
          <w:szCs w:val="15"/>
          <w:color w:val="auto"/>
        </w:rPr>
      </w:pPr>
      <w:r>
        <w:rPr>
          <w:rFonts w:ascii="Arial" w:cs="Arial" w:eastAsia="Arial" w:hAnsi="Arial"/>
          <w:sz w:val="15"/>
          <w:szCs w:val="15"/>
          <w:color w:val="auto"/>
        </w:rPr>
        <w:t>1,005</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13"/>
        </w:numPr>
        <w:rPr>
          <w:rFonts w:ascii="Arial" w:cs="Arial" w:eastAsia="Arial" w:hAnsi="Arial"/>
          <w:sz w:val="15"/>
          <w:szCs w:val="15"/>
          <w:color w:val="auto"/>
        </w:rPr>
      </w:pPr>
      <w:r>
        <w:rPr>
          <w:rFonts w:ascii="Arial" w:cs="Arial" w:eastAsia="Arial" w:hAnsi="Arial"/>
          <w:sz w:val="15"/>
          <w:szCs w:val="15"/>
          <w:color w:val="auto"/>
        </w:rPr>
        <w:t>1,165</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824</w:t>
            </w:r>
          </w:p>
        </w:tc>
      </w:tr>
    </w:tbl>
    <w:p>
      <w:pPr>
        <w:spacing w:after="0" w:line="64" w:lineRule="exact"/>
        <w:rPr>
          <w:sz w:val="20"/>
          <w:szCs w:val="20"/>
          <w:color w:val="auto"/>
        </w:rPr>
      </w:pPr>
    </w:p>
    <w:p>
      <w:pPr>
        <w:ind w:left="1430" w:hanging="1430"/>
        <w:spacing w:after="0"/>
        <w:tabs>
          <w:tab w:leader="none" w:pos="1430" w:val="left"/>
        </w:tabs>
        <w:numPr>
          <w:ilvl w:val="0"/>
          <w:numId w:val="14"/>
        </w:numPr>
        <w:rPr>
          <w:rFonts w:ascii="Arial" w:cs="Arial" w:eastAsia="Arial" w:hAnsi="Arial"/>
          <w:sz w:val="15"/>
          <w:szCs w:val="15"/>
          <w:color w:val="auto"/>
        </w:rPr>
      </w:pPr>
      <w:r>
        <w:rPr>
          <w:rFonts w:ascii="Arial" w:cs="Arial" w:eastAsia="Arial" w:hAnsi="Arial"/>
          <w:sz w:val="15"/>
          <w:szCs w:val="15"/>
          <w:color w:val="auto"/>
        </w:rPr>
        <w:t>4,268</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14"/>
        </w:numPr>
        <w:rPr>
          <w:rFonts w:ascii="Arial" w:cs="Arial" w:eastAsia="Arial" w:hAnsi="Arial"/>
          <w:sz w:val="15"/>
          <w:szCs w:val="15"/>
          <w:color w:val="auto"/>
        </w:rPr>
      </w:pPr>
      <w:r>
        <w:rPr>
          <w:rFonts w:ascii="Arial" w:cs="Arial" w:eastAsia="Arial" w:hAnsi="Arial"/>
          <w:sz w:val="15"/>
          <w:szCs w:val="15"/>
          <w:color w:val="auto"/>
        </w:rPr>
        <w:t>4,540</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bl>
    <w:p>
      <w:pPr>
        <w:spacing w:after="0" w:line="64" w:lineRule="exact"/>
        <w:rPr>
          <w:sz w:val="20"/>
          <w:szCs w:val="20"/>
          <w:color w:val="auto"/>
        </w:rPr>
      </w:pPr>
    </w:p>
    <w:p>
      <w:pPr>
        <w:ind w:left="1430" w:hanging="1430"/>
        <w:spacing w:after="0"/>
        <w:tabs>
          <w:tab w:leader="none" w:pos="1430" w:val="left"/>
        </w:tabs>
        <w:numPr>
          <w:ilvl w:val="0"/>
          <w:numId w:val="15"/>
        </w:numPr>
        <w:rPr>
          <w:rFonts w:ascii="Arial" w:cs="Arial" w:eastAsia="Arial" w:hAnsi="Arial"/>
          <w:sz w:val="15"/>
          <w:szCs w:val="15"/>
          <w:color w:val="auto"/>
        </w:rPr>
      </w:pPr>
      <w:r>
        <w:rPr>
          <w:rFonts w:ascii="Arial" w:cs="Arial" w:eastAsia="Arial" w:hAnsi="Arial"/>
          <w:sz w:val="15"/>
          <w:szCs w:val="15"/>
          <w:color w:val="auto"/>
        </w:rPr>
        <w:t>1,478</w:t>
      </w:r>
    </w:p>
    <w:p>
      <w:pPr>
        <w:spacing w:after="0" w:line="98" w:lineRule="exact"/>
        <w:rPr>
          <w:sz w:val="20"/>
          <w:szCs w:val="20"/>
          <w:color w:val="auto"/>
        </w:rPr>
      </w:pPr>
    </w:p>
    <w:p>
      <w:pPr>
        <w:ind w:left="10"/>
        <w:spacing w:after="0"/>
        <w:tabs>
          <w:tab w:leader="none" w:pos="153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947</w:t>
      </w:r>
    </w:p>
    <w:p>
      <w:pPr>
        <w:spacing w:after="0" w:line="98" w:lineRule="exact"/>
        <w:rPr>
          <w:sz w:val="20"/>
          <w:szCs w:val="20"/>
          <w:color w:val="auto"/>
        </w:rPr>
      </w:pPr>
    </w:p>
    <w:p>
      <w:pPr>
        <w:ind w:left="1430" w:hanging="1430"/>
        <w:spacing w:after="0"/>
        <w:tabs>
          <w:tab w:leader="none" w:pos="1430" w:val="left"/>
        </w:tabs>
        <w:numPr>
          <w:ilvl w:val="0"/>
          <w:numId w:val="16"/>
        </w:numPr>
        <w:rPr>
          <w:rFonts w:ascii="Arial" w:cs="Arial" w:eastAsia="Arial" w:hAnsi="Arial"/>
          <w:sz w:val="15"/>
          <w:szCs w:val="15"/>
          <w:color w:val="auto"/>
        </w:rPr>
      </w:pPr>
      <w:r>
        <w:rPr>
          <w:rFonts w:ascii="Arial" w:cs="Arial" w:eastAsia="Arial" w:hAnsi="Arial"/>
          <w:sz w:val="15"/>
          <w:szCs w:val="15"/>
          <w:color w:val="auto"/>
        </w:rPr>
        <w:t>1,156</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822</w:t>
            </w:r>
          </w:p>
        </w:tc>
      </w:tr>
    </w:tbl>
    <w:p>
      <w:pPr>
        <w:spacing w:after="0" w:line="64" w:lineRule="exact"/>
        <w:rPr>
          <w:sz w:val="20"/>
          <w:szCs w:val="20"/>
          <w:color w:val="auto"/>
        </w:rPr>
      </w:pPr>
    </w:p>
    <w:p>
      <w:pPr>
        <w:ind w:left="1430" w:hanging="1430"/>
        <w:spacing w:after="0"/>
        <w:tabs>
          <w:tab w:leader="none" w:pos="1430" w:val="left"/>
        </w:tabs>
        <w:numPr>
          <w:ilvl w:val="0"/>
          <w:numId w:val="17"/>
        </w:numPr>
        <w:rPr>
          <w:rFonts w:ascii="Arial" w:cs="Arial" w:eastAsia="Arial" w:hAnsi="Arial"/>
          <w:sz w:val="15"/>
          <w:szCs w:val="15"/>
          <w:color w:val="auto"/>
        </w:rPr>
      </w:pPr>
      <w:r>
        <w:rPr>
          <w:rFonts w:ascii="Arial" w:cs="Arial" w:eastAsia="Arial" w:hAnsi="Arial"/>
          <w:sz w:val="15"/>
          <w:szCs w:val="15"/>
          <w:color w:val="auto"/>
        </w:rPr>
        <w:t>1,049</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359</w:t>
            </w:r>
          </w:p>
        </w:tc>
      </w:tr>
    </w:tbl>
    <w:p>
      <w:pPr>
        <w:spacing w:after="0" w:line="64" w:lineRule="exact"/>
        <w:rPr>
          <w:sz w:val="20"/>
          <w:szCs w:val="20"/>
          <w:color w:val="auto"/>
        </w:rPr>
      </w:pPr>
    </w:p>
    <w:p>
      <w:pPr>
        <w:ind w:left="1430" w:hanging="1430"/>
        <w:spacing w:after="0"/>
        <w:tabs>
          <w:tab w:leader="none" w:pos="14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3,475</w:t>
      </w:r>
    </w:p>
    <w:p>
      <w:pPr>
        <w:spacing w:after="0" w:line="286" w:lineRule="exact"/>
        <w:rPr>
          <w:rFonts w:ascii="Arial" w:cs="Arial" w:eastAsia="Arial" w:hAnsi="Arial"/>
          <w:sz w:val="15"/>
          <w:szCs w:val="15"/>
          <w:color w:val="auto"/>
        </w:rPr>
      </w:pPr>
    </w:p>
    <w:p>
      <w:pPr>
        <w:ind w:left="1350" w:hanging="1350"/>
        <w:spacing w:after="0"/>
        <w:tabs>
          <w:tab w:leader="none" w:pos="1350" w:val="left"/>
        </w:tabs>
        <w:numPr>
          <w:ilvl w:val="0"/>
          <w:numId w:val="18"/>
        </w:numPr>
        <w:rPr>
          <w:rFonts w:ascii="Arial" w:cs="Arial" w:eastAsia="Arial" w:hAnsi="Arial"/>
          <w:sz w:val="15"/>
          <w:szCs w:val="15"/>
          <w:color w:val="auto"/>
        </w:rPr>
      </w:pPr>
      <w:r>
        <w:rPr>
          <w:rFonts w:ascii="Arial" w:cs="Arial" w:eastAsia="Arial" w:hAnsi="Arial"/>
          <w:sz w:val="15"/>
          <w:szCs w:val="15"/>
          <w:color w:val="auto"/>
        </w:rPr>
        <w:t>95,368</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820</w:t>
            </w:r>
          </w:p>
        </w:tc>
      </w:tr>
    </w:tbl>
    <w:p>
      <w:pPr>
        <w:spacing w:after="0" w:line="64" w:lineRule="exact"/>
        <w:rPr>
          <w:sz w:val="20"/>
          <w:szCs w:val="20"/>
          <w:color w:val="auto"/>
        </w:rPr>
      </w:pPr>
    </w:p>
    <w:p>
      <w:pPr>
        <w:ind w:left="1270" w:hanging="1270"/>
        <w:spacing w:after="0"/>
        <w:tabs>
          <w:tab w:leader="none" w:pos="1270" w:val="left"/>
        </w:tabs>
        <w:numPr>
          <w:ilvl w:val="0"/>
          <w:numId w:val="19"/>
        </w:numPr>
        <w:rPr>
          <w:rFonts w:ascii="Arial" w:cs="Arial" w:eastAsia="Arial" w:hAnsi="Arial"/>
          <w:sz w:val="14"/>
          <w:szCs w:val="14"/>
          <w:color w:val="auto"/>
        </w:rPr>
      </w:pPr>
      <w:r>
        <w:rPr>
          <w:rFonts w:ascii="Arial" w:cs="Arial" w:eastAsia="Arial" w:hAnsi="Arial"/>
          <w:sz w:val="14"/>
          <w:szCs w:val="14"/>
          <w:color w:val="auto"/>
        </w:rPr>
        <w:t>413,195</w:t>
      </w:r>
    </w:p>
    <w:p>
      <w:pPr>
        <w:spacing w:after="0" w:line="109" w:lineRule="exact"/>
        <w:rPr>
          <w:rFonts w:ascii="Arial" w:cs="Arial" w:eastAsia="Arial" w:hAnsi="Arial"/>
          <w:sz w:val="14"/>
          <w:szCs w:val="14"/>
          <w:color w:val="auto"/>
        </w:rPr>
      </w:pPr>
    </w:p>
    <w:p>
      <w:pPr>
        <w:ind w:left="1270" w:hanging="1270"/>
        <w:spacing w:after="0"/>
        <w:tabs>
          <w:tab w:leader="none" w:pos="127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177,181</w:t>
      </w:r>
    </w:p>
    <w:p>
      <w:pPr>
        <w:spacing w:after="0" w:line="109" w:lineRule="exact"/>
        <w:rPr>
          <w:rFonts w:ascii="Arial" w:cs="Arial" w:eastAsia="Arial" w:hAnsi="Arial"/>
          <w:sz w:val="14"/>
          <w:szCs w:val="14"/>
          <w:color w:val="auto"/>
        </w:rPr>
      </w:pPr>
    </w:p>
    <w:p>
      <w:pPr>
        <w:ind w:left="1270" w:hanging="1270"/>
        <w:spacing w:after="0"/>
        <w:tabs>
          <w:tab w:leader="none" w:pos="1270" w:val="left"/>
        </w:tabs>
        <w:numPr>
          <w:ilvl w:val="0"/>
          <w:numId w:val="19"/>
        </w:numPr>
        <w:rPr>
          <w:rFonts w:ascii="Arial" w:cs="Arial" w:eastAsia="Arial" w:hAnsi="Arial"/>
          <w:sz w:val="14"/>
          <w:szCs w:val="14"/>
          <w:color w:val="auto"/>
        </w:rPr>
      </w:pPr>
      <w:r>
        <w:rPr>
          <w:rFonts w:ascii="Arial" w:cs="Arial" w:eastAsia="Arial" w:hAnsi="Arial"/>
          <w:sz w:val="14"/>
          <w:szCs w:val="14"/>
          <w:color w:val="auto"/>
        </w:rPr>
        <w:t>415,435</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605</w:t>
            </w:r>
          </w:p>
        </w:tc>
      </w:tr>
    </w:tbl>
    <w:p>
      <w:pPr>
        <w:spacing w:after="0" w:line="200" w:lineRule="exact"/>
        <w:rPr>
          <w:sz w:val="20"/>
          <w:szCs w:val="20"/>
          <w:color w:val="auto"/>
        </w:rPr>
      </w:pPr>
    </w:p>
    <w:p>
      <w:pPr>
        <w:sectPr>
          <w:pgSz w:w="11900" w:h="16838" w:orient="portrait"/>
          <w:cols w:equalWidth="0" w:num="2">
            <w:col w:w="9060" w:space="490"/>
            <w:col w:w="1810"/>
          </w:cols>
          <w:pgMar w:left="280" w:top="531" w:right="259" w:bottom="906"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 of 19</w:t>
      </w:r>
    </w:p>
    <w:p>
      <w:pPr>
        <w:sectPr>
          <w:pgSz w:w="11900" w:h="16838" w:orient="portrait"/>
          <w:cols w:equalWidth="0" w:num="1">
            <w:col w:w="11360"/>
          </w:cols>
          <w:pgMar w:left="280" w:top="531" w:right="259" w:bottom="906" w:gutter="0" w:footer="0" w:header="0"/>
          <w:type w:val="continuous"/>
        </w:sectPr>
      </w:pPr>
    </w:p>
    <w:bookmarkStart w:id="22" w:name="page23"/>
    <w:bookmarkEnd w:id="22"/>
    <w:p>
      <w:pPr>
        <w:jc w:val="right"/>
        <w:spacing w:after="0"/>
        <w:tabs>
          <w:tab w:leader="none" w:pos="780" w:val="left"/>
        </w:tabs>
        <w:rPr>
          <w:sz w:val="20"/>
          <w:szCs w:val="20"/>
          <w:color w:val="auto"/>
        </w:rPr>
      </w:pPr>
      <w:r>
        <w:rPr>
          <w:rFonts w:ascii="Arial" w:cs="Arial" w:eastAsia="Arial" w:hAnsi="Arial"/>
          <w:sz w:val="16"/>
          <w:szCs w:val="16"/>
          <w:b w:val="1"/>
          <w:bCs w:val="1"/>
          <w:color w:val="auto"/>
        </w:rPr>
        <w:t>(c) Description of investment including maturity date, rate of</w:t>
      </w:r>
      <w:r>
        <w:rPr>
          <w:sz w:val="20"/>
          <w:szCs w:val="20"/>
          <w:color w:val="auto"/>
        </w:rPr>
        <w:tab/>
      </w:r>
      <w:r>
        <w:rPr>
          <w:rFonts w:ascii="Arial" w:cs="Arial" w:eastAsia="Arial" w:hAnsi="Arial"/>
          <w:sz w:val="15"/>
          <w:szCs w:val="15"/>
          <w:b w:val="1"/>
          <w:bCs w:val="1"/>
          <w:color w:val="auto"/>
        </w:rPr>
        <w:t>(e) Current</w:t>
      </w:r>
    </w:p>
    <w:p>
      <w:pPr>
        <w:spacing w:after="0" w:line="26" w:lineRule="exact"/>
        <w:rPr>
          <w:sz w:val="20"/>
          <w:szCs w:val="20"/>
          <w:color w:val="auto"/>
        </w:rPr>
      </w:pPr>
    </w:p>
    <w:p>
      <w:pPr>
        <w:spacing w:after="0"/>
        <w:tabs>
          <w:tab w:leader="none" w:pos="360" w:val="left"/>
          <w:tab w:leader="none" w:pos="4460" w:val="left"/>
          <w:tab w:leader="none" w:pos="9340" w:val="left"/>
          <w:tab w:leader="none" w:pos="10940" w:val="left"/>
        </w:tabs>
        <w:rPr>
          <w:sz w:val="20"/>
          <w:szCs w:val="20"/>
          <w:color w:val="auto"/>
        </w:rPr>
      </w:pPr>
      <w:r>
        <w:rPr>
          <w:rFonts w:ascii="Arial" w:cs="Arial" w:eastAsia="Arial" w:hAnsi="Arial"/>
          <w:sz w:val="16"/>
          <w:szCs w:val="16"/>
          <w:b w:val="1"/>
          <w:bCs w:val="1"/>
          <w:color w:val="auto"/>
        </w:rPr>
        <w:t>(a)</w:t>
        <w:tab/>
        <w:t>(b) Identity of issue, borrower, lessor, or similar party</w:t>
      </w:r>
      <w:r>
        <w:rPr>
          <w:sz w:val="20"/>
          <w:szCs w:val="20"/>
          <w:color w:val="auto"/>
        </w:rPr>
        <w:tab/>
      </w:r>
      <w:r>
        <w:rPr>
          <w:rFonts w:ascii="Arial" w:cs="Arial" w:eastAsia="Arial" w:hAnsi="Arial"/>
          <w:sz w:val="16"/>
          <w:szCs w:val="16"/>
          <w:b w:val="1"/>
          <w:bCs w:val="1"/>
          <w:color w:val="auto"/>
        </w:rPr>
        <w:t>interest, collateral, par, or maturity value</w:t>
      </w:r>
      <w:r>
        <w:rPr>
          <w:sz w:val="20"/>
          <w:szCs w:val="20"/>
          <w:color w:val="auto"/>
        </w:rPr>
        <w:tab/>
      </w:r>
      <w:r>
        <w:rPr>
          <w:rFonts w:ascii="Arial" w:cs="Arial" w:eastAsia="Arial" w:hAnsi="Arial"/>
          <w:sz w:val="16"/>
          <w:szCs w:val="16"/>
          <w:b w:val="1"/>
          <w:bCs w:val="1"/>
          <w:color w:val="auto"/>
        </w:rPr>
        <w:t>(d) Cost</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31" w:right="259" w:bottom="825" w:gutter="0" w:footer="0" w:header="0"/>
        </w:sectPr>
      </w:pPr>
    </w:p>
    <w:p>
      <w:pPr>
        <w:spacing w:after="0" w:line="9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SDB Money Market Fund</w:t>
      </w:r>
      <w:r>
        <w:rPr>
          <w:sz w:val="20"/>
          <w:szCs w:val="20"/>
          <w:color w:val="auto"/>
        </w:rPr>
        <w:tab/>
      </w:r>
      <w:r>
        <w:rPr>
          <w:rFonts w:ascii="Arial" w:cs="Arial" w:eastAsia="Arial" w:hAnsi="Arial"/>
          <w:sz w:val="14"/>
          <w:szCs w:val="14"/>
          <w:color w:val="auto"/>
        </w:rPr>
        <w:t>Self-directed Brokerage Money Market Fund</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Brokerage Securities</w:t>
      </w:r>
      <w:r>
        <w:rPr>
          <w:sz w:val="20"/>
          <w:szCs w:val="20"/>
          <w:color w:val="auto"/>
        </w:rPr>
        <w:tab/>
      </w:r>
      <w:r>
        <w:rPr>
          <w:rFonts w:ascii="Arial" w:cs="Arial" w:eastAsia="Arial" w:hAnsi="Arial"/>
          <w:sz w:val="14"/>
          <w:szCs w:val="14"/>
          <w:color w:val="auto"/>
        </w:rPr>
        <w:t>Self-directed Brokerage Securities</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#1H-2592</w:t>
      </w:r>
      <w:r>
        <w:rPr>
          <w:sz w:val="20"/>
          <w:szCs w:val="20"/>
          <w:color w:val="auto"/>
        </w:rPr>
        <w:tab/>
      </w:r>
      <w:r>
        <w:rPr>
          <w:rFonts w:ascii="Arial" w:cs="Arial" w:eastAsia="Arial" w:hAnsi="Arial"/>
          <w:sz w:val="14"/>
          <w:szCs w:val="14"/>
          <w:color w:val="auto"/>
        </w:rPr>
        <w:t>U.S. Government Securities - due 1/1/2036 -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#78-1274</w:t>
      </w:r>
      <w:r>
        <w:rPr>
          <w:sz w:val="20"/>
          <w:szCs w:val="20"/>
          <w:color w:val="auto"/>
        </w:rPr>
        <w:tab/>
      </w:r>
      <w:r>
        <w:rPr>
          <w:rFonts w:ascii="Arial" w:cs="Arial" w:eastAsia="Arial" w:hAnsi="Arial"/>
          <w:sz w:val="14"/>
          <w:szCs w:val="14"/>
          <w:color w:val="auto"/>
        </w:rPr>
        <w:t>U.S. Government Securities - due 2/1/2034 -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#84-0286</w:t>
      </w:r>
      <w:r>
        <w:rPr>
          <w:sz w:val="20"/>
          <w:szCs w:val="20"/>
          <w:color w:val="auto"/>
        </w:rPr>
        <w:tab/>
      </w:r>
      <w:r>
        <w:rPr>
          <w:rFonts w:ascii="Arial" w:cs="Arial" w:eastAsia="Arial" w:hAnsi="Arial"/>
          <w:sz w:val="14"/>
          <w:szCs w:val="14"/>
          <w:color w:val="auto"/>
        </w:rPr>
        <w:t>U.S. Government Securities - due 5/1/2046 -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#84-9254</w:t>
      </w:r>
      <w:r>
        <w:rPr>
          <w:sz w:val="20"/>
          <w:szCs w:val="20"/>
          <w:color w:val="auto"/>
        </w:rPr>
        <w:tab/>
      </w:r>
      <w:r>
        <w:rPr>
          <w:rFonts w:ascii="Arial" w:cs="Arial" w:eastAsia="Arial" w:hAnsi="Arial"/>
          <w:sz w:val="14"/>
          <w:szCs w:val="14"/>
          <w:color w:val="auto"/>
        </w:rPr>
        <w:t>U.S. Government Securities - due 1/1/2042 -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#84-9327</w:t>
      </w:r>
      <w:r>
        <w:rPr>
          <w:sz w:val="20"/>
          <w:szCs w:val="20"/>
          <w:color w:val="auto"/>
        </w:rPr>
        <w:tab/>
      </w:r>
      <w:r>
        <w:rPr>
          <w:rFonts w:ascii="Arial" w:cs="Arial" w:eastAsia="Arial" w:hAnsi="Arial"/>
          <w:sz w:val="14"/>
          <w:szCs w:val="14"/>
          <w:color w:val="auto"/>
        </w:rPr>
        <w:t>U.S. Government Securities - due 5/1/2044 -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#84-9505</w:t>
      </w:r>
      <w:r>
        <w:rPr>
          <w:sz w:val="20"/>
          <w:szCs w:val="20"/>
          <w:color w:val="auto"/>
        </w:rPr>
        <w:tab/>
      </w:r>
      <w:r>
        <w:rPr>
          <w:rFonts w:ascii="Arial" w:cs="Arial" w:eastAsia="Arial" w:hAnsi="Arial"/>
          <w:sz w:val="14"/>
          <w:szCs w:val="14"/>
          <w:color w:val="auto"/>
        </w:rPr>
        <w:t>U.S. Government Securities - due 10/1/2044 -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#84-9544</w:t>
      </w:r>
      <w:r>
        <w:rPr>
          <w:sz w:val="20"/>
          <w:szCs w:val="20"/>
          <w:color w:val="auto"/>
        </w:rPr>
        <w:tab/>
      </w:r>
      <w:r>
        <w:rPr>
          <w:rFonts w:ascii="Arial" w:cs="Arial" w:eastAsia="Arial" w:hAnsi="Arial"/>
          <w:sz w:val="14"/>
          <w:szCs w:val="14"/>
          <w:color w:val="auto"/>
        </w:rPr>
        <w:t>U.S. Government Securities - due 12/1/2044 -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#84-9625</w:t>
      </w:r>
      <w:r>
        <w:rPr>
          <w:sz w:val="20"/>
          <w:szCs w:val="20"/>
          <w:color w:val="auto"/>
        </w:rPr>
        <w:tab/>
      </w:r>
      <w:r>
        <w:rPr>
          <w:rFonts w:ascii="Arial" w:cs="Arial" w:eastAsia="Arial" w:hAnsi="Arial"/>
          <w:sz w:val="14"/>
          <w:szCs w:val="14"/>
          <w:color w:val="auto"/>
        </w:rPr>
        <w:t>U.S. Government Securities - due 1/1/2045 -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#84-9626</w:t>
      </w:r>
      <w:r>
        <w:rPr>
          <w:sz w:val="20"/>
          <w:szCs w:val="20"/>
          <w:color w:val="auto"/>
        </w:rPr>
        <w:tab/>
      </w:r>
      <w:r>
        <w:rPr>
          <w:rFonts w:ascii="Arial" w:cs="Arial" w:eastAsia="Arial" w:hAnsi="Arial"/>
          <w:sz w:val="14"/>
          <w:szCs w:val="14"/>
          <w:color w:val="auto"/>
        </w:rPr>
        <w:t>U.S. Government Securities - due 8/1/2044 -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#84-9849</w:t>
      </w:r>
      <w:r>
        <w:rPr>
          <w:sz w:val="20"/>
          <w:szCs w:val="20"/>
          <w:color w:val="auto"/>
        </w:rPr>
        <w:tab/>
      </w:r>
      <w:r>
        <w:rPr>
          <w:rFonts w:ascii="Arial" w:cs="Arial" w:eastAsia="Arial" w:hAnsi="Arial"/>
          <w:sz w:val="14"/>
          <w:szCs w:val="14"/>
          <w:color w:val="auto"/>
        </w:rPr>
        <w:t>U.S. Government Securities - due 10/1/2045 -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#C9-0981</w:t>
      </w:r>
      <w:r>
        <w:rPr>
          <w:sz w:val="20"/>
          <w:szCs w:val="20"/>
          <w:color w:val="auto"/>
        </w:rPr>
        <w:tab/>
      </w:r>
      <w:r>
        <w:rPr>
          <w:rFonts w:ascii="Arial" w:cs="Arial" w:eastAsia="Arial" w:hAnsi="Arial"/>
          <w:sz w:val="14"/>
          <w:szCs w:val="14"/>
          <w:color w:val="auto"/>
        </w:rPr>
        <w:t>U.S. Government Securities - due 7/1/2026 - 6.500%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#C9-1013</w:t>
      </w:r>
      <w:r>
        <w:rPr>
          <w:sz w:val="20"/>
          <w:szCs w:val="20"/>
          <w:color w:val="auto"/>
        </w:rPr>
        <w:tab/>
      </w:r>
      <w:r>
        <w:rPr>
          <w:rFonts w:ascii="Arial" w:cs="Arial" w:eastAsia="Arial" w:hAnsi="Arial"/>
          <w:sz w:val="14"/>
          <w:szCs w:val="14"/>
          <w:color w:val="auto"/>
        </w:rPr>
        <w:t>U.S. Government Securities - due 1/1/2027 - 6.500%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#G0-7600</w:t>
      </w:r>
      <w:r>
        <w:rPr>
          <w:sz w:val="20"/>
          <w:szCs w:val="20"/>
          <w:color w:val="auto"/>
        </w:rPr>
        <w:tab/>
      </w:r>
      <w:r>
        <w:rPr>
          <w:rFonts w:ascii="Arial" w:cs="Arial" w:eastAsia="Arial" w:hAnsi="Arial"/>
          <w:sz w:val="14"/>
          <w:szCs w:val="14"/>
          <w:color w:val="auto"/>
        </w:rPr>
        <w:t>U.S. Government Securities - due 3/1/2042 - 4.500%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#G0-8723</w:t>
      </w:r>
      <w:r>
        <w:rPr>
          <w:sz w:val="20"/>
          <w:szCs w:val="20"/>
          <w:color w:val="auto"/>
        </w:rPr>
        <w:tab/>
      </w:r>
      <w:r>
        <w:rPr>
          <w:rFonts w:ascii="Arial" w:cs="Arial" w:eastAsia="Arial" w:hAnsi="Arial"/>
          <w:sz w:val="14"/>
          <w:szCs w:val="14"/>
          <w:color w:val="auto"/>
        </w:rPr>
        <w:t>U.S. Government Securities - due 8/1/2046 - 4.000%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#G0-8768</w:t>
      </w:r>
      <w:r>
        <w:rPr>
          <w:sz w:val="20"/>
          <w:szCs w:val="20"/>
          <w:color w:val="auto"/>
        </w:rPr>
        <w:tab/>
      </w:r>
      <w:r>
        <w:rPr>
          <w:rFonts w:ascii="Arial" w:cs="Arial" w:eastAsia="Arial" w:hAnsi="Arial"/>
          <w:sz w:val="14"/>
          <w:szCs w:val="14"/>
          <w:color w:val="auto"/>
        </w:rPr>
        <w:t>U.S. Government Securities - due 6/1/2047 - 4.500%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#G0-8772</w:t>
      </w:r>
      <w:r>
        <w:rPr>
          <w:sz w:val="20"/>
          <w:szCs w:val="20"/>
          <w:color w:val="auto"/>
        </w:rPr>
        <w:tab/>
      </w:r>
      <w:r>
        <w:rPr>
          <w:rFonts w:ascii="Arial" w:cs="Arial" w:eastAsia="Arial" w:hAnsi="Arial"/>
          <w:sz w:val="14"/>
          <w:szCs w:val="14"/>
          <w:color w:val="auto"/>
        </w:rPr>
        <w:t>U.S. Government Securities - due 6/1/2047 - 4.500%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#G6-0153</w:t>
      </w:r>
      <w:r>
        <w:rPr>
          <w:sz w:val="20"/>
          <w:szCs w:val="20"/>
          <w:color w:val="auto"/>
        </w:rPr>
        <w:tab/>
      </w:r>
      <w:r>
        <w:rPr>
          <w:rFonts w:ascii="Arial" w:cs="Arial" w:eastAsia="Arial" w:hAnsi="Arial"/>
          <w:sz w:val="14"/>
          <w:szCs w:val="14"/>
          <w:color w:val="auto"/>
        </w:rPr>
        <w:t>U.S. Government Securities - due 10/1/2044 - 4.500%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#G6-0764</w:t>
      </w:r>
      <w:r>
        <w:rPr>
          <w:sz w:val="20"/>
          <w:szCs w:val="20"/>
          <w:color w:val="auto"/>
        </w:rPr>
        <w:tab/>
      </w:r>
      <w:r>
        <w:rPr>
          <w:rFonts w:ascii="Arial" w:cs="Arial" w:eastAsia="Arial" w:hAnsi="Arial"/>
          <w:sz w:val="14"/>
          <w:szCs w:val="14"/>
          <w:color w:val="auto"/>
        </w:rPr>
        <w:t>U.S. Government Securities - due 10/1/2042 - 4.500%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#G6-1080</w:t>
      </w:r>
      <w:r>
        <w:rPr>
          <w:sz w:val="20"/>
          <w:szCs w:val="20"/>
          <w:color w:val="auto"/>
        </w:rPr>
        <w:tab/>
      </w:r>
      <w:r>
        <w:rPr>
          <w:rFonts w:ascii="Arial" w:cs="Arial" w:eastAsia="Arial" w:hAnsi="Arial"/>
          <w:sz w:val="14"/>
          <w:szCs w:val="14"/>
          <w:color w:val="auto"/>
        </w:rPr>
        <w:t>U.S. Government Securities - due 3/1/2047 - 4.500%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#H0-1774</w:t>
      </w:r>
      <w:r>
        <w:rPr>
          <w:sz w:val="20"/>
          <w:szCs w:val="20"/>
          <w:color w:val="auto"/>
        </w:rPr>
        <w:tab/>
      </w:r>
      <w:r>
        <w:rPr>
          <w:rFonts w:ascii="Arial" w:cs="Arial" w:eastAsia="Arial" w:hAnsi="Arial"/>
          <w:sz w:val="14"/>
          <w:szCs w:val="14"/>
          <w:color w:val="auto"/>
        </w:rPr>
        <w:t>U.S. Government Securities - due 9/1/2037 - 6.500%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#H0-9197</w:t>
      </w:r>
      <w:r>
        <w:rPr>
          <w:sz w:val="20"/>
          <w:szCs w:val="20"/>
          <w:color w:val="auto"/>
        </w:rPr>
        <w:tab/>
      </w:r>
      <w:r>
        <w:rPr>
          <w:rFonts w:ascii="Arial" w:cs="Arial" w:eastAsia="Arial" w:hAnsi="Arial"/>
          <w:sz w:val="14"/>
          <w:szCs w:val="14"/>
          <w:color w:val="auto"/>
        </w:rPr>
        <w:t>U.S. Government Securities - due 10/1/2038 - 6.500%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#H0-9212</w:t>
      </w:r>
      <w:r>
        <w:rPr>
          <w:sz w:val="20"/>
          <w:szCs w:val="20"/>
          <w:color w:val="auto"/>
        </w:rPr>
        <w:tab/>
      </w:r>
      <w:r>
        <w:rPr>
          <w:rFonts w:ascii="Arial" w:cs="Arial" w:eastAsia="Arial" w:hAnsi="Arial"/>
          <w:sz w:val="14"/>
          <w:szCs w:val="14"/>
          <w:color w:val="auto"/>
        </w:rPr>
        <w:t>U.S. Government Securities - due 5/1/2038 - 5.500%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#Q0-3517</w:t>
      </w:r>
      <w:r>
        <w:rPr>
          <w:sz w:val="20"/>
          <w:szCs w:val="20"/>
          <w:color w:val="auto"/>
        </w:rPr>
        <w:tab/>
      </w:r>
      <w:r>
        <w:rPr>
          <w:rFonts w:ascii="Arial" w:cs="Arial" w:eastAsia="Arial" w:hAnsi="Arial"/>
          <w:sz w:val="14"/>
          <w:szCs w:val="14"/>
          <w:color w:val="auto"/>
        </w:rPr>
        <w:t>U.S. Government Securities - due 9/1/2041 - 4.500%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#Q4-6291</w:t>
      </w:r>
      <w:r>
        <w:rPr>
          <w:sz w:val="20"/>
          <w:szCs w:val="20"/>
          <w:color w:val="auto"/>
        </w:rPr>
        <w:tab/>
      </w:r>
      <w:r>
        <w:rPr>
          <w:rFonts w:ascii="Arial" w:cs="Arial" w:eastAsia="Arial" w:hAnsi="Arial"/>
          <w:sz w:val="14"/>
          <w:szCs w:val="14"/>
          <w:color w:val="auto"/>
        </w:rPr>
        <w:t>U.S. Government Securities - due 2/1/2047 - 4.500%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#Q5-5948</w:t>
      </w:r>
      <w:r>
        <w:rPr>
          <w:sz w:val="20"/>
          <w:szCs w:val="20"/>
          <w:color w:val="auto"/>
        </w:rPr>
        <w:tab/>
      </w:r>
      <w:r>
        <w:rPr>
          <w:rFonts w:ascii="Arial" w:cs="Arial" w:eastAsia="Arial" w:hAnsi="Arial"/>
          <w:sz w:val="14"/>
          <w:szCs w:val="14"/>
          <w:color w:val="auto"/>
        </w:rPr>
        <w:t>U.S. Government Securities - due 5/1/2048 - 4.500%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POOL #V8-3156</w:t>
      </w:r>
      <w:r>
        <w:rPr>
          <w:sz w:val="20"/>
          <w:szCs w:val="20"/>
          <w:color w:val="auto"/>
        </w:rPr>
        <w:tab/>
      </w:r>
      <w:r>
        <w:rPr>
          <w:rFonts w:ascii="Arial" w:cs="Arial" w:eastAsia="Arial" w:hAnsi="Arial"/>
          <w:sz w:val="14"/>
          <w:szCs w:val="14"/>
          <w:color w:val="auto"/>
        </w:rPr>
        <w:t>U.S. Government Securities - due 4/1/2047 - 4.500%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MULTICLASS CTF 4283 EW</w:t>
      </w:r>
      <w:r>
        <w:rPr>
          <w:sz w:val="20"/>
          <w:szCs w:val="20"/>
          <w:color w:val="auto"/>
        </w:rPr>
        <w:tab/>
      </w:r>
      <w:r>
        <w:rPr>
          <w:rFonts w:ascii="Arial" w:cs="Arial" w:eastAsia="Arial" w:hAnsi="Arial"/>
          <w:sz w:val="14"/>
          <w:szCs w:val="14"/>
          <w:color w:val="auto"/>
        </w:rPr>
        <w:t>U.S. Government Securities - due 12/15/2043 -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MULTICLASS MTG 2957 VZ</w:t>
      </w:r>
      <w:r>
        <w:rPr>
          <w:sz w:val="20"/>
          <w:szCs w:val="20"/>
          <w:color w:val="auto"/>
        </w:rPr>
        <w:tab/>
      </w:r>
      <w:r>
        <w:rPr>
          <w:rFonts w:ascii="Arial" w:cs="Arial" w:eastAsia="Arial" w:hAnsi="Arial"/>
          <w:sz w:val="14"/>
          <w:szCs w:val="14"/>
          <w:color w:val="auto"/>
        </w:rPr>
        <w:t>U.S. Government Securities - due 2/15/2035 - 5.000%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FHLMC MULTICLASS MTG 4319 MA</w:t>
      </w:r>
      <w:r>
        <w:rPr>
          <w:sz w:val="20"/>
          <w:szCs w:val="20"/>
          <w:color w:val="auto"/>
        </w:rPr>
        <w:tab/>
      </w:r>
      <w:r>
        <w:rPr>
          <w:rFonts w:ascii="Arial" w:cs="Arial" w:eastAsia="Arial" w:hAnsi="Arial"/>
          <w:sz w:val="14"/>
          <w:szCs w:val="14"/>
          <w:color w:val="auto"/>
        </w:rPr>
        <w:t>U.S. Government Securities - due 3/15/2044 -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#0256851</w:t>
      </w:r>
      <w:r>
        <w:rPr>
          <w:sz w:val="20"/>
          <w:szCs w:val="20"/>
          <w:color w:val="auto"/>
        </w:rPr>
        <w:tab/>
      </w:r>
      <w:r>
        <w:rPr>
          <w:rFonts w:ascii="Arial" w:cs="Arial" w:eastAsia="Arial" w:hAnsi="Arial"/>
          <w:sz w:val="14"/>
          <w:szCs w:val="14"/>
          <w:color w:val="auto"/>
        </w:rPr>
        <w:t>U.S. Government Securities - due 8/1/2037 - 7.000%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#0735503</w:t>
      </w:r>
      <w:r>
        <w:rPr>
          <w:sz w:val="20"/>
          <w:szCs w:val="20"/>
          <w:color w:val="auto"/>
        </w:rPr>
        <w:tab/>
      </w:r>
      <w:r>
        <w:rPr>
          <w:rFonts w:ascii="Arial" w:cs="Arial" w:eastAsia="Arial" w:hAnsi="Arial"/>
          <w:sz w:val="14"/>
          <w:szCs w:val="14"/>
          <w:color w:val="auto"/>
        </w:rPr>
        <w:t>U.S. Government Securities - due 4/1/2035 - 6.000%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#0735608</w:t>
      </w:r>
      <w:r>
        <w:rPr>
          <w:sz w:val="20"/>
          <w:szCs w:val="20"/>
          <w:color w:val="auto"/>
        </w:rPr>
        <w:tab/>
      </w:r>
      <w:r>
        <w:rPr>
          <w:rFonts w:ascii="Arial" w:cs="Arial" w:eastAsia="Arial" w:hAnsi="Arial"/>
          <w:sz w:val="14"/>
          <w:szCs w:val="14"/>
          <w:color w:val="auto"/>
        </w:rPr>
        <w:t>U.S. Government Securities - due 3/1/2035 -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#0745329</w:t>
      </w:r>
      <w:r>
        <w:rPr>
          <w:sz w:val="20"/>
          <w:szCs w:val="20"/>
          <w:color w:val="auto"/>
        </w:rPr>
        <w:tab/>
      </w:r>
      <w:r>
        <w:rPr>
          <w:rFonts w:ascii="Arial" w:cs="Arial" w:eastAsia="Arial" w:hAnsi="Arial"/>
          <w:sz w:val="14"/>
          <w:szCs w:val="14"/>
          <w:color w:val="auto"/>
        </w:rPr>
        <w:t>U.S. Government Securities - due 7/1/2035 - 6.000%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#0884704</w:t>
      </w:r>
      <w:r>
        <w:rPr>
          <w:sz w:val="20"/>
          <w:szCs w:val="20"/>
          <w:color w:val="auto"/>
        </w:rPr>
        <w:tab/>
      </w:r>
      <w:r>
        <w:rPr>
          <w:rFonts w:ascii="Arial" w:cs="Arial" w:eastAsia="Arial" w:hAnsi="Arial"/>
          <w:sz w:val="14"/>
          <w:szCs w:val="14"/>
          <w:color w:val="auto"/>
        </w:rPr>
        <w:t>U.S. Government Securities - due 6/1/2036 -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#0888154</w:t>
      </w:r>
      <w:r>
        <w:rPr>
          <w:sz w:val="20"/>
          <w:szCs w:val="20"/>
          <w:color w:val="auto"/>
        </w:rPr>
        <w:tab/>
      </w:r>
      <w:r>
        <w:rPr>
          <w:rFonts w:ascii="Arial" w:cs="Arial" w:eastAsia="Arial" w:hAnsi="Arial"/>
          <w:sz w:val="14"/>
          <w:szCs w:val="14"/>
          <w:color w:val="auto"/>
        </w:rPr>
        <w:t>U.S. Government Securities - due 11/1/2036 -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#0888367</w:t>
      </w:r>
      <w:r>
        <w:rPr>
          <w:sz w:val="20"/>
          <w:szCs w:val="20"/>
          <w:color w:val="auto"/>
        </w:rPr>
        <w:tab/>
      </w:r>
      <w:r>
        <w:rPr>
          <w:rFonts w:ascii="Arial" w:cs="Arial" w:eastAsia="Arial" w:hAnsi="Arial"/>
          <w:sz w:val="14"/>
          <w:szCs w:val="14"/>
          <w:color w:val="auto"/>
        </w:rPr>
        <w:t>U.S. Government Securities - due 3/1/2037 - 7.000%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#0889634</w:t>
      </w:r>
      <w:r>
        <w:rPr>
          <w:sz w:val="20"/>
          <w:szCs w:val="20"/>
          <w:color w:val="auto"/>
        </w:rPr>
        <w:tab/>
      </w:r>
      <w:r>
        <w:rPr>
          <w:rFonts w:ascii="Arial" w:cs="Arial" w:eastAsia="Arial" w:hAnsi="Arial"/>
          <w:sz w:val="14"/>
          <w:szCs w:val="14"/>
          <w:color w:val="auto"/>
        </w:rPr>
        <w:t>U.S. Government Securities - due 2/1/2023 - 6.000%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#0889984</w:t>
      </w:r>
      <w:r>
        <w:rPr>
          <w:sz w:val="20"/>
          <w:szCs w:val="20"/>
          <w:color w:val="auto"/>
        </w:rPr>
        <w:tab/>
      </w:r>
      <w:r>
        <w:rPr>
          <w:rFonts w:ascii="Arial" w:cs="Arial" w:eastAsia="Arial" w:hAnsi="Arial"/>
          <w:sz w:val="14"/>
          <w:szCs w:val="14"/>
          <w:color w:val="auto"/>
        </w:rPr>
        <w:t>U.S. Government Securities - due 10/1/2038 - 6.500%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#0976853</w:t>
      </w:r>
      <w:r>
        <w:rPr>
          <w:sz w:val="20"/>
          <w:szCs w:val="20"/>
          <w:color w:val="auto"/>
        </w:rPr>
        <w:tab/>
      </w:r>
      <w:r>
        <w:rPr>
          <w:rFonts w:ascii="Arial" w:cs="Arial" w:eastAsia="Arial" w:hAnsi="Arial"/>
          <w:sz w:val="14"/>
          <w:szCs w:val="14"/>
          <w:color w:val="auto"/>
        </w:rPr>
        <w:t>U.S. Government Securities - due 11/1/2029 - 5.500%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#0995487</w:t>
      </w:r>
      <w:r>
        <w:rPr>
          <w:sz w:val="20"/>
          <w:szCs w:val="20"/>
          <w:color w:val="auto"/>
        </w:rPr>
        <w:tab/>
      </w:r>
      <w:r>
        <w:rPr>
          <w:rFonts w:ascii="Arial" w:cs="Arial" w:eastAsia="Arial" w:hAnsi="Arial"/>
          <w:sz w:val="14"/>
          <w:szCs w:val="14"/>
          <w:color w:val="auto"/>
        </w:rPr>
        <w:t>U.S. Government Securities - due 8/1/2037 - 6.000%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#0AB1763</w:t>
      </w:r>
      <w:r>
        <w:rPr>
          <w:sz w:val="20"/>
          <w:szCs w:val="20"/>
          <w:color w:val="auto"/>
        </w:rPr>
        <w:tab/>
      </w:r>
      <w:r>
        <w:rPr>
          <w:rFonts w:ascii="Arial" w:cs="Arial" w:eastAsia="Arial" w:hAnsi="Arial"/>
          <w:sz w:val="14"/>
          <w:szCs w:val="14"/>
          <w:color w:val="auto"/>
        </w:rPr>
        <w:t>U.S. Government Securities - due 11/1/2030 - 4.000%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#0AB8086</w:t>
      </w:r>
      <w:r>
        <w:rPr>
          <w:sz w:val="20"/>
          <w:szCs w:val="20"/>
          <w:color w:val="auto"/>
        </w:rPr>
        <w:tab/>
      </w:r>
      <w:r>
        <w:rPr>
          <w:rFonts w:ascii="Arial" w:cs="Arial" w:eastAsia="Arial" w:hAnsi="Arial"/>
          <w:sz w:val="14"/>
          <w:szCs w:val="14"/>
          <w:color w:val="auto"/>
        </w:rPr>
        <w:t>U.S. Government Securities - due 10/1/2037 - 6.000%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#0AD0121</w:t>
      </w:r>
      <w:r>
        <w:rPr>
          <w:sz w:val="20"/>
          <w:szCs w:val="20"/>
          <w:color w:val="auto"/>
        </w:rPr>
        <w:tab/>
      </w:r>
      <w:r>
        <w:rPr>
          <w:rFonts w:ascii="Arial" w:cs="Arial" w:eastAsia="Arial" w:hAnsi="Arial"/>
          <w:sz w:val="14"/>
          <w:szCs w:val="14"/>
          <w:color w:val="auto"/>
        </w:rPr>
        <w:t>U.S. Government Securities - due 9/1/2029 - 4.500%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#0AD0130</w:t>
      </w:r>
      <w:r>
        <w:rPr>
          <w:sz w:val="20"/>
          <w:szCs w:val="20"/>
          <w:color w:val="auto"/>
        </w:rPr>
        <w:tab/>
      </w:r>
      <w:r>
        <w:rPr>
          <w:rFonts w:ascii="Arial" w:cs="Arial" w:eastAsia="Arial" w:hAnsi="Arial"/>
          <w:sz w:val="14"/>
          <w:szCs w:val="14"/>
          <w:color w:val="auto"/>
        </w:rPr>
        <w:t>U.S. Government Securities - due 8/1/2039 - 6.500%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#0AD0198</w:t>
      </w:r>
      <w:r>
        <w:rPr>
          <w:sz w:val="20"/>
          <w:szCs w:val="20"/>
          <w:color w:val="auto"/>
        </w:rPr>
        <w:tab/>
      </w:r>
      <w:r>
        <w:rPr>
          <w:rFonts w:ascii="Arial" w:cs="Arial" w:eastAsia="Arial" w:hAnsi="Arial"/>
          <w:sz w:val="14"/>
          <w:szCs w:val="14"/>
          <w:color w:val="auto"/>
        </w:rPr>
        <w:t>U.S. Government Securities - due 9/1/2038 - 5.500%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#0AD0217</w:t>
      </w:r>
      <w:r>
        <w:rPr>
          <w:sz w:val="20"/>
          <w:szCs w:val="20"/>
          <w:color w:val="auto"/>
        </w:rPr>
        <w:tab/>
      </w:r>
      <w:r>
        <w:rPr>
          <w:rFonts w:ascii="Arial" w:cs="Arial" w:eastAsia="Arial" w:hAnsi="Arial"/>
          <w:sz w:val="14"/>
          <w:szCs w:val="14"/>
          <w:color w:val="auto"/>
        </w:rPr>
        <w:t>U.S. Government Securities - due 8/1/2037 - 6.000%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#0AD0218</w:t>
      </w:r>
      <w:r>
        <w:rPr>
          <w:sz w:val="20"/>
          <w:szCs w:val="20"/>
          <w:color w:val="auto"/>
        </w:rPr>
        <w:tab/>
      </w:r>
      <w:r>
        <w:rPr>
          <w:rFonts w:ascii="Arial" w:cs="Arial" w:eastAsia="Arial" w:hAnsi="Arial"/>
          <w:sz w:val="14"/>
          <w:szCs w:val="14"/>
          <w:color w:val="auto"/>
        </w:rPr>
        <w:t>U.S. Government Securities - due 9/1/2036 - 6.000%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#0AD0964</w:t>
      </w:r>
      <w:r>
        <w:rPr>
          <w:sz w:val="20"/>
          <w:szCs w:val="20"/>
          <w:color w:val="auto"/>
        </w:rPr>
        <w:tab/>
      </w:r>
      <w:r>
        <w:rPr>
          <w:rFonts w:ascii="Arial" w:cs="Arial" w:eastAsia="Arial" w:hAnsi="Arial"/>
          <w:sz w:val="14"/>
          <w:szCs w:val="14"/>
          <w:color w:val="auto"/>
        </w:rPr>
        <w:t>U.S. Government Securities - due 11/1/2039 - 5.500%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#0AL1845</w:t>
      </w:r>
      <w:r>
        <w:rPr>
          <w:sz w:val="20"/>
          <w:szCs w:val="20"/>
          <w:color w:val="auto"/>
        </w:rPr>
        <w:tab/>
      </w:r>
      <w:r>
        <w:rPr>
          <w:rFonts w:ascii="Arial" w:cs="Arial" w:eastAsia="Arial" w:hAnsi="Arial"/>
          <w:sz w:val="14"/>
          <w:szCs w:val="14"/>
          <w:color w:val="auto"/>
        </w:rPr>
        <w:t>U.S. Government Securities - due 6/1/2039 -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#0AL1900</w:t>
      </w:r>
      <w:r>
        <w:rPr>
          <w:sz w:val="20"/>
          <w:szCs w:val="20"/>
          <w:color w:val="auto"/>
        </w:rPr>
        <w:tab/>
      </w:r>
      <w:r>
        <w:rPr>
          <w:rFonts w:ascii="Arial" w:cs="Arial" w:eastAsia="Arial" w:hAnsi="Arial"/>
          <w:sz w:val="14"/>
          <w:szCs w:val="14"/>
          <w:color w:val="auto"/>
        </w:rPr>
        <w:t>U.S. Government Securities - due 8/1/2026 - 4.500%</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430" w:hanging="1430"/>
        <w:spacing w:after="0"/>
        <w:tabs>
          <w:tab w:leader="none" w:pos="1430" w:val="left"/>
        </w:tabs>
        <w:numPr>
          <w:ilvl w:val="0"/>
          <w:numId w:val="20"/>
        </w:numPr>
        <w:rPr>
          <w:rFonts w:ascii="Arial" w:cs="Arial" w:eastAsia="Arial" w:hAnsi="Arial"/>
          <w:sz w:val="15"/>
          <w:szCs w:val="15"/>
          <w:color w:val="auto"/>
        </w:rPr>
      </w:pPr>
      <w:r>
        <w:rPr>
          <w:rFonts w:ascii="Arial" w:cs="Arial" w:eastAsia="Arial" w:hAnsi="Arial"/>
          <w:sz w:val="15"/>
          <w:szCs w:val="15"/>
          <w:color w:val="auto"/>
        </w:rPr>
        <w:t>2,660</w:t>
      </w:r>
    </w:p>
    <w:p>
      <w:pPr>
        <w:spacing w:after="0" w:line="97" w:lineRule="exact"/>
        <w:rPr>
          <w:rFonts w:ascii="Arial" w:cs="Arial" w:eastAsia="Arial" w:hAnsi="Arial"/>
          <w:sz w:val="15"/>
          <w:szCs w:val="15"/>
          <w:color w:val="auto"/>
        </w:rPr>
      </w:pPr>
    </w:p>
    <w:p>
      <w:pPr>
        <w:ind w:left="1350" w:hanging="1350"/>
        <w:spacing w:after="0"/>
        <w:tabs>
          <w:tab w:leader="none" w:pos="13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22,463</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380</w:t>
            </w:r>
          </w:p>
        </w:tc>
      </w:tr>
    </w:tbl>
    <w:p>
      <w:pPr>
        <w:spacing w:after="0" w:line="64" w:lineRule="exact"/>
        <w:rPr>
          <w:sz w:val="20"/>
          <w:szCs w:val="20"/>
          <w:color w:val="auto"/>
        </w:rPr>
      </w:pPr>
    </w:p>
    <w:p>
      <w:pPr>
        <w:ind w:left="1430" w:hanging="1430"/>
        <w:spacing w:after="0"/>
        <w:tabs>
          <w:tab w:leader="none" w:pos="1430" w:val="left"/>
        </w:tabs>
        <w:numPr>
          <w:ilvl w:val="0"/>
          <w:numId w:val="21"/>
        </w:numPr>
        <w:rPr>
          <w:rFonts w:ascii="Arial" w:cs="Arial" w:eastAsia="Arial" w:hAnsi="Arial"/>
          <w:sz w:val="15"/>
          <w:szCs w:val="15"/>
          <w:color w:val="auto"/>
        </w:rPr>
      </w:pPr>
      <w:r>
        <w:rPr>
          <w:rFonts w:ascii="Arial" w:cs="Arial" w:eastAsia="Arial" w:hAnsi="Arial"/>
          <w:sz w:val="15"/>
          <w:szCs w:val="15"/>
          <w:color w:val="auto"/>
        </w:rPr>
        <w:t>2,839</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21"/>
        </w:numPr>
        <w:rPr>
          <w:rFonts w:ascii="Arial" w:cs="Arial" w:eastAsia="Arial" w:hAnsi="Arial"/>
          <w:sz w:val="15"/>
          <w:szCs w:val="15"/>
          <w:color w:val="auto"/>
        </w:rPr>
      </w:pPr>
      <w:r>
        <w:rPr>
          <w:rFonts w:ascii="Arial" w:cs="Arial" w:eastAsia="Arial" w:hAnsi="Arial"/>
          <w:sz w:val="15"/>
          <w:szCs w:val="15"/>
          <w:color w:val="auto"/>
        </w:rPr>
        <w:t>4,150</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21"/>
        </w:numPr>
        <w:rPr>
          <w:rFonts w:ascii="Arial" w:cs="Arial" w:eastAsia="Arial" w:hAnsi="Arial"/>
          <w:sz w:val="15"/>
          <w:szCs w:val="15"/>
          <w:color w:val="auto"/>
        </w:rPr>
      </w:pPr>
      <w:r>
        <w:rPr>
          <w:rFonts w:ascii="Arial" w:cs="Arial" w:eastAsia="Arial" w:hAnsi="Arial"/>
          <w:sz w:val="15"/>
          <w:szCs w:val="15"/>
          <w:color w:val="auto"/>
        </w:rPr>
        <w:t>1,408</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372</w:t>
            </w:r>
          </w:p>
        </w:tc>
      </w:tr>
    </w:tbl>
    <w:p>
      <w:pPr>
        <w:spacing w:after="0" w:line="64" w:lineRule="exact"/>
        <w:rPr>
          <w:sz w:val="20"/>
          <w:szCs w:val="20"/>
          <w:color w:val="auto"/>
        </w:rPr>
      </w:pPr>
    </w:p>
    <w:p>
      <w:pPr>
        <w:ind w:left="1430" w:hanging="1430"/>
        <w:spacing w:after="0"/>
        <w:tabs>
          <w:tab w:leader="none" w:pos="1430" w:val="left"/>
        </w:tabs>
        <w:numPr>
          <w:ilvl w:val="0"/>
          <w:numId w:val="22"/>
        </w:numPr>
        <w:rPr>
          <w:rFonts w:ascii="Arial" w:cs="Arial" w:eastAsia="Arial" w:hAnsi="Arial"/>
          <w:sz w:val="15"/>
          <w:szCs w:val="15"/>
          <w:color w:val="auto"/>
        </w:rPr>
      </w:pPr>
      <w:r>
        <w:rPr>
          <w:rFonts w:ascii="Arial" w:cs="Arial" w:eastAsia="Arial" w:hAnsi="Arial"/>
          <w:sz w:val="15"/>
          <w:szCs w:val="15"/>
          <w:color w:val="auto"/>
        </w:rPr>
        <w:t>3,053</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821</w:t>
            </w:r>
          </w:p>
        </w:tc>
      </w:tr>
    </w:tbl>
    <w:p>
      <w:pPr>
        <w:spacing w:after="0" w:line="64" w:lineRule="exact"/>
        <w:rPr>
          <w:sz w:val="20"/>
          <w:szCs w:val="20"/>
          <w:color w:val="auto"/>
        </w:rPr>
      </w:pPr>
    </w:p>
    <w:p>
      <w:pPr>
        <w:ind w:left="1430" w:hanging="1430"/>
        <w:spacing w:after="0"/>
        <w:tabs>
          <w:tab w:leader="none" w:pos="1430" w:val="left"/>
        </w:tabs>
        <w:numPr>
          <w:ilvl w:val="0"/>
          <w:numId w:val="23"/>
        </w:numPr>
        <w:rPr>
          <w:rFonts w:ascii="Arial" w:cs="Arial" w:eastAsia="Arial" w:hAnsi="Arial"/>
          <w:sz w:val="15"/>
          <w:szCs w:val="15"/>
          <w:color w:val="auto"/>
        </w:rPr>
      </w:pPr>
      <w:r>
        <w:rPr>
          <w:rFonts w:ascii="Arial" w:cs="Arial" w:eastAsia="Arial" w:hAnsi="Arial"/>
          <w:sz w:val="15"/>
          <w:szCs w:val="15"/>
          <w:color w:val="auto"/>
        </w:rPr>
        <w:t>3,982</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r>
    </w:tbl>
    <w:p>
      <w:pPr>
        <w:spacing w:after="0" w:line="200" w:lineRule="exact"/>
        <w:rPr>
          <w:sz w:val="20"/>
          <w:szCs w:val="20"/>
          <w:color w:val="auto"/>
        </w:rPr>
      </w:pPr>
    </w:p>
    <w:p>
      <w:pPr>
        <w:sectPr>
          <w:pgSz w:w="11900" w:h="16838" w:orient="portrait"/>
          <w:cols w:equalWidth="0" w:num="2">
            <w:col w:w="8830" w:space="720"/>
            <w:col w:w="1810"/>
          </w:cols>
          <w:pgMar w:left="280" w:top="531" w:right="259" w:bottom="825"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of 19</w:t>
      </w:r>
    </w:p>
    <w:p>
      <w:pPr>
        <w:sectPr>
          <w:pgSz w:w="11900" w:h="16838" w:orient="portrait"/>
          <w:cols w:equalWidth="0" w:num="1">
            <w:col w:w="11360"/>
          </w:cols>
          <w:pgMar w:left="280" w:top="531" w:right="259" w:bottom="825" w:gutter="0" w:footer="0" w:header="0"/>
          <w:type w:val="continuous"/>
        </w:sectPr>
      </w:pPr>
    </w:p>
    <w:bookmarkStart w:id="23" w:name="page24"/>
    <w:bookmarkEnd w:id="23"/>
    <w:p>
      <w:pPr>
        <w:jc w:val="right"/>
        <w:spacing w:after="0"/>
        <w:tabs>
          <w:tab w:leader="none" w:pos="780" w:val="left"/>
        </w:tabs>
        <w:rPr>
          <w:sz w:val="20"/>
          <w:szCs w:val="20"/>
          <w:color w:val="auto"/>
        </w:rPr>
      </w:pPr>
      <w:r>
        <w:rPr>
          <w:rFonts w:ascii="Arial" w:cs="Arial" w:eastAsia="Arial" w:hAnsi="Arial"/>
          <w:sz w:val="16"/>
          <w:szCs w:val="16"/>
          <w:b w:val="1"/>
          <w:bCs w:val="1"/>
          <w:color w:val="auto"/>
        </w:rPr>
        <w:t>(c) Description of investment including maturity date, rate of</w:t>
      </w:r>
      <w:r>
        <w:rPr>
          <w:sz w:val="20"/>
          <w:szCs w:val="20"/>
          <w:color w:val="auto"/>
        </w:rPr>
        <w:tab/>
      </w:r>
      <w:r>
        <w:rPr>
          <w:rFonts w:ascii="Arial" w:cs="Arial" w:eastAsia="Arial" w:hAnsi="Arial"/>
          <w:sz w:val="15"/>
          <w:szCs w:val="15"/>
          <w:b w:val="1"/>
          <w:bCs w:val="1"/>
          <w:color w:val="auto"/>
        </w:rPr>
        <w:t>(e) Current</w:t>
      </w:r>
    </w:p>
    <w:p>
      <w:pPr>
        <w:spacing w:after="0" w:line="26" w:lineRule="exact"/>
        <w:rPr>
          <w:sz w:val="20"/>
          <w:szCs w:val="20"/>
          <w:color w:val="auto"/>
        </w:rPr>
      </w:pPr>
    </w:p>
    <w:p>
      <w:pPr>
        <w:spacing w:after="0"/>
        <w:tabs>
          <w:tab w:leader="none" w:pos="360" w:val="left"/>
          <w:tab w:leader="none" w:pos="4460" w:val="left"/>
          <w:tab w:leader="none" w:pos="9340" w:val="left"/>
          <w:tab w:leader="none" w:pos="10940" w:val="left"/>
        </w:tabs>
        <w:rPr>
          <w:sz w:val="20"/>
          <w:szCs w:val="20"/>
          <w:color w:val="auto"/>
        </w:rPr>
      </w:pPr>
      <w:r>
        <w:rPr>
          <w:rFonts w:ascii="Arial" w:cs="Arial" w:eastAsia="Arial" w:hAnsi="Arial"/>
          <w:sz w:val="16"/>
          <w:szCs w:val="16"/>
          <w:b w:val="1"/>
          <w:bCs w:val="1"/>
          <w:color w:val="auto"/>
        </w:rPr>
        <w:t>(a)</w:t>
        <w:tab/>
        <w:t>(b) Identity of issue, borrower, lessor, or similar party</w:t>
      </w:r>
      <w:r>
        <w:rPr>
          <w:sz w:val="20"/>
          <w:szCs w:val="20"/>
          <w:color w:val="auto"/>
        </w:rPr>
        <w:tab/>
      </w:r>
      <w:r>
        <w:rPr>
          <w:rFonts w:ascii="Arial" w:cs="Arial" w:eastAsia="Arial" w:hAnsi="Arial"/>
          <w:sz w:val="16"/>
          <w:szCs w:val="16"/>
          <w:b w:val="1"/>
          <w:bCs w:val="1"/>
          <w:color w:val="auto"/>
        </w:rPr>
        <w:t>interest, collateral, par, or maturity value</w:t>
      </w:r>
      <w:r>
        <w:rPr>
          <w:sz w:val="20"/>
          <w:szCs w:val="20"/>
          <w:color w:val="auto"/>
        </w:rPr>
        <w:tab/>
      </w:r>
      <w:r>
        <w:rPr>
          <w:rFonts w:ascii="Arial" w:cs="Arial" w:eastAsia="Arial" w:hAnsi="Arial"/>
          <w:sz w:val="16"/>
          <w:szCs w:val="16"/>
          <w:b w:val="1"/>
          <w:bCs w:val="1"/>
          <w:color w:val="auto"/>
        </w:rPr>
        <w:t>(d) Cost</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31" w:right="259" w:bottom="1440" w:gutter="0" w:footer="0" w:header="0"/>
        </w:sectPr>
      </w:pPr>
    </w:p>
    <w:p>
      <w:pPr>
        <w:spacing w:after="0" w:line="9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#0AL4577</w:t>
      </w:r>
      <w:r>
        <w:rPr>
          <w:sz w:val="20"/>
          <w:szCs w:val="20"/>
          <w:color w:val="auto"/>
        </w:rPr>
        <w:tab/>
      </w:r>
      <w:r>
        <w:rPr>
          <w:rFonts w:ascii="Arial" w:cs="Arial" w:eastAsia="Arial" w:hAnsi="Arial"/>
          <w:sz w:val="14"/>
          <w:szCs w:val="14"/>
          <w:color w:val="auto"/>
        </w:rPr>
        <w:t>U.S. Government Securities - due 1/1/2034 - 4.500%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#0AL5145</w:t>
      </w:r>
      <w:r>
        <w:rPr>
          <w:sz w:val="20"/>
          <w:szCs w:val="20"/>
          <w:color w:val="auto"/>
        </w:rPr>
        <w:tab/>
      </w:r>
      <w:r>
        <w:rPr>
          <w:rFonts w:ascii="Arial" w:cs="Arial" w:eastAsia="Arial" w:hAnsi="Arial"/>
          <w:sz w:val="14"/>
          <w:szCs w:val="14"/>
          <w:color w:val="auto"/>
        </w:rPr>
        <w:t>U.S. Government Securities - due 10/1/2033 - 4.000%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#0AL5749</w:t>
      </w:r>
      <w:r>
        <w:rPr>
          <w:sz w:val="20"/>
          <w:szCs w:val="20"/>
          <w:color w:val="auto"/>
        </w:rPr>
        <w:tab/>
      </w:r>
      <w:r>
        <w:rPr>
          <w:rFonts w:ascii="Arial" w:cs="Arial" w:eastAsia="Arial" w:hAnsi="Arial"/>
          <w:sz w:val="14"/>
          <w:szCs w:val="14"/>
          <w:color w:val="auto"/>
        </w:rPr>
        <w:t>U.S. Government Securities - due 7/1/2042 - 4.500%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#0AL6120</w:t>
      </w:r>
      <w:r>
        <w:rPr>
          <w:sz w:val="20"/>
          <w:szCs w:val="20"/>
          <w:color w:val="auto"/>
        </w:rPr>
        <w:tab/>
      </w:r>
      <w:r>
        <w:rPr>
          <w:rFonts w:ascii="Arial" w:cs="Arial" w:eastAsia="Arial" w:hAnsi="Arial"/>
          <w:sz w:val="14"/>
          <w:szCs w:val="14"/>
          <w:color w:val="auto"/>
        </w:rPr>
        <w:t>U.S. Government Securities - due 11/1/2044 -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#0AL6132</w:t>
      </w:r>
      <w:r>
        <w:rPr>
          <w:sz w:val="20"/>
          <w:szCs w:val="20"/>
          <w:color w:val="auto"/>
        </w:rPr>
        <w:tab/>
      </w:r>
      <w:r>
        <w:rPr>
          <w:rFonts w:ascii="Arial" w:cs="Arial" w:eastAsia="Arial" w:hAnsi="Arial"/>
          <w:sz w:val="14"/>
          <w:szCs w:val="14"/>
          <w:color w:val="auto"/>
        </w:rPr>
        <w:t>U.S. Government Securities - due 3/1/2029 - 4.500%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#0AL6209</w:t>
      </w:r>
      <w:r>
        <w:rPr>
          <w:sz w:val="20"/>
          <w:szCs w:val="20"/>
          <w:color w:val="auto"/>
        </w:rPr>
        <w:tab/>
      </w:r>
      <w:r>
        <w:rPr>
          <w:rFonts w:ascii="Arial" w:cs="Arial" w:eastAsia="Arial" w:hAnsi="Arial"/>
          <w:sz w:val="14"/>
          <w:szCs w:val="14"/>
          <w:color w:val="auto"/>
        </w:rPr>
        <w:t>U.S. Government Securities - due 7/1/2021 - 4.265%</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#0AL6245</w:t>
      </w:r>
      <w:r>
        <w:rPr>
          <w:sz w:val="20"/>
          <w:szCs w:val="20"/>
          <w:color w:val="auto"/>
        </w:rPr>
        <w:tab/>
      </w:r>
      <w:r>
        <w:rPr>
          <w:rFonts w:ascii="Arial" w:cs="Arial" w:eastAsia="Arial" w:hAnsi="Arial"/>
          <w:sz w:val="14"/>
          <w:szCs w:val="14"/>
          <w:color w:val="auto"/>
        </w:rPr>
        <w:t>U.S. Government Securities - due 1/1/2045 -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#0AL7205</w:t>
      </w:r>
      <w:r>
        <w:rPr>
          <w:sz w:val="20"/>
          <w:szCs w:val="20"/>
          <w:color w:val="auto"/>
        </w:rPr>
        <w:tab/>
      </w:r>
      <w:r>
        <w:rPr>
          <w:rFonts w:ascii="Arial" w:cs="Arial" w:eastAsia="Arial" w:hAnsi="Arial"/>
          <w:sz w:val="14"/>
          <w:szCs w:val="14"/>
          <w:color w:val="auto"/>
        </w:rPr>
        <w:t>U.S. Government Securities - due 12/1/2029 - 3.500%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#0AL7384</w:t>
      </w:r>
      <w:r>
        <w:rPr>
          <w:sz w:val="20"/>
          <w:szCs w:val="20"/>
          <w:color w:val="auto"/>
        </w:rPr>
        <w:tab/>
      </w:r>
      <w:r>
        <w:rPr>
          <w:rFonts w:ascii="Arial" w:cs="Arial" w:eastAsia="Arial" w:hAnsi="Arial"/>
          <w:sz w:val="14"/>
          <w:szCs w:val="14"/>
          <w:color w:val="auto"/>
        </w:rPr>
        <w:t>U.S. Government Securities - due 9/1/2045 - 4.500%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#0AL8556</w:t>
      </w:r>
      <w:r>
        <w:rPr>
          <w:sz w:val="20"/>
          <w:szCs w:val="20"/>
          <w:color w:val="auto"/>
        </w:rPr>
        <w:tab/>
      </w:r>
      <w:r>
        <w:rPr>
          <w:rFonts w:ascii="Arial" w:cs="Arial" w:eastAsia="Arial" w:hAnsi="Arial"/>
          <w:sz w:val="14"/>
          <w:szCs w:val="14"/>
          <w:color w:val="auto"/>
        </w:rPr>
        <w:t>U.S. Government Securities - due 8/1/2044 - 4.500%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#0AL8816</w:t>
      </w:r>
      <w:r>
        <w:rPr>
          <w:sz w:val="20"/>
          <w:szCs w:val="20"/>
          <w:color w:val="auto"/>
        </w:rPr>
        <w:tab/>
      </w:r>
      <w:r>
        <w:rPr>
          <w:rFonts w:ascii="Arial" w:cs="Arial" w:eastAsia="Arial" w:hAnsi="Arial"/>
          <w:sz w:val="14"/>
          <w:szCs w:val="14"/>
          <w:color w:val="auto"/>
        </w:rPr>
        <w:t>U.S. Government Securities - due 9/1/2045 - 4.500%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#0AL8919</w:t>
      </w:r>
      <w:r>
        <w:rPr>
          <w:sz w:val="20"/>
          <w:szCs w:val="20"/>
          <w:color w:val="auto"/>
        </w:rPr>
        <w:tab/>
      </w:r>
      <w:r>
        <w:rPr>
          <w:rFonts w:ascii="Arial" w:cs="Arial" w:eastAsia="Arial" w:hAnsi="Arial"/>
          <w:sz w:val="14"/>
          <w:szCs w:val="14"/>
          <w:color w:val="auto"/>
        </w:rPr>
        <w:t>U.S. Government Securities - due 7/1/2046 -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#0AL9407</w:t>
      </w:r>
      <w:r>
        <w:rPr>
          <w:sz w:val="20"/>
          <w:szCs w:val="20"/>
          <w:color w:val="auto"/>
        </w:rPr>
        <w:tab/>
      </w:r>
      <w:r>
        <w:rPr>
          <w:rFonts w:ascii="Arial" w:cs="Arial" w:eastAsia="Arial" w:hAnsi="Arial"/>
          <w:sz w:val="14"/>
          <w:szCs w:val="14"/>
          <w:color w:val="auto"/>
        </w:rPr>
        <w:t>U.S. Government Securities - due 9/1/2042 - 4.500%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#0AL9781</w:t>
      </w:r>
      <w:r>
        <w:rPr>
          <w:sz w:val="20"/>
          <w:szCs w:val="20"/>
          <w:color w:val="auto"/>
        </w:rPr>
        <w:tab/>
      </w:r>
      <w:r>
        <w:rPr>
          <w:rFonts w:ascii="Arial" w:cs="Arial" w:eastAsia="Arial" w:hAnsi="Arial"/>
          <w:sz w:val="14"/>
          <w:szCs w:val="14"/>
          <w:color w:val="auto"/>
        </w:rPr>
        <w:t>U.S. Government Securities - due 2/1/2046 - 4.500%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#0AO4105</w:t>
      </w:r>
      <w:r>
        <w:rPr>
          <w:sz w:val="20"/>
          <w:szCs w:val="20"/>
          <w:color w:val="auto"/>
        </w:rPr>
        <w:tab/>
      </w:r>
      <w:r>
        <w:rPr>
          <w:rFonts w:ascii="Arial" w:cs="Arial" w:eastAsia="Arial" w:hAnsi="Arial"/>
          <w:sz w:val="14"/>
          <w:szCs w:val="14"/>
          <w:color w:val="auto"/>
        </w:rPr>
        <w:t>U.S. Government Securities - due 6/1/2042 -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#0AO8469</w:t>
      </w:r>
      <w:r>
        <w:rPr>
          <w:sz w:val="20"/>
          <w:szCs w:val="20"/>
          <w:color w:val="auto"/>
        </w:rPr>
        <w:tab/>
      </w:r>
      <w:r>
        <w:rPr>
          <w:rFonts w:ascii="Arial" w:cs="Arial" w:eastAsia="Arial" w:hAnsi="Arial"/>
          <w:sz w:val="14"/>
          <w:szCs w:val="14"/>
          <w:color w:val="auto"/>
        </w:rPr>
        <w:t>U.S. Government Securities - due 5/1/2042 -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#0AP7562</w:t>
      </w:r>
      <w:r>
        <w:rPr>
          <w:sz w:val="20"/>
          <w:szCs w:val="20"/>
          <w:color w:val="auto"/>
        </w:rPr>
        <w:tab/>
      </w:r>
      <w:r>
        <w:rPr>
          <w:rFonts w:ascii="Arial" w:cs="Arial" w:eastAsia="Arial" w:hAnsi="Arial"/>
          <w:sz w:val="14"/>
          <w:szCs w:val="14"/>
          <w:color w:val="auto"/>
        </w:rPr>
        <w:t>U.S. Government Securities - due 9/1/2042 -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#0AW4697</w:t>
      </w:r>
      <w:r>
        <w:rPr>
          <w:sz w:val="20"/>
          <w:szCs w:val="20"/>
          <w:color w:val="auto"/>
        </w:rPr>
        <w:tab/>
      </w:r>
      <w:r>
        <w:rPr>
          <w:rFonts w:ascii="Arial" w:cs="Arial" w:eastAsia="Arial" w:hAnsi="Arial"/>
          <w:sz w:val="14"/>
          <w:szCs w:val="14"/>
          <w:color w:val="auto"/>
        </w:rPr>
        <w:t>U.S. Government Securities - due 5/1/2044 -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#0AX3721</w:t>
      </w:r>
      <w:r>
        <w:rPr>
          <w:sz w:val="20"/>
          <w:szCs w:val="20"/>
          <w:color w:val="auto"/>
        </w:rPr>
        <w:tab/>
      </w:r>
      <w:r>
        <w:rPr>
          <w:rFonts w:ascii="Arial" w:cs="Arial" w:eastAsia="Arial" w:hAnsi="Arial"/>
          <w:sz w:val="14"/>
          <w:szCs w:val="14"/>
          <w:color w:val="auto"/>
        </w:rPr>
        <w:t>U.S. Government Securities - due 7/1/2027 - 3.500%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#0BF0118</w:t>
      </w:r>
      <w:r>
        <w:rPr>
          <w:sz w:val="20"/>
          <w:szCs w:val="20"/>
          <w:color w:val="auto"/>
        </w:rPr>
        <w:tab/>
      </w:r>
      <w:r>
        <w:rPr>
          <w:rFonts w:ascii="Arial" w:cs="Arial" w:eastAsia="Arial" w:hAnsi="Arial"/>
          <w:sz w:val="14"/>
          <w:szCs w:val="14"/>
          <w:color w:val="auto"/>
        </w:rPr>
        <w:t>U.S. Government Securities - due 6/1/2056 - 4.500%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#0BH7071</w:t>
      </w:r>
      <w:r>
        <w:rPr>
          <w:sz w:val="20"/>
          <w:szCs w:val="20"/>
          <w:color w:val="auto"/>
        </w:rPr>
        <w:tab/>
      </w:r>
      <w:r>
        <w:rPr>
          <w:rFonts w:ascii="Arial" w:cs="Arial" w:eastAsia="Arial" w:hAnsi="Arial"/>
          <w:sz w:val="14"/>
          <w:szCs w:val="14"/>
          <w:color w:val="auto"/>
        </w:rPr>
        <w:t>U.S. Government Securities - due 12/1/2047 - 4.500%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#0BK0922</w:t>
      </w:r>
      <w:r>
        <w:rPr>
          <w:sz w:val="20"/>
          <w:szCs w:val="20"/>
          <w:color w:val="auto"/>
        </w:rPr>
        <w:tab/>
      </w:r>
      <w:r>
        <w:rPr>
          <w:rFonts w:ascii="Arial" w:cs="Arial" w:eastAsia="Arial" w:hAnsi="Arial"/>
          <w:sz w:val="14"/>
          <w:szCs w:val="14"/>
          <w:color w:val="auto"/>
        </w:rPr>
        <w:t>U.S. Government Securities - due 7/1/2048 - 4.500%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#0BK1966</w:t>
      </w:r>
      <w:r>
        <w:rPr>
          <w:sz w:val="20"/>
          <w:szCs w:val="20"/>
          <w:color w:val="auto"/>
        </w:rPr>
        <w:tab/>
      </w:r>
      <w:r>
        <w:rPr>
          <w:rFonts w:ascii="Arial" w:cs="Arial" w:eastAsia="Arial" w:hAnsi="Arial"/>
          <w:sz w:val="14"/>
          <w:szCs w:val="14"/>
          <w:color w:val="auto"/>
        </w:rPr>
        <w:t>U.S. Government Securities - due 3/1/2048 - 4.000%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#0BK4770</w:t>
      </w:r>
      <w:r>
        <w:rPr>
          <w:sz w:val="20"/>
          <w:szCs w:val="20"/>
          <w:color w:val="auto"/>
        </w:rPr>
        <w:tab/>
      </w:r>
      <w:r>
        <w:rPr>
          <w:rFonts w:ascii="Arial" w:cs="Arial" w:eastAsia="Arial" w:hAnsi="Arial"/>
          <w:sz w:val="14"/>
          <w:szCs w:val="14"/>
          <w:color w:val="auto"/>
        </w:rPr>
        <w:t>U.S. Government Securities - due 8/1/2048 - 4.500%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#0BM1357</w:t>
      </w:r>
      <w:r>
        <w:rPr>
          <w:sz w:val="20"/>
          <w:szCs w:val="20"/>
          <w:color w:val="auto"/>
        </w:rPr>
        <w:tab/>
      </w:r>
      <w:r>
        <w:rPr>
          <w:rFonts w:ascii="Arial" w:cs="Arial" w:eastAsia="Arial" w:hAnsi="Arial"/>
          <w:sz w:val="14"/>
          <w:szCs w:val="14"/>
          <w:color w:val="auto"/>
        </w:rPr>
        <w:t>U.S. Government Securities - due 1/1/2043 - 4.500%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#0MA0232</w:t>
      </w:r>
      <w:r>
        <w:rPr>
          <w:sz w:val="20"/>
          <w:szCs w:val="20"/>
          <w:color w:val="auto"/>
        </w:rPr>
        <w:tab/>
      </w:r>
      <w:r>
        <w:rPr>
          <w:rFonts w:ascii="Arial" w:cs="Arial" w:eastAsia="Arial" w:hAnsi="Arial"/>
          <w:sz w:val="14"/>
          <w:szCs w:val="14"/>
          <w:color w:val="auto"/>
        </w:rPr>
        <w:t>U.S. Government Securities - due 11/1/2029 - 4.500%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#0MA2366</w:t>
      </w:r>
      <w:r>
        <w:rPr>
          <w:sz w:val="20"/>
          <w:szCs w:val="20"/>
          <w:color w:val="auto"/>
        </w:rPr>
        <w:tab/>
      </w:r>
      <w:r>
        <w:rPr>
          <w:rFonts w:ascii="Arial" w:cs="Arial" w:eastAsia="Arial" w:hAnsi="Arial"/>
          <w:sz w:val="14"/>
          <w:szCs w:val="14"/>
          <w:color w:val="auto"/>
        </w:rPr>
        <w:t>U.S. Government Securities - due 8/1/2035 - 4.000%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#0MA2455</w:t>
      </w:r>
      <w:r>
        <w:rPr>
          <w:sz w:val="20"/>
          <w:szCs w:val="20"/>
          <w:color w:val="auto"/>
        </w:rPr>
        <w:tab/>
      </w:r>
      <w:r>
        <w:rPr>
          <w:rFonts w:ascii="Arial" w:cs="Arial" w:eastAsia="Arial" w:hAnsi="Arial"/>
          <w:sz w:val="14"/>
          <w:szCs w:val="14"/>
          <w:color w:val="auto"/>
        </w:rPr>
        <w:t>U.S. Government Securities - due 11/1/2035 - 4.000%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#0MA2480</w:t>
      </w:r>
      <w:r>
        <w:rPr>
          <w:sz w:val="20"/>
          <w:szCs w:val="20"/>
          <w:color w:val="auto"/>
        </w:rPr>
        <w:tab/>
      </w:r>
      <w:r>
        <w:rPr>
          <w:rFonts w:ascii="Arial" w:cs="Arial" w:eastAsia="Arial" w:hAnsi="Arial"/>
          <w:sz w:val="14"/>
          <w:szCs w:val="14"/>
          <w:color w:val="auto"/>
        </w:rPr>
        <w:t>U.S. Government Securities - due 12/1/2035 - 4.000%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#0MA2880</w:t>
      </w:r>
      <w:r>
        <w:rPr>
          <w:sz w:val="20"/>
          <w:szCs w:val="20"/>
          <w:color w:val="auto"/>
        </w:rPr>
        <w:tab/>
      </w:r>
      <w:r>
        <w:rPr>
          <w:rFonts w:ascii="Arial" w:cs="Arial" w:eastAsia="Arial" w:hAnsi="Arial"/>
          <w:sz w:val="14"/>
          <w:szCs w:val="14"/>
          <w:color w:val="auto"/>
        </w:rPr>
        <w:t>U.S. Government Securities - due 1/1/2037 - 4.000%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#0MA2923</w:t>
      </w:r>
      <w:r>
        <w:rPr>
          <w:sz w:val="20"/>
          <w:szCs w:val="20"/>
          <w:color w:val="auto"/>
        </w:rPr>
        <w:tab/>
      </w:r>
      <w:r>
        <w:rPr>
          <w:rFonts w:ascii="Arial" w:cs="Arial" w:eastAsia="Arial" w:hAnsi="Arial"/>
          <w:sz w:val="14"/>
          <w:szCs w:val="14"/>
          <w:color w:val="auto"/>
        </w:rPr>
        <w:t>U.S. Government Securities - due 3/1/2037 - 3.500%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POOL #0MA3334</w:t>
      </w:r>
      <w:r>
        <w:rPr>
          <w:sz w:val="20"/>
          <w:szCs w:val="20"/>
          <w:color w:val="auto"/>
        </w:rPr>
        <w:tab/>
      </w:r>
      <w:r>
        <w:rPr>
          <w:rFonts w:ascii="Arial" w:cs="Arial" w:eastAsia="Arial" w:hAnsi="Arial"/>
          <w:sz w:val="14"/>
          <w:szCs w:val="14"/>
          <w:color w:val="auto"/>
        </w:rPr>
        <w:t>U.S. Government Securities - due 3/1/2048 - 4.500%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GTD REMIC P/T 01-79 BA</w:t>
      </w:r>
      <w:r>
        <w:rPr>
          <w:sz w:val="20"/>
          <w:szCs w:val="20"/>
          <w:color w:val="auto"/>
        </w:rPr>
        <w:tab/>
      </w:r>
      <w:r>
        <w:rPr>
          <w:rFonts w:ascii="Arial" w:cs="Arial" w:eastAsia="Arial" w:hAnsi="Arial"/>
          <w:sz w:val="14"/>
          <w:szCs w:val="14"/>
          <w:color w:val="auto"/>
        </w:rPr>
        <w:t>U.S. Government Securities - due 3/25/2045 - 7.000%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GTD REMIC P/T 01-T10 A1</w:t>
      </w:r>
      <w:r>
        <w:rPr>
          <w:sz w:val="20"/>
          <w:szCs w:val="20"/>
          <w:color w:val="auto"/>
        </w:rPr>
        <w:tab/>
      </w:r>
      <w:r>
        <w:rPr>
          <w:rFonts w:ascii="Arial" w:cs="Arial" w:eastAsia="Arial" w:hAnsi="Arial"/>
          <w:sz w:val="14"/>
          <w:szCs w:val="14"/>
          <w:color w:val="auto"/>
        </w:rPr>
        <w:t>U.S. Government Securities - due 12/25/2041 - 7.000%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GTD REMIC P/T 04-W2 5A</w:t>
      </w:r>
      <w:r>
        <w:rPr>
          <w:sz w:val="20"/>
          <w:szCs w:val="20"/>
          <w:color w:val="auto"/>
        </w:rPr>
        <w:tab/>
      </w:r>
      <w:r>
        <w:rPr>
          <w:rFonts w:ascii="Arial" w:cs="Arial" w:eastAsia="Arial" w:hAnsi="Arial"/>
          <w:sz w:val="14"/>
          <w:szCs w:val="14"/>
          <w:color w:val="auto"/>
        </w:rPr>
        <w:t>U.S. Government Securities - due 3/25/2044 - 7.500%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GTD REMIC P/T 07-50 DZ</w:t>
      </w:r>
      <w:r>
        <w:rPr>
          <w:sz w:val="20"/>
          <w:szCs w:val="20"/>
          <w:color w:val="auto"/>
        </w:rPr>
        <w:tab/>
      </w:r>
      <w:r>
        <w:rPr>
          <w:rFonts w:ascii="Arial" w:cs="Arial" w:eastAsia="Arial" w:hAnsi="Arial"/>
          <w:sz w:val="14"/>
          <w:szCs w:val="14"/>
          <w:color w:val="auto"/>
        </w:rPr>
        <w:t>U.S. Government Securities - due 6/25/2037 - 5.500%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GTD REMIC P/T 07-W10 2A</w:t>
      </w:r>
      <w:r>
        <w:rPr>
          <w:sz w:val="20"/>
          <w:szCs w:val="20"/>
          <w:color w:val="auto"/>
        </w:rPr>
        <w:tab/>
      </w:r>
      <w:r>
        <w:rPr>
          <w:rFonts w:ascii="Arial" w:cs="Arial" w:eastAsia="Arial" w:hAnsi="Arial"/>
          <w:sz w:val="14"/>
          <w:szCs w:val="14"/>
          <w:color w:val="auto"/>
        </w:rPr>
        <w:t>U.S. Government Securities - due 8/25/2047 -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GTD REMIC P/T 12-46 BA</w:t>
      </w:r>
      <w:r>
        <w:rPr>
          <w:sz w:val="20"/>
          <w:szCs w:val="20"/>
          <w:color w:val="auto"/>
        </w:rPr>
        <w:tab/>
      </w:r>
      <w:r>
        <w:rPr>
          <w:rFonts w:ascii="Arial" w:cs="Arial" w:eastAsia="Arial" w:hAnsi="Arial"/>
          <w:sz w:val="14"/>
          <w:szCs w:val="14"/>
          <w:color w:val="auto"/>
        </w:rPr>
        <w:t>U.S. Government Securities - due 5/25/2042 - 6.000%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FNMA GTD REMIC P/T 13-128 CF</w:t>
      </w:r>
      <w:r>
        <w:rPr>
          <w:sz w:val="20"/>
          <w:szCs w:val="20"/>
          <w:color w:val="auto"/>
        </w:rPr>
        <w:tab/>
      </w:r>
      <w:r>
        <w:rPr>
          <w:rFonts w:ascii="Arial" w:cs="Arial" w:eastAsia="Arial" w:hAnsi="Arial"/>
          <w:sz w:val="14"/>
          <w:szCs w:val="14"/>
          <w:color w:val="auto"/>
        </w:rPr>
        <w:t>U.S. Government Securities - due 12/25/2043 -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GNMA GTD REMIC P/T 15-H23 FA</w:t>
      </w:r>
      <w:r>
        <w:rPr>
          <w:sz w:val="20"/>
          <w:szCs w:val="20"/>
          <w:color w:val="auto"/>
        </w:rPr>
        <w:tab/>
      </w:r>
      <w:r>
        <w:rPr>
          <w:rFonts w:ascii="Arial" w:cs="Arial" w:eastAsia="Arial" w:hAnsi="Arial"/>
          <w:sz w:val="14"/>
          <w:szCs w:val="14"/>
          <w:color w:val="auto"/>
        </w:rPr>
        <w:t>U.S. Government Securities - due 9/20/2065 -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GNMA GTD REMIC P/T 17-H24 FQ</w:t>
      </w:r>
      <w:r>
        <w:rPr>
          <w:sz w:val="20"/>
          <w:szCs w:val="20"/>
          <w:color w:val="auto"/>
        </w:rPr>
        <w:tab/>
      </w:r>
      <w:r>
        <w:rPr>
          <w:rFonts w:ascii="Arial" w:cs="Arial" w:eastAsia="Arial" w:hAnsi="Arial"/>
          <w:sz w:val="14"/>
          <w:szCs w:val="14"/>
          <w:color w:val="auto"/>
        </w:rPr>
        <w:t>U.S. Government Securities - due 11/20/2067 - Variable</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SBA GTD PARTN CTFS 2006-20E 1</w:t>
      </w:r>
      <w:r>
        <w:rPr>
          <w:sz w:val="20"/>
          <w:szCs w:val="20"/>
          <w:color w:val="auto"/>
        </w:rPr>
        <w:tab/>
      </w:r>
      <w:r>
        <w:rPr>
          <w:rFonts w:ascii="Arial" w:cs="Arial" w:eastAsia="Arial" w:hAnsi="Arial"/>
          <w:sz w:val="14"/>
          <w:szCs w:val="14"/>
          <w:color w:val="auto"/>
        </w:rPr>
        <w:t>U.S. Government Securities - due 5/1/2026 - 5.870%</w:t>
      </w:r>
    </w:p>
    <w:p>
      <w:pPr>
        <w:spacing w:after="0" w:line="73"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SBA GTD PARTN CTFS 2007-20B 1</w:t>
      </w:r>
      <w:r>
        <w:rPr>
          <w:sz w:val="20"/>
          <w:szCs w:val="20"/>
          <w:color w:val="auto"/>
        </w:rPr>
        <w:tab/>
      </w:r>
      <w:r>
        <w:rPr>
          <w:rFonts w:ascii="Arial" w:cs="Arial" w:eastAsia="Arial" w:hAnsi="Arial"/>
          <w:sz w:val="14"/>
          <w:szCs w:val="14"/>
          <w:color w:val="auto"/>
        </w:rPr>
        <w:t>U.S. Government Securities - due 2/1/2027 - 5.490%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SBA GTD PARTN CTFS 2007-20D 1</w:t>
      </w:r>
      <w:r>
        <w:rPr>
          <w:sz w:val="20"/>
          <w:szCs w:val="20"/>
          <w:color w:val="auto"/>
        </w:rPr>
        <w:tab/>
      </w:r>
      <w:r>
        <w:rPr>
          <w:rFonts w:ascii="Arial" w:cs="Arial" w:eastAsia="Arial" w:hAnsi="Arial"/>
          <w:sz w:val="14"/>
          <w:szCs w:val="14"/>
          <w:color w:val="auto"/>
        </w:rPr>
        <w:t>U.S. Government Securities - due 4/1/2027 - 5.320%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U.S. Treasury Note</w:t>
      </w:r>
      <w:r>
        <w:rPr>
          <w:sz w:val="20"/>
          <w:szCs w:val="20"/>
          <w:color w:val="auto"/>
        </w:rPr>
        <w:tab/>
      </w:r>
      <w:r>
        <w:rPr>
          <w:rFonts w:ascii="Arial" w:cs="Arial" w:eastAsia="Arial" w:hAnsi="Arial"/>
          <w:sz w:val="14"/>
          <w:szCs w:val="14"/>
          <w:color w:val="auto"/>
        </w:rPr>
        <w:t>U.S. Government Securities - due 10/31/2022 - 2.000%</w:t>
      </w:r>
    </w:p>
    <w:p>
      <w:pPr>
        <w:spacing w:after="0" w:line="100"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U.S. Treasury Note</w:t>
      </w:r>
      <w:r>
        <w:rPr>
          <w:sz w:val="20"/>
          <w:szCs w:val="20"/>
          <w:color w:val="auto"/>
        </w:rPr>
        <w:tab/>
      </w:r>
      <w:r>
        <w:rPr>
          <w:rFonts w:ascii="Arial" w:cs="Arial" w:eastAsia="Arial" w:hAnsi="Arial"/>
          <w:sz w:val="14"/>
          <w:szCs w:val="14"/>
          <w:color w:val="auto"/>
        </w:rPr>
        <w:t>U.S. Government Securities - due 11/30/2022 - 2.000%</w:t>
      </w:r>
    </w:p>
    <w:p>
      <w:pPr>
        <w:spacing w:after="0" w:line="86" w:lineRule="exact"/>
        <w:rPr>
          <w:sz w:val="20"/>
          <w:szCs w:val="20"/>
          <w:color w:val="auto"/>
        </w:rPr>
      </w:pPr>
    </w:p>
    <w:p>
      <w:pPr>
        <w:ind w:left="380"/>
        <w:spacing w:after="0"/>
        <w:tabs>
          <w:tab w:leader="none" w:pos="4460" w:val="left"/>
        </w:tabs>
        <w:rPr>
          <w:sz w:val="20"/>
          <w:szCs w:val="20"/>
          <w:color w:val="auto"/>
        </w:rPr>
      </w:pPr>
      <w:r>
        <w:rPr>
          <w:rFonts w:ascii="Arial" w:cs="Arial" w:eastAsia="Arial" w:hAnsi="Arial"/>
          <w:sz w:val="16"/>
          <w:szCs w:val="16"/>
          <w:color w:val="auto"/>
        </w:rPr>
        <w:t>U.S. Treasury Note</w:t>
      </w:r>
      <w:r>
        <w:rPr>
          <w:sz w:val="20"/>
          <w:szCs w:val="20"/>
          <w:color w:val="auto"/>
        </w:rPr>
        <w:tab/>
      </w:r>
      <w:r>
        <w:rPr>
          <w:rFonts w:ascii="Arial" w:cs="Arial" w:eastAsia="Arial" w:hAnsi="Arial"/>
          <w:sz w:val="14"/>
          <w:szCs w:val="14"/>
          <w:color w:val="auto"/>
        </w:rPr>
        <w:t>U.S. Government Securities - due 2/28/2022 - 1.875%</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bl>
    <w:p>
      <w:pPr>
        <w:spacing w:after="0" w:line="64" w:lineRule="exact"/>
        <w:rPr>
          <w:sz w:val="20"/>
          <w:szCs w:val="20"/>
          <w:color w:val="auto"/>
        </w:rPr>
      </w:pPr>
    </w:p>
    <w:p>
      <w:pPr>
        <w:ind w:left="1430" w:hanging="1430"/>
        <w:spacing w:after="0"/>
        <w:tabs>
          <w:tab w:leader="none" w:pos="143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1,128</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311</w:t>
            </w:r>
          </w:p>
        </w:tc>
      </w:tr>
    </w:tbl>
    <w:p>
      <w:pPr>
        <w:spacing w:after="0" w:line="64" w:lineRule="exact"/>
        <w:rPr>
          <w:sz w:val="20"/>
          <w:szCs w:val="20"/>
          <w:color w:val="auto"/>
        </w:rPr>
      </w:pPr>
    </w:p>
    <w:p>
      <w:pPr>
        <w:ind w:left="1430" w:hanging="1430"/>
        <w:spacing w:after="0"/>
        <w:tabs>
          <w:tab w:leader="none" w:pos="1430" w:val="left"/>
        </w:tabs>
        <w:numPr>
          <w:ilvl w:val="0"/>
          <w:numId w:val="25"/>
        </w:numPr>
        <w:rPr>
          <w:rFonts w:ascii="Arial" w:cs="Arial" w:eastAsia="Arial" w:hAnsi="Arial"/>
          <w:sz w:val="15"/>
          <w:szCs w:val="15"/>
          <w:color w:val="auto"/>
        </w:rPr>
      </w:pPr>
      <w:r>
        <w:rPr>
          <w:rFonts w:ascii="Arial" w:cs="Arial" w:eastAsia="Arial" w:hAnsi="Arial"/>
          <w:sz w:val="15"/>
          <w:szCs w:val="15"/>
          <w:color w:val="auto"/>
        </w:rPr>
        <w:t>1,901</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382</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823</w:t>
            </w:r>
          </w:p>
        </w:tc>
      </w:tr>
    </w:tbl>
    <w:p>
      <w:pPr>
        <w:spacing w:after="0" w:line="64" w:lineRule="exact"/>
        <w:rPr>
          <w:sz w:val="20"/>
          <w:szCs w:val="20"/>
          <w:color w:val="auto"/>
        </w:rPr>
      </w:pPr>
    </w:p>
    <w:p>
      <w:pPr>
        <w:ind w:left="1430" w:hanging="1430"/>
        <w:spacing w:after="0"/>
        <w:tabs>
          <w:tab w:leader="none" w:pos="1430" w:val="left"/>
        </w:tabs>
        <w:numPr>
          <w:ilvl w:val="0"/>
          <w:numId w:val="26"/>
        </w:numPr>
        <w:rPr>
          <w:rFonts w:ascii="Arial" w:cs="Arial" w:eastAsia="Arial" w:hAnsi="Arial"/>
          <w:sz w:val="15"/>
          <w:szCs w:val="15"/>
          <w:color w:val="auto"/>
        </w:rPr>
      </w:pPr>
      <w:r>
        <w:rPr>
          <w:rFonts w:ascii="Arial" w:cs="Arial" w:eastAsia="Arial" w:hAnsi="Arial"/>
          <w:sz w:val="15"/>
          <w:szCs w:val="15"/>
          <w:color w:val="auto"/>
        </w:rPr>
        <w:t>1,057</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26"/>
        </w:numPr>
        <w:rPr>
          <w:rFonts w:ascii="Arial" w:cs="Arial" w:eastAsia="Arial" w:hAnsi="Arial"/>
          <w:sz w:val="15"/>
          <w:szCs w:val="15"/>
          <w:color w:val="auto"/>
        </w:rPr>
      </w:pPr>
      <w:r>
        <w:rPr>
          <w:rFonts w:ascii="Arial" w:cs="Arial" w:eastAsia="Arial" w:hAnsi="Arial"/>
          <w:sz w:val="15"/>
          <w:szCs w:val="15"/>
          <w:color w:val="auto"/>
        </w:rPr>
        <w:t>2,681</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26"/>
        </w:numPr>
        <w:rPr>
          <w:rFonts w:ascii="Arial" w:cs="Arial" w:eastAsia="Arial" w:hAnsi="Arial"/>
          <w:sz w:val="15"/>
          <w:szCs w:val="15"/>
          <w:color w:val="auto"/>
        </w:rPr>
      </w:pPr>
      <w:r>
        <w:rPr>
          <w:rFonts w:ascii="Arial" w:cs="Arial" w:eastAsia="Arial" w:hAnsi="Arial"/>
          <w:sz w:val="15"/>
          <w:szCs w:val="15"/>
          <w:color w:val="auto"/>
        </w:rPr>
        <w:t>1,280</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420</w:t>
            </w:r>
          </w:p>
        </w:tc>
      </w:tr>
    </w:tbl>
    <w:p>
      <w:pPr>
        <w:spacing w:after="0" w:line="64" w:lineRule="exact"/>
        <w:rPr>
          <w:sz w:val="20"/>
          <w:szCs w:val="20"/>
          <w:color w:val="auto"/>
        </w:rPr>
      </w:pPr>
    </w:p>
    <w:p>
      <w:pPr>
        <w:ind w:left="1430" w:hanging="1430"/>
        <w:spacing w:after="0"/>
        <w:tabs>
          <w:tab w:leader="none" w:pos="1430" w:val="left"/>
        </w:tabs>
        <w:numPr>
          <w:ilvl w:val="0"/>
          <w:numId w:val="27"/>
        </w:numPr>
        <w:rPr>
          <w:rFonts w:ascii="Arial" w:cs="Arial" w:eastAsia="Arial" w:hAnsi="Arial"/>
          <w:sz w:val="15"/>
          <w:szCs w:val="15"/>
          <w:color w:val="auto"/>
        </w:rPr>
      </w:pPr>
      <w:r>
        <w:rPr>
          <w:rFonts w:ascii="Arial" w:cs="Arial" w:eastAsia="Arial" w:hAnsi="Arial"/>
          <w:sz w:val="15"/>
          <w:szCs w:val="15"/>
          <w:color w:val="auto"/>
        </w:rPr>
        <w:t>1,832</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27"/>
        </w:numPr>
        <w:rPr>
          <w:rFonts w:ascii="Arial" w:cs="Arial" w:eastAsia="Arial" w:hAnsi="Arial"/>
          <w:sz w:val="15"/>
          <w:szCs w:val="15"/>
          <w:color w:val="auto"/>
        </w:rPr>
      </w:pPr>
      <w:r>
        <w:rPr>
          <w:rFonts w:ascii="Arial" w:cs="Arial" w:eastAsia="Arial" w:hAnsi="Arial"/>
          <w:sz w:val="15"/>
          <w:szCs w:val="15"/>
          <w:color w:val="auto"/>
        </w:rPr>
        <w:t>1,077</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27"/>
        </w:numPr>
        <w:rPr>
          <w:rFonts w:ascii="Arial" w:cs="Arial" w:eastAsia="Arial" w:hAnsi="Arial"/>
          <w:sz w:val="15"/>
          <w:szCs w:val="15"/>
          <w:color w:val="auto"/>
        </w:rPr>
      </w:pPr>
      <w:r>
        <w:rPr>
          <w:rFonts w:ascii="Arial" w:cs="Arial" w:eastAsia="Arial" w:hAnsi="Arial"/>
          <w:sz w:val="15"/>
          <w:szCs w:val="15"/>
          <w:color w:val="auto"/>
        </w:rPr>
        <w:t>4,149</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994</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823</w:t>
            </w:r>
          </w:p>
        </w:tc>
      </w:tr>
    </w:tbl>
    <w:p>
      <w:pPr>
        <w:spacing w:after="0" w:line="64" w:lineRule="exact"/>
        <w:rPr>
          <w:sz w:val="20"/>
          <w:szCs w:val="20"/>
          <w:color w:val="auto"/>
        </w:rPr>
      </w:pPr>
    </w:p>
    <w:p>
      <w:pPr>
        <w:ind w:left="1430" w:hanging="1430"/>
        <w:spacing w:after="0"/>
        <w:tabs>
          <w:tab w:leader="none" w:pos="1430" w:val="left"/>
        </w:tabs>
        <w:numPr>
          <w:ilvl w:val="0"/>
          <w:numId w:val="28"/>
        </w:numPr>
        <w:rPr>
          <w:rFonts w:ascii="Arial" w:cs="Arial" w:eastAsia="Arial" w:hAnsi="Arial"/>
          <w:sz w:val="15"/>
          <w:szCs w:val="15"/>
          <w:color w:val="auto"/>
        </w:rPr>
      </w:pPr>
      <w:r>
        <w:rPr>
          <w:rFonts w:ascii="Arial" w:cs="Arial" w:eastAsia="Arial" w:hAnsi="Arial"/>
          <w:sz w:val="15"/>
          <w:szCs w:val="15"/>
          <w:color w:val="auto"/>
        </w:rPr>
        <w:t>2,289</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57"/>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70"/>
        </w:trPr>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r>
    </w:tbl>
    <w:p>
      <w:pPr>
        <w:spacing w:after="0" w:line="77" w:lineRule="exact"/>
        <w:rPr>
          <w:sz w:val="20"/>
          <w:szCs w:val="20"/>
          <w:color w:val="auto"/>
        </w:rPr>
      </w:pPr>
    </w:p>
    <w:p>
      <w:pPr>
        <w:ind w:left="1430" w:hanging="1430"/>
        <w:spacing w:after="0"/>
        <w:tabs>
          <w:tab w:leader="none" w:pos="1430" w:val="left"/>
        </w:tabs>
        <w:numPr>
          <w:ilvl w:val="0"/>
          <w:numId w:val="29"/>
        </w:numPr>
        <w:rPr>
          <w:rFonts w:ascii="Arial" w:cs="Arial" w:eastAsia="Arial" w:hAnsi="Arial"/>
          <w:sz w:val="15"/>
          <w:szCs w:val="15"/>
          <w:color w:val="auto"/>
        </w:rPr>
      </w:pPr>
      <w:r>
        <w:rPr>
          <w:rFonts w:ascii="Arial" w:cs="Arial" w:eastAsia="Arial" w:hAnsi="Arial"/>
          <w:sz w:val="15"/>
          <w:szCs w:val="15"/>
          <w:color w:val="auto"/>
        </w:rPr>
        <w:t>4,951</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29"/>
        </w:numPr>
        <w:rPr>
          <w:rFonts w:ascii="Arial" w:cs="Arial" w:eastAsia="Arial" w:hAnsi="Arial"/>
          <w:sz w:val="15"/>
          <w:szCs w:val="15"/>
          <w:color w:val="auto"/>
        </w:rPr>
      </w:pPr>
      <w:r>
        <w:rPr>
          <w:rFonts w:ascii="Arial" w:cs="Arial" w:eastAsia="Arial" w:hAnsi="Arial"/>
          <w:sz w:val="15"/>
          <w:szCs w:val="15"/>
          <w:color w:val="auto"/>
        </w:rPr>
        <w:t>3,466</w:t>
      </w:r>
    </w:p>
    <w:p>
      <w:pPr>
        <w:spacing w:after="0" w:line="97" w:lineRule="exact"/>
        <w:rPr>
          <w:rFonts w:ascii="Arial" w:cs="Arial" w:eastAsia="Arial" w:hAnsi="Arial"/>
          <w:sz w:val="15"/>
          <w:szCs w:val="15"/>
          <w:color w:val="auto"/>
        </w:rPr>
      </w:pPr>
    </w:p>
    <w:p>
      <w:pPr>
        <w:ind w:left="1430" w:hanging="1430"/>
        <w:spacing w:after="0"/>
        <w:tabs>
          <w:tab w:leader="none" w:pos="1430" w:val="left"/>
        </w:tabs>
        <w:numPr>
          <w:ilvl w:val="0"/>
          <w:numId w:val="29"/>
        </w:numPr>
        <w:rPr>
          <w:rFonts w:ascii="Arial" w:cs="Arial" w:eastAsia="Arial" w:hAnsi="Arial"/>
          <w:sz w:val="15"/>
          <w:szCs w:val="15"/>
          <w:color w:val="auto"/>
        </w:rPr>
      </w:pPr>
      <w:r>
        <w:rPr>
          <w:rFonts w:ascii="Arial" w:cs="Arial" w:eastAsia="Arial" w:hAnsi="Arial"/>
          <w:sz w:val="15"/>
          <w:szCs w:val="15"/>
          <w:color w:val="auto"/>
        </w:rPr>
        <w:t>3,274</w:t>
      </w:r>
    </w:p>
    <w:p>
      <w:pPr>
        <w:spacing w:after="0" w:line="211" w:lineRule="exact"/>
        <w:rPr>
          <w:sz w:val="20"/>
          <w:szCs w:val="20"/>
          <w:color w:val="auto"/>
        </w:rPr>
      </w:pPr>
    </w:p>
    <w:p>
      <w:pPr>
        <w:sectPr>
          <w:pgSz w:w="11900" w:h="16838" w:orient="portrait"/>
          <w:cols w:equalWidth="0" w:num="2">
            <w:col w:w="8830" w:space="720"/>
            <w:col w:w="1810"/>
          </w:cols>
          <w:pgMar w:left="280" w:top="531" w:right="259" w:bottom="1440" w:gutter="0" w:footer="0" w:header="0"/>
          <w:type w:val="continuous"/>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 of 19</w:t>
      </w:r>
    </w:p>
    <w:sectPr>
      <w:pgSz w:w="11900" w:h="16838" w:orient="portrait"/>
      <w:cols w:equalWidth="0" w:num="1">
        <w:col w:w="11360"/>
      </w:cols>
      <w:pgMar w:left="280" w:top="531"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8" Type="http://schemas.openxmlformats.org/officeDocument/2006/relationships/hyperlink" Target="http://www.sec.gov/Archives/edgar/data/72333/000007233315000097/jwn-q12015xex102.htm" TargetMode="External"/><Relationship Id="rId9" Type="http://schemas.openxmlformats.org/officeDocument/2006/relationships/hyperlink" Target="http://www.sec.gov/Archives/edgar/data/72333/000007233314000140/jwn-q22014xex106.htm" TargetMode="External"/><Relationship Id="rId10" Type="http://schemas.openxmlformats.org/officeDocument/2006/relationships/hyperlink" Target="http://www.sec.gov/Archives/edgar/data/72333/000007233314000158/jwn-q32014xex102.htm" TargetMode="External"/><Relationship Id="rId11" Type="http://schemas.openxmlformats.org/officeDocument/2006/relationships/hyperlink" Target="http://www.sec.gov/Archives/edgar/data/72333/000007233314000158/jwn-q32014xex103.htm" TargetMode="External"/><Relationship Id="rId12" Type="http://schemas.openxmlformats.org/officeDocument/2006/relationships/hyperlink" Target="http://www.sec.gov/Archives/edgar/data/72333/000007233319000060/jwn-222019x10k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2019-12-01T16:20:22Z</dcterms:created>
  <dcterms:modified xsi:type="dcterms:W3CDTF">2019-12-01T16:20:22Z</dcterms:modified>
</cp:coreProperties>
</file>